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19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以下为规范正文（v1.3）。本次修订过的位置——包括上表两类、以及未单独罗列的口径写明——均已在正文就地改好，并以淡底色 + 句首「▲」标出，便于对照。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v1.3 修订：共 30 处，需贵方过目的已列在文首《本次修订说明》，其余为口径写明、正文就地标出。（v1.2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请求级幂等键，仅用于方案 A 的病历回写方向（我方→贵方）。同一份文书的所有重发（含超时重试与我方对账补投）该值恒定，可据此做一层请求去重；不参与签名计算。本期方案 B 的 WebSocket 信封无此字段，贵方无需实现——请以 msg_id 与 2.5 业务幂等键判重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