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MediScribe HIS 接口规范 v1.5 增补说明</w:t>
      </w:r>
    </w:p>
    <w:p>
      <w:r>
        <w:t>——诊断编码能力上线（对 v1.4 的向后兼容增补）　2026-08-21</w:t>
      </w:r>
    </w:p>
    <w:p>
      <w:pPr>
        <w:pStyle w:val="Heading1"/>
      </w:pPr>
      <w:r>
        <w:t>一、背景与兼容性声明</w:t>
      </w:r>
    </w:p>
    <w:p>
      <w:r>
        <w:t>v1.4 规范表 11 曾注明：诊断以名称（name）为准、不下发 code/code_type，编码能力后续迭代补充。本增补即该承诺的兑现：我方已完成诊断结构化与编码字典接入，病历回写接口（3.2）的 diagnoses[] 数组开始携带编码。</w:t>
      </w:r>
    </w:p>
    <w:p>
      <w:r>
        <w:rPr>
          <w:b/>
        </w:rPr>
        <w:t>依据 v1.4 §2.5 向后兼容条款（新增可选字段/枚举值不构成破坏性变更，贵方忽略未识别字段即可），本次增补【无需贵方任何开发改造】。如贵方希望利用编码直接落库/对接病案首页，可按下述字段说明采用。</w:t>
      </w:r>
    </w:p>
    <w:p>
      <w:pPr>
        <w:pStyle w:val="Heading1"/>
      </w:pPr>
      <w:r>
        <w:t>二、变更明细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diagnoses[].code</w:t>
            </w:r>
          </w:p>
        </w:tc>
        <w:tc>
          <w:tcPr>
            <w:tcW w:type="dxa" w:w="2880"/>
          </w:tcPr>
          <w:p>
            <w:r>
              <w:t>开始有值下发（可选）</w:t>
            </w:r>
          </w:p>
        </w:tc>
        <w:tc>
          <w:tcPr>
            <w:tcW w:type="dxa" w:w="2880"/>
          </w:tcPr>
          <w:p>
            <w:r>
              <w:t>诊断编码；与 name 成对。我方系统内医生经字典联想选定或名称精确匹配自动补码；无法确定编码时该字段缺省（宁缺勿错）</w:t>
            </w:r>
          </w:p>
        </w:tc>
      </w:tr>
      <w:tr>
        <w:tc>
          <w:tcPr>
            <w:tcW w:type="dxa" w:w="2880"/>
          </w:tcPr>
          <w:p>
            <w:r>
              <w:t>diagnoses[].code_type</w:t>
            </w:r>
          </w:p>
        </w:tc>
        <w:tc>
          <w:tcPr>
            <w:tcW w:type="dxa" w:w="2880"/>
          </w:tcPr>
          <w:p>
            <w:r>
              <w:t>开始有值下发（可选）</w:t>
            </w:r>
          </w:p>
        </w:tc>
        <w:tc>
          <w:tcPr>
            <w:tcW w:type="dxa" w:w="2880"/>
          </w:tcPr>
          <w:p>
            <w:r>
              <w:t>ICD10 = 疾病诊断编码（国家医保版 2.0 口径）；GB95 = 中医病证分类与代码（枚举字面量沿用 v1.4；数据实际依据已升级的GB/T 15657-2021 医保版，含疾病名 A 码与证候名 B 码——如贵方需要区分或采用其他标识，请联调时提出）</w:t>
            </w:r>
          </w:p>
        </w:tc>
      </w:tr>
      <w:tr>
        <w:tc>
          <w:tcPr>
            <w:tcW w:type="dxa" w:w="2880"/>
          </w:tcPr>
          <w:p>
            <w:r>
              <w:t>diagnoses[].is_primary</w:t>
            </w:r>
          </w:p>
        </w:tc>
        <w:tc>
          <w:tcPr>
            <w:tcW w:type="dxa" w:w="2880"/>
          </w:tcPr>
          <w:p>
            <w:r>
              <w:t>语义升级</w:t>
            </w:r>
          </w:p>
        </w:tc>
        <w:tc>
          <w:tcPr>
            <w:tcW w:type="dxa" w:w="2880"/>
          </w:tcPr>
          <w:p>
            <w:r>
              <w:t>此前=第一个非空诊断；现在=医生在工作台显式勾选的主要诊断（按'本次医疗资源消耗最多、对健康危害最大'原则），全数组恰一条为 true</w:t>
            </w:r>
          </w:p>
        </w:tc>
      </w:tr>
      <w:tr>
        <w:tc>
          <w:tcPr>
            <w:tcW w:type="dxa" w:w="2880"/>
          </w:tcPr>
          <w:p>
            <w:r>
              <w:t>diagnoses[]（western）</w:t>
            </w:r>
          </w:p>
        </w:tc>
        <w:tc>
          <w:tcPr>
            <w:tcW w:type="dxa" w:w="2880"/>
          </w:tcPr>
          <w:p>
            <w:r>
              <w:t>可多条</w:t>
            </w:r>
          </w:p>
        </w:tc>
        <w:tc>
          <w:tcPr>
            <w:tcW w:type="dxa" w:w="2880"/>
          </w:tcPr>
          <w:p>
            <w:r>
              <w:t>西医诊断从单条文本升级为逐条条目（主要诊断+其他诊断/合并症），顺序即主诊断在前的展示序</w:t>
            </w:r>
          </w:p>
        </w:tc>
      </w:tr>
      <w:tr>
        <w:tc>
          <w:tcPr>
            <w:tcW w:type="dxa" w:w="2880"/>
          </w:tcPr>
          <w:p>
            <w:r>
              <w:t>diagnoses[].admission_condition</w:t>
            </w:r>
          </w:p>
        </w:tc>
        <w:tc>
          <w:tcPr>
            <w:tcW w:type="dxa" w:w="2880"/>
          </w:tcPr>
          <w:p>
            <w:r>
              <w:t>新增可选字段</w:t>
            </w:r>
          </w:p>
        </w:tc>
        <w:tc>
          <w:tcPr>
            <w:tcW w:type="dxa" w:w="2880"/>
          </w:tcPr>
          <w:p>
            <w:r>
              <w:t>入院病情（病案首页逐条诊断标志位）：有 / 临床未确定 / 情况不明 / 无；仅住院场景且医生已标注时下发，门急诊缺省</w:t>
            </w:r>
          </w:p>
        </w:tc>
      </w:tr>
    </w:tbl>
    <w:p>
      <w:pPr>
        <w:pStyle w:val="Heading1"/>
      </w:pPr>
      <w:r>
        <w:t>三、示例报文（节选 diagnoses 段）</w:t>
      </w:r>
    </w:p>
    <w:p>
      <w:r>
        <w:t>以下示例与我方回写实现逐字段一致（字段缺省语义仍按 §2.5：缺省=不更新）：</w:t>
      </w:r>
    </w:p>
    <w:p>
      <w:r>
        <w:rPr>
          <w:rFonts w:ascii="Consolas" w:hAnsi="Consolas"/>
          <w:sz w:val="17"/>
        </w:rPr>
        <w:t>{</w:t>
        <w:br/>
        <w:t xml:space="preserve">  "visit_id": "MZ20260821001",</w:t>
        <w:br/>
        <w:t xml:space="preserve">  "record_type": "discharge_record",</w:t>
        <w:br/>
        <w:t xml:space="preserve">  "record_no": "1",</w:t>
        <w:br/>
        <w:t xml:space="preserve">  "is_tcm": true,</w:t>
        <w:br/>
        <w:t xml:space="preserve">  "status": "draft",</w:t>
        <w:br/>
        <w:t xml:space="preserve">  "record": { "...（与 v1.4 一致，略）" : "" },</w:t>
        <w:br/>
        <w:t xml:space="preserve">  "vitals":  { "...（与 v1.4 一致，略）" : "" },</w:t>
        <w:br/>
        <w:t xml:space="preserve">  "diagnoses": [</w:t>
        <w:br/>
        <w:t xml:space="preserve">    {</w:t>
        <w:br/>
        <w:t xml:space="preserve">      "name": "原发性高血压",</w:t>
        <w:br/>
        <w:t xml:space="preserve">      "is_primary": true,</w:t>
        <w:br/>
        <w:t xml:space="preserve">      "category": "western",</w:t>
        <w:br/>
        <w:t xml:space="preserve">      "admission_condition": "有",</w:t>
        <w:br/>
        <w:t xml:space="preserve">      "code": "I10.x09",</w:t>
        <w:br/>
        <w:t xml:space="preserve">      "code_type": "ICD10"</w:t>
        <w:br/>
        <w:t xml:space="preserve">    },</w:t>
        <w:br/>
        <w:t xml:space="preserve">    {</w:t>
        <w:br/>
        <w:t xml:space="preserve">      "name": "2型糖尿病",</w:t>
        <w:br/>
        <w:t xml:space="preserve">      "is_primary": false,</w:t>
        <w:br/>
        <w:t xml:space="preserve">      "category": "western",</w:t>
        <w:br/>
        <w:t xml:space="preserve">      "admission_condition": "临床未确定",</w:t>
        <w:br/>
        <w:t xml:space="preserve">      "code": "E11.900",</w:t>
        <w:br/>
        <w:t xml:space="preserve">      "code_type": "ICD10"</w:t>
        <w:br/>
        <w:t xml:space="preserve">    },</w:t>
        <w:br/>
        <w:t xml:space="preserve">    {</w:t>
        <w:br/>
        <w:t xml:space="preserve">      "name": "眩晕",</w:t>
        <w:br/>
        <w:t xml:space="preserve">      "is_primary": false,</w:t>
        <w:br/>
        <w:t xml:space="preserve">      "category": "tcm_disease",</w:t>
        <w:br/>
        <w:t xml:space="preserve">      "admission_condition": "有",</w:t>
        <w:br/>
        <w:t xml:space="preserve">      "code": "A17.07",</w:t>
        <w:br/>
        <w:t xml:space="preserve">      "code_type": "GB95"</w:t>
        <w:br/>
        <w:t xml:space="preserve">    },</w:t>
        <w:br/>
        <w:t xml:space="preserve">    {</w:t>
        <w:br/>
        <w:t xml:space="preserve">      "name": "肝阳上亢证",</w:t>
        <w:br/>
        <w:t xml:space="preserve">      "is_primary": false,</w:t>
        <w:br/>
        <w:t xml:space="preserve">      "category": "tcm_syndrome",</w:t>
        <w:br/>
        <w:t xml:space="preserve">      "code": "B04.02.01.04.02.01",</w:t>
        <w:br/>
        <w:t xml:space="preserve">      "code_type": "GB95"</w:t>
        <w:br/>
        <w:t xml:space="preserve">    }</w:t>
        <w:br/>
        <w:t xml:space="preserve">  ],</w:t>
        <w:br/>
        <w:t xml:space="preserve">  "meta": { "...（与 v1.4 一致，略）" : "" }</w:t>
        <w:br/>
        <w:t>}</w:t>
      </w:r>
    </w:p>
    <w:p>
      <w:pPr>
        <w:pStyle w:val="Heading1"/>
      </w:pPr>
      <w:r>
        <w:t>四、贵方侧建议（可选，非必须）</w:t>
      </w:r>
    </w:p>
    <w:p>
      <w:r>
        <w:t>1. 如贵方病案首页模块支持按编码落库，可直接采用 code/code_type，免去名称匹配本院诊断库的环节；</w:t>
        <w:br/>
        <w:t>2. admission_condition 可直接映射贵方首页'入院病情'栏；</w:t>
        <w:br/>
        <w:t>3. 以上均为增量利用，不采用亦不影响现有联调口径与流程。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微软雅黑" w:eastAsia="微软雅黑" w:hAnsi="微软雅黑" w:cs="微软雅黑"/>
        <w:sz w:val="21"/>
        <w:szCs w:val="21"/>
        <w:lang w:val="zh-CN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