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5CA48">
      <w:pPr>
        <w:rPr>
          <w:b/>
          <w:bCs/>
          <w:sz w:val="24"/>
          <w:szCs w:val="32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8"/>
          <w:szCs w:val="28"/>
          <w:shd w:val="clear" w:fill="F6F6F6"/>
        </w:rPr>
        <w:t>以下是2025年陕西省初中学业水平考试化学试卷的参考答案及解析：</w:t>
      </w:r>
      <w:r>
        <w:drawing>
          <wp:inline distT="0" distB="0" distL="114300" distR="114300">
            <wp:extent cx="4086225" cy="64008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05225" cy="69627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43450" cy="64198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7E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2025-07-17T04:08:03Z</dcterms:created>
  <dc:creator>Administrator</dc:creator>
  <cp:lastModifiedBy>WPS_1655802232</cp:lastModifiedBy>
  <dcterms:modified xsi:type="dcterms:W3CDTF">2025-07-17T04:09:20Z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eyJoZGlkIjoiMjZkODY0MTgyNGQzM2JiMDI2ZDE0YzQyMjM1YWYxYTkiLCJ1c2VySWQiOiIxMzg2MjQ2MjIzIn0=</vt:lpwstr>
  </property>
  <property fmtid="{D5CDD505-2E9C-101B-9397-08002B2CF9AE}" pid="4" name="ICV">
    <vt:lpwstr>F344E06AA648433FBA16A3E69D089325_12</vt:lpwstr>
  </property>
</Properties>
</file>