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3E48F">
      <w:pPr>
        <w:rPr>
          <w:b/>
          <w:bCs/>
          <w:sz w:val="22"/>
          <w:szCs w:val="28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6F6F6"/>
        </w:rPr>
        <w:t>以下是2025年陕西省初中学业水平考试道德与法治试卷的参考答案及解析：</w:t>
      </w:r>
      <w:r>
        <w:drawing>
          <wp:inline distT="0" distB="0" distL="114300" distR="114300">
            <wp:extent cx="3933825" cy="6734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76675" cy="69246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57625" cy="60483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24400" cy="24669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9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2025-07-17T04:21:08Z</dcterms:created>
  <dc:creator>Administrator</dc:creator>
  <cp:lastModifiedBy>WPS_1655802232</cp:lastModifiedBy>
  <dcterms:modified xsi:type="dcterms:W3CDTF">2025-07-17T04:22:41Z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eyJoZGlkIjoiMjZkODY0MTgyNGQzM2JiMDI2ZDE0YzQyMjM1YWYxYTkiLCJ1c2VySWQiOiIxMzg2MjQ2MjIzIn0=</vt:lpwstr>
  </property>
  <property fmtid="{D5CDD505-2E9C-101B-9397-08002B2CF9AE}" pid="4" name="ICV">
    <vt:lpwstr>9C009618642B41949C59C3AE7377BFAA_12</vt:lpwstr>
  </property>
</Properties>
</file>