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FE505" w14:textId="77777777" w:rsidR="00334F27" w:rsidRDefault="00334F27" w:rsidP="00334F27">
      <w:r w:rsidRPr="00334F27">
        <w:rPr>
          <w:b/>
          <w:bCs/>
        </w:rPr>
        <w:t>INTERNAL ENGINEERING MEMO</w:t>
      </w:r>
    </w:p>
    <w:p w14:paraId="093AE945" w14:textId="0AC1AAE4" w:rsidR="00334F27" w:rsidRPr="00334F27" w:rsidRDefault="00334F27" w:rsidP="00334F27">
      <w:proofErr w:type="spellStart"/>
      <w:r w:rsidRPr="00334F27">
        <w:t>Zhixian</w:t>
      </w:r>
      <w:proofErr w:type="spellEnd"/>
      <w:r w:rsidRPr="00334F27">
        <w:t xml:space="preserve"> Zuo — Hardware Engineering Intern</w:t>
      </w:r>
    </w:p>
    <w:p w14:paraId="700BF2A4" w14:textId="77777777" w:rsidR="00334F27" w:rsidRPr="00334F27" w:rsidRDefault="00334F27" w:rsidP="00334F27">
      <w:r w:rsidRPr="00334F27">
        <w:rPr>
          <w:b/>
          <w:bCs/>
        </w:rPr>
        <w:t>SUBJECT:</w:t>
      </w:r>
      <w:r w:rsidRPr="00334F27">
        <w:t xml:space="preserve"> MCU Selection Recommendation for Motor Control Subsystems (Aido Rover vs. Aido Humanoid)</w:t>
      </w:r>
    </w:p>
    <w:p w14:paraId="1568838E" w14:textId="77777777" w:rsidR="00334F27" w:rsidRPr="00334F27" w:rsidRDefault="00334F27" w:rsidP="00334F27">
      <w:pPr>
        <w:rPr>
          <w:b/>
          <w:bCs/>
        </w:rPr>
      </w:pPr>
      <w:r w:rsidRPr="00334F27">
        <w:rPr>
          <w:b/>
          <w:bCs/>
        </w:rPr>
        <w:t>1. MCU Recommendation for Aido Rover Wheel Motor Controller</w:t>
      </w:r>
    </w:p>
    <w:p w14:paraId="658B895E" w14:textId="77777777" w:rsidR="00334F27" w:rsidRPr="00334F27" w:rsidRDefault="00334F27" w:rsidP="00334F27">
      <w:r w:rsidRPr="00334F27">
        <w:t xml:space="preserve">For the Aido Rover's drive system, which operates on a first-order DC motor physical model utilizing closed-loop velocity control, I recommend the </w:t>
      </w:r>
      <w:proofErr w:type="spellStart"/>
      <w:r w:rsidRPr="00334F27">
        <w:rPr>
          <w:b/>
          <w:bCs/>
        </w:rPr>
        <w:t>Espressif</w:t>
      </w:r>
      <w:proofErr w:type="spellEnd"/>
      <w:r w:rsidRPr="00334F27">
        <w:rPr>
          <w:b/>
          <w:bCs/>
        </w:rPr>
        <w:t xml:space="preserve"> ESP32-S3</w:t>
      </w:r>
      <w:r w:rsidRPr="00334F27">
        <w:t xml:space="preserve"> as the primary motor controller.</w:t>
      </w:r>
    </w:p>
    <w:p w14:paraId="3521D07D" w14:textId="77777777" w:rsidR="00334F27" w:rsidRPr="00334F27" w:rsidRDefault="00334F27" w:rsidP="00334F27">
      <w:r w:rsidRPr="00334F27">
        <w:rPr>
          <w:b/>
          <w:bCs/>
        </w:rPr>
        <w:t>Key Technical Justifications:</w:t>
      </w:r>
    </w:p>
    <w:p w14:paraId="6D48101E" w14:textId="77777777" w:rsidR="00334F27" w:rsidRPr="00334F27" w:rsidRDefault="00334F27" w:rsidP="00334F27">
      <w:pPr>
        <w:numPr>
          <w:ilvl w:val="0"/>
          <w:numId w:val="1"/>
        </w:numPr>
      </w:pPr>
      <w:r w:rsidRPr="00334F27">
        <w:rPr>
          <w:b/>
          <w:bCs/>
        </w:rPr>
        <w:t>Adequate Soft Real-Time Performance:</w:t>
      </w:r>
      <w:r w:rsidRPr="00334F27">
        <w:t xml:space="preserve"> Although the ESP32-S3 operates under </w:t>
      </w:r>
      <w:proofErr w:type="spellStart"/>
      <w:r w:rsidRPr="00334F27">
        <w:t>FreeRTOS</w:t>
      </w:r>
      <w:proofErr w:type="spellEnd"/>
      <w:r w:rsidRPr="00334F27">
        <w:t xml:space="preserve"> with microsecond-level interrupt latency (~1-2 </w:t>
      </w:r>
      <w:proofErr w:type="spellStart"/>
      <w:r w:rsidRPr="00334F27">
        <w:t>μs</w:t>
      </w:r>
      <w:proofErr w:type="spellEnd"/>
      <w:r w:rsidRPr="00334F27">
        <w:t xml:space="preserve">), our PI velocity controller simulations confirm that its computational bandwidth is more than sufficient for a DC motor's 100 Hz to 1 kHz control loop. Step response testing demonstrates rapid convergence with zero steady-state </w:t>
      </w:r>
      <w:proofErr w:type="gramStart"/>
      <w:r w:rsidRPr="00334F27">
        <w:t>error</w:t>
      </w:r>
      <w:proofErr w:type="gramEnd"/>
      <w:r w:rsidRPr="00334F27">
        <w:t>.</w:t>
      </w:r>
    </w:p>
    <w:p w14:paraId="009F3E65" w14:textId="77777777" w:rsidR="00334F27" w:rsidRPr="00334F27" w:rsidRDefault="00334F27" w:rsidP="00334F27">
      <w:pPr>
        <w:numPr>
          <w:ilvl w:val="0"/>
          <w:numId w:val="1"/>
        </w:numPr>
      </w:pPr>
      <w:r w:rsidRPr="00334F27">
        <w:rPr>
          <w:b/>
          <w:bCs/>
        </w:rPr>
        <w:t>Native Telemetry &amp; Wireless Integration:</w:t>
      </w:r>
      <w:r w:rsidRPr="00334F27">
        <w:t xml:space="preserve"> As an outdoor patrol platform, the Aido Rover must continuously transmit low-level hardware status to the central compute module or cloud. The ESP32-S3's native Wi-Fi and BLE 5.0 </w:t>
      </w:r>
      <w:proofErr w:type="gramStart"/>
      <w:r w:rsidRPr="00334F27">
        <w:t>enable</w:t>
      </w:r>
      <w:proofErr w:type="gramEnd"/>
      <w:r w:rsidRPr="00334F27">
        <w:t xml:space="preserve"> a highly efficient dual-core strategy: Core 0 is dedicated to motor PI control and MCPWM signal generation, while Core 1 handles wireless telemetry and micro-ROS message passing. This significantly simplifies peripheral circuit design.</w:t>
      </w:r>
    </w:p>
    <w:p w14:paraId="782966F4" w14:textId="77777777" w:rsidR="00334F27" w:rsidRPr="00334F27" w:rsidRDefault="00334F27" w:rsidP="00334F27">
      <w:pPr>
        <w:numPr>
          <w:ilvl w:val="0"/>
          <w:numId w:val="1"/>
        </w:numPr>
      </w:pPr>
      <w:r w:rsidRPr="00334F27">
        <w:rPr>
          <w:b/>
          <w:bCs/>
        </w:rPr>
        <w:t>Cost &amp; Supply Chain Efficiency:</w:t>
      </w:r>
      <w:r w:rsidRPr="00334F27">
        <w:t xml:space="preserve"> Compared to high-compute MCUs with complex networking peripherals (e.g., NXP i.MX RT) or setups requiring external network interface controllers, the ESP32-S3 provides the most optimal balance of processing power, native connectivity, and unit cost.</w:t>
      </w:r>
    </w:p>
    <w:p w14:paraId="675F9CAB" w14:textId="77777777" w:rsidR="00334F27" w:rsidRPr="00334F27" w:rsidRDefault="00334F27" w:rsidP="00334F27">
      <w:pPr>
        <w:rPr>
          <w:b/>
          <w:bCs/>
        </w:rPr>
      </w:pPr>
      <w:r w:rsidRPr="00334F27">
        <w:rPr>
          <w:b/>
          <w:bCs/>
        </w:rPr>
        <w:t xml:space="preserve">2. Architecture Transition for Aido Humanoid Joint Drive (STM32G4 + </w:t>
      </w:r>
      <w:proofErr w:type="spellStart"/>
      <w:r w:rsidRPr="00334F27">
        <w:rPr>
          <w:b/>
          <w:bCs/>
        </w:rPr>
        <w:t>SimpleFOC</w:t>
      </w:r>
      <w:proofErr w:type="spellEnd"/>
      <w:r w:rsidRPr="00334F27">
        <w:rPr>
          <w:b/>
          <w:bCs/>
        </w:rPr>
        <w:t>)</w:t>
      </w:r>
    </w:p>
    <w:p w14:paraId="5A0A456E" w14:textId="77777777" w:rsidR="00334F27" w:rsidRPr="00334F27" w:rsidRDefault="00334F27" w:rsidP="00334F27">
      <w:r w:rsidRPr="00334F27">
        <w:t xml:space="preserve">Transitioning the control target from the Aido Rover's standard wheel motors to the Aido Humanoid's precision bionic joints (typically employing BLDC or PMSM motors) requires upgrading the underlying control logic from simple PI velocity tracking to high-frequency </w:t>
      </w:r>
      <w:r w:rsidRPr="00334F27">
        <w:rPr>
          <w:b/>
          <w:bCs/>
        </w:rPr>
        <w:t>Field-Oriented Control (FOC)</w:t>
      </w:r>
      <w:r w:rsidRPr="00334F27">
        <w:t>.</w:t>
      </w:r>
    </w:p>
    <w:p w14:paraId="571669B9" w14:textId="77777777" w:rsidR="00334F27" w:rsidRPr="00334F27" w:rsidRDefault="00334F27" w:rsidP="00334F27">
      <w:r w:rsidRPr="00334F27">
        <w:t xml:space="preserve">In this scenario, the ESP32-S3 is no longer sufficient. The system must pivot to </w:t>
      </w:r>
      <w:proofErr w:type="gramStart"/>
      <w:r w:rsidRPr="00334F27">
        <w:t>a hard</w:t>
      </w:r>
      <w:proofErr w:type="gramEnd"/>
      <w:r w:rsidRPr="00334F27">
        <w:t xml:space="preserve"> real-time control architecture, specifically the </w:t>
      </w:r>
      <w:r w:rsidRPr="00334F27">
        <w:rPr>
          <w:b/>
          <w:bCs/>
        </w:rPr>
        <w:t>STMicroelectronics STM32G4 series</w:t>
      </w:r>
      <w:r w:rsidRPr="00334F27">
        <w:t>.</w:t>
      </w:r>
    </w:p>
    <w:p w14:paraId="11E2B31B" w14:textId="77777777" w:rsidR="00334F27" w:rsidRPr="00334F27" w:rsidRDefault="00334F27" w:rsidP="00334F27">
      <w:r w:rsidRPr="00334F27">
        <w:rPr>
          <w:b/>
          <w:bCs/>
        </w:rPr>
        <w:t xml:space="preserve">Technical Necessity for </w:t>
      </w:r>
      <w:proofErr w:type="gramStart"/>
      <w:r w:rsidRPr="00334F27">
        <w:rPr>
          <w:b/>
          <w:bCs/>
        </w:rPr>
        <w:t>the Architecture</w:t>
      </w:r>
      <w:proofErr w:type="gramEnd"/>
      <w:r w:rsidRPr="00334F27">
        <w:rPr>
          <w:b/>
          <w:bCs/>
        </w:rPr>
        <w:t xml:space="preserve"> Change:</w:t>
      </w:r>
    </w:p>
    <w:p w14:paraId="40FDBE91" w14:textId="77777777" w:rsidR="00334F27" w:rsidRPr="00334F27" w:rsidRDefault="00334F27" w:rsidP="00334F27">
      <w:pPr>
        <w:numPr>
          <w:ilvl w:val="0"/>
          <w:numId w:val="2"/>
        </w:numPr>
      </w:pPr>
      <w:r w:rsidRPr="00334F27">
        <w:rPr>
          <w:b/>
          <w:bCs/>
        </w:rPr>
        <w:lastRenderedPageBreak/>
        <w:t>Hardware Math Accelerators:</w:t>
      </w:r>
      <w:r w:rsidRPr="00334F27">
        <w:t xml:space="preserve"> FOC algorithms require demanding floating-point matrix transformations (e.g., Park and Clarke transforms) within extremely tight control cycles (often &gt;20 kHz). The STM32G4 features a dedicated hardware Floating-Point Unit (FPU) alongside a CORDIC math coprocessor specifically designed for ultra-fast trigonometric calculations, providing the foundational </w:t>
      </w:r>
      <w:proofErr w:type="gramStart"/>
      <w:r w:rsidRPr="00334F27">
        <w:t>compute</w:t>
      </w:r>
      <w:proofErr w:type="gramEnd"/>
      <w:r w:rsidRPr="00334F27">
        <w:t xml:space="preserve"> required for smooth multi-axis motion.</w:t>
      </w:r>
    </w:p>
    <w:p w14:paraId="61849D83" w14:textId="77777777" w:rsidR="00334F27" w:rsidRPr="00334F27" w:rsidRDefault="00334F27" w:rsidP="00334F27">
      <w:pPr>
        <w:numPr>
          <w:ilvl w:val="0"/>
          <w:numId w:val="2"/>
        </w:numPr>
      </w:pPr>
      <w:r w:rsidRPr="00334F27">
        <w:rPr>
          <w:b/>
          <w:bCs/>
        </w:rPr>
        <w:t>Zero-Latency ADC-PWM Synchronization:</w:t>
      </w:r>
      <w:r w:rsidRPr="00334F27">
        <w:t xml:space="preserve"> Highly efficient FOC relies on precise phase current sampling. The STM32G4's advanced-control timers can trigger </w:t>
      </w:r>
      <w:proofErr w:type="gramStart"/>
      <w:r w:rsidRPr="00334F27">
        <w:t>its dual</w:t>
      </w:r>
      <w:proofErr w:type="gramEnd"/>
      <w:r w:rsidRPr="00334F27">
        <w:t xml:space="preserve"> ADCs (up to 4 </w:t>
      </w:r>
      <w:proofErr w:type="spellStart"/>
      <w:r w:rsidRPr="00334F27">
        <w:t>Msps</w:t>
      </w:r>
      <w:proofErr w:type="spellEnd"/>
      <w:r w:rsidRPr="00334F27">
        <w:t>) precisely at specific PWM cycle points entirely via hardware, bypassing CPU intervention. This nanosecond-level determinism cannot be reliably achieved on general-purpose IoT microcontrollers.</w:t>
      </w:r>
    </w:p>
    <w:p w14:paraId="379B8674" w14:textId="77777777" w:rsidR="00334F27" w:rsidRPr="00334F27" w:rsidRDefault="00334F27" w:rsidP="00334F27">
      <w:pPr>
        <w:numPr>
          <w:ilvl w:val="0"/>
          <w:numId w:val="2"/>
        </w:numPr>
      </w:pPr>
      <w:r w:rsidRPr="00334F27">
        <w:rPr>
          <w:b/>
          <w:bCs/>
        </w:rPr>
        <w:t>Deterministic Interrupts &amp; Functional Safety Potential:</w:t>
      </w:r>
      <w:r w:rsidRPr="00334F27">
        <w:t xml:space="preserve"> The dynamic balance of a humanoid robot is highly sensitive and cannot tolerate the </w:t>
      </w:r>
      <w:proofErr w:type="gramStart"/>
      <w:r w:rsidRPr="00334F27">
        <w:t>interrupt</w:t>
      </w:r>
      <w:proofErr w:type="gramEnd"/>
      <w:r w:rsidRPr="00334F27">
        <w:t xml:space="preserve"> jitter inherent to an RTOS. Built on the Cortex-M4 architecture with a Nested Vectored Interrupt Controller (NVIC), the STM32G4 provides absolute, clock-cycle-level deterministic latency (~12 cycles).</w:t>
      </w:r>
    </w:p>
    <w:p w14:paraId="6481DE24" w14:textId="77777777" w:rsidR="00334F27" w:rsidRPr="00334F27" w:rsidRDefault="00334F27" w:rsidP="00334F27">
      <w:r w:rsidRPr="00334F27">
        <w:rPr>
          <w:b/>
          <w:bCs/>
        </w:rPr>
        <w:t>Open-Source Ecosystem Synergy:</w:t>
      </w:r>
    </w:p>
    <w:p w14:paraId="6533E849" w14:textId="77777777" w:rsidR="00334F27" w:rsidRPr="00334F27" w:rsidRDefault="00334F27" w:rsidP="00334F27">
      <w:r w:rsidRPr="00334F27">
        <w:t xml:space="preserve">Currently, the combination of the </w:t>
      </w:r>
      <w:r w:rsidRPr="00334F27">
        <w:rPr>
          <w:b/>
          <w:bCs/>
        </w:rPr>
        <w:t xml:space="preserve">STM32G4 and the </w:t>
      </w:r>
      <w:proofErr w:type="spellStart"/>
      <w:r w:rsidRPr="00334F27">
        <w:rPr>
          <w:b/>
          <w:bCs/>
        </w:rPr>
        <w:t>SimpleFOC</w:t>
      </w:r>
      <w:proofErr w:type="spellEnd"/>
      <w:r w:rsidRPr="00334F27">
        <w:rPr>
          <w:b/>
          <w:bCs/>
        </w:rPr>
        <w:t xml:space="preserve"> stack</w:t>
      </w:r>
      <w:r w:rsidRPr="00334F27">
        <w:t xml:space="preserve"> is the industry-standard reference design in the public domain for low-cost robotic arms and legged robots. Adopting this stack will drastically shorten the development cycle for the Aido Humanoid joint drivers. It allows us to leverage extensively tested, open-source closed-loop current control algorithms while retaining ample hardware headroom for future impedance control or torque-sensing upgrades.</w:t>
      </w:r>
    </w:p>
    <w:p w14:paraId="209036A4" w14:textId="77777777" w:rsidR="0006340D" w:rsidRDefault="0006340D"/>
    <w:sectPr w:rsidR="0006340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B7E0B"/>
    <w:multiLevelType w:val="multilevel"/>
    <w:tmpl w:val="9A96F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EB6AF6"/>
    <w:multiLevelType w:val="multilevel"/>
    <w:tmpl w:val="5C2A3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0644591">
    <w:abstractNumId w:val="1"/>
  </w:num>
  <w:num w:numId="2" w16cid:durableId="12128834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F27"/>
    <w:rsid w:val="0006340D"/>
    <w:rsid w:val="00334F27"/>
    <w:rsid w:val="009D1DF5"/>
    <w:rsid w:val="00C973C2"/>
    <w:rsid w:val="00D630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5172E"/>
  <w15:chartTrackingRefBased/>
  <w15:docId w15:val="{A626F7AA-D548-4F41-9BAB-A584E8EB7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34F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34F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34F2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34F2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34F2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34F2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34F2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34F2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34F2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34F27"/>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334F27"/>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334F27"/>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334F27"/>
    <w:rPr>
      <w:rFonts w:eastAsiaTheme="majorEastAsia" w:cstheme="majorBidi"/>
      <w:i/>
      <w:iCs/>
      <w:color w:val="0F4761" w:themeColor="accent1" w:themeShade="BF"/>
    </w:rPr>
  </w:style>
  <w:style w:type="character" w:customStyle="1" w:styleId="50">
    <w:name w:val="标题 5 字符"/>
    <w:basedOn w:val="a0"/>
    <w:link w:val="5"/>
    <w:uiPriority w:val="9"/>
    <w:semiHidden/>
    <w:rsid w:val="00334F27"/>
    <w:rPr>
      <w:rFonts w:eastAsiaTheme="majorEastAsia" w:cstheme="majorBidi"/>
      <w:color w:val="0F4761" w:themeColor="accent1" w:themeShade="BF"/>
    </w:rPr>
  </w:style>
  <w:style w:type="character" w:customStyle="1" w:styleId="60">
    <w:name w:val="标题 6 字符"/>
    <w:basedOn w:val="a0"/>
    <w:link w:val="6"/>
    <w:uiPriority w:val="9"/>
    <w:semiHidden/>
    <w:rsid w:val="00334F27"/>
    <w:rPr>
      <w:rFonts w:eastAsiaTheme="majorEastAsia" w:cstheme="majorBidi"/>
      <w:i/>
      <w:iCs/>
      <w:color w:val="595959" w:themeColor="text1" w:themeTint="A6"/>
    </w:rPr>
  </w:style>
  <w:style w:type="character" w:customStyle="1" w:styleId="70">
    <w:name w:val="标题 7 字符"/>
    <w:basedOn w:val="a0"/>
    <w:link w:val="7"/>
    <w:uiPriority w:val="9"/>
    <w:semiHidden/>
    <w:rsid w:val="00334F27"/>
    <w:rPr>
      <w:rFonts w:eastAsiaTheme="majorEastAsia" w:cstheme="majorBidi"/>
      <w:color w:val="595959" w:themeColor="text1" w:themeTint="A6"/>
    </w:rPr>
  </w:style>
  <w:style w:type="character" w:customStyle="1" w:styleId="80">
    <w:name w:val="标题 8 字符"/>
    <w:basedOn w:val="a0"/>
    <w:link w:val="8"/>
    <w:uiPriority w:val="9"/>
    <w:semiHidden/>
    <w:rsid w:val="00334F27"/>
    <w:rPr>
      <w:rFonts w:eastAsiaTheme="majorEastAsia" w:cstheme="majorBidi"/>
      <w:i/>
      <w:iCs/>
      <w:color w:val="272727" w:themeColor="text1" w:themeTint="D8"/>
    </w:rPr>
  </w:style>
  <w:style w:type="character" w:customStyle="1" w:styleId="90">
    <w:name w:val="标题 9 字符"/>
    <w:basedOn w:val="a0"/>
    <w:link w:val="9"/>
    <w:uiPriority w:val="9"/>
    <w:semiHidden/>
    <w:rsid w:val="00334F27"/>
    <w:rPr>
      <w:rFonts w:eastAsiaTheme="majorEastAsia" w:cstheme="majorBidi"/>
      <w:color w:val="272727" w:themeColor="text1" w:themeTint="D8"/>
    </w:rPr>
  </w:style>
  <w:style w:type="paragraph" w:styleId="a3">
    <w:name w:val="Title"/>
    <w:basedOn w:val="a"/>
    <w:next w:val="a"/>
    <w:link w:val="a4"/>
    <w:uiPriority w:val="10"/>
    <w:qFormat/>
    <w:rsid w:val="00334F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34F2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34F27"/>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334F2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334F27"/>
    <w:pPr>
      <w:spacing w:before="160"/>
      <w:jc w:val="center"/>
    </w:pPr>
    <w:rPr>
      <w:i/>
      <w:iCs/>
      <w:color w:val="404040" w:themeColor="text1" w:themeTint="BF"/>
    </w:rPr>
  </w:style>
  <w:style w:type="character" w:customStyle="1" w:styleId="a8">
    <w:name w:val="引用 字符"/>
    <w:basedOn w:val="a0"/>
    <w:link w:val="a7"/>
    <w:uiPriority w:val="29"/>
    <w:rsid w:val="00334F27"/>
    <w:rPr>
      <w:i/>
      <w:iCs/>
      <w:color w:val="404040" w:themeColor="text1" w:themeTint="BF"/>
    </w:rPr>
  </w:style>
  <w:style w:type="paragraph" w:styleId="a9">
    <w:name w:val="List Paragraph"/>
    <w:basedOn w:val="a"/>
    <w:uiPriority w:val="34"/>
    <w:qFormat/>
    <w:rsid w:val="00334F27"/>
    <w:pPr>
      <w:ind w:left="720"/>
      <w:contextualSpacing/>
    </w:pPr>
  </w:style>
  <w:style w:type="character" w:styleId="aa">
    <w:name w:val="Intense Emphasis"/>
    <w:basedOn w:val="a0"/>
    <w:uiPriority w:val="21"/>
    <w:qFormat/>
    <w:rsid w:val="00334F27"/>
    <w:rPr>
      <w:i/>
      <w:iCs/>
      <w:color w:val="0F4761" w:themeColor="accent1" w:themeShade="BF"/>
    </w:rPr>
  </w:style>
  <w:style w:type="paragraph" w:styleId="ab">
    <w:name w:val="Intense Quote"/>
    <w:basedOn w:val="a"/>
    <w:next w:val="a"/>
    <w:link w:val="ac"/>
    <w:uiPriority w:val="30"/>
    <w:qFormat/>
    <w:rsid w:val="00334F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34F27"/>
    <w:rPr>
      <w:i/>
      <w:iCs/>
      <w:color w:val="0F4761" w:themeColor="accent1" w:themeShade="BF"/>
    </w:rPr>
  </w:style>
  <w:style w:type="character" w:styleId="ad">
    <w:name w:val="Intense Reference"/>
    <w:basedOn w:val="a0"/>
    <w:uiPriority w:val="32"/>
    <w:qFormat/>
    <w:rsid w:val="00334F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570</Words>
  <Characters>3253</Characters>
  <Application>Microsoft Office Word</Application>
  <DocSecurity>0</DocSecurity>
  <Lines>27</Lines>
  <Paragraphs>7</Paragraphs>
  <ScaleCrop>false</ScaleCrop>
  <Company/>
  <LinksUpToDate>false</LinksUpToDate>
  <CharactersWithSpaces>3816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ZHIXIAN ZUO</dc:creator>
  <cp:keywords/>
  <dc:description/>
  <cp:lastModifiedBy>ZHIXIAN ZUO</cp:lastModifiedBy>
  <cp:revision>1</cp:revision>
  <dcterms:created xsi:type="dcterms:W3CDTF">2026-06-24T07:15:00Z</dcterms:created>
  <dcterms:modified xsi:type="dcterms:W3CDTF">2026-06-24T07:16:00Z</dcterms:modified>
</cp:coreProperties>
</file>