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1-post-annotation-guide"/>
    <w:p>
      <w:pPr>
        <w:pStyle w:val="Heading1"/>
      </w:pPr>
      <w:r>
        <w:t xml:space="preserve">D1 Post — Annotation Guide</w:t>
      </w:r>
    </w:p>
    <w:p>
      <w:pPr>
        <w:pStyle w:val="FirstParagraph"/>
      </w:pPr>
      <w:r>
        <w:t xml:space="preserve">This maps each part of</w:t>
      </w:r>
      <w:r>
        <w:t xml:space="preserve"> </w:t>
      </w:r>
      <w:r>
        <w:rPr>
          <w:rStyle w:val="VerbatimChar"/>
        </w:rPr>
        <w:t xml:space="preserve">d1_final_post.md</w:t>
      </w:r>
      <w:r>
        <w:t xml:space="preserve"> </w:t>
      </w:r>
      <w:r>
        <w:t xml:space="preserve">to the annotation labels used in the approved example (the right-hand notes: Topic Statement, SDG Involved, Brief Summary, Who is Impacted, Data Evidence, Who Can Help, Evidence for CtA, CtA, Clear Incentive). Use it to see how the post satisfies each required element.</w:t>
      </w:r>
    </w:p>
    <w:p>
      <w:r>
        <w:pict>
          <v:rect style="width:0;height:1.5pt" o:hralign="center" o:hrstd="t" o:hr="t"/>
        </w:pict>
      </w:r>
    </w:p>
    <w:bookmarkStart w:id="9" w:name="topic-statement"/>
    <w:p>
      <w:pPr>
        <w:pStyle w:val="Heading3"/>
      </w:pPr>
      <w:r>
        <w:t xml:space="preserve">Topic Statement</w:t>
      </w:r>
    </w:p>
    <w:p>
      <w:pPr>
        <w:pStyle w:val="FirstParagraph"/>
      </w:pPr>
      <w:r>
        <w:rPr>
          <w:b/>
          <w:bCs/>
        </w:rPr>
        <w:t xml:space="preserve">In the post — the title:</w:t>
      </w:r>
      <w:r>
        <w:t xml:space="preserve"> </w:t>
      </w:r>
      <w:r>
        <w:t xml:space="preserve">“Making Public EV Charging Geographically Fair Across Greater Sydney to Advance SDG 11.2.”</w:t>
      </w:r>
      <w:r>
        <w:t xml:space="preserve"> </w:t>
      </w:r>
      <w:r>
        <w:t xml:space="preserve">Names the single issue (fair access to public EV charging) and the exact place (Greater Sydney), so the reader knows the topic in one line.</w:t>
      </w:r>
    </w:p>
    <w:bookmarkEnd w:id="9"/>
    <w:bookmarkStart w:id="10" w:name="sdg-involved"/>
    <w:p>
      <w:pPr>
        <w:pStyle w:val="Heading3"/>
      </w:pPr>
      <w:r>
        <w:t xml:space="preserve">SDG Involved</w:t>
      </w:r>
    </w:p>
    <w:p>
      <w:pPr>
        <w:pStyle w:val="FirstParagraph"/>
      </w:pPr>
      <w:r>
        <w:rPr>
          <w:b/>
          <w:bCs/>
        </w:rPr>
        <w:t xml:space="preserve">In the post — para 1:</w:t>
      </w:r>
      <w:r>
        <w:t xml:space="preserve"> </w:t>
      </w:r>
      <w:r>
        <w:rPr>
          <w:i/>
          <w:iCs/>
        </w:rPr>
        <w:t xml:space="preserve">“SDG 11.2 calls for</w:t>
      </w:r>
      <w:r>
        <w:rPr>
          <w:i/>
          <w:iCs/>
        </w:rPr>
        <w:t xml:space="preserve"> </w:t>
      </w:r>
      <w:r>
        <w:rPr>
          <w:i/>
          <w:iCs/>
        </w:rPr>
        <w:t xml:space="preserve">‘access to safe, affordable, accessible and sustainable transport systems for all’</w:t>
      </w:r>
      <w:r>
        <w:rPr>
          <w:i/>
          <w:iCs/>
        </w:rPr>
        <w:t xml:space="preserve">; because a public charger is what makes the EV — a clean transport mode — genuinely usable for drivers who cannot charge at home, fair access to charging sits squarely inside this target.”</w:t>
      </w:r>
      <w:r>
        <w:t xml:space="preserve"> </w:t>
      </w:r>
      <w:r>
        <w:t xml:space="preserve">States the SDG and, in the same sentence, justifies why a charger fits Target 11.2 (it is the infrastructure that makes a sustainable transport mode usable), pre-empting the</w:t>
      </w:r>
      <w:r>
        <w:t xml:space="preserve"> </w:t>
      </w:r>
      <w:r>
        <w:t xml:space="preserve">“11.2 is only mass transit”</w:t>
      </w:r>
      <w:r>
        <w:t xml:space="preserve"> </w:t>
      </w:r>
      <w:r>
        <w:t xml:space="preserve">objection.</w:t>
      </w:r>
    </w:p>
    <w:bookmarkEnd w:id="10"/>
    <w:bookmarkStart w:id="11" w:name="brief-summary-of-the-issue"/>
    <w:p>
      <w:pPr>
        <w:pStyle w:val="Heading3"/>
      </w:pPr>
      <w:r>
        <w:t xml:space="preserve">Brief Summary of the Issue</w:t>
      </w:r>
    </w:p>
    <w:p>
      <w:pPr>
        <w:pStyle w:val="FirstParagraph"/>
      </w:pPr>
      <w:r>
        <w:rPr>
          <w:b/>
          <w:bCs/>
        </w:rPr>
        <w:t xml:space="preserve">In the post — para 1:</w:t>
      </w:r>
      <w:r>
        <w:t xml:space="preserve"> </w:t>
      </w:r>
      <w:r>
        <w:rPr>
          <w:i/>
          <w:iCs/>
        </w:rPr>
        <w:t xml:space="preserve">“EV uptake in NSW is real and accelerating … As demand grows, whether residents can actually charge determines whether they will switch, yet access is not distributed fairly.”</w:t>
      </w:r>
      <w:r>
        <w:t xml:space="preserve"> </w:t>
      </w:r>
      <w:r>
        <w:t xml:space="preserve">Frames the problem in two beats: demand is rising fast, yet access to charging is unequal — the tension the whole post resolves.</w:t>
      </w:r>
    </w:p>
    <w:bookmarkEnd w:id="11"/>
    <w:bookmarkStart w:id="12" w:name="who-is-impacted-how"/>
    <w:p>
      <w:pPr>
        <w:pStyle w:val="Heading3"/>
      </w:pPr>
      <w:r>
        <w:t xml:space="preserve">Who is Impacted &amp; How</w:t>
      </w:r>
    </w:p>
    <w:p>
      <w:pPr>
        <w:pStyle w:val="FirstParagraph"/>
      </w:pPr>
      <w:r>
        <w:rPr>
          <w:b/>
          <w:bCs/>
        </w:rPr>
        <w:t xml:space="preserve">In the post — para 2:</w:t>
      </w:r>
      <w:r>
        <w:t xml:space="preserve"> </w:t>
      </w:r>
      <w:r>
        <w:rPr>
          <w:i/>
          <w:iCs/>
        </w:rPr>
        <w:t xml:space="preserve">“These outer-suburban communities have the most apartments and least private off-street parking, so residents are least able to charge at home yet least served by public chargers.”</w:t>
      </w:r>
      <w:r>
        <w:t xml:space="preserve"> </w:t>
      </w:r>
      <w:r>
        <w:t xml:space="preserve">Identifies the affected group (high-population, apartment-heavy outer-suburban LGAs) and the harm (they depend most on public charging but get the least, so switching to an EV is hardest for them).</w:t>
      </w:r>
    </w:p>
    <w:bookmarkEnd w:id="12"/>
    <w:bookmarkStart w:id="13" w:name="data-evidence"/>
    <w:p>
      <w:pPr>
        <w:pStyle w:val="Heading3"/>
      </w:pPr>
      <w:r>
        <w:t xml:space="preserve">Data Evidence</w:t>
      </w:r>
    </w:p>
    <w:p>
      <w:pPr>
        <w:pStyle w:val="FirstParagraph"/>
      </w:pPr>
      <w:r>
        <w:rPr>
          <w:b/>
          <w:bCs/>
        </w:rPr>
        <w:t xml:space="preserve">In the post — para 1 and para 2:</w:t>
      </w:r>
      <w:r>
        <w:t xml:space="preserve"> </w:t>
      </w:r>
      <w:r>
        <w:t xml:space="preserve">the ownership/purchase figures —</w:t>
      </w:r>
      <w:r>
        <w:t xml:space="preserve"> </w:t>
      </w:r>
      <w:r>
        <w:rPr>
          <w:i/>
          <w:iCs/>
        </w:rPr>
        <w:t xml:space="preserve">52,572 registered EVs (7.5× the 6,160 in 2021); 9.5% of new-car sales (~28,200 in 2024)</w:t>
      </w:r>
      <w:r>
        <w:t xml:space="preserve"> </w:t>
      </w:r>
      <w:r>
        <w:t xml:space="preserve">— plus the access gap —</w:t>
      </w:r>
      <w:r>
        <w:t xml:space="preserve"> </w:t>
      </w:r>
      <w:r>
        <w:rPr>
          <w:i/>
          <w:iCs/>
        </w:rPr>
        <w:t xml:space="preserve">public plugs per 10,000 residents vary ~20-fold: Woollahra 16.5 vs a Greater Sydney average of 4.0; Cumberland 0.7, Fairfield 0.9, Canterbury-Bankstown 1.5.</w:t>
      </w:r>
      <w:r>
        <w:t xml:space="preserve"> </w:t>
      </w:r>
      <w:r>
        <w:t xml:space="preserve">Every claim is a number from a named source (BITRE / State of Environment, EV Council / VFACTS, Transport for NSW, ABS), so the argument is evidenced, not asserted.</w:t>
      </w:r>
    </w:p>
    <w:bookmarkEnd w:id="13"/>
    <w:bookmarkStart w:id="14" w:name="who-can-help"/>
    <w:p>
      <w:pPr>
        <w:pStyle w:val="Heading3"/>
      </w:pPr>
      <w:r>
        <w:t xml:space="preserve">Who Can Help</w:t>
      </w:r>
    </w:p>
    <w:p>
      <w:pPr>
        <w:pStyle w:val="FirstParagraph"/>
      </w:pPr>
      <w:r>
        <w:rPr>
          <w:b/>
          <w:bCs/>
        </w:rPr>
        <w:t xml:space="preserve">In the post — para 2:</w:t>
      </w:r>
      <w:r>
        <w:t xml:space="preserve"> </w:t>
      </w:r>
      <w:r>
        <w:rPr>
          <w:i/>
          <w:iCs/>
        </w:rPr>
        <w:t xml:space="preserve">“The NSW DCCEEW EV public-charging grant team, which sets the grant funding rules, is the body that can directly correct this.”</w:t>
      </w:r>
      <w:r>
        <w:t xml:space="preserve"> </w:t>
      </w:r>
      <w:r>
        <w:t xml:space="preserve">Names one specific decision-maker who controls the exact lever the CtA uses (grant funding rules).</w:t>
      </w:r>
    </w:p>
    <w:bookmarkEnd w:id="14"/>
    <w:bookmarkStart w:id="15" w:name="evidence-for-cta"/>
    <w:p>
      <w:pPr>
        <w:pStyle w:val="Heading3"/>
      </w:pPr>
      <w:r>
        <w:t xml:space="preserve">Evidence for CtA</w:t>
      </w:r>
    </w:p>
    <w:p>
      <w:pPr>
        <w:pStyle w:val="FirstParagraph"/>
      </w:pPr>
      <w:r>
        <w:rPr>
          <w:b/>
          <w:bCs/>
        </w:rPr>
        <w:t xml:space="preserve">In the post — para 3 (its own paragraph):</w:t>
      </w:r>
      <w:r>
        <w:t xml:space="preserve"> </w:t>
      </w:r>
      <w:r>
        <w:rPr>
          <w:i/>
          <w:iCs/>
        </w:rPr>
        <w:t xml:space="preserve">“The evidence makes this action straightforward and low-risk: the score is one measured number built from two existing open datasets, so it already ranks all 34 LGAs, pinpoints who is worst-served, and can be re-checked every funding round with no new data collection and no subjective judgement.”</w:t>
      </w:r>
      <w:r>
        <w:t xml:space="preserve"> </w:t>
      </w:r>
      <w:r>
        <w:t xml:space="preserve">Shows the CtA is workable</w:t>
      </w:r>
      <w:r>
        <w:t xml:space="preserve"> </w:t>
      </w:r>
      <w:r>
        <w:rPr>
          <w:i/>
          <w:iCs/>
        </w:rPr>
        <w:t xml:space="preserve">before</w:t>
      </w:r>
      <w:r>
        <w:t xml:space="preserve"> </w:t>
      </w:r>
      <w:r>
        <w:t xml:space="preserve">stating it: the same metric from the Data Evidence already produces the</w:t>
      </w:r>
      <w:r>
        <w:t xml:space="preserve"> </w:t>
      </w:r>
      <w:r>
        <w:t xml:space="preserve">“who to fund first”</w:t>
      </w:r>
      <w:r>
        <w:t xml:space="preserve"> </w:t>
      </w:r>
      <w:r>
        <w:t xml:space="preserve">list from existing open data, so the action needs no new spending on data and every decision is objectively checkable.</w:t>
      </w:r>
    </w:p>
    <w:bookmarkEnd w:id="15"/>
    <w:bookmarkStart w:id="16" w:name="cta-call-to-action"/>
    <w:p>
      <w:pPr>
        <w:pStyle w:val="Heading3"/>
      </w:pPr>
      <w:r>
        <w:t xml:space="preserve">CtA (Call to Action)</w:t>
      </w:r>
    </w:p>
    <w:p>
      <w:pPr>
        <w:pStyle w:val="FirstParagraph"/>
      </w:pPr>
      <w:r>
        <w:rPr>
          <w:b/>
          <w:bCs/>
        </w:rPr>
        <w:t xml:space="preserve">In the post — para 4 (its own paragraph):</w:t>
      </w:r>
      <w:r>
        <w:t xml:space="preserve"> </w:t>
      </w:r>
      <w:r>
        <w:rPr>
          <w:i/>
          <w:iCs/>
        </w:rPr>
        <w:t xml:space="preserve">“I therefore call on that team to add a transparent</w:t>
      </w:r>
      <w:r>
        <w:rPr>
          <w:i/>
          <w:iCs/>
        </w:rPr>
        <w:t xml:space="preserve"> </w:t>
      </w:r>
      <w:r>
        <w:rPr>
          <w:i/>
          <w:iCs/>
        </w:rPr>
        <w:t xml:space="preserve">‘Charging Access Equity Score’</w:t>
      </w:r>
      <w:r>
        <w:rPr>
          <w:i/>
          <w:iCs/>
        </w:rPr>
        <w:t xml:space="preserve"> </w:t>
      </w:r>
      <w:r>
        <w:rPr>
          <w:i/>
          <w:iCs/>
        </w:rPr>
        <w:t xml:space="preserve">… and to prioritise the high-population LGAs that fall below the 4.0 average, with a 2030 target of bringing every LGA up to at least 4.0.”</w:t>
      </w:r>
      <w:r>
        <w:t xml:space="preserve"> </w:t>
      </w:r>
      <w:r>
        <w:t xml:space="preserve">One specific, measurable action (add one scoring criterion, fund the lowest-scoring high-population LGAs first, hit 4.0 by 2030) — clear, single-scope, and tied directly to the metric in the impact statement. It is now a standalone paragraph, cleanly separated from the evidence that justifies it.</w:t>
      </w:r>
    </w:p>
    <w:bookmarkEnd w:id="16"/>
    <w:bookmarkStart w:id="17" w:name="clear-incentive"/>
    <w:p>
      <w:pPr>
        <w:pStyle w:val="Heading3"/>
      </w:pPr>
      <w:r>
        <w:t xml:space="preserve">Clear Incentive</w:t>
      </w:r>
    </w:p>
    <w:p>
      <w:pPr>
        <w:pStyle w:val="FirstParagraph"/>
      </w:pPr>
      <w:r>
        <w:rPr>
          <w:b/>
          <w:bCs/>
        </w:rPr>
        <w:t xml:space="preserve">In the post — para 5 (its own paragraph):</w:t>
      </w:r>
      <w:r>
        <w:t xml:space="preserve"> </w:t>
      </w:r>
      <w:r>
        <w:rPr>
          <w:i/>
          <w:iCs/>
        </w:rPr>
        <w:t xml:space="preserve">“They would act on it because it delivers the largest access gain per dollar, directly advances the NSW EV Strategy and net-zero-by-2050 goals, and is publicly defensible while reusing existing open data at near-zero cost.”</w:t>
      </w:r>
      <w:r>
        <w:t xml:space="preserve"> </w:t>
      </w:r>
      <w:r>
        <w:t xml:space="preserve">Gives the audience three self-interested reasons to act: best value per dollar, helps them hit existing targets, and low-cost + politically safe (reuses open data).</w:t>
      </w:r>
    </w:p>
    <w:p>
      <w:r>
        <w:pict>
          <v:rect style="width:0;height:1.5pt" o:hralign="center" o:hrstd="t" o:hr="t"/>
        </w:pict>
      </w:r>
    </w:p>
    <w:p>
      <w:pPr>
        <w:pStyle w:val="FirstParagraph"/>
      </w:pPr>
      <w:r>
        <w:rPr>
          <w:b/>
          <w:bCs/>
        </w:rPr>
        <w:t xml:space="preserve">How the CtA and the impact statement solve the problem together:</w:t>
      </w:r>
      <w:r>
        <w:t xml:space="preserve"> </w:t>
      </w:r>
      <w:r>
        <w:t xml:space="preserve">both halves pivot on the</w:t>
      </w:r>
      <w:r>
        <w:t xml:space="preserve"> </w:t>
      </w:r>
      <w:r>
        <w:rPr>
          <w:i/>
          <w:iCs/>
        </w:rPr>
        <w:t xml:space="preserve">same</w:t>
      </w:r>
      <w:r>
        <w:t xml:space="preserve"> </w:t>
      </w:r>
      <w:r>
        <w:t xml:space="preserve">metric — public plugs per 10,000 residents. The impact statement uses it to</w:t>
      </w:r>
      <w:r>
        <w:t xml:space="preserve"> </w:t>
      </w:r>
      <w:r>
        <w:rPr>
          <w:i/>
          <w:iCs/>
        </w:rPr>
        <w:t xml:space="preserve">measure</w:t>
      </w:r>
      <w:r>
        <w:t xml:space="preserve"> </w:t>
      </w:r>
      <w:r>
        <w:t xml:space="preserve">the 20-fold gap; the CtA uses it to</w:t>
      </w:r>
      <w:r>
        <w:t xml:space="preserve"> </w:t>
      </w:r>
      <w:r>
        <w:rPr>
          <w:i/>
          <w:iCs/>
        </w:rPr>
        <w:t xml:space="preserve">act</w:t>
      </w:r>
      <w:r>
        <w:t xml:space="preserve"> </w:t>
      </w:r>
      <w:r>
        <w:t xml:space="preserve">(fund below-4.0 LGAs) and to</w:t>
      </w:r>
      <w:r>
        <w:t xml:space="preserve"> </w:t>
      </w:r>
      <w:r>
        <w:rPr>
          <w:i/>
          <w:iCs/>
        </w:rPr>
        <w:t xml:space="preserve">set the target</w:t>
      </w:r>
      <w:r>
        <w:t xml:space="preserve"> </w:t>
      </w:r>
      <w:r>
        <w:t xml:space="preserve">(every LGA ≥ 4.0 by 2030). The reader can trace problem → action → measurable outcome on one number, with no scope drift.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2026-07-10T01:10:04Z</dcterms:created>
  <dcterms:modified xsi:type="dcterms:W3CDTF">2026-07-10T01:10:04Z</dcterms:modified>
</cp:coreProperties>
</file>

<file path=docProps/custom.xml><?xml version="1.0" encoding="utf-8"?>
<Properties xmlns="http://schemas.openxmlformats.org/officeDocument/2006/custom-properties" xmlns:vt="http://schemas.openxmlformats.org/officeDocument/2006/docPropsVTypes"/>
</file>