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F4B40">
      <w:pPr>
        <w:pStyle w:val="2"/>
      </w:pPr>
      <w:bookmarkStart w:id="0" w:name="X6316e21b0a967128d0eb924f8ff1dd560561dc5"/>
      <w:r>
        <w:t>Making Public EV Charging Geographically Fair Across Greater Sydney to Advance SDG 11.2: Sustainable Cities and Communities</w:t>
      </w:r>
      <w:r>
        <w:commentReference w:id="0"/>
      </w:r>
    </w:p>
    <w:p w14:paraId="5B8E040D">
      <w:pPr>
        <w:pStyle w:val="24"/>
      </w:pPr>
      <w:r>
        <w:t xml:space="preserve">Public electric-vehicle (EV) charging is becoming essential infrastructure for New South Wales’ low-carbon transport transition. </w:t>
      </w:r>
      <w:commentRangeStart w:id="1"/>
      <w:r>
        <w:t>SDG 11.2 calls for “access to safe, affordable, accessible and sustainable transport systems for all”; because a public charger is what makes the EV — a clean transport mode — genuinely usable for drivers who cannot charge at home, fair access to charging sits squarely inside this target.</w:t>
      </w:r>
      <w:commentRangeEnd w:id="1"/>
      <w:r>
        <w:commentReference w:id="1"/>
      </w:r>
      <w:r>
        <w:t xml:space="preserve"> </w:t>
      </w:r>
      <w:commentRangeStart w:id="2"/>
      <w:r>
        <w:t>EV uptake in NSW is real and accelerating: the state held 52,572 registered EVs by January 2024, 7.5 times the 6,160 recorded in 2021, and EVs reached 9.5% of new-car sales (about 28,200 vehicles) in 2024. As demand grows, whether residents can charge determines whether they switch, yet access is not distributed fairly.</w:t>
      </w:r>
      <w:commentRangeEnd w:id="2"/>
      <w:r>
        <w:commentReference w:id="2"/>
      </w:r>
    </w:p>
    <w:p w14:paraId="324D6DE3">
      <w:pPr>
        <w:pStyle w:val="3"/>
      </w:pPr>
      <w:r>
        <w:t xml:space="preserve">Joining Transport for NSW charging data with ABS 2024-25 population, </w:t>
      </w:r>
      <w:commentRangeStart w:id="3"/>
      <w:r>
        <w:t>public plugs per 10,000 residents vary roughly 20-fold across the 34 Greater Sydney LGAs: affluent Woollahra has 16.5 versus a Greater Sydney average of 4.0, while high-population outer suburbs sit far below — Cumberland 0.7, Fairfield 0.9, Canterbury-Bankstown 1.5</w:t>
      </w:r>
      <w:commentRangeEnd w:id="3"/>
      <w:r>
        <w:commentReference w:id="3"/>
      </w:r>
      <w:r>
        <w:t xml:space="preserve">. </w:t>
      </w:r>
      <w:commentRangeStart w:id="4"/>
      <w:r>
        <w:t>These outer-suburban communities have the most apartments and least private off-street parking, so residents are least able to charge at home yet least served.</w:t>
      </w:r>
      <w:commentRangeEnd w:id="4"/>
      <w:r>
        <w:commentReference w:id="4"/>
      </w:r>
      <w:r>
        <w:t xml:space="preserve"> </w:t>
      </w:r>
      <w:commentRangeStart w:id="5"/>
      <w:r>
        <w:t>The NSW DCCEEW EV public-charging grant team, which sets the grant funding rules, can directly correct this</w:t>
      </w:r>
      <w:commentRangeEnd w:id="5"/>
      <w:r>
        <w:commentReference w:id="5"/>
      </w:r>
      <w:r>
        <w:t>.</w:t>
      </w:r>
    </w:p>
    <w:p w14:paraId="0BEDE07E">
      <w:pPr>
        <w:pStyle w:val="3"/>
      </w:pPr>
      <w:commentRangeStart w:id="6"/>
      <w:r>
        <w:t>The evidence makes this action low-risk: the score is one measured number from two existing open datasets, so it already ranks all 34 LGAs, pinpoints who is worst-served, and can be re-checked each funding round without new data or subjective judgement.</w:t>
      </w:r>
      <w:commentRangeEnd w:id="6"/>
      <w:r>
        <w:commentReference w:id="6"/>
      </w:r>
    </w:p>
    <w:p w14:paraId="4AD3B877">
      <w:pPr>
        <w:pStyle w:val="3"/>
      </w:pPr>
      <w:commentRangeStart w:id="7"/>
      <w:r>
        <w:t>I call on that team to add a transparent “Charging Access Equity Score” — public plugs per 10,000 residents — to the next co-funding round, and to prioritise the high-population LGAs that fall below the 4.0 average, with a 2030 target of bringing every LGA up to at least 4.0.</w:t>
      </w:r>
      <w:commentRangeEnd w:id="7"/>
      <w:r>
        <w:commentReference w:id="7"/>
      </w:r>
    </w:p>
    <w:p w14:paraId="56672BB3">
      <w:pPr>
        <w:pStyle w:val="3"/>
      </w:pPr>
      <w:commentRangeStart w:id="8"/>
      <w:r>
        <w:t>They would act because it delivers the largest access gain per dollar, directly advances the NSW EV Strategy and net-zero-by-2050 goals, and is publicly defensible while reusing existing open data at near-zero cost.</w:t>
      </w:r>
      <w:commentRangeEnd w:id="8"/>
      <w:r>
        <w:commentReference w:id="8"/>
      </w:r>
    </w:p>
    <w:p w14:paraId="7780E05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9CBEDC6">
      <w:pPr>
        <w:pStyle w:val="24"/>
      </w:pPr>
      <w:r>
        <w:rPr>
          <w:i/>
          <w:iCs/>
        </w:rPr>
        <w:t xml:space="preserve">Datasets: Transport for NSW public EV charging locations; ABS Regional Population 2024-25 (cat. 3218.0). EV figures: NSW State of Environment 2024 (BITRE registrations); Electric </w:t>
      </w:r>
      <w:bookmarkStart w:id="1" w:name="_GoBack"/>
      <w:bookmarkEnd w:id="1"/>
      <w:r>
        <w:rPr>
          <w:i/>
          <w:iCs/>
        </w:rPr>
        <w:t>Vehicle Council, State of EVs 2024 (VFACTS).</w:t>
      </w:r>
    </w:p>
    <w:bookmarkEnd w:id="0"/>
    <w:sectPr>
      <w:footnotePr>
        <w:numRestart w:val="eachSect"/>
      </w:footnotePr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X." w:date="2026-07-10T11:10:48Z" w:initials="">
    <w:p w14:paraId="59677EB2">
      <w:pPr>
        <w:pStyle w:val="5"/>
      </w:pPr>
      <w:r>
        <w:t>Topic Statement</w:t>
      </w:r>
    </w:p>
  </w:comment>
  <w:comment w:id="1" w:author="X." w:date="2026-07-10T11:11:14Z" w:initials="">
    <w:p w14:paraId="6319B7E7">
      <w:pPr>
        <w:pStyle w:val="5"/>
      </w:pPr>
      <w:r>
        <w:t>SDG Involved</w:t>
      </w:r>
    </w:p>
  </w:comment>
  <w:comment w:id="2" w:author="X." w:date="2026-07-10T11:11:37Z" w:initials="">
    <w:p w14:paraId="5B44D38D">
      <w:pPr>
        <w:pStyle w:val="5"/>
      </w:pPr>
      <w:r>
        <w:t>Brief Summary of the Issue</w:t>
      </w:r>
    </w:p>
    <w:p w14:paraId="1FC2D30A">
      <w:pPr>
        <w:pStyle w:val="3"/>
      </w:pPr>
    </w:p>
    <w:p w14:paraId="1D1AA81C">
      <w:pPr>
        <w:pStyle w:val="5"/>
      </w:pPr>
      <w:r>
        <w:t>Data Evidence</w:t>
      </w:r>
    </w:p>
  </w:comment>
  <w:comment w:id="3" w:author="X." w:date="2026-07-10T11:13:03Z" w:initials="">
    <w:p w14:paraId="6E76389F">
      <w:pPr>
        <w:pStyle w:val="5"/>
      </w:pPr>
      <w:r>
        <w:t>Data Evidence</w:t>
      </w:r>
    </w:p>
  </w:comment>
  <w:comment w:id="4" w:author="X." w:date="2026-07-10T11:12:31Z" w:initials="">
    <w:p w14:paraId="128B553F">
      <w:pPr>
        <w:pStyle w:val="5"/>
      </w:pPr>
      <w:r>
        <w:t>Who is Impacted &amp; How</w:t>
      </w:r>
    </w:p>
  </w:comment>
  <w:comment w:id="5" w:author="X." w:date="2026-07-10T11:13:30Z" w:initials="">
    <w:p w14:paraId="72BCE601">
      <w:pPr>
        <w:pStyle w:val="5"/>
      </w:pPr>
      <w:r>
        <w:t>Who Can Help</w:t>
      </w:r>
    </w:p>
  </w:comment>
  <w:comment w:id="6" w:author="X." w:date="2026-07-10T11:14:28Z" w:initials="">
    <w:p w14:paraId="6301BDFB">
      <w:pPr>
        <w:pStyle w:val="5"/>
      </w:pPr>
      <w:r>
        <w:t>Evidence for CtA</w:t>
      </w:r>
    </w:p>
  </w:comment>
  <w:comment w:id="7" w:author="X." w:date="2026-07-10T11:14:38Z" w:initials="">
    <w:p w14:paraId="67BBE028">
      <w:pPr>
        <w:pStyle w:val="1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CtA</w:t>
      </w:r>
    </w:p>
  </w:comment>
  <w:comment w:id="8" w:author="X." w:date="2026-07-10T11:14:58Z" w:initials="">
    <w:p w14:paraId="1CE8826C">
      <w:pPr>
        <w:pStyle w:val="5"/>
      </w:pPr>
      <w:r>
        <w:t>Clear Incentive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9677EB2" w15:done="0"/>
  <w15:commentEx w15:paraId="6319B7E7" w15:done="0"/>
  <w15:commentEx w15:paraId="1D1AA81C" w15:done="0"/>
  <w15:commentEx w15:paraId="6E76389F" w15:done="0"/>
  <w15:commentEx w15:paraId="128B553F" w15:done="0"/>
  <w15:commentEx w15:paraId="72BCE601" w15:done="0"/>
  <w15:commentEx w15:paraId="6301BDFB" w15:done="0"/>
  <w15:commentEx w15:paraId="67BBE028" w15:done="0"/>
  <w15:commentEx w15:paraId="1CE8826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X.">
    <w15:presenceInfo w15:providerId="WPS Office" w15:userId="13540206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CCC0B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annotation text"/>
    <w:basedOn w:val="1"/>
    <w:uiPriority w:val="0"/>
    <w:pPr>
      <w:jc w:val="left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Date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styleId="16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7">
    <w:name w:val="Subtitle"/>
    <w:basedOn w:val="16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8">
    <w:name w:val="footnote text"/>
    <w:basedOn w:val="1"/>
    <w:unhideWhenUsed/>
    <w:qFormat/>
    <w:uiPriority w:val="9"/>
  </w:style>
  <w:style w:type="character" w:styleId="21">
    <w:name w:val="Hyperlink"/>
    <w:basedOn w:val="22"/>
    <w:qFormat/>
    <w:uiPriority w:val="0"/>
    <w:rPr>
      <w:color w:val="156082" w:themeColor="accent1"/>
    </w:rPr>
  </w:style>
  <w:style w:type="character" w:customStyle="1" w:styleId="22">
    <w:name w:val="Body Text Char"/>
    <w:basedOn w:val="20"/>
    <w:link w:val="3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20"/>
    <w:link w:val="16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20"/>
    <w:link w:val="1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20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20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20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20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20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20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20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20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20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22"/>
    <w:link w:val="50"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22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qFormat/>
    <w:uiPriority w:val="0"/>
    <w:rPr>
      <w:b/>
      <w:color w:val="007020"/>
    </w:rPr>
  </w:style>
  <w:style w:type="character" w:customStyle="1" w:styleId="54">
    <w:name w:val="DataTypeTok"/>
    <w:basedOn w:val="49"/>
    <w:qFormat/>
    <w:uiPriority w:val="0"/>
    <w:rPr>
      <w:color w:val="902000"/>
    </w:rPr>
  </w:style>
  <w:style w:type="character" w:customStyle="1" w:styleId="55">
    <w:name w:val="DecValTok"/>
    <w:basedOn w:val="49"/>
    <w:qFormat/>
    <w:uiPriority w:val="0"/>
    <w:rPr>
      <w:color w:val="40A070"/>
    </w:rPr>
  </w:style>
  <w:style w:type="character" w:customStyle="1" w:styleId="56">
    <w:name w:val="BaseNTok"/>
    <w:basedOn w:val="49"/>
    <w:qFormat/>
    <w:uiPriority w:val="0"/>
    <w:rPr>
      <w:color w:val="40A070"/>
    </w:rPr>
  </w:style>
  <w:style w:type="character" w:customStyle="1" w:styleId="57">
    <w:name w:val="FloatTok"/>
    <w:basedOn w:val="49"/>
    <w:uiPriority w:val="0"/>
    <w:rPr>
      <w:color w:val="40A070"/>
    </w:rPr>
  </w:style>
  <w:style w:type="character" w:customStyle="1" w:styleId="58">
    <w:name w:val="ConstantTok"/>
    <w:basedOn w:val="49"/>
    <w:uiPriority w:val="0"/>
    <w:rPr>
      <w:color w:val="880000"/>
    </w:rPr>
  </w:style>
  <w:style w:type="character" w:customStyle="1" w:styleId="59">
    <w:name w:val="CharTok"/>
    <w:basedOn w:val="49"/>
    <w:uiPriority w:val="0"/>
    <w:rPr>
      <w:color w:val="4070A0"/>
    </w:rPr>
  </w:style>
  <w:style w:type="character" w:customStyle="1" w:styleId="60">
    <w:name w:val="SpecialCharTok"/>
    <w:basedOn w:val="49"/>
    <w:uiPriority w:val="0"/>
    <w:rPr>
      <w:color w:val="4070A0"/>
    </w:rPr>
  </w:style>
  <w:style w:type="character" w:customStyle="1" w:styleId="61">
    <w:name w:val="StringTok"/>
    <w:basedOn w:val="49"/>
    <w:uiPriority w:val="0"/>
    <w:rPr>
      <w:color w:val="4070A0"/>
    </w:rPr>
  </w:style>
  <w:style w:type="character" w:customStyle="1" w:styleId="62">
    <w:name w:val="VerbatimStringTok"/>
    <w:basedOn w:val="49"/>
    <w:qFormat/>
    <w:uiPriority w:val="0"/>
    <w:rPr>
      <w:color w:val="4070A0"/>
    </w:rPr>
  </w:style>
  <w:style w:type="character" w:customStyle="1" w:styleId="63">
    <w:name w:val="SpecialStringTok"/>
    <w:basedOn w:val="49"/>
    <w:qFormat/>
    <w:uiPriority w:val="0"/>
    <w:rPr>
      <w:color w:val="BB6688"/>
    </w:rPr>
  </w:style>
  <w:style w:type="character" w:customStyle="1" w:styleId="64">
    <w:name w:val="ImportTok"/>
    <w:basedOn w:val="49"/>
    <w:uiPriority w:val="0"/>
    <w:rPr>
      <w:b/>
      <w:color w:val="008000"/>
    </w:rPr>
  </w:style>
  <w:style w:type="character" w:customStyle="1" w:styleId="65">
    <w:name w:val="CommentTok"/>
    <w:basedOn w:val="49"/>
    <w:uiPriority w:val="0"/>
    <w:rPr>
      <w:i/>
      <w:color w:val="60A0B0"/>
    </w:rPr>
  </w:style>
  <w:style w:type="character" w:customStyle="1" w:styleId="66">
    <w:name w:val="DocumentationTok"/>
    <w:basedOn w:val="49"/>
    <w:qFormat/>
    <w:uiPriority w:val="0"/>
    <w:rPr>
      <w:i/>
      <w:color w:val="BA2121"/>
    </w:rPr>
  </w:style>
  <w:style w:type="character" w:customStyle="1" w:styleId="67">
    <w:name w:val="AnnotationTok"/>
    <w:basedOn w:val="49"/>
    <w:uiPriority w:val="0"/>
    <w:rPr>
      <w:b/>
      <w:i/>
      <w:color w:val="60A0B0"/>
    </w:rPr>
  </w:style>
  <w:style w:type="character" w:customStyle="1" w:styleId="68">
    <w:name w:val="CommentVarTok"/>
    <w:basedOn w:val="49"/>
    <w:uiPriority w:val="0"/>
    <w:rPr>
      <w:b/>
      <w:i/>
      <w:color w:val="60A0B0"/>
    </w:rPr>
  </w:style>
  <w:style w:type="character" w:customStyle="1" w:styleId="69">
    <w:name w:val="OtherTok"/>
    <w:basedOn w:val="49"/>
    <w:uiPriority w:val="0"/>
    <w:rPr>
      <w:color w:val="007020"/>
    </w:rPr>
  </w:style>
  <w:style w:type="character" w:customStyle="1" w:styleId="70">
    <w:name w:val="FunctionTok"/>
    <w:basedOn w:val="49"/>
    <w:qFormat/>
    <w:uiPriority w:val="0"/>
    <w:rPr>
      <w:color w:val="06287E"/>
    </w:rPr>
  </w:style>
  <w:style w:type="character" w:customStyle="1" w:styleId="71">
    <w:name w:val="VariableTok"/>
    <w:basedOn w:val="49"/>
    <w:uiPriority w:val="0"/>
    <w:rPr>
      <w:color w:val="19177C"/>
    </w:rPr>
  </w:style>
  <w:style w:type="character" w:customStyle="1" w:styleId="72">
    <w:name w:val="ControlFlowTok"/>
    <w:basedOn w:val="49"/>
    <w:qFormat/>
    <w:uiPriority w:val="0"/>
    <w:rPr>
      <w:b/>
      <w:color w:val="007020"/>
    </w:rPr>
  </w:style>
  <w:style w:type="character" w:customStyle="1" w:styleId="73">
    <w:name w:val="OperatorTok"/>
    <w:basedOn w:val="49"/>
    <w:uiPriority w:val="0"/>
    <w:rPr>
      <w:color w:val="666666"/>
    </w:rPr>
  </w:style>
  <w:style w:type="character" w:customStyle="1" w:styleId="74">
    <w:name w:val="BuiltInTok"/>
    <w:basedOn w:val="49"/>
    <w:uiPriority w:val="0"/>
    <w:rPr>
      <w:color w:val="008000"/>
    </w:rPr>
  </w:style>
  <w:style w:type="character" w:customStyle="1" w:styleId="75">
    <w:name w:val="ExtensionTok"/>
    <w:basedOn w:val="49"/>
    <w:qFormat/>
    <w:uiPriority w:val="0"/>
  </w:style>
  <w:style w:type="character" w:customStyle="1" w:styleId="76">
    <w:name w:val="PreprocessorTok"/>
    <w:basedOn w:val="49"/>
    <w:qFormat/>
    <w:uiPriority w:val="0"/>
    <w:rPr>
      <w:color w:val="BC7A00"/>
    </w:rPr>
  </w:style>
  <w:style w:type="character" w:customStyle="1" w:styleId="77">
    <w:name w:val="AttributeTok"/>
    <w:basedOn w:val="49"/>
    <w:uiPriority w:val="0"/>
    <w:rPr>
      <w:color w:val="7D9029"/>
    </w:rPr>
  </w:style>
  <w:style w:type="character" w:customStyle="1" w:styleId="78">
    <w:name w:val="RegionMarkerTok"/>
    <w:basedOn w:val="49"/>
    <w:qFormat/>
    <w:uiPriority w:val="0"/>
  </w:style>
  <w:style w:type="character" w:customStyle="1" w:styleId="79">
    <w:name w:val="InformationTok"/>
    <w:basedOn w:val="49"/>
    <w:uiPriority w:val="0"/>
    <w:rPr>
      <w:b/>
      <w:i/>
      <w:color w:val="60A0B0"/>
    </w:rPr>
  </w:style>
  <w:style w:type="character" w:customStyle="1" w:styleId="80">
    <w:name w:val="WarningTok"/>
    <w:basedOn w:val="49"/>
    <w:uiPriority w:val="0"/>
    <w:rPr>
      <w:b/>
      <w:i/>
      <w:color w:val="60A0B0"/>
    </w:rPr>
  </w:style>
  <w:style w:type="character" w:customStyle="1" w:styleId="81">
    <w:name w:val="AlertTok"/>
    <w:basedOn w:val="49"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385</Words>
  <Characters>2106</Characters>
  <Lines>12</Lines>
  <Paragraphs>8</Paragraphs>
  <TotalTime>372</TotalTime>
  <ScaleCrop>false</ScaleCrop>
  <LinksUpToDate>false</LinksUpToDate>
  <CharactersWithSpaces>2484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2026-07-10T01:10:00Z</dcterms:created>
  <dc:creator>X.</dc:creator>
  <cp:lastModifiedBy>X.</cp:lastModifiedBy>
  <dcterms:modified xsi:type="dcterms:W3CDTF">2026-07-10T09:56:11Z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eyJoZGlkIjoiMDQ5OWRjZDk5OTIwMGNkOWI1ZDliYzM0NjNlOWQ1N2YiLCJ1c2VySWQiOiI0NTI0MTk3NTcifQ==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46FEF6C903694CEDA7784177D6A26DA5_12</vt:lpwstr>
  </property>
</Properties>
</file>