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32"/>
        </w:rPr>
        <w:t>WHITFIELD &amp; CRANE LLP</w:t>
      </w:r>
    </w:p>
    <w:p>
      <w:pPr>
        <w:spacing w:after="0"/>
        <w:jc w:val="center"/>
      </w:pPr>
      <w:r>
        <w:t>127 Public Square, Suite 4500</w:t>
      </w:r>
    </w:p>
    <w:p>
      <w:pPr>
        <w:spacing w:after="280"/>
        <w:jc w:val="center"/>
      </w:pPr>
      <w:r>
        <w:t>Cleveland, Ohio 44114</w:t>
      </w:r>
    </w:p>
    <w:p>
      <w:pPr>
        <w:spacing w:after="80"/>
      </w:pPr>
      <w:r>
        <w:t>June [15], 2025</w:t>
      </w:r>
    </w:p>
    <w:p>
      <w:r>
        <w:rPr>
          <w:b/>
          <w:sz w:val="19"/>
        </w:rPr>
        <w:t>[Note to Draft:</w:t>
      </w:r>
      <w:r>
        <w:rPr>
          <w:sz w:val="19"/>
        </w:rPr>
        <w:t xml:space="preserve"> June 15, 2025, the stated Closing Date, falls on a Sunday and therefore is not a “Business Day” under Section 1.01 of the Credit Agreement; Section 2.02(a) requires each Borrowing date to be a Business Day. Please confirm the actual closing/funding date. All certificate-dating and bring-down requirements below are keyed to the actual date of delivery.</w:t>
      </w:r>
      <w:r>
        <w:rPr>
          <w:b/>
          <w:sz w:val="19"/>
        </w:rPr>
        <w:t>]</w:t>
      </w:r>
    </w:p>
    <w:p>
      <w:pPr>
        <w:spacing w:after="120"/>
      </w:pPr>
      <w:r>
        <w:t>Ridgeline National Bank,</w:t>
        <w:br/>
        <w:t>as Administrative Agent</w:t>
        <w:br/>
        <w:t>600 Commerce Tower</w:t>
        <w:br/>
        <w:t>Charlotte, North Carolina 28202</w:t>
      </w:r>
    </w:p>
    <w:p>
      <w:pPr>
        <w:spacing w:after="200"/>
      </w:pPr>
      <w:r>
        <w:t>Each of the Lenders party to the Credit Agreement</w:t>
        <w:br/>
        <w:t>referred to below and listed on Schedule I hereto</w:t>
      </w:r>
    </w:p>
    <w:p>
      <w:pPr>
        <w:spacing w:after="200"/>
      </w:pPr>
      <w:r>
        <w:rPr>
          <w:b/>
        </w:rPr>
        <w:t>Re:</w:t>
        <w:tab/>
        <w:t>$175,000,000 Senior Secured Revolving Credit Facility — Pinnacle Manufacturing Group, Inc.</w:t>
      </w:r>
    </w:p>
    <w:p>
      <w:r>
        <w:t>Ladies and Gentlemen:</w:t>
      </w:r>
    </w:p>
    <w:p>
      <w:pPr>
        <w:jc w:val="both"/>
      </w:pPr>
      <w:r>
        <w:t>We have acted as counsel to Pinnacle Manufacturing Group, Inc., a Delaware corporation (the “</w:t>
      </w:r>
      <w:r>
        <w:rPr>
          <w:b/>
        </w:rPr>
        <w:t>Borrower</w:t>
      </w:r>
      <w:r>
        <w:t>”), Pinnacle Holdings Corp., a Delaware corporation (the “</w:t>
      </w:r>
      <w:r>
        <w:rPr>
          <w:b/>
        </w:rPr>
        <w:t>Parent Guarantor</w:t>
      </w:r>
      <w:r>
        <w:t>”), Pinnacle Fastener Technologies, Inc., an Ohio corporation (“</w:t>
      </w:r>
      <w:r>
        <w:rPr>
          <w:b/>
        </w:rPr>
        <w:t>PFT</w:t>
      </w:r>
      <w:r>
        <w:t>”), Pinnacle Coatings &amp; Surface Solutions, LLC, a Delaware limited liability company (“</w:t>
      </w:r>
      <w:r>
        <w:rPr>
          <w:b/>
        </w:rPr>
        <w:t>PCSS</w:t>
      </w:r>
      <w:r>
        <w:t>”), and Pinnacle Aerospace Components, Inc., a Delaware corporation (“</w:t>
      </w:r>
      <w:r>
        <w:rPr>
          <w:b/>
        </w:rPr>
        <w:t>PAC</w:t>
      </w:r>
      <w:r>
        <w:t>” and, together with PFT and PCSS, the “</w:t>
      </w:r>
      <w:r>
        <w:rPr>
          <w:b/>
        </w:rPr>
        <w:t>Subsidiary Guarantors</w:t>
      </w:r>
      <w:r>
        <w:t>”; the Borrower, the Parent Guarantor and the Subsidiary Guarantors, collectively, the “</w:t>
      </w:r>
      <w:r>
        <w:rPr>
          <w:b/>
        </w:rPr>
        <w:t>Opinion Parties</w:t>
      </w:r>
      <w:r>
        <w:t>” and each an “</w:t>
      </w:r>
      <w:r>
        <w:rPr>
          <w:b/>
        </w:rPr>
        <w:t>Opinion Party</w:t>
      </w:r>
      <w:r>
        <w:t>”), in connection with the Credit Agreement dated as of June 15, 2025 (the “</w:t>
      </w:r>
      <w:r>
        <w:rPr>
          <w:b/>
        </w:rPr>
        <w:t>Credit Agreement</w:t>
      </w:r>
      <w:r>
        <w:t>”), among the Borrower, the Parent Guarantor, the Subsidiary Guarantors, the financial institutions party thereto as lenders (the “</w:t>
      </w:r>
      <w:r>
        <w:rPr>
          <w:b/>
        </w:rPr>
        <w:t>Lenders</w:t>
      </w:r>
      <w:r>
        <w:t>”) and Ridgeline National Bank, as administrative agent (in such capacity, the “</w:t>
      </w:r>
      <w:r>
        <w:rPr>
          <w:b/>
        </w:rPr>
        <w:t>Administrative Agent</w:t>
      </w:r>
      <w:r>
        <w:t>”). This opinion letter is delivered to you pursuant to Section 4.01(d) of the Credit Agreement. Capitalized terms used but not defined herein have the meanings given to them in the Credit Agreement.</w:t>
      </w:r>
    </w:p>
    <w:p>
      <w:pPr>
        <w:pStyle w:val="Heading1"/>
      </w:pPr>
      <w:r>
        <w:t>I. Transaction Documents</w:t>
      </w:r>
    </w:p>
    <w:p>
      <w:pPr>
        <w:jc w:val="both"/>
      </w:pPr>
      <w:r>
        <w:t>This opinion letter relates to the following documents (collectively, the “</w:t>
      </w:r>
      <w:r>
        <w:rPr>
          <w:b/>
        </w:rPr>
        <w:t>Transaction Documents</w:t>
      </w:r>
      <w:r>
        <w:t>” and each a “</w:t>
      </w:r>
      <w:r>
        <w:rPr>
          <w:b/>
        </w:rPr>
        <w:t>Transaction Document</w:t>
      </w:r>
      <w:r>
        <w:t>”). Annex A sets forth the Opinion Parties that are party to each Transaction Document.</w:t>
      </w:r>
    </w:p>
    <w:p>
      <w:pPr>
        <w:ind w:left="720" w:hanging="720"/>
      </w:pPr>
      <w:r>
        <w:t>(1)</w:t>
        <w:tab/>
        <w:t>the Credit Agreement dated as of June 15, 2025, among the Borrower, the Parent Guarantor, the Subsidiary Guarantors, the Lenders and the Administrative Agent, including the guaranty set forth in Article X thereof;</w:t>
      </w:r>
    </w:p>
    <w:p>
      <w:pPr>
        <w:ind w:left="720" w:hanging="720"/>
      </w:pPr>
      <w:r>
        <w:t>(2)</w:t>
        <w:tab/>
        <w:t>the Security Agreement dated as of June 15, 2025, among the Borrower, the Parent Guarantor, PFT, PCSS and PAC, as grantors (the “</w:t>
      </w:r>
      <w:r>
        <w:rPr>
          <w:b/>
        </w:rPr>
        <w:t>Grantors</w:t>
      </w:r>
      <w:r>
        <w:t>”), in favor of the Administrative Agent (the “</w:t>
      </w:r>
      <w:r>
        <w:rPr>
          <w:b/>
        </w:rPr>
        <w:t>Security Agreement</w:t>
      </w:r>
      <w:r>
        <w:t>”);</w:t>
      </w:r>
    </w:p>
    <w:p>
      <w:pPr>
        <w:ind w:left="720" w:hanging="720"/>
      </w:pPr>
      <w:r>
        <w:t>(3)</w:t>
        <w:tab/>
        <w:t>the Pledge Agreement dated as of June 15, 2025, among [the Borrower, the Parent Guarantor] and the Administrative Agent (the “</w:t>
      </w:r>
      <w:r>
        <w:rPr>
          <w:b/>
        </w:rPr>
        <w:t>Pledge Agreement</w:t>
      </w:r>
      <w:r>
        <w:t>”);</w:t>
      </w:r>
    </w:p>
    <w:p>
      <w:pPr>
        <w:ind w:left="720" w:hanging="720"/>
      </w:pPr>
      <w:r>
        <w:t>(4)</w:t>
        <w:tab/>
        <w:t>the Guaranty Agreement dated as of June 15, 2025, by the Parent Guarantor and each Subsidiary Guarantor in favor of the Administrative Agent (the “</w:t>
      </w:r>
      <w:r>
        <w:rPr>
          <w:b/>
        </w:rPr>
        <w:t>Guaranty Agreement</w:t>
      </w:r>
      <w:r>
        <w:t>”); and</w:t>
      </w:r>
    </w:p>
    <w:p>
      <w:pPr>
        <w:ind w:left="720" w:hanging="720"/>
      </w:pPr>
      <w:r>
        <w:t>(5)</w:t>
        <w:tab/>
        <w:t>each Deposit Account Control Agreement and Securities Account Control Agreement dated as of June 15, 2025 and listed on Annex C (collectively, the “</w:t>
      </w:r>
      <w:r>
        <w:rPr>
          <w:b/>
        </w:rPr>
        <w:t>Control Agreements</w:t>
      </w:r>
      <w:r>
        <w:t>”).</w:t>
      </w:r>
    </w:p>
    <w:p>
      <w:r>
        <w:rPr>
          <w:b/>
          <w:sz w:val="19"/>
        </w:rPr>
        <w:t>[Note to Draft:</w:t>
      </w:r>
      <w:r>
        <w:rPr>
          <w:sz w:val="19"/>
        </w:rPr>
        <w:t xml:space="preserve"> (a) The Pledge Agreement, the separate Guaranty Agreement and the Control Agreements have not yet been furnished to us; we cannot render any opinion on a document we have not reviewed. (b) The Credit Agreement defines “Guaranty” as Article X of the Credit Agreement, the Security Agreement recitals refer to a separately executed “Guaranty” and “Subsidiary Guaranties”, the guarantor consents authorize a “Guaranty”/“Subsidiary Guaranty”, and your June 9 letter refers to a separate Guaranty Agreement. Please confirm whether a stand-alone Guaranty Agreement will be executed; if not, item (4) will be deleted and the opinions will refer to Article X. (c) The Credit Agreement defines the Pledge Agreement as among “the Loan Parties”, your letter describes it as among the Borrower, the Parent Guarantor and the Administrative Agent, and the Security Agreement (Section 2.02 and Schedule I) itself contains a pledge of the same equity. Parties to be conformed.</w:t>
      </w:r>
      <w:r>
        <w:rPr>
          <w:b/>
          <w:sz w:val="19"/>
        </w:rPr>
        <w:t>]</w:t>
      </w:r>
    </w:p>
    <w:p>
      <w:pPr>
        <w:jc w:val="both"/>
      </w:pPr>
      <w:r>
        <w:t>The UCC financing statements described on Annex B are referred to herein as the “</w:t>
      </w:r>
      <w:r>
        <w:rPr>
          <w:b/>
        </w:rPr>
        <w:t>Financing Statements</w:t>
      </w:r>
      <w:r>
        <w:t>.”</w:t>
      </w:r>
    </w:p>
    <w:p>
      <w:pPr>
        <w:pStyle w:val="Heading1"/>
      </w:pPr>
      <w:r>
        <w:t>II. Documents Reviewed</w:t>
      </w:r>
    </w:p>
    <w:p>
      <w:pPr>
        <w:jc w:val="both"/>
      </w:pPr>
      <w:r>
        <w:t>In rendering the opinions expressed below, we have examined executed counterparts (or copies certified or otherwise identified to our satisfaction) of the Transaction Documents and the Financing Statements and the following documents (collectively with the Transaction Documents, the “</w:t>
      </w:r>
      <w:r>
        <w:rPr>
          <w:b/>
        </w:rPr>
        <w:t>Reviewed Documents</w:t>
      </w:r>
      <w:r>
        <w:t>”):</w:t>
      </w:r>
    </w:p>
    <w:p>
      <w:pPr>
        <w:ind w:left="720" w:hanging="720"/>
      </w:pPr>
      <w:r>
        <w:t>(a)</w:t>
        <w:tab/>
        <w:t>the Amended and Restated Certificate of Incorporation of the Borrower filed with the Secretary of State of the State of Delaware on June 20, 2017 [, as certified by the Secretary of State of the State of Delaware on June [__], 2025], and the Amended and Restated Bylaws of the Borrower adopted March 15, 2020;</w:t>
      </w:r>
    </w:p>
    <w:p>
      <w:pPr>
        <w:ind w:left="720" w:hanging="720"/>
      </w:pPr>
      <w:r>
        <w:t>(b)</w:t>
        <w:tab/>
        <w:t>the Certificate of Incorporation of the Parent Guarantor filed with the Secretary of State of the State of Delaware on January 8, 2007 [, as certified by such Secretary of State on June [__], 2025], and the Bylaws of the Parent Guarantor [complete copy to be furnished];</w:t>
      </w:r>
    </w:p>
    <w:p>
      <w:pPr>
        <w:ind w:left="720" w:hanging="720"/>
      </w:pPr>
      <w:r>
        <w:t>(c)</w:t>
        <w:tab/>
        <w:t>the Articles of Incorporation of PFT filed with the Secretary of State of the State of Ohio on April 22, 2012 [, as certified by such Secretary of State on June [__], 2025], and the Code of Regulations of PFT adopted April 22, 2012, as amended;</w:t>
      </w:r>
    </w:p>
    <w:p>
      <w:pPr>
        <w:ind w:left="720" w:hanging="720"/>
      </w:pPr>
      <w:r>
        <w:t>(d)</w:t>
        <w:tab/>
        <w:t>the Certificate of Formation of PCSS filed with the Secretary of State of the State of Delaware on September 15, 2016 [, as certified by such Secretary of State on June [__], 2025], and the [Amended and Restated] Limited Liability Company Agreement of PCSS dated as of September 15, 2016, as amended (the “</w:t>
      </w:r>
      <w:r>
        <w:rPr>
          <w:b/>
        </w:rPr>
        <w:t>PCSS LLC Agreement</w:t>
      </w:r>
      <w:r>
        <w:t>”);</w:t>
      </w:r>
    </w:p>
    <w:p>
      <w:pPr>
        <w:ind w:left="720" w:hanging="720"/>
      </w:pPr>
      <w:r>
        <w:t>(e)</w:t>
        <w:tab/>
        <w:t>the Certificate of Incorporation of PAC filed with the Secretary of State of the State of Delaware on November 3, 2018 [, as certified by such Secretary of State on June [__], 2025], and the Bylaws of PAC [complete copy to be furnished];</w:t>
      </w:r>
    </w:p>
    <w:p>
      <w:pPr>
        <w:ind w:left="720" w:hanging="720"/>
      </w:pPr>
      <w:r>
        <w:t>(f)</w:t>
        <w:tab/>
        <w:t>the minutes of the special meeting of the Board of Directors of the Borrower held May 28, 2025 [, as supplemented by the resolutions of the Board of Directors of the Borrower adopted June [__], 2025 ratifying and authorizing Aggregate Commitments of $175,000,000], and the Secretary’s Certificate of the Borrower dated June 15, 2025;</w:t>
      </w:r>
    </w:p>
    <w:p>
      <w:pPr>
        <w:ind w:left="720" w:hanging="720"/>
      </w:pPr>
      <w:r>
        <w:t>(g)</w:t>
        <w:tab/>
        <w:t>[the Unanimous Written Consent of the Board of Directors of the Parent Guarantor dated June [__], 2025, executed by each director then in office (being, per its bylaws, Margaret R. Halstead, Thomas P. Nguyen and Patricia L. Cavanaugh)];</w:t>
      </w:r>
    </w:p>
    <w:p>
      <w:pPr>
        <w:ind w:left="720" w:hanging="720"/>
      </w:pPr>
      <w:r>
        <w:t>(h)</w:t>
        <w:tab/>
        <w:t>[the Written Consent of the Board of Directors of PFT dated June [__], 2025, executed by all directors of PFT then in office];</w:t>
      </w:r>
    </w:p>
    <w:p>
      <w:pPr>
        <w:ind w:left="720" w:hanging="720"/>
      </w:pPr>
      <w:r>
        <w:t>(i)</w:t>
        <w:tab/>
        <w:t>[the Written Consent of the Sole Member of PCSS dated June [__], 2025, executed on behalf of the Borrower, as Sole Member, by an Authorized Officer (as defined in the PCSS LLC Agreement), including the consent of the Sole Member under Section 4.1 of the PCSS LLC Agreement to the pledge of the membership interests in PCSS];</w:t>
      </w:r>
    </w:p>
    <w:p>
      <w:pPr>
        <w:ind w:left="720" w:hanging="720"/>
      </w:pPr>
      <w:r>
        <w:t>(j)</w:t>
        <w:tab/>
        <w:t>[the Unanimous Written Consent of the Board of Directors of PAC dated June [__], 2025, executed by each of Margaret R. Halstead and Thomas P. Nguyen];</w:t>
      </w:r>
    </w:p>
    <w:p>
      <w:pPr>
        <w:ind w:left="720" w:hanging="720"/>
      </w:pPr>
      <w:r>
        <w:t>(k)</w:t>
        <w:tab/>
        <w:t>incumbency and specimen signature certificates of each Opinion Party [to be delivered for the Parent Guarantor, PFT, PCSS and PAC] (the “</w:t>
      </w:r>
      <w:r>
        <w:rPr>
          <w:b/>
        </w:rPr>
        <w:t>Incumbency Certificates</w:t>
      </w:r>
      <w:r>
        <w:t>”);</w:t>
      </w:r>
    </w:p>
    <w:p>
      <w:pPr>
        <w:ind w:left="720" w:hanging="720"/>
      </w:pPr>
      <w:r>
        <w:t>(l)</w:t>
        <w:tab/>
        <w:t>the certificates of good standing, existence or status listed on Annex D (the “</w:t>
      </w:r>
      <w:r>
        <w:rPr>
          <w:b/>
        </w:rPr>
        <w:t>Good Standing Certificates</w:t>
      </w:r>
      <w:r>
        <w:t>”);</w:t>
      </w:r>
    </w:p>
    <w:p>
      <w:pPr>
        <w:ind w:left="720" w:hanging="720"/>
      </w:pPr>
      <w:r>
        <w:t>(m)</w:t>
        <w:tab/>
        <w:t>the Officer’s Certificate of the Borrower dated June 15, 2025, delivered pursuant to Section 4.01(e) of the Credit Agreement [, as corrected and supplemented], and the certificate of the Chief Executive Officer and the General Counsel of the Borrower as to certain factual matters delivered to us in connection with this opinion letter (together, the “</w:t>
      </w:r>
      <w:r>
        <w:rPr>
          <w:b/>
        </w:rPr>
        <w:t>Officer’s Certificates</w:t>
      </w:r>
      <w:r>
        <w:t>”);</w:t>
      </w:r>
    </w:p>
    <w:p>
      <w:pPr>
        <w:ind w:left="720" w:hanging="720"/>
      </w:pPr>
      <w:r>
        <w:t>(n)</w:t>
        <w:tab/>
        <w:t>the report of UCC, federal tax lien and state tax lien searches against each Opinion Party in the offices of the Secretary of State of the State of Delaware and the Secretary of State of the State of Ohio, current through June 8, 2025, conducted by National Lien Search Services, Inc. (the “</w:t>
      </w:r>
      <w:r>
        <w:rPr>
          <w:b/>
        </w:rPr>
        <w:t>Search Report</w:t>
      </w:r>
      <w:r>
        <w:t>”) [, as brought down through June [__], 2025]; and</w:t>
      </w:r>
    </w:p>
    <w:p>
      <w:pPr>
        <w:ind w:left="720" w:hanging="720"/>
      </w:pPr>
      <w:r>
        <w:t>(o)</w:t>
        <w:tab/>
        <w:t>the agreements listed on Schedule 5.04 to the Credit Agreement (the “</w:t>
      </w:r>
      <w:r>
        <w:rPr>
          <w:b/>
        </w:rPr>
        <w:t>Material Agreements</w:t>
      </w:r>
      <w:r>
        <w:t>”), including (i) the Subordinated Note Purchase Agreement dated as of April 1, 2021, among the Borrower, the Parent Guarantor and Terracotta Mezzanine Partners, LP (the “</w:t>
      </w:r>
      <w:r>
        <w:rPr>
          <w:b/>
        </w:rPr>
        <w:t>Subordinated Note Purchase Agreement</w:t>
      </w:r>
      <w:r>
        <w:t>”) and (ii) the Technology License Agreement dated as of September 1, 2020, between Korvin Advanced Materials GmbH (“</w:t>
      </w:r>
      <w:r>
        <w:rPr>
          <w:b/>
        </w:rPr>
        <w:t>Korvin</w:t>
      </w:r>
      <w:r>
        <w:t>”) and the Borrower [, as amended by Amendment No. 1 dated March 15, 2022] (the “</w:t>
      </w:r>
      <w:r>
        <w:rPr>
          <w:b/>
        </w:rPr>
        <w:t>Korvin License Agreement</w:t>
      </w:r>
      <w:r>
        <w:t>”).</w:t>
      </w:r>
    </w:p>
    <w:p>
      <w:r>
        <w:rPr>
          <w:b/>
          <w:sz w:val="19"/>
        </w:rPr>
        <w:t>[Note to Draft:</w:t>
      </w:r>
      <w:r>
        <w:rPr>
          <w:sz w:val="19"/>
        </w:rPr>
        <w:t xml:space="preserve"> Bracketed items (f) through (j) are curative or replacement authorizations that must be adopted before closing; the authorizations furnished to date do not support the due authorization opinion (see the Issues Memorandum, Part B). As to item (o), we have to date been furnished only partial excerpts of the Subordinated Note Purchase Agreement and the Korvin License Agreement and none of Material Agreements 3 through 7 on Schedule 5.04; a no-conflicts opinion will be given only as to Material Agreements furnished to us in complete, executed form. The Officer’s Certificate identifies an “Amendment No. 1 dated March 15, 2022” to the Korvin License Agreement that has not been provided.</w:t>
      </w:r>
      <w:r>
        <w:rPr>
          <w:b/>
          <w:sz w:val="19"/>
        </w:rPr>
        <w:t>]</w:t>
      </w:r>
    </w:p>
    <w:p>
      <w:pPr>
        <w:jc w:val="both"/>
      </w:pPr>
      <w:r>
        <w:t>We have also examined such other records and certificates of the Opinion Parties and of public officials, and have made such inquiries of officers of the Opinion Parties, as we have deemed necessary as a basis for the opinions expressed below. As to questions of fact material to our opinions, we have relied, without independent verification, upon the representations and warranties of the Opinion Parties in the Transaction Documents, the Officer’s Certificates, the Incumbency Certificates and certificates of public officials; however, we have not relied on any such certificate or representation as to any matter of law that is the subject of an opinion expressed herein, and we have not relied on any factual matter that we know to be inaccurate.</w:t>
      </w:r>
    </w:p>
    <w:p>
      <w:pPr>
        <w:pStyle w:val="Heading1"/>
      </w:pPr>
      <w:r>
        <w:t>III. Assumptions</w:t>
      </w:r>
    </w:p>
    <w:p>
      <w:pPr>
        <w:jc w:val="both"/>
      </w:pPr>
      <w:r>
        <w:t>In rendering the opinions expressed below, we have assumed, with your permission and without independent investigation:</w:t>
      </w:r>
    </w:p>
    <w:p>
      <w:pPr>
        <w:ind w:left="720" w:hanging="720"/>
      </w:pPr>
      <w:r>
        <w:t>(1)</w:t>
        <w:tab/>
        <w:t>the genuineness of all signatures, other than the signatures of officers of the Opinion Parties on the Transaction Documents;</w:t>
      </w:r>
    </w:p>
    <w:p>
      <w:pPr>
        <w:ind w:left="720" w:hanging="720"/>
      </w:pPr>
      <w:r>
        <w:t>(2)</w:t>
        <w:tab/>
        <w:t>the authenticity of all documents submitted to us as originals and the conformity to authentic originals of all documents submitted to us as copies;</w:t>
      </w:r>
    </w:p>
    <w:p>
      <w:pPr>
        <w:ind w:left="720" w:hanging="720"/>
      </w:pPr>
      <w:r>
        <w:t>(3)</w:t>
        <w:tab/>
        <w:t>the legal capacity and authority of all natural persons who executed the Transaction Documents or any related documents;</w:t>
      </w:r>
    </w:p>
    <w:p>
      <w:pPr>
        <w:ind w:left="720" w:hanging="720"/>
      </w:pPr>
      <w:r>
        <w:t>(4)</w:t>
        <w:tab/>
        <w:t>that each party to the Transaction Documents (other than the Opinion Parties) has been duly organized, is validly existing and in good standing under the laws of its jurisdiction of formation, and has the requisite power and authority to execute, deliver and perform its obligations under the Transaction Documents;</w:t>
      </w:r>
    </w:p>
    <w:p>
      <w:pPr>
        <w:ind w:left="720" w:hanging="720"/>
      </w:pPr>
      <w:r>
        <w:t>(5)</w:t>
        <w:tab/>
        <w:t>that each Transaction Document constitutes the legal, valid and binding obligation of each party thereto other than the Opinion Parties, enforceable against such party in accordance with its terms;</w:t>
      </w:r>
    </w:p>
    <w:p>
      <w:pPr>
        <w:ind w:left="720" w:hanging="720"/>
      </w:pPr>
      <w:r>
        <w:t>(6)</w:t>
        <w:tab/>
        <w:t>that all certificates representing the pledged equity interests described on Annex E have been delivered to the Administrative Agent together with stock powers or transfer powers duly executed and endorsed in blank; and</w:t>
      </w:r>
    </w:p>
    <w:p>
      <w:pPr>
        <w:ind w:left="720" w:hanging="720"/>
      </w:pPr>
      <w:r>
        <w:t>(7)</w:t>
        <w:tab/>
        <w:t>that the factual matters set forth in the Officer’s Certificates delivered at closing are true and correct as of the date hereof.</w:t>
      </w:r>
    </w:p>
    <w:p>
      <w:pPr>
        <w:ind w:left="720"/>
      </w:pPr>
      <w:r>
        <w:t>[Additional assumptions — not on the Lender Parties’ June 9 list; submitted for Lender counsel’s agreement:]</w:t>
      </w:r>
    </w:p>
    <w:p>
      <w:pPr>
        <w:ind w:left="720" w:hanging="720"/>
      </w:pPr>
      <w:r>
        <w:t>(8)</w:t>
        <w:tab/>
        <w:t>[for purposes of the opinions in paragraphs 4 and 4A only, that the internal laws of the State of New York, which the parties have chosen to govern the Transaction Documents, are identical in all relevant respects to the internal laws of the State of Ohio (no such assumption is made as to Articles 8 and 9 of the Uniform Commercial Code as in effect in the State of New York, which are covered law for purposes of paragraph 7);]</w:t>
      </w:r>
    </w:p>
    <w:p>
      <w:pPr>
        <w:ind w:left="720" w:hanging="720"/>
      </w:pPr>
      <w:r>
        <w:t>(9)</w:t>
        <w:tab/>
        <w:t>[that value has been given by the Secured Parties, and that each Grantor has rights in the Collateral, within the meaning of Section 9-203 of the UCC (as to the pledged shares, Annex E reflects the issued share capital recorded in the governing documents of PFT and PAC rather than the share numbers stated in Schedule I to the Security Agreement); and]</w:t>
      </w:r>
    </w:p>
    <w:p>
      <w:pPr>
        <w:ind w:left="720" w:hanging="720"/>
      </w:pPr>
      <w:r>
        <w:t>(10)</w:t>
        <w:tab/>
        <w:t>[that the Financing Statements remain on file in the offices identified on Annex B without amendment or termination and that the Administrative Agent holds the certificates described in Annex E in the State of [New York].]</w:t>
      </w:r>
    </w:p>
    <w:p>
      <w:r>
        <w:rPr>
          <w:b/>
          <w:sz w:val="19"/>
        </w:rPr>
        <w:t>[Note to Draft:</w:t>
      </w:r>
      <w:r>
        <w:rPr>
          <w:sz w:val="19"/>
        </w:rPr>
        <w:t xml:space="preserve"> Assumption (8) is required because every Transaction Document selects New York law while the June 9 letter limits the covered law to Ohio, Delaware and federal law and Article 9. Absent this assumption the Lender Parties will need a separate New York-law enforceability opinion. Assumptions (9) and (10) are customary under the TriBar reports for security-interest opinions. The June 9 letter asks that non-standard assumptions be raised in advance; we are doing so with this draft.</w:t>
      </w:r>
      <w:r>
        <w:rPr>
          <w:b/>
          <w:sz w:val="19"/>
        </w:rPr>
        <w:t>]</w:t>
      </w:r>
    </w:p>
    <w:p>
      <w:pPr>
        <w:pStyle w:val="Heading1"/>
      </w:pPr>
      <w:r>
        <w:t>IV. Opinions</w:t>
      </w:r>
    </w:p>
    <w:p>
      <w:pPr>
        <w:jc w:val="both"/>
      </w:pPr>
      <w:r>
        <w:t>Based upon the foregoing and subject to the assumptions, qualifications, exceptions and limitations set forth herein, we are of the opinion that:</w:t>
      </w:r>
    </w:p>
    <w:p>
      <w:pPr>
        <w:pStyle w:val="Heading2"/>
      </w:pPr>
      <w:r>
        <w:t>1. Organization, Existence and Good Standing</w:t>
      </w:r>
    </w:p>
    <w:p>
      <w:pPr>
        <w:ind w:left="720" w:hanging="720"/>
        <w:jc w:val="both"/>
      </w:pPr>
      <w:r>
        <w:t>(a)</w:t>
        <w:tab/>
      </w:r>
      <w:r>
        <w:rPr>
          <w:b/>
        </w:rPr>
        <w:t>Borrower.</w:t>
      </w:r>
      <w:r>
        <w:t xml:space="preserve"> The Borrower is a corporation duly incorporated and validly existing under the General Corporation Law of the State of Delaware (the “</w:t>
      </w:r>
      <w:r>
        <w:rPr>
          <w:b/>
        </w:rPr>
        <w:t>DGCL</w:t>
      </w:r>
      <w:r>
        <w:t>”) and, based solely on a certificate of the Secretary of State of the State of Delaware dated June 5, 2025, is in good standing under the laws of the State of Delaware. Based solely on the Good Standing Certificates listed on Annex D, the Borrower is qualified to transact business as a foreign corporation and is in good standing in the State of Ohio [and the States of Michigan, Indiana, Texas and California].</w:t>
      </w:r>
    </w:p>
    <w:p>
      <w:pPr>
        <w:ind w:left="720" w:hanging="720"/>
        <w:jc w:val="both"/>
      </w:pPr>
      <w:r>
        <w:t>(b)</w:t>
        <w:tab/>
      </w:r>
      <w:r>
        <w:rPr>
          <w:b/>
        </w:rPr>
        <w:t>Parent Guarantor.</w:t>
      </w:r>
      <w:r>
        <w:t xml:space="preserve"> The Parent Guarantor is a corporation duly incorporated and validly existing under the DGCL and, based solely on a certificate of the Secretary of State of the State of Delaware dated June 6, 2025, is in good standing under the laws of the State of Delaware.</w:t>
      </w:r>
    </w:p>
    <w:p>
      <w:pPr>
        <w:ind w:left="720" w:hanging="720"/>
        <w:jc w:val="both"/>
      </w:pPr>
      <w:r>
        <w:t>(c)</w:t>
        <w:tab/>
      </w:r>
      <w:r>
        <w:rPr>
          <w:b/>
        </w:rPr>
        <w:t>PFT.</w:t>
      </w:r>
      <w:r>
        <w:t xml:space="preserve"> PFT is a corporation duly incorporated and validly existing under the laws of the State of Ohio and, based solely on a certificate of the Secretary of State of the State of Ohio dated [June [__], 2025], is in good standing under the laws of the State of Ohio. [Based solely on the Good Standing Certificates listed on Annex D, PFT is qualified to transact business as a foreign corporation and is in good standing in the States of [Michigan and Indiana].]</w:t>
      </w:r>
    </w:p>
    <w:p>
      <w:pPr>
        <w:ind w:left="720" w:hanging="720"/>
        <w:jc w:val="both"/>
      </w:pPr>
      <w:r>
        <w:t>(d)</w:t>
        <w:tab/>
      </w:r>
      <w:r>
        <w:rPr>
          <w:b/>
        </w:rPr>
        <w:t>PCSS.</w:t>
      </w:r>
      <w:r>
        <w:t xml:space="preserve"> PCSS is a limited liability company duly formed and validly existing under the Delaware Limited Liability Company Act (the “</w:t>
      </w:r>
      <w:r>
        <w:rPr>
          <w:b/>
        </w:rPr>
        <w:t>DLLCA</w:t>
      </w:r>
      <w:r>
        <w:t>”) and, based solely on a certificate of the Secretary of State of the State of Delaware dated June [6], 2025, is in good standing under the laws of the State of Delaware. [Based solely on the Good Standing Certificates listed on Annex D, PCSS is registered to transact business as a foreign limited liability company and is in good standing in the States of [Ohio and Texas].]</w:t>
      </w:r>
    </w:p>
    <w:p>
      <w:pPr>
        <w:ind w:left="720" w:hanging="720"/>
        <w:jc w:val="both"/>
      </w:pPr>
      <w:r>
        <w:t>(e)</w:t>
        <w:tab/>
      </w:r>
      <w:r>
        <w:rPr>
          <w:b/>
        </w:rPr>
        <w:t>PAC.</w:t>
      </w:r>
      <w:r>
        <w:t xml:space="preserve"> PAC is a corporation duly incorporated and validly existing under the DGCL and, based solely on a certificate of the Secretary of State of the State of Delaware dated June [7], 2025, is in good standing under the laws of the State of Delaware. [Based solely on the Good Standing Certificates listed on Annex D, PAC is qualified to transact business as a foreign corporation and is in good standing in the States of [Ohio, Texas and California].]</w:t>
      </w:r>
    </w:p>
    <w:p>
      <w:r>
        <w:rPr>
          <w:b/>
          <w:sz w:val="19"/>
        </w:rPr>
        <w:t>[Note to Draft:</w:t>
      </w:r>
      <w:r>
        <w:rPr>
          <w:sz w:val="19"/>
        </w:rPr>
        <w:t xml:space="preserve"> (i) The Ohio certificate for PFT is dated April 12, 2025 (a Saturday), roughly 64 days before closing, and does not satisfy the ten-Business-Day requirement of Section 4.01(c) of the Credit Agreement or the June 9 letter; a bring-down certificate is required. (ii) No foreign-qualification certificates have been obtained for the Borrower in Michigan, Indiana, Texas or California; the foreign-qualification portions of paragraph 1(a) will be limited to Ohio unless they are obtained. (iii) Schedule 5.13(D) to the Credit Agreement states that PFT is qualified in Michigan and Indiana, PCSS in Ohio and Texas, and PAC in Ohio, Texas and California, but the Organizational Documents Package states that none of the Subsidiary Guarantors is qualified anywhere outside its jurisdiction of formation, and Schedule 5.17 lists PFT, PCSS and PAC facilities in Fort Wayne (IN), Houston (TX) and El Segundo (CA). The bracketed foreign-qualification opinions in (c) through (e) cannot be given until this conflict is resolved and certificates are obtained. (iv) Consistent with TriBar practice, we will not opine that any Opinion Party is qualified in every jurisdiction “where required”; that is a factual determination. Our foreign-qualification opinions are limited to the listed states and rest solely on the certificates. (v) The certificate dates for PCSS and PAC differ between our Good Standing Summary (PCSS June 6; PAC June 7) and the Organizational Documents Package (PCSS June 7; PAC June 6), and the Delaware file numbers for each Delaware Opinion Party differ across the Organizational Documents Package, the Search Report and Schedule III to the Security Agreement. The certificates themselves will be checked and the conforming dates and file numbers inserted.</w:t>
      </w:r>
      <w:r>
        <w:rPr>
          <w:b/>
          <w:sz w:val="19"/>
        </w:rPr>
        <w:t>]</w:t>
      </w:r>
    </w:p>
    <w:p>
      <w:pPr>
        <w:pStyle w:val="Heading2"/>
      </w:pPr>
      <w:r>
        <w:t>2. Power and Authority</w:t>
      </w:r>
    </w:p>
    <w:p>
      <w:pPr>
        <w:ind w:left="720" w:hanging="720"/>
        <w:jc w:val="both"/>
      </w:pPr>
      <w:r>
        <w:t>(a)</w:t>
        <w:tab/>
      </w:r>
      <w:r>
        <w:rPr>
          <w:b/>
        </w:rPr>
        <w:t>Borrower.</w:t>
      </w:r>
      <w:r>
        <w:t xml:space="preserve"> The Borrower has the corporate power and authority under the DGCL and its certificate of incorporation and bylaws (i) to own, lease and operate its properties and to conduct its business as, to our knowledge, presently conducted and (ii) to execute and deliver, and to perform its obligations under, each Transaction Document to which it is a party.</w:t>
      </w:r>
    </w:p>
    <w:p>
      <w:pPr>
        <w:ind w:left="720" w:hanging="720"/>
        <w:jc w:val="both"/>
      </w:pPr>
      <w:r>
        <w:t>(b)</w:t>
        <w:tab/>
      </w:r>
      <w:r>
        <w:rPr>
          <w:b/>
        </w:rPr>
        <w:t>Parent Guarantor.</w:t>
      </w:r>
      <w:r>
        <w:t xml:space="preserve"> The Parent Guarantor has the corporate power and authority under the DGCL and its certificate of incorporation and bylaws to take the actions described in clauses (i) and (ii) of paragraph 2(a) with respect to itself and each Transaction Document to which it is a party.</w:t>
      </w:r>
    </w:p>
    <w:p>
      <w:pPr>
        <w:ind w:left="720" w:hanging="720"/>
        <w:jc w:val="both"/>
      </w:pPr>
      <w:r>
        <w:t>(c)</w:t>
        <w:tab/>
      </w:r>
      <w:r>
        <w:rPr>
          <w:b/>
        </w:rPr>
        <w:t>PFT.</w:t>
      </w:r>
      <w:r>
        <w:t xml:space="preserve"> PFT has the corporate power and authority under Chapter 1701 of the Ohio Revised Code (including Section 1701.13 thereof) and its articles of incorporation and code of regulations to take the actions described in clauses (i) and (ii) of paragraph 2(a) with respect to itself and each Transaction Document to which it is a party.</w:t>
      </w:r>
    </w:p>
    <w:p>
      <w:pPr>
        <w:ind w:left="720" w:hanging="720"/>
        <w:jc w:val="both"/>
      </w:pPr>
      <w:r>
        <w:t>(d)</w:t>
        <w:tab/>
      </w:r>
      <w:r>
        <w:rPr>
          <w:b/>
        </w:rPr>
        <w:t>PCSS.</w:t>
      </w:r>
      <w:r>
        <w:t xml:space="preserve"> PCSS has the limited liability company power and authority under the DLLCA and the PCSS LLC Agreement to take the actions described in clauses (i) and (ii) of paragraph 2(a) with respect to itself and each Transaction Document to which it is a party.</w:t>
      </w:r>
    </w:p>
    <w:p>
      <w:pPr>
        <w:ind w:left="720" w:hanging="720"/>
        <w:jc w:val="both"/>
      </w:pPr>
      <w:r>
        <w:t>(e)</w:t>
        <w:tab/>
      </w:r>
      <w:r>
        <w:rPr>
          <w:b/>
        </w:rPr>
        <w:t>PAC.</w:t>
      </w:r>
      <w:r>
        <w:t xml:space="preserve"> PAC has the corporate power and authority under the DGCL and its certificate of incorporation and bylaws to take the actions described in clauses (i) and (ii) of paragraph 2(a) with respect to itself and each Transaction Document to which it is a party.</w:t>
      </w:r>
    </w:p>
    <w:p>
      <w:pPr>
        <w:pStyle w:val="Heading2"/>
      </w:pPr>
      <w:r>
        <w:t>3. Due Authorization, Execution and Delivery</w:t>
      </w:r>
    </w:p>
    <w:p>
      <w:pPr>
        <w:ind w:left="720" w:hanging="720"/>
        <w:jc w:val="both"/>
      </w:pPr>
      <w:r>
        <w:t>(a)</w:t>
        <w:tab/>
      </w:r>
      <w:r>
        <w:rPr>
          <w:b/>
        </w:rPr>
        <w:t>Borrower.</w:t>
      </w:r>
      <w:r>
        <w:t xml:space="preserve"> The execution and delivery by the Borrower of each Transaction Document to which it is a party, and the performance by the Borrower of its obligations thereunder, have been duly authorized by all necessary corporate action on the part of the Borrower, and each such Transaction Document has been duly executed and delivered by the Borrower.</w:t>
      </w:r>
    </w:p>
    <w:p>
      <w:pPr>
        <w:ind w:left="720" w:hanging="720"/>
        <w:jc w:val="both"/>
      </w:pPr>
      <w:r>
        <w:t>(b)</w:t>
        <w:tab/>
      </w:r>
      <w:r>
        <w:rPr>
          <w:b/>
        </w:rPr>
        <w:t>Parent Guarantor.</w:t>
      </w:r>
      <w:r>
        <w:t xml:space="preserve"> The execution and delivery by the Parent Guarantor of each Transaction Document to which it is a party, and the performance by the Parent Guarantor of its obligations thereunder, have been duly authorized by all necessary corporate action on the part of the Parent Guarantor, and each such Transaction Document has been duly executed and delivered by the Parent Guarantor.</w:t>
      </w:r>
    </w:p>
    <w:p>
      <w:pPr>
        <w:ind w:left="720" w:hanging="720"/>
        <w:jc w:val="both"/>
      </w:pPr>
      <w:r>
        <w:t>(c)</w:t>
        <w:tab/>
      </w:r>
      <w:r>
        <w:rPr>
          <w:b/>
        </w:rPr>
        <w:t>PFT.</w:t>
      </w:r>
      <w:r>
        <w:t xml:space="preserve"> The execution and delivery by PFT of each Transaction Document to which it is a party, and the performance by PFT of its obligations thereunder, have been duly authorized by all necessary corporate action on the part of PFT, and each such Transaction Document has been duly executed and delivered by PFT.</w:t>
      </w:r>
    </w:p>
    <w:p>
      <w:pPr>
        <w:ind w:left="720" w:hanging="720"/>
        <w:jc w:val="both"/>
      </w:pPr>
      <w:r>
        <w:t>(d)</w:t>
        <w:tab/>
      </w:r>
      <w:r>
        <w:rPr>
          <w:b/>
        </w:rPr>
        <w:t>PCSS.</w:t>
      </w:r>
      <w:r>
        <w:t xml:space="preserve"> The execution and delivery by PCSS of each Transaction Document to which it is a party, and the performance by PCSS of its obligations thereunder, have been duly authorized by all necessary limited liability company action on the part of PCSS (including the prior written consent of its Sole Member required by the PCSS LLC Agreement), and each such Transaction Document has been duly executed and delivered by PCSS.</w:t>
      </w:r>
    </w:p>
    <w:p>
      <w:pPr>
        <w:ind w:left="720" w:hanging="720"/>
        <w:jc w:val="both"/>
      </w:pPr>
      <w:r>
        <w:t>(e)</w:t>
        <w:tab/>
      </w:r>
      <w:r>
        <w:rPr>
          <w:b/>
        </w:rPr>
        <w:t>PAC.</w:t>
      </w:r>
      <w:r>
        <w:t xml:space="preserve"> The execution and delivery by PAC of each Transaction Document to which it is a party, and the performance by PAC of its obligations thereunder, have been duly authorized by all necessary corporate action on the part of PAC, and each such Transaction Document has been duly executed and delivered by PAC.</w:t>
      </w:r>
    </w:p>
    <w:p>
      <w:r>
        <w:rPr>
          <w:b/>
          <w:sz w:val="19"/>
        </w:rPr>
        <w:t>[Note to Draft:</w:t>
      </w:r>
      <w:r>
        <w:rPr>
          <w:sz w:val="19"/>
        </w:rPr>
        <w:t xml:space="preserve"> </w:t>
      </w:r>
      <w:r>
        <w:rPr>
          <w:b/>
          <w:sz w:val="19"/>
        </w:rPr>
        <w:t>None of paragraphs 3(a) through (e) can be given on the authorizations furnished to date.</w:t>
      </w:r>
      <w:r>
        <w:rPr>
          <w:sz w:val="19"/>
        </w:rPr>
        <w:t xml:space="preserve"> In summary: (a) the Borrower’s May 28, 2025 resolutions authorize a facility of “up to $150,000,000”, not $175,000,000; they describe PFT as a Delaware corporation and PAC as an Ohio corporation; and the five directors recorded as attending (Halstead, Nguyen, S. Whitmore, Carruthers, Feinberg) do not match the five directors shown in the certified Organizational Documents Package (Halstead, Nguyen, Okonkwo, Cavanaugh, Jennings). (b) The Parent Guarantor’s consent is signed by Halstead and “Robert J. Castellano” as all of a two-member board, but the Parent Guarantor’s bylaws fix a three-member board (Halstead, Nguyen, Cavanaugh); DGCL Section 141(f) requires the consent of all directors. (c) PFT’s written consent is signed by one director (Kowalski) of a stated three, the stated directors do not match the directors of record (Halstead, Nguyen, Okonkwo), and ORC Section 1701.54 and Section 2.3 of PFT’s Code of Regulations require all directors to sign. (d) PCSS’s Sole Member consent is signed by David T. Okonkwo (General Counsel), who is expressly not an “Authorized Officer” under the PCSS LLC Agreement; under that agreement, action without a proper consent is void. (e) PAC’s consent is signed by Nguyen and “Karen A. Westbrook”, but PAC’s directors of record are Halstead and Nguyen. (f) The officers who signed for PFT (James A. Whitmore, VP, on the Credit Agreement; Richard S. Calloway, President, on the Security Agreement) and PAC (Sandra L. Fujikawa, VP; Jennifer A. Marcos, President) do not appear as officers in the governing documents, which list Halstead (President) and Nguyen (Secretary/Treasurer), and no incumbency certificates for them have been delivered. Curative consents and incumbency certificates are required; see the Issues Memorandum, Part B.</w:t>
      </w:r>
      <w:r>
        <w:rPr>
          <w:b/>
          <w:sz w:val="19"/>
        </w:rPr>
        <w:t>]</w:t>
      </w:r>
    </w:p>
    <w:p>
      <w:pPr>
        <w:pStyle w:val="Heading2"/>
      </w:pPr>
      <w:r>
        <w:t>4. Enforceability</w:t>
      </w:r>
    </w:p>
    <w:p>
      <w:pPr>
        <w:jc w:val="both"/>
      </w:pPr>
      <w:r>
        <w:t>Each Transaction Document to which an Opinion Party is a party constitutes the legal, valid and binding obligation of such Opinion Party, enforceable against such Opinion Party in accordance with its terms. Without limiting the foregoing, (a) the Credit Agreement (including Article X thereof) [and the Guaranty Agreement] constitute the legal, valid and binding obligations of each of the Borrower, the Parent Guarantor, PFT, PCSS and PAC, as applicable; (b) the Security Agreement constitutes the legal, valid and binding obligation of each of the Borrower, the Parent Guarantor, PFT, PCSS and PAC; (c) the Pledge Agreement constitutes the legal, valid and binding obligation of each Opinion Party party thereto; and (d) each Control Agreement constitutes the legal, valid and binding obligation of the Opinion Party party thereto; in each case enforceable against such Opinion Party in accordance with its terms.</w:t>
      </w:r>
    </w:p>
    <w:p>
      <w:pPr>
        <w:jc w:val="both"/>
      </w:pPr>
      <w:r>
        <w:t>[</w:t>
      </w:r>
      <w:r>
        <w:rPr>
          <w:b/>
        </w:rPr>
        <w:t>4A. Choice of Law.</w:t>
      </w:r>
      <w:r>
        <w:t xml:space="preserve"> The courts of the State of Ohio, applying the conflict-of-laws principles of the State of Ohio (which follow Section 187 of the Restatement (Second) of Conflict of Laws), would give effect to the choice of New York law in the Transaction Documents.]</w:t>
      </w:r>
    </w:p>
    <w:p>
      <w:r>
        <w:rPr>
          <w:b/>
          <w:sz w:val="19"/>
        </w:rPr>
        <w:t>[Note to Draft:</w:t>
      </w:r>
      <w:r>
        <w:rPr>
          <w:sz w:val="19"/>
        </w:rPr>
        <w:t xml:space="preserve"> The opinions in paragraphs 4 and 4A depend on assumption (8) in Part III and are subject to the qualifications in Part V. If Lender counsel will not accept that formulation, New York counsel will need to deliver the enforceability opinion and paragraph 4A will be deleted.</w:t>
      </w:r>
      <w:r>
        <w:rPr>
          <w:b/>
          <w:sz w:val="19"/>
        </w:rPr>
        <w:t>]</w:t>
      </w:r>
    </w:p>
    <w:p>
      <w:pPr>
        <w:pStyle w:val="Heading2"/>
      </w:pPr>
      <w:r>
        <w:t>5. No Conflicts</w:t>
      </w:r>
    </w:p>
    <w:p>
      <w:pPr>
        <w:jc w:val="both"/>
      </w:pPr>
      <w:r>
        <w:t>The execution and delivery by each Opinion Party of each Transaction Document to which it is a party, and the performance by such Opinion Party of its obligations thereunder (including the grant of the security interests provided for therein), do not and will not:</w:t>
      </w:r>
    </w:p>
    <w:p>
      <w:pPr>
        <w:ind w:left="720" w:hanging="720"/>
        <w:jc w:val="both"/>
      </w:pPr>
      <w:r>
        <w:t>(i)</w:t>
        <w:tab/>
        <w:t>violate (A) the certificate of incorporation or bylaws of the Borrower, (B) the certificate of incorporation or bylaws of the Parent Guarantor, (C) the articles of incorporation or code of regulations of PFT, (D) the certificate of formation or the PCSS LLC Agreement of PCSS, or (E) the certificate of incorporation or bylaws of PAC;</w:t>
      </w:r>
    </w:p>
    <w:p>
      <w:pPr>
        <w:ind w:left="720" w:hanging="720"/>
        <w:jc w:val="both"/>
      </w:pPr>
      <w:r>
        <w:t>(ii)</w:t>
        <w:tab/>
        <w:t>violate any law, rule or regulation of the State of Ohio, the DGCL, the DLLCA or any federal law of the United States of America, in each case that in our experience is normally applicable to general business entities in transactions of this type (the “</w:t>
      </w:r>
      <w:r>
        <w:rPr>
          <w:b/>
        </w:rPr>
        <w:t>Specified Laws</w:t>
      </w:r>
      <w:r>
        <w:t>”), applicable to such Opinion Party; or</w:t>
      </w:r>
    </w:p>
    <w:p>
      <w:pPr>
        <w:ind w:left="720" w:hanging="720"/>
        <w:jc w:val="both"/>
      </w:pPr>
      <w:r>
        <w:t>(iii)</w:t>
        <w:tab/>
        <w:t xml:space="preserve">result in a breach of, constitute a default under, or require any consent under, any Material Agreement to which such Opinion Party is a party or by which it or its properties are bound, </w:t>
      </w:r>
      <w:r>
        <w:rPr>
          <w:b/>
        </w:rPr>
        <w:t>except as specifically set forth on Annex F</w:t>
      </w:r>
      <w:r>
        <w:t xml:space="preserve"> (the “</w:t>
      </w:r>
      <w:r>
        <w:rPr>
          <w:b/>
        </w:rPr>
        <w:t>Identified Conflicts</w:t>
      </w:r>
      <w:r>
        <w:t>”).</w:t>
      </w:r>
    </w:p>
    <w:p>
      <w:pPr>
        <w:jc w:val="both"/>
      </w:pPr>
      <w:r>
        <w:t>Our opinion in clause (iii) speaks to both the execution and delivery of the Transaction Documents and the performance of the Opinion Parties’ obligations thereunder, contains no materiality qualification, and is limited to the Material Agreements listed on Schedule 5.04 to the Credit Agreement [that have been furnished to us in complete, executed form]. We express no opinion as to any financial covenant or other provision of a Material Agreement that requires a financial calculation or ratio to determine compliance, except as specifically addressed on Annex F.</w:t>
      </w:r>
    </w:p>
    <w:p>
      <w:r>
        <w:rPr>
          <w:b/>
          <w:sz w:val="19"/>
        </w:rPr>
        <w:t>[Note to Draft:</w:t>
      </w:r>
      <w:r>
        <w:rPr>
          <w:sz w:val="19"/>
        </w:rPr>
        <w:t xml:space="preserve"> Your letter asks that any actual or potential conflict be identified specifically and not covered by a materiality qualifier. On the present record, the Identified Conflicts on Annex F are actual conflicts: (1) the $175,000,000 of commitments exceeds the $125,000,000 cap on Senior Secured Indebtedness (undrawn revolving commitments included) in Section 7.01(b) of the Subordinated Note Purchase Agreement; and (2) the grant of a security interest in the Borrower’s rights under the Korvin License Agreement requires Korvin’s prior written consent under Section 14.2, which Schedule 5.04 confirms has not been obtained. If a Terracotta amendment or consent and a Korvin consent are delivered at closing, Annex F will be revised to describe them and those exceptions removed.</w:t>
      </w:r>
      <w:r>
        <w:rPr>
          <w:b/>
          <w:sz w:val="19"/>
        </w:rPr>
        <w:t>]</w:t>
      </w:r>
    </w:p>
    <w:p>
      <w:pPr>
        <w:pStyle w:val="Heading2"/>
      </w:pPr>
      <w:r>
        <w:t>6. No Governmental Approvals</w:t>
      </w:r>
    </w:p>
    <w:p>
      <w:pPr>
        <w:jc w:val="both"/>
      </w:pPr>
      <w:r>
        <w:t>No consent, approval, authorization or order of, or filing, registration or qualification with, any governmental authority of the United States of America, the State of Delaware or the State of Ohio is required under the Specified Laws for the execution, delivery and performance by any Opinion Party of the Transaction Documents to which it is a party, other than (i) those that have been obtained or made and are in full force and effect and (ii) the filing of the Financing Statements and other filings contemplated by the Security Agreement (including recordation of security interests with the United States Patent and Trademark Office and the United States Copyright Office).</w:t>
      </w:r>
    </w:p>
    <w:p>
      <w:pPr>
        <w:pStyle w:val="Heading2"/>
      </w:pPr>
      <w:r>
        <w:t>7. Creation, Perfection and Priority of Security Interests</w:t>
      </w:r>
    </w:p>
    <w:p>
      <w:pPr>
        <w:ind w:left="720" w:hanging="720"/>
        <w:jc w:val="both"/>
      </w:pPr>
      <w:r>
        <w:t>(a)</w:t>
        <w:tab/>
      </w:r>
      <w:r>
        <w:rPr>
          <w:b/>
        </w:rPr>
        <w:t>Creation.</w:t>
      </w:r>
      <w:r>
        <w:t xml:space="preserve"> The Security Agreement [and the Pledge Agreement] create in favor of the Administrative Agent, for the benefit of the Secured Parties, a valid security interest under Article 9 of the Uniform Commercial Code as in effect in the State of New York (the “</w:t>
      </w:r>
      <w:r>
        <w:rPr>
          <w:b/>
        </w:rPr>
        <w:t>NY UCC</w:t>
      </w:r>
      <w:r>
        <w:t>”) in each Grantor’s rights in the Collateral described therein, to the extent that Article 9 of the NY UCC applies to such Collateral (the “</w:t>
      </w:r>
      <w:r>
        <w:rPr>
          <w:b/>
        </w:rPr>
        <w:t>UCC Collateral</w:t>
      </w:r>
      <w:r>
        <w:t>”), as security for the Obligations. We express no opinion as to the creation of any security interest in the Borrower’s rights under the Korvin License Agreement except as set forth on Annex F, or in any commercial tort claim except those described with specificity in Schedule II to the Security Agreement [and that constitute commercial tort claims].</w:t>
      </w:r>
    </w:p>
    <w:p>
      <w:pPr>
        <w:ind w:left="720" w:hanging="720"/>
        <w:jc w:val="both"/>
      </w:pPr>
      <w:r>
        <w:t>(b)</w:t>
        <w:tab/>
      </w:r>
      <w:r>
        <w:rPr>
          <w:b/>
        </w:rPr>
        <w:t>Perfection by filing.</w:t>
      </w:r>
      <w:r>
        <w:t xml:space="preserve"> The Financing Statements are in appropriate form for filing in the office of the Secretary of State of the State of Delaware (as to the Borrower, the Parent Guarantor, PCSS and PAC) and the office of the Secretary of State of the State of Ohio (as to PFT). Under Sections 9-301(1) and 9-307(e) of the Uniform Commercial Code as in effect in the State of Delaware (the “</w:t>
      </w:r>
      <w:r>
        <w:rPr>
          <w:b/>
        </w:rPr>
        <w:t>DE UCC</w:t>
      </w:r>
      <w:r>
        <w:t>”) and Chapter 1309 of the Ohio Revised Code (the “</w:t>
      </w:r>
      <w:r>
        <w:rPr>
          <w:b/>
        </w:rPr>
        <w:t>OH UCC</w:t>
      </w:r>
      <w:r>
        <w:t>”), respectively, the local law of each such state governs perfection by filing of a security interest in the UCC Collateral of the Grantors organized in that state. Upon the filing of the Financing Statements in those offices (the search reports show these filings were made on June 10, 2025, under the file numbers on Annex B), the security interest in favor of the Administrative Agent in each Grantor’s UCC Collateral is perfected to the extent a security interest in such UCC Collateral can be perfected by filing a financing statement under the DE UCC or the OH UCC, as applicable.</w:t>
      </w:r>
    </w:p>
    <w:p>
      <w:pPr>
        <w:ind w:left="720" w:hanging="720"/>
        <w:jc w:val="both"/>
      </w:pPr>
      <w:r>
        <w:t>(c)</w:t>
        <w:tab/>
      </w:r>
      <w:r>
        <w:rPr>
          <w:b/>
        </w:rPr>
        <w:t>Deposit accounts.</w:t>
      </w:r>
      <w:r>
        <w:t xml:space="preserve"> (i) For each deposit account listed on Annex C that is maintained with Ridgeline National Bank, the Administrative Agent has “control” of that account within the meaning of Section 9-104(a)(1) of the UCC because the secured party is the bank at which the account is maintained. (ii) For each other deposit account listed on Annex C, upon execution and delivery of the applicable Deposit Account Control Agreement by the Grantor, the depositary bank and the Administrative Agent, the Administrative Agent has “control” within the meaning of Section 9-104(a)(2) of the UCC. In each case, the security interest in the deposit account is perfected by control under Sections 9-312(b)(1) and 9-314(a) of the UCC as in effect in the bank’s jurisdiction (determined under Section 9-304), assuming that jurisdiction is [the State of New York, Delaware or Ohio]. We note that a security interest in a deposit account as original collateral cannot be perfected by filing.</w:t>
      </w:r>
    </w:p>
    <w:p>
      <w:pPr>
        <w:ind w:left="720" w:hanging="720"/>
        <w:jc w:val="both"/>
      </w:pPr>
      <w:r>
        <w:t>(d)</w:t>
        <w:tab/>
      </w:r>
      <w:r>
        <w:rPr>
          <w:b/>
        </w:rPr>
        <w:t>Securities accounts.</w:t>
      </w:r>
      <w:r>
        <w:t xml:space="preserve"> For each securities account listed on Annex C, upon execution and delivery of the applicable Securities Account Control Agreement by the Grantor, the securities intermediary and the Administrative Agent (under which the securities intermediary agrees to comply with entitlement orders originated by the Administrative Agent without further consent of the Grantor), the Administrative Agent has “control” of the security entitlements carried in that account within the meaning of Sections 8-106(d)(2) and 9-106 of the UCC. The security interest in those security entitlements and the securities account is perfected by control under Section 9-314(a) of the UCC as in effect in the securities intermediary’s jurisdiction (determined under Section 8-110(e)), assuming that jurisdiction is [the State of New York, Delaware or Ohio] and that [Cromdale Consulting Wealth Advisors] is a “securities intermediary” within the meaning of Section 8-102(a)(14) of the UCC. The security interest in that investment property is also perfected by filing the Financing Statements against the Borrower and the Parent Guarantor in Delaware (Sections 9-305(c)(1) and 9-312(a) of the DE UCC). A security interest perfected by control, however, has priority over one perfected only by filing (Section 9-328(1)).</w:t>
      </w:r>
    </w:p>
    <w:p>
      <w:pPr>
        <w:ind w:left="720" w:hanging="720"/>
        <w:jc w:val="both"/>
      </w:pPr>
      <w:r>
        <w:t>(e)</w:t>
        <w:tab/>
      </w:r>
      <w:r>
        <w:rPr>
          <w:b/>
        </w:rPr>
        <w:t>Pledged equity.</w:t>
      </w:r>
      <w:r>
        <w:t xml:space="preserve"> (i) </w:t>
      </w:r>
      <w:r>
        <w:rPr>
          <w:i/>
        </w:rPr>
        <w:t>Certificated securities.</w:t>
      </w:r>
      <w:r>
        <w:t xml:space="preserve"> The shares of the Borrower, PFT and PAC described on Annex E are certificated securities. Upon delivery to the Administrative Agent in the State of [New York] of the certificates representing those shares, indorsed to the Administrative Agent or in blank by an effective indorsement or accompanied by stock powers duly executed in blank, the Administrative Agent has “control” of those securities within the meaning of Section 8-106(b)(1) of the NY UCC. The security interest therein is perfected by control under Section 9-314(a) of the NY UCC and, independently, is perfected by the filing of the Financing Statements against the Parent Guarantor and the Borrower in the State of Delaware under Sections 9-305(c)(1) and 9-312(a) of the DE UCC. (ii) </w:t>
      </w:r>
      <w:r>
        <w:rPr>
          <w:i/>
        </w:rPr>
        <w:t>PCSS membership interests.</w:t>
      </w:r>
      <w:r>
        <w:t xml:space="preserve"> Based solely on our review of the PCSS LLC Agreement, which does not provide that the limited liability company interests in PCSS are securities governed by Article 8, those interests are “general intangibles”. The security interest of the Administrative Agent therein is perfected by the filing of the Financing Statement against the Borrower with the Secretary of State of the State of Delaware.</w:t>
      </w:r>
    </w:p>
    <w:p>
      <w:pPr>
        <w:ind w:left="720" w:hanging="720"/>
        <w:jc w:val="both"/>
      </w:pPr>
      <w:r>
        <w:t>(f)</w:t>
        <w:tab/>
      </w:r>
      <w:r>
        <w:rPr>
          <w:b/>
        </w:rPr>
        <w:t>Intellectual property.</w:t>
      </w:r>
      <w:r>
        <w:t xml:space="preserve"> The security interest in the Grantors’ patents, trademarks and unregistered copyrights included in the UCC Collateral is perfected by the filing of the Financing Statements, to the extent perfection can be achieved by filing under the DE UCC or the OH UCC. We express no opinion as to (i) the perfection of any security interest in registered copyrights (including U.S. Copyright Registration Nos. TX 9-123-456 and TX 9-234-567), which may require recordation with the United States Copyright Office under the federal Copyright Act and the cases construing Section 9-311(a)(1) of the UCC, or (ii) the effect of recordation, or failure to record, with the United States Patent and Trademark Office as against subsequent purchasers or mortgagees.</w:t>
      </w:r>
    </w:p>
    <w:p>
      <w:pPr>
        <w:ind w:left="720" w:hanging="720"/>
        <w:jc w:val="both"/>
      </w:pPr>
      <w:r>
        <w:t>(g)</w:t>
        <w:tab/>
      </w:r>
      <w:r>
        <w:rPr>
          <w:b/>
        </w:rPr>
        <w:t>Priority — filed collateral.</w:t>
      </w:r>
      <w:r>
        <w:t xml:space="preserve"> The Search Report identifies no financing statement naming any Grantor as debtor and covering any UCC Collateral on file, as of June 8, 2025, in the office of the Secretary of State of the State of Delaware or the State of Ohio, other than (i) the Financing Statements and (ii) the filings described on Annex G. [Upon the filing of the UCC-3 termination statement relating to Ironbridge Industrial Finance Corp. File No. 2019-4572810 on June [__], 2025,] the Administrative Agent’s security interest in UCC Collateral perfected by filing the Financing Statements will have priority under Section 9-322(a)(1) of the DE UCC or the OH UCC, as applicable, over any other security interest in that UCC Collateral created by the applicable Grantor and perfected only by filing a financing statement, except for the security interests of the secured parties named in the filings listed in Part 1 of Annex G in the collateral those filings describe.</w:t>
      </w:r>
    </w:p>
    <w:p>
      <w:pPr>
        <w:ind w:left="720" w:hanging="720"/>
        <w:jc w:val="both"/>
      </w:pPr>
      <w:r>
        <w:t>(h)</w:t>
        <w:tab/>
      </w:r>
      <w:r>
        <w:rPr>
          <w:b/>
        </w:rPr>
        <w:t>Priority — pledged certificated securities.</w:t>
      </w:r>
      <w:r>
        <w:t xml:space="preserve"> Assuming the Administrative Agent acquired its security interest in the certificated securities described on Annex E for value and without notice of any adverse claim (within the meaning of Section 8-105 of the NY UCC), the Administrative Agent (i) has acquired its interest free of any adverse claim as a “protected purchaser” under Section 8-303 of the NY UCC and (ii) has priority under Section 9-328(1) of the NY UCC over any security interest in those securities held by a secured party that does not have control.</w:t>
      </w:r>
    </w:p>
    <w:p>
      <w:pPr>
        <w:jc w:val="both"/>
      </w:pPr>
      <w:r>
        <w:t>Except as expressly set forth in paragraphs 7(g) and 7(h), we express no opinion as to the priority of any security interest. In particular, we do not opine that the security interests constitute “first-priority” security interests subject only to Permitted Liens. We note the state tax lien notice described in Part 2 of Annex G.</w:t>
      </w:r>
    </w:p>
    <w:p>
      <w:r>
        <w:rPr>
          <w:b/>
          <w:sz w:val="19"/>
        </w:rPr>
        <w:t>[Note to Draft:</w:t>
      </w:r>
      <w:r>
        <w:rPr>
          <w:sz w:val="19"/>
        </w:rPr>
        <w:t xml:space="preserve"> (i) The June 9 letter asks for an unqualified first-priority opinion “subject only to Permitted Liens.” Under the TriBar reports that request is generally declined because priority depends on facts outside the record (non-filed liens, statutory liens, purchase-money interests, buyers in ordinary course, setoff and similar matters). We have instead given filing-based and control-based priority opinions and addressed each prior filing in the Search Report, as the letter requires. (ii) Paragraph 7(g) cannot be delivered until the Ironbridge all-assets financing statement (continued on July 22, 2024 through August 9, 2029) is terminated of record or a filed-stamped UCC-3 is in hand. (iii) The $347,218.64 Ohio state tax lien against the Borrower is not on Schedule 7.02, contradicts the tax representation in Section 5.08 of the Credit Agreement, and must be released (or, at minimum, disclosed and reserved against) before closing. (iv) The Search Report is dated through June 8, 2025 yet reports the June 10, 2025 filings; it needs a bring-down search and certified search results. (v) Schedule I to the Security Agreement describes 1,000,000 shares of PFT and 500,000 shares of PAC, but the articles and certificate of incorporation of PFT and PAC authorize and show outstanding only 1,000 shares each. Schedule I must be corrected and the certificates inspected before paragraph 7(e) is given. (vi) The Control Agreements, the identity and status of the securities intermediary, and the bank’s and intermediary’s jurisdictions must be confirmed before paragraphs 7(c) and 7(d) are given. (vii) The pledge of the PCSS membership interests requires the Sole Member’s written consent, executed by an Authorized Officer, under Section 4.1 of the PCSS LLC Agreement. Under 6 Del. C. Section 18-1101(g), Sections 9-406 and 9-408 of the UCC do not override that restriction.</w:t>
      </w:r>
      <w:r>
        <w:rPr>
          <w:b/>
          <w:sz w:val="19"/>
        </w:rPr>
        <w:t>]</w:t>
      </w:r>
    </w:p>
    <w:p>
      <w:pPr>
        <w:pStyle w:val="Heading2"/>
      </w:pPr>
      <w:r>
        <w:t>8. Litigation</w:t>
      </w:r>
    </w:p>
    <w:p>
      <w:pPr>
        <w:jc w:val="both"/>
      </w:pPr>
      <w:r>
        <w:t>To our knowledge, there is no action, suit, arbitration or proceeding by or before any court, arbitrator or governmental authority pending or overtly threatened in writing against any Opinion Party that would reasonably be expected to have a Material Adverse Effect. Although not required by the preceding sentence, we call your attention to the pending actions described on Annex H. To our knowledge, they are the only actions pending against any Opinion Party. We express no opinion as to the likely outcome of any of them or as to whether, individually or in the aggregate, they would reasonably be expected to have a Material Adverse Effect.</w:t>
      </w:r>
    </w:p>
    <w:p>
      <w:pPr>
        <w:jc w:val="both"/>
      </w:pPr>
      <w:r>
        <w:t>For purposes of this paragraph 8, “</w:t>
      </w:r>
      <w:r>
        <w:rPr>
          <w:b/>
        </w:rPr>
        <w:t>our knowledge</w:t>
      </w:r>
      <w:r>
        <w:t>” means the conscious awareness of facts or other information by the lawyers in this firm who have given substantive attention to the representation of the Opinion Parties in connection with the Transaction Documents. It also reflects (i) inquiry of David T. Okonkwo, General Counsel, and Margaret R. Halstead, Chief Executive Officer, of the Borrower and (ii) review of the Officer’s Certificates. We have not searched any court dockets or other public records.</w:t>
      </w:r>
    </w:p>
    <w:p>
      <w:r>
        <w:rPr>
          <w:b/>
          <w:sz w:val="19"/>
        </w:rPr>
        <w:t>[Note to Draft:</w:t>
      </w:r>
      <w:r>
        <w:rPr>
          <w:sz w:val="19"/>
        </w:rPr>
        <w:t xml:space="preserve"> Schedule 5.06 to the Credit Agreement states that Whitfield &amp; Crane LLP assessed the Morrison claim, while the Officer’s Certificate attributes the assessment to Kellner &amp; Brandt LLP and describes a pending motion to dismiss that Schedule 5.06 does not mention. Our role in the Morrison and Reliant matters must be confirmed and the descriptions conformed. A certificate of the General Counsel addressing litigation is also required because the June 9 letter requires inquiry of the General Counsel and the CEO, and the Officer’s Certificate is signed by the CEO and CFO only.</w:t>
      </w:r>
      <w:r>
        <w:rPr>
          <w:b/>
          <w:sz w:val="19"/>
        </w:rPr>
        <w:t>]</w:t>
      </w:r>
    </w:p>
    <w:p>
      <w:pPr>
        <w:pStyle w:val="Heading1"/>
      </w:pPr>
      <w:r>
        <w:t>V. Qualifications and Exceptions</w:t>
      </w:r>
    </w:p>
    <w:p>
      <w:pPr>
        <w:jc w:val="both"/>
      </w:pPr>
      <w:r>
        <w:t>The opinions expressed above are subject to the following qualifications and exceptions, each of which is set out in full below. None is incorporated by general reference to “customary” or “usual” exceptions:</w:t>
      </w:r>
    </w:p>
    <w:p>
      <w:pPr>
        <w:ind w:left="720" w:hanging="720"/>
        <w:jc w:val="both"/>
      </w:pPr>
      <w:r>
        <w:t>(a)</w:t>
        <w:tab/>
      </w:r>
      <w:r>
        <w:rPr>
          <w:b/>
        </w:rPr>
        <w:t>Bankruptcy and creditors’ rights.</w:t>
      </w:r>
      <w:r>
        <w:t xml:space="preserve"> The effect of bankruptcy, insolvency, reorganization, receivership, moratorium, fraudulent conveyance, fraudulent transfer and similar laws affecting the rights and remedies of creditors generally, including Section 548 of the United States Bankruptcy Code and comparable state law as applied to the guaranties and security interests granted by the Parent Guarantor and the Subsidiary Guarantors.</w:t>
      </w:r>
    </w:p>
    <w:p>
      <w:pPr>
        <w:ind w:left="720" w:hanging="720"/>
        <w:jc w:val="both"/>
      </w:pPr>
      <w:r>
        <w:t>(b)</w:t>
        <w:tab/>
      </w:r>
      <w:r>
        <w:rPr>
          <w:b/>
        </w:rPr>
        <w:t>Equitable principles.</w:t>
      </w:r>
      <w:r>
        <w:t xml:space="preserve"> The effect of general principles of equity (whether applied in a proceeding at law or in equity), including concepts of materiality, reasonableness, good faith and fair dealing.</w:t>
      </w:r>
    </w:p>
    <w:p>
      <w:pPr>
        <w:ind w:left="720" w:hanging="720"/>
        <w:jc w:val="both"/>
      </w:pPr>
      <w:r>
        <w:t>(c)</w:t>
        <w:tab/>
      </w:r>
      <w:r>
        <w:rPr>
          <w:b/>
        </w:rPr>
        <w:t>Waivers.</w:t>
      </w:r>
      <w:r>
        <w:t xml:space="preserve"> We express no opinion as to provisions relating to waivers of rights or defenses to the extent such waivers are held to be unenforceable, including the suretyship waivers in Section 10.02 of the Credit Agreement and the waivers in Section 5.04 of the Security Agreement.</w:t>
      </w:r>
    </w:p>
    <w:p>
      <w:pPr>
        <w:ind w:left="720" w:hanging="720"/>
        <w:jc w:val="both"/>
      </w:pPr>
      <w:r>
        <w:t>(d)</w:t>
        <w:tab/>
      </w:r>
      <w:r>
        <w:rPr>
          <w:b/>
        </w:rPr>
        <w:t>Indemnification and contribution.</w:t>
      </w:r>
      <w:r>
        <w:t xml:space="preserve"> We express no opinion as to the enforceability of indemnification or contribution provisions (including Section 11.03(b) of the Credit Agreement) to the extent they are determined to violate public policy.</w:t>
      </w:r>
    </w:p>
    <w:p>
      <w:pPr>
        <w:ind w:left="720" w:hanging="720"/>
        <w:jc w:val="both"/>
      </w:pPr>
      <w:r>
        <w:t>(e)</w:t>
        <w:tab/>
      </w:r>
      <w:r>
        <w:rPr>
          <w:b/>
        </w:rPr>
        <w:t>Equitable subordination.</w:t>
      </w:r>
      <w:r>
        <w:t xml:space="preserve"> The effect of the doctrine of equitable subordination.</w:t>
      </w:r>
    </w:p>
    <w:p>
      <w:pPr>
        <w:ind w:left="720" w:hanging="720"/>
        <w:jc w:val="both"/>
      </w:pPr>
      <w:r>
        <w:t>(f)</w:t>
        <w:tab/>
      </w:r>
      <w:r>
        <w:rPr>
          <w:b/>
        </w:rPr>
        <w:t>Jury trial waivers.</w:t>
      </w:r>
      <w:r>
        <w:t xml:space="preserve"> Limitations on the enforceability of provisions purporting to waive the right to trial by jury, including Section 11.05(c) of the Credit Agreement and Section 7.07 of the Security Agreement.</w:t>
      </w:r>
    </w:p>
    <w:p>
      <w:pPr>
        <w:ind w:left="720" w:hanging="720"/>
        <w:jc w:val="both"/>
      </w:pPr>
      <w:r>
        <w:t>(g)</w:t>
        <w:tab/>
      </w:r>
      <w:r>
        <w:rPr>
          <w:b/>
        </w:rPr>
        <w:t>Penalties and forfeitures.</w:t>
      </w:r>
      <w:r>
        <w:t xml:space="preserve"> Limitations on the enforceability of penalty and forfeiture provisions, including the Default Rate provided for in Section 2.04(b) of the Credit Agreement to the extent it is determined to be a penalty.</w:t>
      </w:r>
    </w:p>
    <w:p>
      <w:pPr>
        <w:ind w:left="720" w:hanging="720"/>
        <w:jc w:val="both"/>
      </w:pPr>
      <w:r>
        <w:t>(h)</w:t>
        <w:tab/>
      </w:r>
      <w:r>
        <w:rPr>
          <w:b/>
        </w:rPr>
        <w:t>Forum and jurisdiction.</w:t>
      </w:r>
      <w:r>
        <w:t xml:space="preserve"> Limitations on provisions relating to choice of forum, consent to jurisdiction or submission to the jurisdiction of a particular court, to the extent inconsistent with due process requirements; and the opinion in paragraph 4 does not cover the exclusive-jurisdiction provisions of Section 11.05(b) of the Credit Agreement or Section 7.07 of the Security Agreement as they would bind a federal court.</w:t>
      </w:r>
    </w:p>
    <w:p>
      <w:pPr>
        <w:ind w:left="720" w:hanging="720"/>
        <w:jc w:val="both"/>
      </w:pPr>
      <w:r>
        <w:t>(i)</w:t>
        <w:tab/>
      </w:r>
      <w:r>
        <w:rPr>
          <w:b/>
        </w:rPr>
        <w:t>Access to courts and remedies.</w:t>
      </w:r>
      <w:r>
        <w:t xml:space="preserve"> Limitations on provisions restricting access to courts or remedies otherwise available under applicable law.</w:t>
      </w:r>
    </w:p>
    <w:p>
      <w:pPr>
        <w:ind w:left="720"/>
      </w:pPr>
      <w:r>
        <w:t>[Additional qualifications — not on the Lender Parties’ June 9 list; submitted for Lender counsel’s agreement:]</w:t>
      </w:r>
    </w:p>
    <w:p>
      <w:pPr>
        <w:ind w:left="720" w:hanging="720"/>
        <w:jc w:val="both"/>
      </w:pPr>
      <w:r>
        <w:t>[(j)</w:t>
        <w:tab/>
      </w:r>
      <w:r>
        <w:rPr>
          <w:b/>
        </w:rPr>
        <w:t>UCC exclusions.</w:t>
      </w:r>
      <w:r>
        <w:t xml:space="preserve"> We express no opinion as to the creation, perfection or priority of any security interest in (i) property excluded from Article 9 by Section 9-109 of the UCC; (ii) goods covered by a certificate of title, fixtures, timber, as-extracted collateral, money or letter-of-credit rights (except, as to letter-of-credit rights, as supporting obligations); (iii) property subject to a federal statute, regulation or treaty described in Section 9-311(a)(1); (iv) commercial tort claims other than those described with specificity as required by Section 9-108(e); or (v) proceeds, except to the extent provided in Section 9-315.]</w:t>
      </w:r>
    </w:p>
    <w:p>
      <w:pPr>
        <w:ind w:left="720" w:hanging="720"/>
        <w:jc w:val="both"/>
      </w:pPr>
      <w:r>
        <w:t>[(k)</w:t>
        <w:tab/>
      </w:r>
      <w:r>
        <w:rPr>
          <w:b/>
        </w:rPr>
        <w:t>Section 9-408 and federal patent law.</w:t>
      </w:r>
      <w:r>
        <w:t xml:space="preserve"> As to the Korvin License Agreement, our opinion is limited to the effect of Section 9-408 of the UCC as described on Annex F. We express no opinion as to whether federal patent law would displace Section 9-408 as applied to an exclusive patent license, or as to the enforceability of Korvin’s termination and injunctive remedies under Section 14.3 of the Korvin License Agreement.]</w:t>
      </w:r>
    </w:p>
    <w:p>
      <w:pPr>
        <w:ind w:left="720" w:hanging="720"/>
        <w:jc w:val="both"/>
      </w:pPr>
      <w:r>
        <w:t>[(l)</w:t>
        <w:tab/>
      </w:r>
      <w:r>
        <w:rPr>
          <w:b/>
        </w:rPr>
        <w:t>Continuation and changes.</w:t>
      </w:r>
      <w:r>
        <w:t xml:space="preserve"> Perfection will be lost unless continuation statements are filed within the period specified in Section 9-515, and may be lost or impaired on the occurrence of the events described in Sections 9-316, 9-507 and 9-508 (including a change in a Grantor’s name or jurisdiction of organization).]</w:t>
      </w:r>
    </w:p>
    <w:p>
      <w:pPr>
        <w:ind w:left="720" w:hanging="720"/>
        <w:jc w:val="both"/>
      </w:pPr>
      <w:r>
        <w:t>[(m)</w:t>
        <w:tab/>
      </w:r>
      <w:r>
        <w:rPr>
          <w:b/>
        </w:rPr>
        <w:t>Post-petition interest and remedies.</w:t>
      </w:r>
      <w:r>
        <w:t xml:space="preserve"> We express no opinion as to provisions purporting to secure or guarantee interest accruing after the commencement of a bankruptcy case, or as to the commercial reasonableness of the ten-day notice period in Section 5.02(c) of the Security Agreement, which is subject to Sections 9-602 and 9-611 through 9-613 of the UCC.]</w:t>
      </w:r>
    </w:p>
    <w:p>
      <w:pPr>
        <w:ind w:left="720" w:hanging="720"/>
        <w:jc w:val="both"/>
      </w:pPr>
      <w:r>
        <w:t>[(n)</w:t>
        <w:tab/>
      </w:r>
      <w:r>
        <w:rPr>
          <w:b/>
        </w:rPr>
        <w:t>Factual calculations.</w:t>
      </w:r>
      <w:r>
        <w:t xml:space="preserve"> We express no opinion as to any matter requiring a financial calculation or determination, including compliance with Section 7.09 of the Credit Agreement or with Section 7.01(b) of the Subordinated Note Purchase Agreement, except as expressly set forth on Annex F.]</w:t>
      </w:r>
    </w:p>
    <w:p>
      <w:pPr>
        <w:pStyle w:val="Heading1"/>
      </w:pPr>
      <w:r>
        <w:t>VI. Limitations</w:t>
      </w:r>
    </w:p>
    <w:p>
      <w:pPr>
        <w:ind w:left="720" w:hanging="720"/>
        <w:jc w:val="both"/>
      </w:pPr>
      <w:r>
        <w:t>(a)</w:t>
        <w:tab/>
      </w:r>
      <w:r>
        <w:rPr>
          <w:b/>
        </w:rPr>
        <w:t>Covered law.</w:t>
      </w:r>
      <w:r>
        <w:t xml:space="preserve"> The opinions expressed herein are limited to the laws of the State of Ohio, the DGCL, the DLLCA, the other laws of the State of Delaware [that, in our experience, are normally applicable to transactions of this type], the federal laws of the United States of America, and Article 9 (and, for purposes of paragraphs 7(d), 7(e) and 7(h), Article 8) of the Uniform Commercial Code as in effect in the States of New York, Delaware and Ohio. We express no opinion as to the laws of any other jurisdiction.</w:t>
      </w:r>
    </w:p>
    <w:p>
      <w:pPr>
        <w:ind w:left="720" w:hanging="720"/>
        <w:jc w:val="both"/>
      </w:pPr>
      <w:r>
        <w:t>(b)</w:t>
        <w:tab/>
      </w:r>
      <w:r>
        <w:rPr>
          <w:b/>
        </w:rPr>
        <w:t>Excluded matters.</w:t>
      </w:r>
      <w:r>
        <w:t xml:space="preserve"> We express no opinion as to federal or state securities laws, tax laws, the Employee Retirement Income Security Act of 1974, environmental laws, antitrust laws or banking regulations (including Regulations T, U and X of the Board of Governors of the Federal Reserve System).</w:t>
      </w:r>
    </w:p>
    <w:p>
      <w:pPr>
        <w:ind w:left="720" w:hanging="720"/>
        <w:jc w:val="both"/>
      </w:pPr>
      <w:r>
        <w:t>(c)</w:t>
        <w:tab/>
      </w:r>
      <w:r>
        <w:rPr>
          <w:b/>
        </w:rPr>
        <w:t>Reliance.</w:t>
      </w:r>
      <w:r>
        <w:t xml:space="preserve"> This opinion letter is delivered solely for the benefit of the addressees in connection with the transactions contemplated by the Credit Agreement and may not be relied upon by any other person, or for any other purpose, without our prior written consent [; provided that any person that becomes a Lender under Section 11.04 of the Credit Agreement after the date hereof may rely on this opinion letter as if addressed to it on the date hereof].</w:t>
      </w:r>
    </w:p>
    <w:p>
      <w:pPr>
        <w:ind w:left="720" w:hanging="720"/>
        <w:jc w:val="both"/>
      </w:pPr>
      <w:r>
        <w:t>(d)</w:t>
        <w:tab/>
      </w:r>
      <w:r>
        <w:rPr>
          <w:b/>
        </w:rPr>
        <w:t>Date.</w:t>
      </w:r>
      <w:r>
        <w:t xml:space="preserve"> This opinion letter is given as of the date hereof, and we assume no obligation to update or supplement it to reflect any facts or circumstances that may come to our attention, or any changes in law that may occur, after the date hereof.</w:t>
      </w:r>
    </w:p>
    <w:p>
      <w:pPr>
        <w:ind w:left="720" w:hanging="720"/>
        <w:jc w:val="both"/>
      </w:pPr>
      <w:r>
        <w:t>(e)</w:t>
        <w:tab/>
      </w:r>
      <w:r>
        <w:rPr>
          <w:b/>
        </w:rPr>
        <w:t>Interpretation.</w:t>
      </w:r>
      <w:r>
        <w:t xml:space="preserve"> This opinion letter is to be interpreted in accordance with customary practice of lawyers regularly rendering closing opinions in secured lending transactions, including the TriBar Opinion Committee reports and, to the extent consistent with the foregoing, the ABA Legal Opinion Accord. The opinions expressed are limited to the matters expressly stated, and no opinion is implied or may be inferred beyond those matters.</w:t>
      </w:r>
    </w:p>
    <w:p>
      <w:pPr>
        <w:spacing w:before="240"/>
      </w:pPr>
      <w:r>
        <w:t>Very truly yours,</w:t>
      </w:r>
    </w:p>
    <w:p>
      <w:pPr>
        <w:spacing w:after="480"/>
      </w:pPr>
      <w:r>
        <w:t>WHITFIELD &amp; CRANE LLP</w:t>
      </w:r>
    </w:p>
    <w:p>
      <w:pPr>
        <w:spacing w:after="240"/>
      </w:pPr>
      <w:r>
        <w:t xml:space="preserve">By: </w:t>
      </w:r>
      <w:r>
        <w:rPr>
          <w:u w:val="single"/>
        </w:rPr>
        <w:t>_</w:t>
      </w:r>
      <w:r>
        <w:rPr>
          <w:u w:val="single"/>
        </w:rPr>
        <w:t>_</w:t>
      </w:r>
      <w:r>
        <w:rPr>
          <w:u w:val="single"/>
        </w:rPr>
        <w:t>_</w:t>
      </w:r>
      <w:r>
        <w:rPr>
          <w:u w:val="single"/>
        </w:rPr>
        <w:t>_</w:t>
      </w:r>
      <w:r>
        <w:rPr>
          <w:u w:val="single"/>
        </w:rPr>
        <w:t>_</w:t>
      </w:r>
      <w:r>
        <w:rPr>
          <w:u w:val="single"/>
        </w:rPr>
        <w:t>_</w:t>
      </w:r>
      <w:r>
        <w:br/>
        <w:t xml:space="preserve">      [Victoria S. Engstrom], Partner</w:t>
      </w:r>
    </w:p>
    <w:p>
      <w:r>
        <w:rPr>
          <w:b/>
          <w:sz w:val="19"/>
        </w:rPr>
        <w:t>[Note to Draft:</w:t>
      </w:r>
      <w:r>
        <w:rPr>
          <w:sz w:val="19"/>
        </w:rPr>
        <w:t xml:space="preserve"> To be executed by a partner (wet-ink or authorized electronic signature) only after Opinion Committee sign-off and resolution of the open items. Advance draft circulated to Drummond &amp; Associates LLP on June 12, 2025, as requested.</w:t>
      </w:r>
      <w:r>
        <w:rPr>
          <w:b/>
          <w:sz w:val="19"/>
        </w:rPr>
        <w:t>]</w:t>
      </w:r>
    </w:p>
    <w:p>
      <w:r>
        <w:br w:type="page"/>
      </w:r>
    </w:p>
    <w:p>
      <w:pPr>
        <w:pStyle w:val="Heading1"/>
      </w:pPr>
      <w:r>
        <w:t>Schedule I — Addressee Lenders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3168"/>
            <w:shd w:val="clear" w:color="auto" w:fill="D9D9D9"/>
          </w:tcPr>
          <w:p>
            <w:r/>
            <w:r>
              <w:rPr>
                <w:b/>
                <w:sz w:val="18"/>
              </w:rPr>
              <w:t>Lender</w:t>
            </w:r>
          </w:p>
        </w:tc>
        <w:tc>
          <w:tcPr>
            <w:tcW w:type="dxa" w:w="1584"/>
            <w:shd w:val="clear" w:color="auto" w:fill="D9D9D9"/>
          </w:tcPr>
          <w:p>
            <w:r/>
            <w:r>
              <w:rPr>
                <w:b/>
                <w:sz w:val="18"/>
              </w:rPr>
              <w:t>Commitment</w:t>
            </w:r>
          </w:p>
        </w:tc>
        <w:tc>
          <w:tcPr>
            <w:tcW w:type="dxa" w:w="1296"/>
            <w:shd w:val="clear" w:color="auto" w:fill="D9D9D9"/>
          </w:tcPr>
          <w:p>
            <w:r/>
            <w:r>
              <w:rPr>
                <w:b/>
                <w:sz w:val="18"/>
              </w:rPr>
              <w:t>Pro Rata Share</w:t>
            </w:r>
          </w:p>
        </w:tc>
        <w:tc>
          <w:tcPr>
            <w:tcW w:type="dxa" w:w="3312"/>
            <w:shd w:val="clear" w:color="auto" w:fill="D9D9D9"/>
          </w:tcPr>
          <w:p>
            <w:r/>
            <w:r>
              <w:rPr>
                <w:b/>
                <w:sz w:val="18"/>
              </w:rPr>
              <w:t>Notice Address</w:t>
            </w:r>
          </w:p>
        </w:tc>
      </w:tr>
      <w:tr>
        <w:tc>
          <w:tcPr>
            <w:tcW w:type="dxa" w:w="3168"/>
          </w:tcPr>
          <w:p>
            <w:r/>
            <w:r>
              <w:rPr>
                <w:sz w:val="18"/>
              </w:rPr>
              <w:t>Ridgeline National Bank (also Administrative Agent)</w:t>
            </w:r>
          </w:p>
        </w:tc>
        <w:tc>
          <w:tcPr>
            <w:tcW w:type="dxa" w:w="1584"/>
          </w:tcPr>
          <w:p>
            <w:r/>
            <w:r>
              <w:rPr>
                <w:sz w:val="18"/>
              </w:rPr>
              <w:t>$60,000,000</w:t>
            </w:r>
          </w:p>
        </w:tc>
        <w:tc>
          <w:tcPr>
            <w:tcW w:type="dxa" w:w="1296"/>
          </w:tcPr>
          <w:p>
            <w:r/>
            <w:r>
              <w:rPr>
                <w:sz w:val="18"/>
              </w:rPr>
              <w:t>34.29%</w:t>
            </w:r>
          </w:p>
        </w:tc>
        <w:tc>
          <w:tcPr>
            <w:tcW w:type="dxa" w:w="3312"/>
          </w:tcPr>
          <w:p>
            <w:r/>
            <w:r>
              <w:rPr>
                <w:sz w:val="18"/>
              </w:rPr>
              <w:t>600 Commerce Tower, Charlotte, NC 28202</w:t>
            </w:r>
          </w:p>
        </w:tc>
      </w:tr>
      <w:tr>
        <w:tc>
          <w:tcPr>
            <w:tcW w:type="dxa" w:w="3168"/>
          </w:tcPr>
          <w:p>
            <w:r/>
            <w:r>
              <w:rPr>
                <w:sz w:val="18"/>
              </w:rPr>
              <w:t>Harborview Capital Finance, LLC</w:t>
            </w:r>
          </w:p>
        </w:tc>
        <w:tc>
          <w:tcPr>
            <w:tcW w:type="dxa" w:w="1584"/>
          </w:tcPr>
          <w:p>
            <w:r/>
            <w:r>
              <w:rPr>
                <w:sz w:val="18"/>
              </w:rPr>
              <w:t>$55,000,000</w:t>
            </w:r>
          </w:p>
        </w:tc>
        <w:tc>
          <w:tcPr>
            <w:tcW w:type="dxa" w:w="1296"/>
          </w:tcPr>
          <w:p>
            <w:r/>
            <w:r>
              <w:rPr>
                <w:sz w:val="18"/>
              </w:rPr>
              <w:t>31.43%</w:t>
            </w:r>
          </w:p>
        </w:tc>
        <w:tc>
          <w:tcPr>
            <w:tcW w:type="dxa" w:w="3312"/>
          </w:tcPr>
          <w:p>
            <w:r/>
            <w:r>
              <w:rPr>
                <w:sz w:val="18"/>
              </w:rPr>
              <w:t>250 Park Avenue, 18th Floor, New York, NY 10166</w:t>
            </w:r>
          </w:p>
        </w:tc>
      </w:tr>
      <w:tr>
        <w:tc>
          <w:tcPr>
            <w:tcW w:type="dxa" w:w="3168"/>
          </w:tcPr>
          <w:p>
            <w:r/>
            <w:r>
              <w:rPr>
                <w:sz w:val="18"/>
              </w:rPr>
              <w:t>Greystone Commercial Lending Corp.</w:t>
            </w:r>
          </w:p>
        </w:tc>
        <w:tc>
          <w:tcPr>
            <w:tcW w:type="dxa" w:w="1584"/>
          </w:tcPr>
          <w:p>
            <w:r/>
            <w:r>
              <w:rPr>
                <w:sz w:val="18"/>
              </w:rPr>
              <w:t>$35,000,000</w:t>
            </w:r>
          </w:p>
        </w:tc>
        <w:tc>
          <w:tcPr>
            <w:tcW w:type="dxa" w:w="1296"/>
          </w:tcPr>
          <w:p>
            <w:r/>
            <w:r>
              <w:rPr>
                <w:sz w:val="18"/>
              </w:rPr>
              <w:t>20.00%</w:t>
            </w:r>
          </w:p>
        </w:tc>
        <w:tc>
          <w:tcPr>
            <w:tcW w:type="dxa" w:w="3312"/>
          </w:tcPr>
          <w:p>
            <w:r/>
            <w:r>
              <w:rPr>
                <w:sz w:val="18"/>
              </w:rPr>
              <w:t>1750 K Street NW, Suite 1100, Washington, DC 20006</w:t>
            </w:r>
          </w:p>
        </w:tc>
      </w:tr>
      <w:tr>
        <w:tc>
          <w:tcPr>
            <w:tcW w:type="dxa" w:w="3168"/>
          </w:tcPr>
          <w:p>
            <w:r/>
            <w:r>
              <w:rPr>
                <w:sz w:val="18"/>
              </w:rPr>
              <w:t>Meridian Trust Company</w:t>
            </w:r>
          </w:p>
        </w:tc>
        <w:tc>
          <w:tcPr>
            <w:tcW w:type="dxa" w:w="1584"/>
          </w:tcPr>
          <w:p>
            <w:r/>
            <w:r>
              <w:rPr>
                <w:sz w:val="18"/>
              </w:rPr>
              <w:t>$25,000,000</w:t>
            </w:r>
          </w:p>
        </w:tc>
        <w:tc>
          <w:tcPr>
            <w:tcW w:type="dxa" w:w="1296"/>
          </w:tcPr>
          <w:p>
            <w:r/>
            <w:r>
              <w:rPr>
                <w:sz w:val="18"/>
              </w:rPr>
              <w:t>14.29%</w:t>
            </w:r>
          </w:p>
        </w:tc>
        <w:tc>
          <w:tcPr>
            <w:tcW w:type="dxa" w:w="3312"/>
          </w:tcPr>
          <w:p>
            <w:r/>
            <w:r>
              <w:rPr>
                <w:sz w:val="18"/>
              </w:rPr>
              <w:t>300 Atlantic Street, Stamford, CT 06901</w:t>
            </w:r>
          </w:p>
        </w:tc>
      </w:tr>
      <w:tr>
        <w:tc>
          <w:tcPr>
            <w:tcW w:type="dxa" w:w="3168"/>
          </w:tcPr>
          <w:p>
            <w:r/>
            <w:r>
              <w:rPr>
                <w:b/>
                <w:sz w:val="18"/>
              </w:rPr>
              <w:t>Total</w:t>
            </w:r>
          </w:p>
        </w:tc>
        <w:tc>
          <w:tcPr>
            <w:tcW w:type="dxa" w:w="1584"/>
          </w:tcPr>
          <w:p>
            <w:r/>
            <w:r>
              <w:rPr>
                <w:b/>
                <w:sz w:val="18"/>
              </w:rPr>
              <w:t>$175,000,000</w:t>
            </w:r>
          </w:p>
        </w:tc>
        <w:tc>
          <w:tcPr>
            <w:tcW w:type="dxa" w:w="1296"/>
          </w:tcPr>
          <w:p>
            <w:r/>
            <w:r>
              <w:rPr>
                <w:b/>
                <w:sz w:val="18"/>
              </w:rPr>
              <w:t>100.00%</w:t>
            </w:r>
          </w:p>
        </w:tc>
        <w:tc>
          <w:tcPr>
            <w:tcW w:type="dxa" w:w="3312"/>
          </w:tcPr>
          <w:p>
            <w:r/>
          </w:p>
        </w:tc>
      </w:tr>
    </w:tbl>
    <w:p/>
    <w:p>
      <w:pPr>
        <w:pStyle w:val="Heading1"/>
      </w:pPr>
      <w:r>
        <w:t>Annex A — Opinion Parties and Transaction Documents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2016"/>
            <w:shd w:val="clear" w:color="auto" w:fill="D9D9D9"/>
          </w:tcPr>
          <w:p>
            <w:r/>
            <w:r>
              <w:rPr>
                <w:b/>
                <w:sz w:val="16"/>
              </w:rPr>
              <w:t>Opinion Party</w:t>
            </w:r>
          </w:p>
        </w:tc>
        <w:tc>
          <w:tcPr>
            <w:tcW w:type="dxa" w:w="1296"/>
            <w:shd w:val="clear" w:color="auto" w:fill="D9D9D9"/>
          </w:tcPr>
          <w:p>
            <w:r/>
            <w:r>
              <w:rPr>
                <w:b/>
                <w:sz w:val="16"/>
              </w:rPr>
              <w:t>Entity / Jurisdiction</w:t>
            </w:r>
          </w:p>
        </w:tc>
        <w:tc>
          <w:tcPr>
            <w:tcW w:type="dxa" w:w="1440"/>
            <w:shd w:val="clear" w:color="auto" w:fill="D9D9D9"/>
          </w:tcPr>
          <w:p>
            <w:r/>
            <w:r>
              <w:rPr>
                <w:b/>
                <w:sz w:val="16"/>
              </w:rPr>
              <w:t>Credit Agreement (incl. Art. X Guaranty)</w:t>
            </w:r>
          </w:p>
        </w:tc>
        <w:tc>
          <w:tcPr>
            <w:tcW w:type="dxa" w:w="1584"/>
            <w:shd w:val="clear" w:color="auto" w:fill="D9D9D9"/>
          </w:tcPr>
          <w:p>
            <w:r/>
            <w:r>
              <w:rPr>
                <w:b/>
                <w:sz w:val="16"/>
              </w:rPr>
              <w:t>Security Agreement</w:t>
            </w:r>
          </w:p>
        </w:tc>
        <w:tc>
          <w:tcPr>
            <w:tcW w:type="dxa" w:w="1008"/>
            <w:shd w:val="clear" w:color="auto" w:fill="D9D9D9"/>
          </w:tcPr>
          <w:p>
            <w:r/>
            <w:r>
              <w:rPr>
                <w:b/>
                <w:sz w:val="16"/>
              </w:rPr>
              <w:t>Pledge Agreement</w:t>
            </w:r>
          </w:p>
        </w:tc>
        <w:tc>
          <w:tcPr>
            <w:tcW w:type="dxa" w:w="1008"/>
            <w:shd w:val="clear" w:color="auto" w:fill="D9D9D9"/>
          </w:tcPr>
          <w:p>
            <w:r/>
            <w:r>
              <w:rPr>
                <w:b/>
                <w:sz w:val="16"/>
              </w:rPr>
              <w:t>Guaranty Agreement</w:t>
            </w:r>
          </w:p>
        </w:tc>
        <w:tc>
          <w:tcPr>
            <w:tcW w:type="dxa" w:w="1728"/>
            <w:shd w:val="clear" w:color="auto" w:fill="D9D9D9"/>
          </w:tcPr>
          <w:p>
            <w:r/>
            <w:r>
              <w:rPr>
                <w:b/>
                <w:sz w:val="16"/>
              </w:rPr>
              <w:t>Control Agreements</w:t>
            </w:r>
          </w:p>
        </w:tc>
      </w:tr>
      <w:tr>
        <w:tc>
          <w:tcPr>
            <w:tcW w:type="dxa" w:w="2016"/>
          </w:tcPr>
          <w:p>
            <w:r/>
            <w:r>
              <w:rPr>
                <w:sz w:val="16"/>
              </w:rPr>
              <w:t>Pinnacle Manufacturing Group, Inc. (Borrower)</w:t>
            </w:r>
          </w:p>
        </w:tc>
        <w:tc>
          <w:tcPr>
            <w:tcW w:type="dxa" w:w="1296"/>
          </w:tcPr>
          <w:p>
            <w:r/>
            <w:r>
              <w:rPr>
                <w:sz w:val="16"/>
              </w:rPr>
              <w:t>Corporation / Delaware</w:t>
            </w:r>
          </w:p>
        </w:tc>
        <w:tc>
          <w:tcPr>
            <w:tcW w:type="dxa" w:w="1440"/>
          </w:tcPr>
          <w:p>
            <w:r/>
            <w:r>
              <w:rPr>
                <w:sz w:val="16"/>
              </w:rPr>
              <w:t>Borrower</w:t>
            </w:r>
          </w:p>
        </w:tc>
        <w:tc>
          <w:tcPr>
            <w:tcW w:type="dxa" w:w="1584"/>
          </w:tcPr>
          <w:p>
            <w:r/>
            <w:r>
              <w:rPr>
                <w:sz w:val="16"/>
              </w:rPr>
              <w:t>Grantor; pledgor of PFT, PCSS and PAC equity</w:t>
            </w:r>
          </w:p>
        </w:tc>
        <w:tc>
          <w:tcPr>
            <w:tcW w:type="dxa" w:w="1008"/>
          </w:tcPr>
          <w:p>
            <w:r/>
            <w:r>
              <w:rPr>
                <w:sz w:val="16"/>
              </w:rPr>
              <w:t>[Pledgor]</w:t>
            </w:r>
          </w:p>
        </w:tc>
        <w:tc>
          <w:tcPr>
            <w:tcW w:type="dxa" w:w="1008"/>
          </w:tcPr>
          <w:p>
            <w:r/>
            <w:r>
              <w:rPr>
                <w:sz w:val="16"/>
              </w:rPr>
              <w:t>—</w:t>
            </w:r>
          </w:p>
        </w:tc>
        <w:tc>
          <w:tcPr>
            <w:tcW w:type="dxa" w:w="1728"/>
          </w:tcPr>
          <w:p>
            <w:r/>
            <w:r>
              <w:rPr>
                <w:sz w:val="16"/>
              </w:rPr>
              <w:t>DACAs (Ridgeline x2; First Saxonbrook); SACA (Cromdale)</w:t>
            </w:r>
          </w:p>
        </w:tc>
      </w:tr>
      <w:tr>
        <w:tc>
          <w:tcPr>
            <w:tcW w:type="dxa" w:w="2016"/>
          </w:tcPr>
          <w:p>
            <w:r/>
            <w:r>
              <w:rPr>
                <w:sz w:val="16"/>
              </w:rPr>
              <w:t>Pinnacle Holdings Corp. (Parent Guarantor)</w:t>
            </w:r>
          </w:p>
        </w:tc>
        <w:tc>
          <w:tcPr>
            <w:tcW w:type="dxa" w:w="1296"/>
          </w:tcPr>
          <w:p>
            <w:r/>
            <w:r>
              <w:rPr>
                <w:sz w:val="16"/>
              </w:rPr>
              <w:t>Corporation / Delaware</w:t>
            </w:r>
          </w:p>
        </w:tc>
        <w:tc>
          <w:tcPr>
            <w:tcW w:type="dxa" w:w="1440"/>
          </w:tcPr>
          <w:p>
            <w:r/>
            <w:r>
              <w:rPr>
                <w:sz w:val="16"/>
              </w:rPr>
              <w:t>Guarantor</w:t>
            </w:r>
          </w:p>
        </w:tc>
        <w:tc>
          <w:tcPr>
            <w:tcW w:type="dxa" w:w="1584"/>
          </w:tcPr>
          <w:p>
            <w:r/>
            <w:r>
              <w:rPr>
                <w:sz w:val="16"/>
              </w:rPr>
              <w:t>Grantor; pledgor of Borrower stock</w:t>
            </w:r>
          </w:p>
        </w:tc>
        <w:tc>
          <w:tcPr>
            <w:tcW w:type="dxa" w:w="1008"/>
          </w:tcPr>
          <w:p>
            <w:r/>
            <w:r>
              <w:rPr>
                <w:sz w:val="16"/>
              </w:rPr>
              <w:t>[Pledgor]</w:t>
            </w:r>
          </w:p>
        </w:tc>
        <w:tc>
          <w:tcPr>
            <w:tcW w:type="dxa" w:w="1008"/>
          </w:tcPr>
          <w:p>
            <w:r/>
            <w:r>
              <w:rPr>
                <w:sz w:val="16"/>
              </w:rPr>
              <w:t>[Guarantor]</w:t>
            </w:r>
          </w:p>
        </w:tc>
        <w:tc>
          <w:tcPr>
            <w:tcW w:type="dxa" w:w="1728"/>
          </w:tcPr>
          <w:p>
            <w:r/>
            <w:r>
              <w:rPr>
                <w:sz w:val="16"/>
              </w:rPr>
              <w:t>DACA (Ridgeline); SACA (Cromdale)</w:t>
            </w:r>
          </w:p>
        </w:tc>
      </w:tr>
      <w:tr>
        <w:tc>
          <w:tcPr>
            <w:tcW w:type="dxa" w:w="2016"/>
          </w:tcPr>
          <w:p>
            <w:r/>
            <w:r>
              <w:rPr>
                <w:sz w:val="16"/>
              </w:rPr>
              <w:t>Pinnacle Fastener Technologies, Inc. (PFT)</w:t>
            </w:r>
          </w:p>
        </w:tc>
        <w:tc>
          <w:tcPr>
            <w:tcW w:type="dxa" w:w="1296"/>
          </w:tcPr>
          <w:p>
            <w:r/>
            <w:r>
              <w:rPr>
                <w:sz w:val="16"/>
              </w:rPr>
              <w:t>Corporation / Ohio</w:t>
            </w:r>
          </w:p>
        </w:tc>
        <w:tc>
          <w:tcPr>
            <w:tcW w:type="dxa" w:w="1440"/>
          </w:tcPr>
          <w:p>
            <w:r/>
            <w:r>
              <w:rPr>
                <w:sz w:val="16"/>
              </w:rPr>
              <w:t>Subsidiary Guarantor</w:t>
            </w:r>
          </w:p>
        </w:tc>
        <w:tc>
          <w:tcPr>
            <w:tcW w:type="dxa" w:w="1584"/>
          </w:tcPr>
          <w:p>
            <w:r/>
            <w:r>
              <w:rPr>
                <w:sz w:val="16"/>
              </w:rPr>
              <w:t>Grantor</w:t>
            </w:r>
          </w:p>
        </w:tc>
        <w:tc>
          <w:tcPr>
            <w:tcW w:type="dxa" w:w="1008"/>
          </w:tcPr>
          <w:p>
            <w:r/>
            <w:r>
              <w:rPr>
                <w:sz w:val="16"/>
              </w:rPr>
              <w:t>[—]</w:t>
            </w:r>
          </w:p>
        </w:tc>
        <w:tc>
          <w:tcPr>
            <w:tcW w:type="dxa" w:w="1008"/>
          </w:tcPr>
          <w:p>
            <w:r/>
            <w:r>
              <w:rPr>
                <w:sz w:val="16"/>
              </w:rPr>
              <w:t>[Guarantor]</w:t>
            </w:r>
          </w:p>
        </w:tc>
        <w:tc>
          <w:tcPr>
            <w:tcW w:type="dxa" w:w="1728"/>
          </w:tcPr>
          <w:p>
            <w:r/>
            <w:r>
              <w:rPr>
                <w:sz w:val="16"/>
              </w:rPr>
              <w:t>DACAs (Great Lakes Commercial Bank x2)</w:t>
            </w:r>
          </w:p>
        </w:tc>
      </w:tr>
      <w:tr>
        <w:tc>
          <w:tcPr>
            <w:tcW w:type="dxa" w:w="2016"/>
          </w:tcPr>
          <w:p>
            <w:r/>
            <w:r>
              <w:rPr>
                <w:sz w:val="16"/>
              </w:rPr>
              <w:t>Pinnacle Coatings &amp; Surface Solutions, LLC (PCSS)</w:t>
            </w:r>
          </w:p>
        </w:tc>
        <w:tc>
          <w:tcPr>
            <w:tcW w:type="dxa" w:w="1296"/>
          </w:tcPr>
          <w:p>
            <w:r/>
            <w:r>
              <w:rPr>
                <w:sz w:val="16"/>
              </w:rPr>
              <w:t>LLC / Delaware</w:t>
            </w:r>
          </w:p>
        </w:tc>
        <w:tc>
          <w:tcPr>
            <w:tcW w:type="dxa" w:w="1440"/>
          </w:tcPr>
          <w:p>
            <w:r/>
            <w:r>
              <w:rPr>
                <w:sz w:val="16"/>
              </w:rPr>
              <w:t>Subsidiary Guarantor</w:t>
            </w:r>
          </w:p>
        </w:tc>
        <w:tc>
          <w:tcPr>
            <w:tcW w:type="dxa" w:w="1584"/>
          </w:tcPr>
          <w:p>
            <w:r/>
            <w:r>
              <w:rPr>
                <w:sz w:val="16"/>
              </w:rPr>
              <w:t>Grantor</w:t>
            </w:r>
          </w:p>
        </w:tc>
        <w:tc>
          <w:tcPr>
            <w:tcW w:type="dxa" w:w="1008"/>
          </w:tcPr>
          <w:p>
            <w:r/>
            <w:r>
              <w:rPr>
                <w:sz w:val="16"/>
              </w:rPr>
              <w:t>[—]</w:t>
            </w:r>
          </w:p>
        </w:tc>
        <w:tc>
          <w:tcPr>
            <w:tcW w:type="dxa" w:w="1008"/>
          </w:tcPr>
          <w:p>
            <w:r/>
            <w:r>
              <w:rPr>
                <w:sz w:val="16"/>
              </w:rPr>
              <w:t>[Guarantor]</w:t>
            </w:r>
          </w:p>
        </w:tc>
        <w:tc>
          <w:tcPr>
            <w:tcW w:type="dxa" w:w="1728"/>
          </w:tcPr>
          <w:p>
            <w:r/>
            <w:r>
              <w:rPr>
                <w:sz w:val="16"/>
              </w:rPr>
              <w:t>DACA (Citizens National Bank (Elkhart))</w:t>
            </w:r>
          </w:p>
        </w:tc>
      </w:tr>
      <w:tr>
        <w:tc>
          <w:tcPr>
            <w:tcW w:type="dxa" w:w="2016"/>
          </w:tcPr>
          <w:p>
            <w:r/>
            <w:r>
              <w:rPr>
                <w:sz w:val="16"/>
              </w:rPr>
              <w:t>Pinnacle Aerospace Components, Inc. (PAC)</w:t>
            </w:r>
          </w:p>
        </w:tc>
        <w:tc>
          <w:tcPr>
            <w:tcW w:type="dxa" w:w="1296"/>
          </w:tcPr>
          <w:p>
            <w:r/>
            <w:r>
              <w:rPr>
                <w:sz w:val="16"/>
              </w:rPr>
              <w:t>Corporation / Delaware</w:t>
            </w:r>
          </w:p>
        </w:tc>
        <w:tc>
          <w:tcPr>
            <w:tcW w:type="dxa" w:w="1440"/>
          </w:tcPr>
          <w:p>
            <w:r/>
            <w:r>
              <w:rPr>
                <w:sz w:val="16"/>
              </w:rPr>
              <w:t>Subsidiary Guarantor</w:t>
            </w:r>
          </w:p>
        </w:tc>
        <w:tc>
          <w:tcPr>
            <w:tcW w:type="dxa" w:w="1584"/>
          </w:tcPr>
          <w:p>
            <w:r/>
            <w:r>
              <w:rPr>
                <w:sz w:val="16"/>
              </w:rPr>
              <w:t>Grantor</w:t>
            </w:r>
          </w:p>
        </w:tc>
        <w:tc>
          <w:tcPr>
            <w:tcW w:type="dxa" w:w="1008"/>
          </w:tcPr>
          <w:p>
            <w:r/>
            <w:r>
              <w:rPr>
                <w:sz w:val="16"/>
              </w:rPr>
              <w:t>[—]</w:t>
            </w:r>
          </w:p>
        </w:tc>
        <w:tc>
          <w:tcPr>
            <w:tcW w:type="dxa" w:w="1008"/>
          </w:tcPr>
          <w:p>
            <w:r/>
            <w:r>
              <w:rPr>
                <w:sz w:val="16"/>
              </w:rPr>
              <w:t>[Guarantor]</w:t>
            </w:r>
          </w:p>
        </w:tc>
        <w:tc>
          <w:tcPr>
            <w:tcW w:type="dxa" w:w="1728"/>
          </w:tcPr>
          <w:p>
            <w:r/>
            <w:r>
              <w:rPr>
                <w:sz w:val="16"/>
              </w:rPr>
              <w:t>DACA (Heartland Bank of Kansas)</w:t>
            </w:r>
          </w:p>
        </w:tc>
      </w:tr>
    </w:tbl>
    <w:p/>
    <w:p>
      <w:pPr>
        <w:pStyle w:val="Heading1"/>
      </w:pPr>
      <w:r>
        <w:t>Annex B — Financing Statements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2880"/>
            <w:shd w:val="clear" w:color="auto" w:fill="D9D9D9"/>
          </w:tcPr>
          <w:p>
            <w:r/>
            <w:r>
              <w:rPr>
                <w:b/>
                <w:sz w:val="18"/>
              </w:rPr>
              <w:t>Debtor</w:t>
            </w:r>
          </w:p>
        </w:tc>
        <w:tc>
          <w:tcPr>
            <w:tcW w:type="dxa" w:w="2160"/>
            <w:shd w:val="clear" w:color="auto" w:fill="D9D9D9"/>
          </w:tcPr>
          <w:p>
            <w:r/>
            <w:r>
              <w:rPr>
                <w:b/>
                <w:sz w:val="18"/>
              </w:rPr>
              <w:t>Filing Office</w:t>
            </w:r>
          </w:p>
        </w:tc>
        <w:tc>
          <w:tcPr>
            <w:tcW w:type="dxa" w:w="1584"/>
            <w:shd w:val="clear" w:color="auto" w:fill="D9D9D9"/>
          </w:tcPr>
          <w:p>
            <w:r/>
            <w:r>
              <w:rPr>
                <w:b/>
                <w:sz w:val="18"/>
              </w:rPr>
              <w:t>File No.</w:t>
            </w:r>
          </w:p>
        </w:tc>
        <w:tc>
          <w:tcPr>
            <w:tcW w:type="dxa" w:w="1296"/>
            <w:shd w:val="clear" w:color="auto" w:fill="D9D9D9"/>
          </w:tcPr>
          <w:p>
            <w:r/>
            <w:r>
              <w:rPr>
                <w:b/>
                <w:sz w:val="18"/>
              </w:rPr>
              <w:t>Filing Date</w:t>
            </w:r>
          </w:p>
        </w:tc>
        <w:tc>
          <w:tcPr>
            <w:tcW w:type="dxa" w:w="1440"/>
            <w:shd w:val="clear" w:color="auto" w:fill="D9D9D9"/>
          </w:tcPr>
          <w:p>
            <w:r/>
            <w:r>
              <w:rPr>
                <w:b/>
                <w:sz w:val="18"/>
              </w:rPr>
              <w:t>Collateral</w:t>
            </w:r>
          </w:p>
        </w:tc>
      </w:tr>
      <w:tr>
        <w:tc>
          <w:tcPr>
            <w:tcW w:type="dxa" w:w="2880"/>
          </w:tcPr>
          <w:p>
            <w:r/>
            <w:r>
              <w:rPr>
                <w:sz w:val="18"/>
              </w:rPr>
              <w:t>Pinnacle Manufacturing Group, Inc.</w:t>
            </w:r>
          </w:p>
        </w:tc>
        <w:tc>
          <w:tcPr>
            <w:tcW w:type="dxa" w:w="2160"/>
          </w:tcPr>
          <w:p>
            <w:r/>
            <w:r>
              <w:rPr>
                <w:sz w:val="18"/>
              </w:rPr>
              <w:t>Delaware Secretary of State</w:t>
            </w:r>
          </w:p>
        </w:tc>
        <w:tc>
          <w:tcPr>
            <w:tcW w:type="dxa" w:w="1584"/>
          </w:tcPr>
          <w:p>
            <w:r/>
            <w:r>
              <w:rPr>
                <w:sz w:val="18"/>
              </w:rPr>
              <w:t>2025-2847193</w:t>
            </w:r>
          </w:p>
        </w:tc>
        <w:tc>
          <w:tcPr>
            <w:tcW w:type="dxa" w:w="1296"/>
          </w:tcPr>
          <w:p>
            <w:r/>
            <w:r>
              <w:rPr>
                <w:sz w:val="18"/>
              </w:rPr>
              <w:t>June 10, 2025</w:t>
            </w:r>
          </w:p>
        </w:tc>
        <w:tc>
          <w:tcPr>
            <w:tcW w:type="dxa" w:w="1440"/>
          </w:tcPr>
          <w:p>
            <w:r/>
            <w:r>
              <w:rPr>
                <w:sz w:val="18"/>
              </w:rPr>
              <w:t>All assets</w:t>
            </w:r>
          </w:p>
        </w:tc>
      </w:tr>
      <w:tr>
        <w:tc>
          <w:tcPr>
            <w:tcW w:type="dxa" w:w="2880"/>
          </w:tcPr>
          <w:p>
            <w:r/>
            <w:r>
              <w:rPr>
                <w:sz w:val="18"/>
              </w:rPr>
              <w:t>Pinnacle Holdings Corp.</w:t>
            </w:r>
          </w:p>
        </w:tc>
        <w:tc>
          <w:tcPr>
            <w:tcW w:type="dxa" w:w="2160"/>
          </w:tcPr>
          <w:p>
            <w:r/>
            <w:r>
              <w:rPr>
                <w:sz w:val="18"/>
              </w:rPr>
              <w:t>Delaware Secretary of State</w:t>
            </w:r>
          </w:p>
        </w:tc>
        <w:tc>
          <w:tcPr>
            <w:tcW w:type="dxa" w:w="1584"/>
          </w:tcPr>
          <w:p>
            <w:r/>
            <w:r>
              <w:rPr>
                <w:sz w:val="18"/>
              </w:rPr>
              <w:t>2025-2847201</w:t>
            </w:r>
          </w:p>
        </w:tc>
        <w:tc>
          <w:tcPr>
            <w:tcW w:type="dxa" w:w="1296"/>
          </w:tcPr>
          <w:p>
            <w:r/>
            <w:r>
              <w:rPr>
                <w:sz w:val="18"/>
              </w:rPr>
              <w:t>June 10, 2025</w:t>
            </w:r>
          </w:p>
        </w:tc>
        <w:tc>
          <w:tcPr>
            <w:tcW w:type="dxa" w:w="1440"/>
          </w:tcPr>
          <w:p>
            <w:r/>
            <w:r>
              <w:rPr>
                <w:sz w:val="18"/>
              </w:rPr>
              <w:t>All assets</w:t>
            </w:r>
          </w:p>
        </w:tc>
      </w:tr>
      <w:tr>
        <w:tc>
          <w:tcPr>
            <w:tcW w:type="dxa" w:w="2880"/>
          </w:tcPr>
          <w:p>
            <w:r/>
            <w:r>
              <w:rPr>
                <w:sz w:val="18"/>
              </w:rPr>
              <w:t>Pinnacle Coatings &amp; Surface Solutions, LLC</w:t>
            </w:r>
          </w:p>
        </w:tc>
        <w:tc>
          <w:tcPr>
            <w:tcW w:type="dxa" w:w="2160"/>
          </w:tcPr>
          <w:p>
            <w:r/>
            <w:r>
              <w:rPr>
                <w:sz w:val="18"/>
              </w:rPr>
              <w:t>Delaware Secretary of State</w:t>
            </w:r>
          </w:p>
        </w:tc>
        <w:tc>
          <w:tcPr>
            <w:tcW w:type="dxa" w:w="1584"/>
          </w:tcPr>
          <w:p>
            <w:r/>
            <w:r>
              <w:rPr>
                <w:sz w:val="18"/>
              </w:rPr>
              <w:t>2025-2847218</w:t>
            </w:r>
          </w:p>
        </w:tc>
        <w:tc>
          <w:tcPr>
            <w:tcW w:type="dxa" w:w="1296"/>
          </w:tcPr>
          <w:p>
            <w:r/>
            <w:r>
              <w:rPr>
                <w:sz w:val="18"/>
              </w:rPr>
              <w:t>June 10, 2025</w:t>
            </w:r>
          </w:p>
        </w:tc>
        <w:tc>
          <w:tcPr>
            <w:tcW w:type="dxa" w:w="1440"/>
          </w:tcPr>
          <w:p>
            <w:r/>
            <w:r>
              <w:rPr>
                <w:sz w:val="18"/>
              </w:rPr>
              <w:t>All assets</w:t>
            </w:r>
          </w:p>
        </w:tc>
      </w:tr>
      <w:tr>
        <w:tc>
          <w:tcPr>
            <w:tcW w:type="dxa" w:w="2880"/>
          </w:tcPr>
          <w:p>
            <w:r/>
            <w:r>
              <w:rPr>
                <w:sz w:val="18"/>
              </w:rPr>
              <w:t>Pinnacle Aerospace Components, Inc.</w:t>
            </w:r>
          </w:p>
        </w:tc>
        <w:tc>
          <w:tcPr>
            <w:tcW w:type="dxa" w:w="2160"/>
          </w:tcPr>
          <w:p>
            <w:r/>
            <w:r>
              <w:rPr>
                <w:sz w:val="18"/>
              </w:rPr>
              <w:t>Delaware Secretary of State</w:t>
            </w:r>
          </w:p>
        </w:tc>
        <w:tc>
          <w:tcPr>
            <w:tcW w:type="dxa" w:w="1584"/>
          </w:tcPr>
          <w:p>
            <w:r/>
            <w:r>
              <w:rPr>
                <w:sz w:val="18"/>
              </w:rPr>
              <w:t>2025-2847225</w:t>
            </w:r>
          </w:p>
        </w:tc>
        <w:tc>
          <w:tcPr>
            <w:tcW w:type="dxa" w:w="1296"/>
          </w:tcPr>
          <w:p>
            <w:r/>
            <w:r>
              <w:rPr>
                <w:sz w:val="18"/>
              </w:rPr>
              <w:t>June 10, 2025</w:t>
            </w:r>
          </w:p>
        </w:tc>
        <w:tc>
          <w:tcPr>
            <w:tcW w:type="dxa" w:w="1440"/>
          </w:tcPr>
          <w:p>
            <w:r/>
            <w:r>
              <w:rPr>
                <w:sz w:val="18"/>
              </w:rPr>
              <w:t>All assets</w:t>
            </w:r>
          </w:p>
        </w:tc>
      </w:tr>
      <w:tr>
        <w:tc>
          <w:tcPr>
            <w:tcW w:type="dxa" w:w="2880"/>
          </w:tcPr>
          <w:p>
            <w:r/>
            <w:r>
              <w:rPr>
                <w:sz w:val="18"/>
              </w:rPr>
              <w:t>Pinnacle Fastener Technologies, Inc.</w:t>
            </w:r>
          </w:p>
        </w:tc>
        <w:tc>
          <w:tcPr>
            <w:tcW w:type="dxa" w:w="2160"/>
          </w:tcPr>
          <w:p>
            <w:r/>
            <w:r>
              <w:rPr>
                <w:sz w:val="18"/>
              </w:rPr>
              <w:t>Ohio Secretary of State</w:t>
            </w:r>
          </w:p>
        </w:tc>
        <w:tc>
          <w:tcPr>
            <w:tcW w:type="dxa" w:w="1584"/>
          </w:tcPr>
          <w:p>
            <w:r/>
            <w:r>
              <w:rPr>
                <w:sz w:val="18"/>
              </w:rPr>
              <w:t>OH-2025-0183492</w:t>
            </w:r>
          </w:p>
        </w:tc>
        <w:tc>
          <w:tcPr>
            <w:tcW w:type="dxa" w:w="1296"/>
          </w:tcPr>
          <w:p>
            <w:r/>
            <w:r>
              <w:rPr>
                <w:sz w:val="18"/>
              </w:rPr>
              <w:t>June 10, 2025</w:t>
            </w:r>
          </w:p>
        </w:tc>
        <w:tc>
          <w:tcPr>
            <w:tcW w:type="dxa" w:w="1440"/>
          </w:tcPr>
          <w:p>
            <w:r/>
            <w:r>
              <w:rPr>
                <w:sz w:val="18"/>
              </w:rPr>
              <w:t>All assets</w:t>
            </w:r>
          </w:p>
        </w:tc>
      </w:tr>
    </w:tbl>
    <w:p/>
    <w:p>
      <w:r>
        <w:rPr>
          <w:b/>
          <w:sz w:val="18"/>
        </w:rPr>
        <w:t>[Note to Draft:</w:t>
      </w:r>
      <w:r>
        <w:rPr>
          <w:sz w:val="18"/>
        </w:rPr>
        <w:t xml:space="preserve"> Schedule A to the Officer’s Certificate states that financing statements were filed against “the Borrower and each Subsidiary Guarantor” and omits the Parent Guarantor; the Search Report shows a filing against the Parent Guarantor. Certified filing acknowledgments to be obtained for all five.</w:t>
      </w:r>
      <w:r>
        <w:rPr>
          <w:b/>
          <w:sz w:val="18"/>
        </w:rPr>
        <w:t>]</w:t>
      </w:r>
    </w:p>
    <w:p>
      <w:pPr>
        <w:pStyle w:val="Heading1"/>
      </w:pPr>
      <w:r>
        <w:t>Annex C — Deposit Accounts and Securities Accounts (Security Agreement Schedule V)</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440"/>
            <w:shd w:val="clear" w:color="auto" w:fill="D9D9D9"/>
          </w:tcPr>
          <w:p>
            <w:r/>
            <w:r>
              <w:rPr>
                <w:b/>
                <w:sz w:val="17"/>
              </w:rPr>
              <w:t>Grantor</w:t>
            </w:r>
          </w:p>
        </w:tc>
        <w:tc>
          <w:tcPr>
            <w:tcW w:type="dxa" w:w="2304"/>
            <w:shd w:val="clear" w:color="auto" w:fill="D9D9D9"/>
          </w:tcPr>
          <w:p>
            <w:r/>
            <w:r>
              <w:rPr>
                <w:b/>
                <w:sz w:val="17"/>
              </w:rPr>
              <w:t>Bank / Intermediary</w:t>
            </w:r>
          </w:p>
        </w:tc>
        <w:tc>
          <w:tcPr>
            <w:tcW w:type="dxa" w:w="1152"/>
            <w:shd w:val="clear" w:color="auto" w:fill="D9D9D9"/>
          </w:tcPr>
          <w:p>
            <w:r/>
            <w:r>
              <w:rPr>
                <w:b/>
                <w:sz w:val="17"/>
              </w:rPr>
              <w:t>Account</w:t>
            </w:r>
          </w:p>
        </w:tc>
        <w:tc>
          <w:tcPr>
            <w:tcW w:type="dxa" w:w="1296"/>
            <w:shd w:val="clear" w:color="auto" w:fill="D9D9D9"/>
          </w:tcPr>
          <w:p>
            <w:r/>
            <w:r>
              <w:rPr>
                <w:b/>
                <w:sz w:val="17"/>
              </w:rPr>
              <w:t>Type</w:t>
            </w:r>
          </w:p>
        </w:tc>
        <w:tc>
          <w:tcPr>
            <w:tcW w:type="dxa" w:w="3168"/>
            <w:shd w:val="clear" w:color="auto" w:fill="D9D9D9"/>
          </w:tcPr>
          <w:p>
            <w:r/>
            <w:r>
              <w:rPr>
                <w:b/>
                <w:sz w:val="17"/>
              </w:rPr>
              <w:t>Control Method / Status</w:t>
            </w:r>
          </w:p>
        </w:tc>
      </w:tr>
      <w:tr>
        <w:tc>
          <w:tcPr>
            <w:tcW w:type="dxa" w:w="1440"/>
          </w:tcPr>
          <w:p>
            <w:r/>
            <w:r>
              <w:rPr>
                <w:sz w:val="17"/>
              </w:rPr>
              <w:t>Borrower</w:t>
            </w:r>
          </w:p>
        </w:tc>
        <w:tc>
          <w:tcPr>
            <w:tcW w:type="dxa" w:w="2304"/>
          </w:tcPr>
          <w:p>
            <w:r/>
            <w:r>
              <w:rPr>
                <w:sz w:val="17"/>
              </w:rPr>
              <w:t>Ridgeline National Bank</w:t>
            </w:r>
          </w:p>
        </w:tc>
        <w:tc>
          <w:tcPr>
            <w:tcW w:type="dxa" w:w="1152"/>
          </w:tcPr>
          <w:p>
            <w:r/>
            <w:r>
              <w:rPr>
                <w:sz w:val="17"/>
              </w:rPr>
              <w:t>xxxx4718</w:t>
            </w:r>
          </w:p>
        </w:tc>
        <w:tc>
          <w:tcPr>
            <w:tcW w:type="dxa" w:w="1296"/>
          </w:tcPr>
          <w:p>
            <w:r/>
            <w:r>
              <w:rPr>
                <w:sz w:val="17"/>
              </w:rPr>
              <w:t>Operating</w:t>
            </w:r>
          </w:p>
        </w:tc>
        <w:tc>
          <w:tcPr>
            <w:tcW w:type="dxa" w:w="3168"/>
          </w:tcPr>
          <w:p>
            <w:r/>
            <w:r>
              <w:rPr>
                <w:sz w:val="17"/>
              </w:rPr>
              <w:t>9-104(a)(1) (secured party is the bank); DACA dated June 15, 2025</w:t>
            </w:r>
          </w:p>
        </w:tc>
      </w:tr>
      <w:tr>
        <w:tc>
          <w:tcPr>
            <w:tcW w:type="dxa" w:w="1440"/>
          </w:tcPr>
          <w:p>
            <w:r/>
            <w:r>
              <w:rPr>
                <w:sz w:val="17"/>
              </w:rPr>
              <w:t>Borrower</w:t>
            </w:r>
          </w:p>
        </w:tc>
        <w:tc>
          <w:tcPr>
            <w:tcW w:type="dxa" w:w="2304"/>
          </w:tcPr>
          <w:p>
            <w:r/>
            <w:r>
              <w:rPr>
                <w:sz w:val="17"/>
              </w:rPr>
              <w:t>Ridgeline National Bank</w:t>
            </w:r>
          </w:p>
        </w:tc>
        <w:tc>
          <w:tcPr>
            <w:tcW w:type="dxa" w:w="1152"/>
          </w:tcPr>
          <w:p>
            <w:r/>
            <w:r>
              <w:rPr>
                <w:sz w:val="17"/>
              </w:rPr>
              <w:t>xxxx4722</w:t>
            </w:r>
          </w:p>
        </w:tc>
        <w:tc>
          <w:tcPr>
            <w:tcW w:type="dxa" w:w="1296"/>
          </w:tcPr>
          <w:p>
            <w:r/>
            <w:r>
              <w:rPr>
                <w:sz w:val="17"/>
              </w:rPr>
              <w:t>Payroll</w:t>
            </w:r>
          </w:p>
        </w:tc>
        <w:tc>
          <w:tcPr>
            <w:tcW w:type="dxa" w:w="3168"/>
          </w:tcPr>
          <w:p>
            <w:r/>
            <w:r>
              <w:rPr>
                <w:sz w:val="17"/>
              </w:rPr>
              <w:t>9-104(a)(1); DACA dated June 15, 2025</w:t>
            </w:r>
          </w:p>
        </w:tc>
      </w:tr>
      <w:tr>
        <w:tc>
          <w:tcPr>
            <w:tcW w:type="dxa" w:w="1440"/>
          </w:tcPr>
          <w:p>
            <w:r/>
            <w:r>
              <w:rPr>
                <w:sz w:val="17"/>
              </w:rPr>
              <w:t>Borrower</w:t>
            </w:r>
          </w:p>
        </w:tc>
        <w:tc>
          <w:tcPr>
            <w:tcW w:type="dxa" w:w="2304"/>
          </w:tcPr>
          <w:p>
            <w:r/>
            <w:r>
              <w:rPr>
                <w:sz w:val="17"/>
              </w:rPr>
              <w:t>First Saxonbrook Savings Bank</w:t>
            </w:r>
          </w:p>
        </w:tc>
        <w:tc>
          <w:tcPr>
            <w:tcW w:type="dxa" w:w="1152"/>
          </w:tcPr>
          <w:p>
            <w:r/>
            <w:r>
              <w:rPr>
                <w:sz w:val="17"/>
              </w:rPr>
              <w:t>xxxx8391</w:t>
            </w:r>
          </w:p>
        </w:tc>
        <w:tc>
          <w:tcPr>
            <w:tcW w:type="dxa" w:w="1296"/>
          </w:tcPr>
          <w:p>
            <w:r/>
            <w:r>
              <w:rPr>
                <w:sz w:val="17"/>
              </w:rPr>
              <w:t>Money market</w:t>
            </w:r>
          </w:p>
        </w:tc>
        <w:tc>
          <w:tcPr>
            <w:tcW w:type="dxa" w:w="3168"/>
          </w:tcPr>
          <w:p>
            <w:r/>
            <w:r>
              <w:rPr>
                <w:sz w:val="17"/>
              </w:rPr>
              <w:t>9-104(a)(2) DACA — [not yet furnished]</w:t>
            </w:r>
          </w:p>
        </w:tc>
      </w:tr>
      <w:tr>
        <w:tc>
          <w:tcPr>
            <w:tcW w:type="dxa" w:w="1440"/>
          </w:tcPr>
          <w:p>
            <w:r/>
            <w:r>
              <w:rPr>
                <w:sz w:val="17"/>
              </w:rPr>
              <w:t>Parent Guarantor</w:t>
            </w:r>
          </w:p>
        </w:tc>
        <w:tc>
          <w:tcPr>
            <w:tcW w:type="dxa" w:w="2304"/>
          </w:tcPr>
          <w:p>
            <w:r/>
            <w:r>
              <w:rPr>
                <w:sz w:val="17"/>
              </w:rPr>
              <w:t>Ridgeline National Bank</w:t>
            </w:r>
          </w:p>
        </w:tc>
        <w:tc>
          <w:tcPr>
            <w:tcW w:type="dxa" w:w="1152"/>
          </w:tcPr>
          <w:p>
            <w:r/>
            <w:r>
              <w:rPr>
                <w:sz w:val="17"/>
              </w:rPr>
              <w:t>xxxx5502</w:t>
            </w:r>
          </w:p>
        </w:tc>
        <w:tc>
          <w:tcPr>
            <w:tcW w:type="dxa" w:w="1296"/>
          </w:tcPr>
          <w:p>
            <w:r/>
            <w:r>
              <w:rPr>
                <w:sz w:val="17"/>
              </w:rPr>
              <w:t>Operating</w:t>
            </w:r>
          </w:p>
        </w:tc>
        <w:tc>
          <w:tcPr>
            <w:tcW w:type="dxa" w:w="3168"/>
          </w:tcPr>
          <w:p>
            <w:r/>
            <w:r>
              <w:rPr>
                <w:sz w:val="17"/>
              </w:rPr>
              <w:t>9-104(a)(1); DACA dated June 15, 2025</w:t>
            </w:r>
          </w:p>
        </w:tc>
      </w:tr>
      <w:tr>
        <w:tc>
          <w:tcPr>
            <w:tcW w:type="dxa" w:w="1440"/>
          </w:tcPr>
          <w:p>
            <w:r/>
            <w:r>
              <w:rPr>
                <w:sz w:val="17"/>
              </w:rPr>
              <w:t>PFT</w:t>
            </w:r>
          </w:p>
        </w:tc>
        <w:tc>
          <w:tcPr>
            <w:tcW w:type="dxa" w:w="2304"/>
          </w:tcPr>
          <w:p>
            <w:r/>
            <w:r>
              <w:rPr>
                <w:sz w:val="17"/>
              </w:rPr>
              <w:t>Great Lakes Commercial Bank</w:t>
            </w:r>
          </w:p>
        </w:tc>
        <w:tc>
          <w:tcPr>
            <w:tcW w:type="dxa" w:w="1152"/>
          </w:tcPr>
          <w:p>
            <w:r/>
            <w:r>
              <w:rPr>
                <w:sz w:val="17"/>
              </w:rPr>
              <w:t>xxxx6107</w:t>
            </w:r>
          </w:p>
        </w:tc>
        <w:tc>
          <w:tcPr>
            <w:tcW w:type="dxa" w:w="1296"/>
          </w:tcPr>
          <w:p>
            <w:r/>
            <w:r>
              <w:rPr>
                <w:sz w:val="17"/>
              </w:rPr>
              <w:t>Operating</w:t>
            </w:r>
          </w:p>
        </w:tc>
        <w:tc>
          <w:tcPr>
            <w:tcW w:type="dxa" w:w="3168"/>
          </w:tcPr>
          <w:p>
            <w:r/>
            <w:r>
              <w:rPr>
                <w:sz w:val="17"/>
              </w:rPr>
              <w:t>9-104(a)(2) DACA — [not yet furnished]</w:t>
            </w:r>
          </w:p>
        </w:tc>
      </w:tr>
      <w:tr>
        <w:tc>
          <w:tcPr>
            <w:tcW w:type="dxa" w:w="1440"/>
          </w:tcPr>
          <w:p>
            <w:r/>
            <w:r>
              <w:rPr>
                <w:sz w:val="17"/>
              </w:rPr>
              <w:t>PFT</w:t>
            </w:r>
          </w:p>
        </w:tc>
        <w:tc>
          <w:tcPr>
            <w:tcW w:type="dxa" w:w="2304"/>
          </w:tcPr>
          <w:p>
            <w:r/>
            <w:r>
              <w:rPr>
                <w:sz w:val="17"/>
              </w:rPr>
              <w:t>Great Lakes Commercial Bank</w:t>
            </w:r>
          </w:p>
        </w:tc>
        <w:tc>
          <w:tcPr>
            <w:tcW w:type="dxa" w:w="1152"/>
          </w:tcPr>
          <w:p>
            <w:r/>
            <w:r>
              <w:rPr>
                <w:sz w:val="17"/>
              </w:rPr>
              <w:t>xxxx6114</w:t>
            </w:r>
          </w:p>
        </w:tc>
        <w:tc>
          <w:tcPr>
            <w:tcW w:type="dxa" w:w="1296"/>
          </w:tcPr>
          <w:p>
            <w:r/>
            <w:r>
              <w:rPr>
                <w:sz w:val="17"/>
              </w:rPr>
              <w:t>Payroll</w:t>
            </w:r>
          </w:p>
        </w:tc>
        <w:tc>
          <w:tcPr>
            <w:tcW w:type="dxa" w:w="3168"/>
          </w:tcPr>
          <w:p>
            <w:r/>
            <w:r>
              <w:rPr>
                <w:sz w:val="17"/>
              </w:rPr>
              <w:t>9-104(a)(2) DACA — [not yet furnished]</w:t>
            </w:r>
          </w:p>
        </w:tc>
      </w:tr>
      <w:tr>
        <w:tc>
          <w:tcPr>
            <w:tcW w:type="dxa" w:w="1440"/>
          </w:tcPr>
          <w:p>
            <w:r/>
            <w:r>
              <w:rPr>
                <w:sz w:val="17"/>
              </w:rPr>
              <w:t>PCSS</w:t>
            </w:r>
          </w:p>
        </w:tc>
        <w:tc>
          <w:tcPr>
            <w:tcW w:type="dxa" w:w="2304"/>
          </w:tcPr>
          <w:p>
            <w:r/>
            <w:r>
              <w:rPr>
                <w:sz w:val="17"/>
              </w:rPr>
              <w:t>Citizens National Bank (Elkhart)</w:t>
            </w:r>
          </w:p>
        </w:tc>
        <w:tc>
          <w:tcPr>
            <w:tcW w:type="dxa" w:w="1152"/>
          </w:tcPr>
          <w:p>
            <w:r/>
            <w:r>
              <w:rPr>
                <w:sz w:val="17"/>
              </w:rPr>
              <w:t>xxxx2293</w:t>
            </w:r>
          </w:p>
        </w:tc>
        <w:tc>
          <w:tcPr>
            <w:tcW w:type="dxa" w:w="1296"/>
          </w:tcPr>
          <w:p>
            <w:r/>
            <w:r>
              <w:rPr>
                <w:sz w:val="17"/>
              </w:rPr>
              <w:t>Operating</w:t>
            </w:r>
          </w:p>
        </w:tc>
        <w:tc>
          <w:tcPr>
            <w:tcW w:type="dxa" w:w="3168"/>
          </w:tcPr>
          <w:p>
            <w:r/>
            <w:r>
              <w:rPr>
                <w:sz w:val="17"/>
              </w:rPr>
              <w:t>9-104(a)(2) DACA — [not yet furnished]</w:t>
            </w:r>
          </w:p>
        </w:tc>
      </w:tr>
      <w:tr>
        <w:tc>
          <w:tcPr>
            <w:tcW w:type="dxa" w:w="1440"/>
          </w:tcPr>
          <w:p>
            <w:r/>
            <w:r>
              <w:rPr>
                <w:sz w:val="17"/>
              </w:rPr>
              <w:t>PAC</w:t>
            </w:r>
          </w:p>
        </w:tc>
        <w:tc>
          <w:tcPr>
            <w:tcW w:type="dxa" w:w="2304"/>
          </w:tcPr>
          <w:p>
            <w:r/>
            <w:r>
              <w:rPr>
                <w:sz w:val="17"/>
              </w:rPr>
              <w:t>Heartland Bank of Kansas</w:t>
            </w:r>
          </w:p>
        </w:tc>
        <w:tc>
          <w:tcPr>
            <w:tcW w:type="dxa" w:w="1152"/>
          </w:tcPr>
          <w:p>
            <w:r/>
            <w:r>
              <w:rPr>
                <w:sz w:val="17"/>
              </w:rPr>
              <w:t>xxxx3456</w:t>
            </w:r>
          </w:p>
        </w:tc>
        <w:tc>
          <w:tcPr>
            <w:tcW w:type="dxa" w:w="1296"/>
          </w:tcPr>
          <w:p>
            <w:r/>
            <w:r>
              <w:rPr>
                <w:sz w:val="17"/>
              </w:rPr>
              <w:t>Operating</w:t>
            </w:r>
          </w:p>
        </w:tc>
        <w:tc>
          <w:tcPr>
            <w:tcW w:type="dxa" w:w="3168"/>
          </w:tcPr>
          <w:p>
            <w:r/>
            <w:r>
              <w:rPr>
                <w:sz w:val="17"/>
              </w:rPr>
              <w:t>9-104(a)(2) DACA — [not yet furnished; bank’s jurisdiction to be confirmed]</w:t>
            </w:r>
          </w:p>
        </w:tc>
      </w:tr>
      <w:tr>
        <w:tc>
          <w:tcPr>
            <w:tcW w:type="dxa" w:w="1440"/>
          </w:tcPr>
          <w:p>
            <w:r/>
            <w:r>
              <w:rPr>
                <w:sz w:val="17"/>
              </w:rPr>
              <w:t>Borrower</w:t>
            </w:r>
          </w:p>
        </w:tc>
        <w:tc>
          <w:tcPr>
            <w:tcW w:type="dxa" w:w="2304"/>
          </w:tcPr>
          <w:p>
            <w:r/>
            <w:r>
              <w:rPr>
                <w:sz w:val="17"/>
              </w:rPr>
              <w:t>Cromdale Consulting Wealth Advisors</w:t>
            </w:r>
          </w:p>
        </w:tc>
        <w:tc>
          <w:tcPr>
            <w:tcW w:type="dxa" w:w="1152"/>
          </w:tcPr>
          <w:p>
            <w:r/>
            <w:r>
              <w:rPr>
                <w:sz w:val="17"/>
              </w:rPr>
              <w:t>xxxx7801</w:t>
            </w:r>
          </w:p>
        </w:tc>
        <w:tc>
          <w:tcPr>
            <w:tcW w:type="dxa" w:w="1296"/>
          </w:tcPr>
          <w:p>
            <w:r/>
            <w:r>
              <w:rPr>
                <w:sz w:val="17"/>
              </w:rPr>
              <w:t>Securities account</w:t>
            </w:r>
          </w:p>
        </w:tc>
        <w:tc>
          <w:tcPr>
            <w:tcW w:type="dxa" w:w="3168"/>
          </w:tcPr>
          <w:p>
            <w:r/>
            <w:r>
              <w:rPr>
                <w:sz w:val="17"/>
              </w:rPr>
              <w:t>8-106(d)(2) SACA — [not yet furnished; intermediary status to be confirmed]</w:t>
            </w:r>
          </w:p>
        </w:tc>
      </w:tr>
      <w:tr>
        <w:tc>
          <w:tcPr>
            <w:tcW w:type="dxa" w:w="1440"/>
          </w:tcPr>
          <w:p>
            <w:r/>
            <w:r>
              <w:rPr>
                <w:sz w:val="17"/>
              </w:rPr>
              <w:t>Parent Guarantor</w:t>
            </w:r>
          </w:p>
        </w:tc>
        <w:tc>
          <w:tcPr>
            <w:tcW w:type="dxa" w:w="2304"/>
          </w:tcPr>
          <w:p>
            <w:r/>
            <w:r>
              <w:rPr>
                <w:sz w:val="17"/>
              </w:rPr>
              <w:t>Cromdale Consulting Wealth Advisors</w:t>
            </w:r>
          </w:p>
        </w:tc>
        <w:tc>
          <w:tcPr>
            <w:tcW w:type="dxa" w:w="1152"/>
          </w:tcPr>
          <w:p>
            <w:r/>
            <w:r>
              <w:rPr>
                <w:sz w:val="17"/>
              </w:rPr>
              <w:t>xxxx7802</w:t>
            </w:r>
          </w:p>
        </w:tc>
        <w:tc>
          <w:tcPr>
            <w:tcW w:type="dxa" w:w="1296"/>
          </w:tcPr>
          <w:p>
            <w:r/>
            <w:r>
              <w:rPr>
                <w:sz w:val="17"/>
              </w:rPr>
              <w:t>Securities account</w:t>
            </w:r>
          </w:p>
        </w:tc>
        <w:tc>
          <w:tcPr>
            <w:tcW w:type="dxa" w:w="3168"/>
          </w:tcPr>
          <w:p>
            <w:r/>
            <w:r>
              <w:rPr>
                <w:sz w:val="17"/>
              </w:rPr>
              <w:t>8-106(d)(2) SACA — [not yet furnished; intermediary status to be confirmed]</w:t>
            </w:r>
          </w:p>
        </w:tc>
      </w:tr>
    </w:tbl>
    <w:p/>
    <w:p>
      <w:pPr>
        <w:pStyle w:val="Heading1"/>
      </w:pPr>
      <w:r>
        <w:t>Annex D — Good Standing Certificates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440"/>
            <w:shd w:val="clear" w:color="auto" w:fill="D9D9D9"/>
          </w:tcPr>
          <w:p>
            <w:r/>
            <w:r>
              <w:rPr>
                <w:b/>
                <w:sz w:val="17"/>
              </w:rPr>
              <w:t>Opinion Party</w:t>
            </w:r>
          </w:p>
        </w:tc>
        <w:tc>
          <w:tcPr>
            <w:tcW w:type="dxa" w:w="2304"/>
            <w:shd w:val="clear" w:color="auto" w:fill="D9D9D9"/>
          </w:tcPr>
          <w:p>
            <w:r/>
            <w:r>
              <w:rPr>
                <w:b/>
                <w:sz w:val="17"/>
              </w:rPr>
              <w:t>Jurisdiction</w:t>
            </w:r>
          </w:p>
        </w:tc>
        <w:tc>
          <w:tcPr>
            <w:tcW w:type="dxa" w:w="2160"/>
            <w:shd w:val="clear" w:color="auto" w:fill="D9D9D9"/>
          </w:tcPr>
          <w:p>
            <w:r/>
            <w:r>
              <w:rPr>
                <w:b/>
                <w:sz w:val="17"/>
              </w:rPr>
              <w:t>Type</w:t>
            </w:r>
          </w:p>
        </w:tc>
        <w:tc>
          <w:tcPr>
            <w:tcW w:type="dxa" w:w="1440"/>
            <w:shd w:val="clear" w:color="auto" w:fill="D9D9D9"/>
          </w:tcPr>
          <w:p>
            <w:r/>
            <w:r>
              <w:rPr>
                <w:b/>
                <w:sz w:val="17"/>
              </w:rPr>
              <w:t>Certificate Date</w:t>
            </w:r>
          </w:p>
        </w:tc>
        <w:tc>
          <w:tcPr>
            <w:tcW w:type="dxa" w:w="2016"/>
            <w:shd w:val="clear" w:color="auto" w:fill="D9D9D9"/>
          </w:tcPr>
          <w:p>
            <w:r/>
            <w:r>
              <w:rPr>
                <w:b/>
                <w:sz w:val="17"/>
              </w:rPr>
              <w:t>Status for Opinion</w:t>
            </w:r>
          </w:p>
        </w:tc>
      </w:tr>
      <w:tr>
        <w:tc>
          <w:tcPr>
            <w:tcW w:type="dxa" w:w="1440"/>
          </w:tcPr>
          <w:p>
            <w:r/>
            <w:r>
              <w:rPr>
                <w:sz w:val="17"/>
              </w:rPr>
              <w:t>Borrower</w:t>
            </w:r>
          </w:p>
        </w:tc>
        <w:tc>
          <w:tcPr>
            <w:tcW w:type="dxa" w:w="2304"/>
          </w:tcPr>
          <w:p>
            <w:r/>
            <w:r>
              <w:rPr>
                <w:sz w:val="17"/>
              </w:rPr>
              <w:t>Delaware</w:t>
            </w:r>
          </w:p>
        </w:tc>
        <w:tc>
          <w:tcPr>
            <w:tcW w:type="dxa" w:w="2160"/>
          </w:tcPr>
          <w:p>
            <w:r/>
            <w:r>
              <w:rPr>
                <w:sz w:val="17"/>
              </w:rPr>
              <w:t>Formation</w:t>
            </w:r>
          </w:p>
        </w:tc>
        <w:tc>
          <w:tcPr>
            <w:tcW w:type="dxa" w:w="1440"/>
          </w:tcPr>
          <w:p>
            <w:r/>
            <w:r>
              <w:rPr>
                <w:sz w:val="17"/>
              </w:rPr>
              <w:t>June 5, 2025</w:t>
            </w:r>
          </w:p>
        </w:tc>
        <w:tc>
          <w:tcPr>
            <w:tcW w:type="dxa" w:w="2016"/>
          </w:tcPr>
          <w:p>
            <w:r/>
            <w:r>
              <w:rPr>
                <w:sz w:val="17"/>
              </w:rPr>
              <w:t>Current</w:t>
            </w:r>
          </w:p>
        </w:tc>
      </w:tr>
      <w:tr>
        <w:tc>
          <w:tcPr>
            <w:tcW w:type="dxa" w:w="1440"/>
          </w:tcPr>
          <w:p>
            <w:r/>
            <w:r>
              <w:rPr>
                <w:sz w:val="17"/>
              </w:rPr>
              <w:t>Borrower</w:t>
            </w:r>
          </w:p>
        </w:tc>
        <w:tc>
          <w:tcPr>
            <w:tcW w:type="dxa" w:w="2304"/>
          </w:tcPr>
          <w:p>
            <w:r/>
            <w:r>
              <w:rPr>
                <w:sz w:val="17"/>
              </w:rPr>
              <w:t>Ohio</w:t>
            </w:r>
          </w:p>
        </w:tc>
        <w:tc>
          <w:tcPr>
            <w:tcW w:type="dxa" w:w="2160"/>
          </w:tcPr>
          <w:p>
            <w:r/>
            <w:r>
              <w:rPr>
                <w:sz w:val="17"/>
              </w:rPr>
              <w:t>Foreign qualification</w:t>
            </w:r>
          </w:p>
        </w:tc>
        <w:tc>
          <w:tcPr>
            <w:tcW w:type="dxa" w:w="1440"/>
          </w:tcPr>
          <w:p>
            <w:r/>
            <w:r>
              <w:rPr>
                <w:sz w:val="17"/>
              </w:rPr>
              <w:t>June 3, 2025</w:t>
            </w:r>
          </w:p>
        </w:tc>
        <w:tc>
          <w:tcPr>
            <w:tcW w:type="dxa" w:w="2016"/>
          </w:tcPr>
          <w:p>
            <w:r/>
            <w:r>
              <w:rPr>
                <w:sz w:val="17"/>
              </w:rPr>
              <w:t>Current</w:t>
            </w:r>
          </w:p>
        </w:tc>
      </w:tr>
      <w:tr>
        <w:tc>
          <w:tcPr>
            <w:tcW w:type="dxa" w:w="1440"/>
          </w:tcPr>
          <w:p>
            <w:r/>
            <w:r>
              <w:rPr>
                <w:sz w:val="17"/>
              </w:rPr>
              <w:t>Borrower</w:t>
            </w:r>
          </w:p>
        </w:tc>
        <w:tc>
          <w:tcPr>
            <w:tcW w:type="dxa" w:w="2304"/>
          </w:tcPr>
          <w:p>
            <w:r/>
            <w:r>
              <w:rPr>
                <w:sz w:val="17"/>
              </w:rPr>
              <w:t>Michigan / Indiana / Texas / California</w:t>
            </w:r>
          </w:p>
        </w:tc>
        <w:tc>
          <w:tcPr>
            <w:tcW w:type="dxa" w:w="2160"/>
          </w:tcPr>
          <w:p>
            <w:r/>
            <w:r>
              <w:rPr>
                <w:sz w:val="17"/>
              </w:rPr>
              <w:t>Foreign qualification</w:t>
            </w:r>
          </w:p>
        </w:tc>
        <w:tc>
          <w:tcPr>
            <w:tcW w:type="dxa" w:w="1440"/>
          </w:tcPr>
          <w:p>
            <w:r/>
            <w:r>
              <w:rPr>
                <w:sz w:val="17"/>
              </w:rPr>
              <w:t>—</w:t>
            </w:r>
          </w:p>
        </w:tc>
        <w:tc>
          <w:tcPr>
            <w:tcW w:type="dxa" w:w="2016"/>
          </w:tcPr>
          <w:p>
            <w:r/>
            <w:r>
              <w:rPr>
                <w:sz w:val="17"/>
              </w:rPr>
              <w:t>NOT OBTAINED — required</w:t>
            </w:r>
          </w:p>
        </w:tc>
      </w:tr>
      <w:tr>
        <w:tc>
          <w:tcPr>
            <w:tcW w:type="dxa" w:w="1440"/>
          </w:tcPr>
          <w:p>
            <w:r/>
            <w:r>
              <w:rPr>
                <w:sz w:val="17"/>
              </w:rPr>
              <w:t>Parent Guarantor</w:t>
            </w:r>
          </w:p>
        </w:tc>
        <w:tc>
          <w:tcPr>
            <w:tcW w:type="dxa" w:w="2304"/>
          </w:tcPr>
          <w:p>
            <w:r/>
            <w:r>
              <w:rPr>
                <w:sz w:val="17"/>
              </w:rPr>
              <w:t>Delaware</w:t>
            </w:r>
          </w:p>
        </w:tc>
        <w:tc>
          <w:tcPr>
            <w:tcW w:type="dxa" w:w="2160"/>
          </w:tcPr>
          <w:p>
            <w:r/>
            <w:r>
              <w:rPr>
                <w:sz w:val="17"/>
              </w:rPr>
              <w:t>Formation</w:t>
            </w:r>
          </w:p>
        </w:tc>
        <w:tc>
          <w:tcPr>
            <w:tcW w:type="dxa" w:w="1440"/>
          </w:tcPr>
          <w:p>
            <w:r/>
            <w:r>
              <w:rPr>
                <w:sz w:val="17"/>
              </w:rPr>
              <w:t>June 6, 2025</w:t>
            </w:r>
          </w:p>
        </w:tc>
        <w:tc>
          <w:tcPr>
            <w:tcW w:type="dxa" w:w="2016"/>
          </w:tcPr>
          <w:p>
            <w:r/>
            <w:r>
              <w:rPr>
                <w:sz w:val="17"/>
              </w:rPr>
              <w:t>Current</w:t>
            </w:r>
          </w:p>
        </w:tc>
      </w:tr>
      <w:tr>
        <w:tc>
          <w:tcPr>
            <w:tcW w:type="dxa" w:w="1440"/>
          </w:tcPr>
          <w:p>
            <w:r/>
            <w:r>
              <w:rPr>
                <w:sz w:val="17"/>
              </w:rPr>
              <w:t>PFT</w:t>
            </w:r>
          </w:p>
        </w:tc>
        <w:tc>
          <w:tcPr>
            <w:tcW w:type="dxa" w:w="2304"/>
          </w:tcPr>
          <w:p>
            <w:r/>
            <w:r>
              <w:rPr>
                <w:sz w:val="17"/>
              </w:rPr>
              <w:t>Ohio</w:t>
            </w:r>
          </w:p>
        </w:tc>
        <w:tc>
          <w:tcPr>
            <w:tcW w:type="dxa" w:w="2160"/>
          </w:tcPr>
          <w:p>
            <w:r/>
            <w:r>
              <w:rPr>
                <w:sz w:val="17"/>
              </w:rPr>
              <w:t>Formation</w:t>
            </w:r>
          </w:p>
        </w:tc>
        <w:tc>
          <w:tcPr>
            <w:tcW w:type="dxa" w:w="1440"/>
          </w:tcPr>
          <w:p>
            <w:r/>
            <w:r>
              <w:rPr>
                <w:sz w:val="17"/>
              </w:rPr>
              <w:t>April 12, 2025</w:t>
            </w:r>
          </w:p>
        </w:tc>
        <w:tc>
          <w:tcPr>
            <w:tcW w:type="dxa" w:w="2016"/>
          </w:tcPr>
          <w:p>
            <w:r/>
            <w:r>
              <w:rPr>
                <w:sz w:val="17"/>
              </w:rPr>
              <w:t>STALE — bring-down required</w:t>
            </w:r>
          </w:p>
        </w:tc>
      </w:tr>
      <w:tr>
        <w:tc>
          <w:tcPr>
            <w:tcW w:type="dxa" w:w="1440"/>
          </w:tcPr>
          <w:p>
            <w:r/>
            <w:r>
              <w:rPr>
                <w:sz w:val="17"/>
              </w:rPr>
              <w:t>PFT</w:t>
            </w:r>
          </w:p>
        </w:tc>
        <w:tc>
          <w:tcPr>
            <w:tcW w:type="dxa" w:w="2304"/>
          </w:tcPr>
          <w:p>
            <w:r/>
            <w:r>
              <w:rPr>
                <w:sz w:val="17"/>
              </w:rPr>
              <w:t>[Michigan / Indiana]</w:t>
            </w:r>
          </w:p>
        </w:tc>
        <w:tc>
          <w:tcPr>
            <w:tcW w:type="dxa" w:w="2160"/>
          </w:tcPr>
          <w:p>
            <w:r/>
            <w:r>
              <w:rPr>
                <w:sz w:val="17"/>
              </w:rPr>
              <w:t>Foreign qualification (per Sched. 5.13(D))</w:t>
            </w:r>
          </w:p>
        </w:tc>
        <w:tc>
          <w:tcPr>
            <w:tcW w:type="dxa" w:w="1440"/>
          </w:tcPr>
          <w:p>
            <w:r/>
            <w:r>
              <w:rPr>
                <w:sz w:val="17"/>
              </w:rPr>
              <w:t>—</w:t>
            </w:r>
          </w:p>
        </w:tc>
        <w:tc>
          <w:tcPr>
            <w:tcW w:type="dxa" w:w="2016"/>
          </w:tcPr>
          <w:p>
            <w:r/>
            <w:r>
              <w:rPr>
                <w:sz w:val="17"/>
              </w:rPr>
              <w:t>Not obtained; qualification status disputed</w:t>
            </w:r>
          </w:p>
        </w:tc>
      </w:tr>
      <w:tr>
        <w:tc>
          <w:tcPr>
            <w:tcW w:type="dxa" w:w="1440"/>
          </w:tcPr>
          <w:p>
            <w:r/>
            <w:r>
              <w:rPr>
                <w:sz w:val="17"/>
              </w:rPr>
              <w:t>PCSS</w:t>
            </w:r>
          </w:p>
        </w:tc>
        <w:tc>
          <w:tcPr>
            <w:tcW w:type="dxa" w:w="2304"/>
          </w:tcPr>
          <w:p>
            <w:r/>
            <w:r>
              <w:rPr>
                <w:sz w:val="17"/>
              </w:rPr>
              <w:t>Delaware</w:t>
            </w:r>
          </w:p>
        </w:tc>
        <w:tc>
          <w:tcPr>
            <w:tcW w:type="dxa" w:w="2160"/>
          </w:tcPr>
          <w:p>
            <w:r/>
            <w:r>
              <w:rPr>
                <w:sz w:val="17"/>
              </w:rPr>
              <w:t>Formation</w:t>
            </w:r>
          </w:p>
        </w:tc>
        <w:tc>
          <w:tcPr>
            <w:tcW w:type="dxa" w:w="1440"/>
          </w:tcPr>
          <w:p>
            <w:r/>
            <w:r>
              <w:rPr>
                <w:sz w:val="17"/>
              </w:rPr>
              <w:t>June [6], 2025</w:t>
            </w:r>
          </w:p>
        </w:tc>
        <w:tc>
          <w:tcPr>
            <w:tcW w:type="dxa" w:w="2016"/>
          </w:tcPr>
          <w:p>
            <w:r/>
            <w:r>
              <w:rPr>
                <w:sz w:val="17"/>
              </w:rPr>
              <w:t>Current; date to be conformed</w:t>
            </w:r>
          </w:p>
        </w:tc>
      </w:tr>
      <w:tr>
        <w:tc>
          <w:tcPr>
            <w:tcW w:type="dxa" w:w="1440"/>
          </w:tcPr>
          <w:p>
            <w:r/>
            <w:r>
              <w:rPr>
                <w:sz w:val="17"/>
              </w:rPr>
              <w:t>PCSS</w:t>
            </w:r>
          </w:p>
        </w:tc>
        <w:tc>
          <w:tcPr>
            <w:tcW w:type="dxa" w:w="2304"/>
          </w:tcPr>
          <w:p>
            <w:r/>
            <w:r>
              <w:rPr>
                <w:sz w:val="17"/>
              </w:rPr>
              <w:t>[Ohio / Texas]</w:t>
            </w:r>
          </w:p>
        </w:tc>
        <w:tc>
          <w:tcPr>
            <w:tcW w:type="dxa" w:w="2160"/>
          </w:tcPr>
          <w:p>
            <w:r/>
            <w:r>
              <w:rPr>
                <w:sz w:val="17"/>
              </w:rPr>
              <w:t>Foreign registration (per Sched. 5.13(D))</w:t>
            </w:r>
          </w:p>
        </w:tc>
        <w:tc>
          <w:tcPr>
            <w:tcW w:type="dxa" w:w="1440"/>
          </w:tcPr>
          <w:p>
            <w:r/>
            <w:r>
              <w:rPr>
                <w:sz w:val="17"/>
              </w:rPr>
              <w:t>—</w:t>
            </w:r>
          </w:p>
        </w:tc>
        <w:tc>
          <w:tcPr>
            <w:tcW w:type="dxa" w:w="2016"/>
          </w:tcPr>
          <w:p>
            <w:r/>
            <w:r>
              <w:rPr>
                <w:sz w:val="17"/>
              </w:rPr>
              <w:t>Not obtained; qualification status disputed</w:t>
            </w:r>
          </w:p>
        </w:tc>
      </w:tr>
      <w:tr>
        <w:tc>
          <w:tcPr>
            <w:tcW w:type="dxa" w:w="1440"/>
          </w:tcPr>
          <w:p>
            <w:r/>
            <w:r>
              <w:rPr>
                <w:sz w:val="17"/>
              </w:rPr>
              <w:t>PAC</w:t>
            </w:r>
          </w:p>
        </w:tc>
        <w:tc>
          <w:tcPr>
            <w:tcW w:type="dxa" w:w="2304"/>
          </w:tcPr>
          <w:p>
            <w:r/>
            <w:r>
              <w:rPr>
                <w:sz w:val="17"/>
              </w:rPr>
              <w:t>Delaware</w:t>
            </w:r>
          </w:p>
        </w:tc>
        <w:tc>
          <w:tcPr>
            <w:tcW w:type="dxa" w:w="2160"/>
          </w:tcPr>
          <w:p>
            <w:r/>
            <w:r>
              <w:rPr>
                <w:sz w:val="17"/>
              </w:rPr>
              <w:t>Formation</w:t>
            </w:r>
          </w:p>
        </w:tc>
        <w:tc>
          <w:tcPr>
            <w:tcW w:type="dxa" w:w="1440"/>
          </w:tcPr>
          <w:p>
            <w:r/>
            <w:r>
              <w:rPr>
                <w:sz w:val="17"/>
              </w:rPr>
              <w:t>June [7], 2025</w:t>
            </w:r>
          </w:p>
        </w:tc>
        <w:tc>
          <w:tcPr>
            <w:tcW w:type="dxa" w:w="2016"/>
          </w:tcPr>
          <w:p>
            <w:r/>
            <w:r>
              <w:rPr>
                <w:sz w:val="17"/>
              </w:rPr>
              <w:t>Current; date to be conformed</w:t>
            </w:r>
          </w:p>
        </w:tc>
      </w:tr>
      <w:tr>
        <w:tc>
          <w:tcPr>
            <w:tcW w:type="dxa" w:w="1440"/>
          </w:tcPr>
          <w:p>
            <w:r/>
            <w:r>
              <w:rPr>
                <w:sz w:val="17"/>
              </w:rPr>
              <w:t>PAC</w:t>
            </w:r>
          </w:p>
        </w:tc>
        <w:tc>
          <w:tcPr>
            <w:tcW w:type="dxa" w:w="2304"/>
          </w:tcPr>
          <w:p>
            <w:r/>
            <w:r>
              <w:rPr>
                <w:sz w:val="17"/>
              </w:rPr>
              <w:t>[Ohio / Texas / California]</w:t>
            </w:r>
          </w:p>
        </w:tc>
        <w:tc>
          <w:tcPr>
            <w:tcW w:type="dxa" w:w="2160"/>
          </w:tcPr>
          <w:p>
            <w:r/>
            <w:r>
              <w:rPr>
                <w:sz w:val="17"/>
              </w:rPr>
              <w:t>Foreign qualification (per Sched. 5.13(D))</w:t>
            </w:r>
          </w:p>
        </w:tc>
        <w:tc>
          <w:tcPr>
            <w:tcW w:type="dxa" w:w="1440"/>
          </w:tcPr>
          <w:p>
            <w:r/>
            <w:r>
              <w:rPr>
                <w:sz w:val="17"/>
              </w:rPr>
              <w:t>—</w:t>
            </w:r>
          </w:p>
        </w:tc>
        <w:tc>
          <w:tcPr>
            <w:tcW w:type="dxa" w:w="2016"/>
          </w:tcPr>
          <w:p>
            <w:r/>
            <w:r>
              <w:rPr>
                <w:sz w:val="17"/>
              </w:rPr>
              <w:t>Not obtained; qualification status disputed</w:t>
            </w:r>
          </w:p>
        </w:tc>
      </w:tr>
    </w:tbl>
    <w:p/>
    <w:p>
      <w:pPr>
        <w:pStyle w:val="Heading1"/>
      </w:pPr>
      <w:r>
        <w:t>Annex E — Pledged Equity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296"/>
            <w:shd w:val="clear" w:color="auto" w:fill="D9D9D9"/>
          </w:tcPr>
          <w:p>
            <w:r/>
            <w:r>
              <w:rPr>
                <w:b/>
                <w:sz w:val="17"/>
              </w:rPr>
              <w:t>Pledgor</w:t>
            </w:r>
          </w:p>
        </w:tc>
        <w:tc>
          <w:tcPr>
            <w:tcW w:type="dxa" w:w="2160"/>
            <w:shd w:val="clear" w:color="auto" w:fill="D9D9D9"/>
          </w:tcPr>
          <w:p>
            <w:r/>
            <w:r>
              <w:rPr>
                <w:b/>
                <w:sz w:val="17"/>
              </w:rPr>
              <w:t>Issuer</w:t>
            </w:r>
          </w:p>
        </w:tc>
        <w:tc>
          <w:tcPr>
            <w:tcW w:type="dxa" w:w="1440"/>
            <w:shd w:val="clear" w:color="auto" w:fill="D9D9D9"/>
          </w:tcPr>
          <w:p>
            <w:r/>
            <w:r>
              <w:rPr>
                <w:b/>
                <w:sz w:val="17"/>
              </w:rPr>
              <w:t>Interest</w:t>
            </w:r>
          </w:p>
        </w:tc>
        <w:tc>
          <w:tcPr>
            <w:tcW w:type="dxa" w:w="1152"/>
            <w:shd w:val="clear" w:color="auto" w:fill="D9D9D9"/>
          </w:tcPr>
          <w:p>
            <w:r/>
            <w:r>
              <w:rPr>
                <w:b/>
                <w:sz w:val="17"/>
              </w:rPr>
              <w:t>Certificate</w:t>
            </w:r>
          </w:p>
        </w:tc>
        <w:tc>
          <w:tcPr>
            <w:tcW w:type="dxa" w:w="1728"/>
            <w:shd w:val="clear" w:color="auto" w:fill="D9D9D9"/>
          </w:tcPr>
          <w:p>
            <w:r/>
            <w:r>
              <w:rPr>
                <w:b/>
                <w:sz w:val="17"/>
              </w:rPr>
              <w:t>Per Security Agreement Sched. I</w:t>
            </w:r>
          </w:p>
        </w:tc>
        <w:tc>
          <w:tcPr>
            <w:tcW w:type="dxa" w:w="2304"/>
            <w:shd w:val="clear" w:color="auto" w:fill="D9D9D9"/>
          </w:tcPr>
          <w:p>
            <w:r/>
            <w:r>
              <w:rPr>
                <w:b/>
                <w:sz w:val="17"/>
              </w:rPr>
              <w:t>Per Issuer Governing Documents</w:t>
            </w:r>
          </w:p>
        </w:tc>
      </w:tr>
      <w:tr>
        <w:tc>
          <w:tcPr>
            <w:tcW w:type="dxa" w:w="1296"/>
          </w:tcPr>
          <w:p>
            <w:r/>
            <w:r>
              <w:rPr>
                <w:sz w:val="17"/>
              </w:rPr>
              <w:t>Parent Guarantor</w:t>
            </w:r>
          </w:p>
        </w:tc>
        <w:tc>
          <w:tcPr>
            <w:tcW w:type="dxa" w:w="2160"/>
          </w:tcPr>
          <w:p>
            <w:r/>
            <w:r>
              <w:rPr>
                <w:sz w:val="17"/>
              </w:rPr>
              <w:t>Pinnacle Manufacturing Group, Inc.</w:t>
            </w:r>
          </w:p>
        </w:tc>
        <w:tc>
          <w:tcPr>
            <w:tcW w:type="dxa" w:w="1440"/>
          </w:tcPr>
          <w:p>
            <w:r/>
            <w:r>
              <w:rPr>
                <w:sz w:val="17"/>
              </w:rPr>
              <w:t>Common stock, $0.01 par</w:t>
            </w:r>
          </w:p>
        </w:tc>
        <w:tc>
          <w:tcPr>
            <w:tcW w:type="dxa" w:w="1152"/>
          </w:tcPr>
          <w:p>
            <w:r/>
            <w:r>
              <w:rPr>
                <w:sz w:val="17"/>
              </w:rPr>
              <w:t>C-1001</w:t>
            </w:r>
          </w:p>
        </w:tc>
        <w:tc>
          <w:tcPr>
            <w:tcW w:type="dxa" w:w="1728"/>
          </w:tcPr>
          <w:p>
            <w:r/>
            <w:r>
              <w:rPr>
                <w:sz w:val="17"/>
              </w:rPr>
              <w:t>4,500,000 shares (100%)</w:t>
            </w:r>
          </w:p>
        </w:tc>
        <w:tc>
          <w:tcPr>
            <w:tcW w:type="dxa" w:w="2304"/>
          </w:tcPr>
          <w:p>
            <w:r/>
            <w:r>
              <w:rPr>
                <w:sz w:val="17"/>
              </w:rPr>
              <w:t>4,500,000 of 10,000,000 authorized — consistent</w:t>
            </w:r>
          </w:p>
        </w:tc>
      </w:tr>
      <w:tr>
        <w:tc>
          <w:tcPr>
            <w:tcW w:type="dxa" w:w="1296"/>
          </w:tcPr>
          <w:p>
            <w:r/>
            <w:r>
              <w:rPr>
                <w:sz w:val="17"/>
              </w:rPr>
              <w:t>Borrower</w:t>
            </w:r>
          </w:p>
        </w:tc>
        <w:tc>
          <w:tcPr>
            <w:tcW w:type="dxa" w:w="2160"/>
          </w:tcPr>
          <w:p>
            <w:r/>
            <w:r>
              <w:rPr>
                <w:sz w:val="17"/>
              </w:rPr>
              <w:t>Pinnacle Fastener Technologies, Inc.</w:t>
            </w:r>
          </w:p>
        </w:tc>
        <w:tc>
          <w:tcPr>
            <w:tcW w:type="dxa" w:w="1440"/>
          </w:tcPr>
          <w:p>
            <w:r/>
            <w:r>
              <w:rPr>
                <w:sz w:val="17"/>
              </w:rPr>
              <w:t>Common stock, no par</w:t>
            </w:r>
          </w:p>
        </w:tc>
        <w:tc>
          <w:tcPr>
            <w:tcW w:type="dxa" w:w="1152"/>
          </w:tcPr>
          <w:p>
            <w:r/>
            <w:r>
              <w:rPr>
                <w:sz w:val="17"/>
              </w:rPr>
              <w:t>C-2001</w:t>
            </w:r>
          </w:p>
        </w:tc>
        <w:tc>
          <w:tcPr>
            <w:tcW w:type="dxa" w:w="1728"/>
          </w:tcPr>
          <w:p>
            <w:r/>
            <w:r>
              <w:rPr>
                <w:sz w:val="17"/>
              </w:rPr>
              <w:t>1,000,000 shares (100%)</w:t>
            </w:r>
          </w:p>
        </w:tc>
        <w:tc>
          <w:tcPr>
            <w:tcW w:type="dxa" w:w="2304"/>
          </w:tcPr>
          <w:p>
            <w:r/>
            <w:r>
              <w:rPr>
                <w:sz w:val="17"/>
              </w:rPr>
              <w:t>1,000 authorized and outstanding — INCONSISTENT</w:t>
            </w:r>
          </w:p>
        </w:tc>
      </w:tr>
      <w:tr>
        <w:tc>
          <w:tcPr>
            <w:tcW w:type="dxa" w:w="1296"/>
          </w:tcPr>
          <w:p>
            <w:r/>
            <w:r>
              <w:rPr>
                <w:sz w:val="17"/>
              </w:rPr>
              <w:t>Borrower</w:t>
            </w:r>
          </w:p>
        </w:tc>
        <w:tc>
          <w:tcPr>
            <w:tcW w:type="dxa" w:w="2160"/>
          </w:tcPr>
          <w:p>
            <w:r/>
            <w:r>
              <w:rPr>
                <w:sz w:val="17"/>
              </w:rPr>
              <w:t>Pinnacle Coatings &amp; Surface Solutions, LLC</w:t>
            </w:r>
          </w:p>
        </w:tc>
        <w:tc>
          <w:tcPr>
            <w:tcW w:type="dxa" w:w="1440"/>
          </w:tcPr>
          <w:p>
            <w:r/>
            <w:r>
              <w:rPr>
                <w:sz w:val="17"/>
              </w:rPr>
              <w:t>LLC membership interest</w:t>
            </w:r>
          </w:p>
        </w:tc>
        <w:tc>
          <w:tcPr>
            <w:tcW w:type="dxa" w:w="1152"/>
          </w:tcPr>
          <w:p>
            <w:r/>
            <w:r>
              <w:rPr>
                <w:sz w:val="17"/>
              </w:rPr>
              <w:t>Uncertificated</w:t>
            </w:r>
          </w:p>
        </w:tc>
        <w:tc>
          <w:tcPr>
            <w:tcW w:type="dxa" w:w="1728"/>
          </w:tcPr>
          <w:p>
            <w:r/>
            <w:r>
              <w:rPr>
                <w:sz w:val="17"/>
              </w:rPr>
              <w:t>100%</w:t>
            </w:r>
          </w:p>
        </w:tc>
        <w:tc>
          <w:tcPr>
            <w:tcW w:type="dxa" w:w="2304"/>
          </w:tcPr>
          <w:p>
            <w:r/>
            <w:r>
              <w:rPr>
                <w:sz w:val="17"/>
              </w:rPr>
              <w:t>100% — general intangible (no Art. 8 opt-in identified)</w:t>
            </w:r>
          </w:p>
        </w:tc>
      </w:tr>
      <w:tr>
        <w:tc>
          <w:tcPr>
            <w:tcW w:type="dxa" w:w="1296"/>
          </w:tcPr>
          <w:p>
            <w:r/>
            <w:r>
              <w:rPr>
                <w:sz w:val="17"/>
              </w:rPr>
              <w:t>Borrower</w:t>
            </w:r>
          </w:p>
        </w:tc>
        <w:tc>
          <w:tcPr>
            <w:tcW w:type="dxa" w:w="2160"/>
          </w:tcPr>
          <w:p>
            <w:r/>
            <w:r>
              <w:rPr>
                <w:sz w:val="17"/>
              </w:rPr>
              <w:t>Pinnacle Aerospace Components, Inc.</w:t>
            </w:r>
          </w:p>
        </w:tc>
        <w:tc>
          <w:tcPr>
            <w:tcW w:type="dxa" w:w="1440"/>
          </w:tcPr>
          <w:p>
            <w:r/>
            <w:r>
              <w:rPr>
                <w:sz w:val="17"/>
              </w:rPr>
              <w:t>Common stock, $0.01 par</w:t>
            </w:r>
          </w:p>
        </w:tc>
        <w:tc>
          <w:tcPr>
            <w:tcW w:type="dxa" w:w="1152"/>
          </w:tcPr>
          <w:p>
            <w:r/>
            <w:r>
              <w:rPr>
                <w:sz w:val="17"/>
              </w:rPr>
              <w:t>C-3001</w:t>
            </w:r>
          </w:p>
        </w:tc>
        <w:tc>
          <w:tcPr>
            <w:tcW w:type="dxa" w:w="1728"/>
          </w:tcPr>
          <w:p>
            <w:r/>
            <w:r>
              <w:rPr>
                <w:sz w:val="17"/>
              </w:rPr>
              <w:t>500,000 shares (100%)</w:t>
            </w:r>
          </w:p>
        </w:tc>
        <w:tc>
          <w:tcPr>
            <w:tcW w:type="dxa" w:w="2304"/>
          </w:tcPr>
          <w:p>
            <w:r/>
            <w:r>
              <w:rPr>
                <w:sz w:val="17"/>
              </w:rPr>
              <w:t>1,000 authorized and outstanding — INCONSISTENT</w:t>
            </w:r>
          </w:p>
        </w:tc>
      </w:tr>
    </w:tbl>
    <w:p/>
    <w:p>
      <w:pPr>
        <w:pStyle w:val="Heading1"/>
      </w:pPr>
      <w:r>
        <w:t>Annex F — Identified Conflicts (No-Conflicts Opinion, Paragraph 5(iii))</w:t>
      </w:r>
    </w:p>
    <w:p>
      <w:pPr>
        <w:keepNext/>
      </w:pPr>
      <w:r>
        <w:rPr>
          <w:b/>
        </w:rPr>
        <w:t>1. Subordinated Note Purchase Agreement dated as of April 1, 2021 (Terracotta Mezzanine Partners, LP) — Borrower and Parent Guarantor.</w:t>
      </w:r>
    </w:p>
    <w:p>
      <w:pPr>
        <w:jc w:val="both"/>
      </w:pPr>
      <w:r>
        <w:t>Section 7.01(b) prohibits the Borrower and its Subsidiaries from incurring or guaranteeing Senior Secured Indebtedness if, after giving effect to the incurrence, aggregate Senior Secured Indebtedness “(including, for the avoidance of doubt, the aggregate amount of all undrawn commitments under any revolving credit facility that constitutes Senior Secured Indebtedness)” would exceed $125,000,000. The definition of “Senior Secured Indebtedness” in Section 1.01 likewise includes all commitments, drawn or undrawn, under a secured revolving facility. The Aggregate Commitments under the Credit Agreement are $175,000,000. Before counting the secured capital lease obligations on Schedule 7.01 to the Credit Agreement (approximately $4,800,000 to Aldersgate Equipment Leasing, Inc. and $85,000 to Stanton Office Solutions, LLC), that amount already exceeds the cap by $50,000,000. Accordingly, the execution, delivery and performance by the Borrower, and the guaranty and grant of Liens by the Subsidiary Guarantors (which are “Subsidiaries” under the Subordinated Note Purchase Agreement), will breach Section 7.01(b). The Liens securing the excess will also fall outside clause (i) of “Permitted Liens” and therefore will breach Section 7.02. A breach of Article VII becomes an Event of Default under Section 8.01(b) of the Subordinated Note Purchase Agreement 15 days after the earlier of notice from the Purchaser or a Responsible Officer’s awareness. Once that Event of Default exists, it would permit acceleration of approximately $18,750,000 of Subordinated Notes, which is an Event of Default under Section 8.01(f) of the Credit Agreement. [This exception will be removed upon delivery of an amendment to or written consent under the Subordinated Note Purchase Agreement, executed by Terracotta Mezzanine Partners, LP and dated on or before the Closing Date, permitting Senior Secured Indebtedness (including undrawn commitments) of not less than $[__].]</w:t>
      </w:r>
    </w:p>
    <w:p>
      <w:pPr>
        <w:keepNext/>
      </w:pPr>
      <w:r>
        <w:rPr>
          <w:b/>
        </w:rPr>
        <w:t>2. Technology License Agreement dated as of September 1, 2020 (Korvin Advanced Materials GmbH) — Borrower.</w:t>
      </w:r>
    </w:p>
    <w:p>
      <w:pPr>
        <w:jc w:val="both"/>
      </w:pPr>
      <w:r>
        <w:t xml:space="preserve">Under Section 14.2(a), the Borrower may not, without Korvin’s prior written consent (which Korvin may withhold in its sole discretion), “pledge, hypothecate, grant a security interest in, or otherwise encumber” the agreement or any rights under it, including the License Rights, any rights under the Licensed Patents or any interest in the Licensed Technology. Section 14.2(b) provides that any purported Transfer in violation of Section 14.2 is “null and void </w:t>
      </w:r>
      <w:r>
        <w:rPr>
          <w:i/>
        </w:rPr>
        <w:t>ab initio</w:t>
      </w:r>
      <w:r>
        <w:t>.” Section 14.3 gives Korvin the right to injunctive relief and to terminate on thirty days’ notice unless the breach is cured. Section 2.01(g) of the Security Agreement expressly grants a security interest in “all rights of the Borrower under” the Korvin License Agreement. Schedule 5.04 to the Credit Agreement states that Korvin’s consent has not been obtained. The grant of that security interest therefore breaches Section 14.2. Under Section 9-408(a) and (c) of the NY UCC, a contractual restriction on the creation, attachment or perfection of a security interest in a licensee’s rights under a general intangible is ineffective to the extent it would impair the creation, attachment or perfection of the security interest or would give rise to a default, breach or termination right. Section 9-408(d), however, provides that such a security interest is not enforceable against Korvin, does not impose any duty on Korvin, and does not entitle the Administrative Agent to use, assign or enforce the Korvin License Agreement or the Licensed Technology. See also qualification (k). [This exception will be removed upon delivery of Korvin’s written consent to the grant of the security interest, or upon an amendment to the Security Agreement excluding the Korvin License Agreement from the Collateral except to the extent permitted by Section 9-408.]</w:t>
      </w:r>
    </w:p>
    <w:p>
      <w:r>
        <w:rPr>
          <w:b/>
          <w:sz w:val="18"/>
        </w:rPr>
        <w:t>[Note to Draft:</w:t>
      </w:r>
      <w:r>
        <w:rPr>
          <w:sz w:val="18"/>
        </w:rPr>
        <w:t xml:space="preserve"> The Credit Agreement representations in Sections 5.03(a)(iii) and 5.12, and the Security Agreement representations in Sections 3.04(c) and 3.07(d), are inaccurate in light of these conflicts. The Lender Parties will want them disclosed or cured before the Officer’s Certificate bring-down.</w:t>
      </w:r>
      <w:r>
        <w:rPr>
          <w:b/>
          <w:sz w:val="18"/>
        </w:rPr>
        <w:t>]</w:t>
      </w:r>
    </w:p>
    <w:p>
      <w:pPr>
        <w:pStyle w:val="Heading1"/>
      </w:pPr>
      <w:r>
        <w:t>Annex G — Search Report Filings Affecting Priority</w:t>
      </w:r>
    </w:p>
    <w:p>
      <w:r>
        <w:rPr>
          <w:b/>
        </w:rPr>
        <w:t>Part 1 — UCC financing statements (other than the Financing Statements)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728"/>
            <w:shd w:val="clear" w:color="auto" w:fill="D9D9D9"/>
          </w:tcPr>
          <w:p>
            <w:r/>
            <w:r>
              <w:rPr>
                <w:b/>
                <w:sz w:val="17"/>
              </w:rPr>
              <w:t>Secured Party</w:t>
            </w:r>
          </w:p>
        </w:tc>
        <w:tc>
          <w:tcPr>
            <w:tcW w:type="dxa" w:w="1440"/>
            <w:shd w:val="clear" w:color="auto" w:fill="D9D9D9"/>
          </w:tcPr>
          <w:p>
            <w:r/>
            <w:r>
              <w:rPr>
                <w:b/>
                <w:sz w:val="17"/>
              </w:rPr>
              <w:t>Debtor / Office</w:t>
            </w:r>
          </w:p>
        </w:tc>
        <w:tc>
          <w:tcPr>
            <w:tcW w:type="dxa" w:w="2160"/>
            <w:shd w:val="clear" w:color="auto" w:fill="D9D9D9"/>
          </w:tcPr>
          <w:p>
            <w:r/>
            <w:r>
              <w:rPr>
                <w:b/>
                <w:sz w:val="17"/>
              </w:rPr>
              <w:t>File No. / Date</w:t>
            </w:r>
          </w:p>
        </w:tc>
        <w:tc>
          <w:tcPr>
            <w:tcW w:type="dxa" w:w="2016"/>
            <w:shd w:val="clear" w:color="auto" w:fill="D9D9D9"/>
          </w:tcPr>
          <w:p>
            <w:r/>
            <w:r>
              <w:rPr>
                <w:b/>
                <w:sz w:val="17"/>
              </w:rPr>
              <w:t>Collateral</w:t>
            </w:r>
          </w:p>
        </w:tc>
        <w:tc>
          <w:tcPr>
            <w:tcW w:type="dxa" w:w="2448"/>
            <w:shd w:val="clear" w:color="auto" w:fill="D9D9D9"/>
          </w:tcPr>
          <w:p>
            <w:r/>
            <w:r>
              <w:rPr>
                <w:b/>
                <w:sz w:val="17"/>
              </w:rPr>
              <w:t>Treatment</w:t>
            </w:r>
          </w:p>
        </w:tc>
      </w:tr>
      <w:tr>
        <w:tc>
          <w:tcPr>
            <w:tcW w:type="dxa" w:w="1728"/>
          </w:tcPr>
          <w:p>
            <w:r/>
            <w:r>
              <w:rPr>
                <w:sz w:val="17"/>
              </w:rPr>
              <w:t>Ironbridge Industrial Finance Corp.</w:t>
            </w:r>
          </w:p>
        </w:tc>
        <w:tc>
          <w:tcPr>
            <w:tcW w:type="dxa" w:w="1440"/>
          </w:tcPr>
          <w:p>
            <w:r/>
            <w:r>
              <w:rPr>
                <w:sz w:val="17"/>
              </w:rPr>
              <w:t>Borrower / DE SOS</w:t>
            </w:r>
          </w:p>
        </w:tc>
        <w:tc>
          <w:tcPr>
            <w:tcW w:type="dxa" w:w="2160"/>
          </w:tcPr>
          <w:p>
            <w:r/>
            <w:r>
              <w:rPr>
                <w:sz w:val="17"/>
              </w:rPr>
              <w:t>2019-4572810; filed Aug. 9, 2019; continued July 22, 2024 (No. 2024-3681045); lapses Aug. 9, 2029</w:t>
            </w:r>
          </w:p>
        </w:tc>
        <w:tc>
          <w:tcPr>
            <w:tcW w:type="dxa" w:w="2016"/>
          </w:tcPr>
          <w:p>
            <w:r/>
            <w:r>
              <w:rPr>
                <w:sz w:val="17"/>
              </w:rPr>
              <w:t>All assets</w:t>
            </w:r>
          </w:p>
        </w:tc>
        <w:tc>
          <w:tcPr>
            <w:tcW w:type="dxa" w:w="2448"/>
          </w:tcPr>
          <w:p>
            <w:r/>
            <w:r>
              <w:rPr>
                <w:sz w:val="17"/>
              </w:rPr>
              <w:t xml:space="preserve">Prior Credit Facility; must be terminated at closing under Section 4.01(g). [UCC-3 termination File No. </w:t>
            </w:r>
            <w:r>
              <w:rPr>
                <w:sz w:val="17"/>
                <w:u w:val="single"/>
              </w:rPr>
              <w:t xml:space="preserve">__ filed June </w:t>
            </w:r>
            <w:r>
              <w:rPr>
                <w:sz w:val="17"/>
              </w:rPr>
              <w:t>, 2025.]</w:t>
            </w:r>
          </w:p>
        </w:tc>
      </w:tr>
      <w:tr>
        <w:tc>
          <w:tcPr>
            <w:tcW w:type="dxa" w:w="1728"/>
          </w:tcPr>
          <w:p>
            <w:r/>
            <w:r>
              <w:rPr>
                <w:sz w:val="17"/>
              </w:rPr>
              <w:t>Aldersgate Equipment Leasing, Inc.</w:t>
            </w:r>
          </w:p>
        </w:tc>
        <w:tc>
          <w:tcPr>
            <w:tcW w:type="dxa" w:w="1440"/>
          </w:tcPr>
          <w:p>
            <w:r/>
            <w:r>
              <w:rPr>
                <w:sz w:val="17"/>
              </w:rPr>
              <w:t>Borrower / DE SOS</w:t>
            </w:r>
          </w:p>
        </w:tc>
        <w:tc>
          <w:tcPr>
            <w:tcW w:type="dxa" w:w="2160"/>
          </w:tcPr>
          <w:p>
            <w:r/>
            <w:r>
              <w:rPr>
                <w:sz w:val="17"/>
              </w:rPr>
              <w:t>2022-0381294; Feb. 14, 2022; lapses Feb. 14, 2027</w:t>
            </w:r>
          </w:p>
        </w:tc>
        <w:tc>
          <w:tcPr>
            <w:tcW w:type="dxa" w:w="2016"/>
          </w:tcPr>
          <w:p>
            <w:r/>
            <w:r>
              <w:rPr>
                <w:sz w:val="17"/>
              </w:rPr>
              <w:t>Equipment leased under Master Lease Agreement dated Feb. 1, 2022, with replacements, substitutions, additions and proceeds</w:t>
            </w:r>
          </w:p>
        </w:tc>
        <w:tc>
          <w:tcPr>
            <w:tcW w:type="dxa" w:w="2448"/>
          </w:tcPr>
          <w:p>
            <w:r/>
            <w:r>
              <w:rPr>
                <w:sz w:val="17"/>
              </w:rPr>
              <w:t>Permitted Lien (Schedule 7.02). Schedule 7.01 treats it as a capital lease obligation (about $4.8M), so it may be a security interest with priority in the described equipment.</w:t>
            </w:r>
          </w:p>
        </w:tc>
      </w:tr>
      <w:tr>
        <w:tc>
          <w:tcPr>
            <w:tcW w:type="dxa" w:w="1728"/>
          </w:tcPr>
          <w:p>
            <w:r/>
            <w:r>
              <w:rPr>
                <w:sz w:val="17"/>
              </w:rPr>
              <w:t>Stanton Office Solutions, LLC</w:t>
            </w:r>
          </w:p>
        </w:tc>
        <w:tc>
          <w:tcPr>
            <w:tcW w:type="dxa" w:w="1440"/>
          </w:tcPr>
          <w:p>
            <w:r/>
            <w:r>
              <w:rPr>
                <w:sz w:val="17"/>
              </w:rPr>
              <w:t>PFT / OH SOS</w:t>
            </w:r>
          </w:p>
        </w:tc>
        <w:tc>
          <w:tcPr>
            <w:tcW w:type="dxa" w:w="2160"/>
          </w:tcPr>
          <w:p>
            <w:r/>
            <w:r>
              <w:rPr>
                <w:sz w:val="17"/>
              </w:rPr>
              <w:t>OH-2023-0294817; Nov. 20, 2023; lapses Nov. 20, 2028</w:t>
            </w:r>
          </w:p>
        </w:tc>
        <w:tc>
          <w:tcPr>
            <w:tcW w:type="dxa" w:w="2016"/>
          </w:tcPr>
          <w:p>
            <w:r/>
            <w:r>
              <w:rPr>
                <w:sz w:val="17"/>
              </w:rPr>
              <w:t>Three specified copier/scanner units, with replacements, substitutions and proceeds</w:t>
            </w:r>
          </w:p>
        </w:tc>
        <w:tc>
          <w:tcPr>
            <w:tcW w:type="dxa" w:w="2448"/>
          </w:tcPr>
          <w:p>
            <w:r/>
            <w:r>
              <w:rPr>
                <w:sz w:val="17"/>
              </w:rPr>
              <w:t>Permitted Lien (Schedule 7.02); priority in the described equipment.</w:t>
            </w:r>
          </w:p>
        </w:tc>
      </w:tr>
    </w:tbl>
    <w:p/>
    <w:p>
      <w:r>
        <w:rPr>
          <w:b/>
        </w:rPr>
        <w:t>Part 2 — Non-UCC lien notices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2160"/>
            <w:shd w:val="clear" w:color="auto" w:fill="D9D9D9"/>
          </w:tcPr>
          <w:p>
            <w:r/>
            <w:r>
              <w:rPr>
                <w:b/>
                <w:sz w:val="17"/>
              </w:rPr>
              <w:t>Lien Claimant</w:t>
            </w:r>
          </w:p>
        </w:tc>
        <w:tc>
          <w:tcPr>
            <w:tcW w:type="dxa" w:w="1440"/>
            <w:shd w:val="clear" w:color="auto" w:fill="D9D9D9"/>
          </w:tcPr>
          <w:p>
            <w:r/>
            <w:r>
              <w:rPr>
                <w:b/>
                <w:sz w:val="17"/>
              </w:rPr>
              <w:t>Debtor / Office</w:t>
            </w:r>
          </w:p>
        </w:tc>
        <w:tc>
          <w:tcPr>
            <w:tcW w:type="dxa" w:w="1728"/>
            <w:shd w:val="clear" w:color="auto" w:fill="D9D9D9"/>
          </w:tcPr>
          <w:p>
            <w:r/>
            <w:r>
              <w:rPr>
                <w:b/>
                <w:sz w:val="17"/>
              </w:rPr>
              <w:t>File No. / Date</w:t>
            </w:r>
          </w:p>
        </w:tc>
        <w:tc>
          <w:tcPr>
            <w:tcW w:type="dxa" w:w="1872"/>
            <w:shd w:val="clear" w:color="auto" w:fill="D9D9D9"/>
          </w:tcPr>
          <w:p>
            <w:r/>
            <w:r>
              <w:rPr>
                <w:b/>
                <w:sz w:val="17"/>
              </w:rPr>
              <w:t>Amount</w:t>
            </w:r>
          </w:p>
        </w:tc>
        <w:tc>
          <w:tcPr>
            <w:tcW w:type="dxa" w:w="2592"/>
            <w:shd w:val="clear" w:color="auto" w:fill="D9D9D9"/>
          </w:tcPr>
          <w:p>
            <w:r/>
            <w:r>
              <w:rPr>
                <w:b/>
                <w:sz w:val="17"/>
              </w:rPr>
              <w:t>Treatment</w:t>
            </w:r>
          </w:p>
        </w:tc>
      </w:tr>
      <w:tr>
        <w:tc>
          <w:tcPr>
            <w:tcW w:type="dxa" w:w="2160"/>
          </w:tcPr>
          <w:p>
            <w:r/>
            <w:r>
              <w:rPr>
                <w:sz w:val="17"/>
              </w:rPr>
              <w:t>“Great Lakes Tax Authority, Ohio Department of Revenue” (as described in the Search Report)</w:t>
            </w:r>
          </w:p>
        </w:tc>
        <w:tc>
          <w:tcPr>
            <w:tcW w:type="dxa" w:w="1440"/>
          </w:tcPr>
          <w:p>
            <w:r/>
            <w:r>
              <w:rPr>
                <w:sz w:val="17"/>
              </w:rPr>
              <w:t>Borrower / OH SOS</w:t>
            </w:r>
          </w:p>
        </w:tc>
        <w:tc>
          <w:tcPr>
            <w:tcW w:type="dxa" w:w="1728"/>
          </w:tcPr>
          <w:p>
            <w:r/>
            <w:r>
              <w:rPr>
                <w:sz w:val="17"/>
              </w:rPr>
              <w:t>OH-2024-TL-0048271; Mar. 3, 2024</w:t>
            </w:r>
          </w:p>
        </w:tc>
        <w:tc>
          <w:tcPr>
            <w:tcW w:type="dxa" w:w="1872"/>
          </w:tcPr>
          <w:p>
            <w:r/>
            <w:r>
              <w:rPr>
                <w:sz w:val="17"/>
              </w:rPr>
              <w:t>$347,218.64 (taxes, penalties and interest under ORC Chapters 5739 and 5747)</w:t>
            </w:r>
          </w:p>
        </w:tc>
        <w:tc>
          <w:tcPr>
            <w:tcW w:type="dxa" w:w="2592"/>
          </w:tcPr>
          <w:p>
            <w:r/>
            <w:r>
              <w:rPr>
                <w:sz w:val="17"/>
              </w:rPr>
              <w:t>No release or subordination of record. Not on Schedule 7.02. A statutory tax lien may have priority irrespective of Article 9; no opinion is expressed as to its priority. [Release to be filed before closing.]</w:t>
            </w:r>
          </w:p>
        </w:tc>
      </w:tr>
    </w:tbl>
    <w:p/>
    <w:p>
      <w:pPr>
        <w:pStyle w:val="Heading1"/>
      </w:pPr>
      <w:r>
        <w:t>Annex H — Pending Litigation Disclosed</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2304"/>
            <w:shd w:val="clear" w:color="auto" w:fill="D9D9D9"/>
          </w:tcPr>
          <w:p>
            <w:r/>
            <w:r>
              <w:rPr>
                <w:b/>
                <w:sz w:val="17"/>
              </w:rPr>
              <w:t>Matter</w:t>
            </w:r>
          </w:p>
        </w:tc>
        <w:tc>
          <w:tcPr>
            <w:tcW w:type="dxa" w:w="1008"/>
            <w:shd w:val="clear" w:color="auto" w:fill="D9D9D9"/>
          </w:tcPr>
          <w:p>
            <w:r/>
            <w:r>
              <w:rPr>
                <w:b/>
                <w:sz w:val="17"/>
              </w:rPr>
              <w:t>Opinion Party</w:t>
            </w:r>
          </w:p>
        </w:tc>
        <w:tc>
          <w:tcPr>
            <w:tcW w:type="dxa" w:w="1872"/>
            <w:shd w:val="clear" w:color="auto" w:fill="D9D9D9"/>
          </w:tcPr>
          <w:p>
            <w:r/>
            <w:r>
              <w:rPr>
                <w:b/>
                <w:sz w:val="17"/>
              </w:rPr>
              <w:t>Forum / Case No.</w:t>
            </w:r>
          </w:p>
        </w:tc>
        <w:tc>
          <w:tcPr>
            <w:tcW w:type="dxa" w:w="2016"/>
            <w:shd w:val="clear" w:color="auto" w:fill="D9D9D9"/>
          </w:tcPr>
          <w:p>
            <w:r/>
            <w:r>
              <w:rPr>
                <w:b/>
                <w:sz w:val="17"/>
              </w:rPr>
              <w:t>Claim</w:t>
            </w:r>
          </w:p>
        </w:tc>
        <w:tc>
          <w:tcPr>
            <w:tcW w:type="dxa" w:w="2592"/>
            <w:shd w:val="clear" w:color="auto" w:fill="D9D9D9"/>
          </w:tcPr>
          <w:p>
            <w:r/>
            <w:r>
              <w:rPr>
                <w:b/>
                <w:sz w:val="17"/>
              </w:rPr>
              <w:t>Status per Closing Documents</w:t>
            </w:r>
          </w:p>
        </w:tc>
      </w:tr>
      <w:tr>
        <w:tc>
          <w:tcPr>
            <w:tcW w:type="dxa" w:w="2304"/>
          </w:tcPr>
          <w:p>
            <w:r/>
            <w:r>
              <w:rPr>
                <w:i/>
                <w:sz w:val="17"/>
              </w:rPr>
              <w:t>Morrison Industrial Supply, Inc. v. Pinnacle Manufacturing Group, Inc.</w:t>
            </w:r>
          </w:p>
        </w:tc>
        <w:tc>
          <w:tcPr>
            <w:tcW w:type="dxa" w:w="1008"/>
          </w:tcPr>
          <w:p>
            <w:r/>
            <w:r>
              <w:rPr>
                <w:sz w:val="17"/>
              </w:rPr>
              <w:t>Borrower</w:t>
            </w:r>
          </w:p>
        </w:tc>
        <w:tc>
          <w:tcPr>
            <w:tcW w:type="dxa" w:w="1872"/>
          </w:tcPr>
          <w:p>
            <w:r/>
            <w:r>
              <w:rPr>
                <w:sz w:val="17"/>
              </w:rPr>
              <w:t>Summit County (Ohio) Court of Common Pleas, No. 2024-CV-03821</w:t>
            </w:r>
          </w:p>
        </w:tc>
        <w:tc>
          <w:tcPr>
            <w:tcW w:type="dxa" w:w="2016"/>
          </w:tcPr>
          <w:p>
            <w:r/>
            <w:r>
              <w:rPr>
                <w:sz w:val="17"/>
              </w:rPr>
              <w:t>Breach of contract and warranty; approximately $4,200,000 plus fees and costs</w:t>
            </w:r>
          </w:p>
        </w:tc>
        <w:tc>
          <w:tcPr>
            <w:tcW w:type="dxa" w:w="2592"/>
          </w:tcPr>
          <w:p>
            <w:r/>
            <w:r>
              <w:rPr>
                <w:sz w:val="17"/>
              </w:rPr>
              <w:t>Discovery ongoing; answer and counterclaims for unpaid invoices filed (Schedule 5.06); motion to dismiss pending (Officer’s Certificate). [Descriptions to be conformed.]</w:t>
            </w:r>
          </w:p>
        </w:tc>
      </w:tr>
      <w:tr>
        <w:tc>
          <w:tcPr>
            <w:tcW w:type="dxa" w:w="2304"/>
          </w:tcPr>
          <w:p>
            <w:r/>
            <w:r>
              <w:rPr>
                <w:i/>
                <w:sz w:val="17"/>
              </w:rPr>
              <w:t>Reliant Avionics Corp. v. Pinnacle Aerospace Components, Inc.</w:t>
            </w:r>
          </w:p>
        </w:tc>
        <w:tc>
          <w:tcPr>
            <w:tcW w:type="dxa" w:w="1008"/>
          </w:tcPr>
          <w:p>
            <w:r/>
            <w:r>
              <w:rPr>
                <w:sz w:val="17"/>
              </w:rPr>
              <w:t>PAC</w:t>
            </w:r>
          </w:p>
        </w:tc>
        <w:tc>
          <w:tcPr>
            <w:tcW w:type="dxa" w:w="1872"/>
          </w:tcPr>
          <w:p>
            <w:r/>
            <w:r>
              <w:rPr>
                <w:sz w:val="17"/>
              </w:rPr>
              <w:t>U.S. District Court, N.D. Ohio, No. 1:2024-cv-08832</w:t>
            </w:r>
          </w:p>
        </w:tc>
        <w:tc>
          <w:tcPr>
            <w:tcW w:type="dxa" w:w="2016"/>
          </w:tcPr>
          <w:p>
            <w:r/>
            <w:r>
              <w:rPr>
                <w:sz w:val="17"/>
              </w:rPr>
              <w:t>Product liability (aerospace fasteners); approximately $12,500,000 compensatory and consequential damages</w:t>
            </w:r>
          </w:p>
        </w:tc>
        <w:tc>
          <w:tcPr>
            <w:tcW w:type="dxa" w:w="2592"/>
          </w:tcPr>
          <w:p>
            <w:r/>
            <w:r>
              <w:rPr>
                <w:sz w:val="17"/>
              </w:rPr>
              <w:t>Early discovery. Insurance “may apply to a portion” (Schedule 5.06) or is “adequate” (Officer’s Certificate). [Descriptions to be conformed; insurer’s coverage position to be confirmed.]</w:t>
            </w:r>
          </w:p>
        </w:tc>
      </w:tr>
    </w:tbl>
    <w:p/>
    <w:p>
      <w:r>
        <w:t>Aggregate claimed damages: approximately $16,700,000.</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Whitfield &amp; Crane LLP | 127 Public Square, Suite 4500 | Cleveland, Ohio 44114 | Privileged &amp; Confidential Draft — Subject to W&amp;C Opinion Committee Review and to resolution of the open items identified in the W&amp;C Opinion Issues Memorandum dated June 12,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A00000"/>
        <w:sz w:val="16"/>
      </w:rPr>
      <w:t>W&amp;C DRAFT 6/12/2025 — ADVANCE DRAFT FOR LENDER COUNSEL REVIEW — NOT FOR RELIANCE UNTIL EXECUTED AND DELIVERED AT CLOSING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