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8"/>
        </w:rPr>
        <w:t>WHITFIELD &amp; CRANE LLP</w:t>
      </w:r>
    </w:p>
    <w:p>
      <w:pPr>
        <w:spacing w:after="200"/>
        <w:jc w:val="center"/>
      </w:pPr>
      <w:r>
        <w:rPr>
          <w:b/>
          <w:sz w:val="24"/>
        </w:rPr>
        <w:t>MEMORANDUM</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296"/>
            <w:shd w:val="clear" w:color="auto" w:fill="FFFFFF"/>
          </w:tcPr>
          <w:p>
            <w:r/>
            <w:r>
              <w:rPr>
                <w:b/>
                <w:sz w:val="20"/>
              </w:rPr>
              <w:t>To:</w:t>
            </w:r>
          </w:p>
        </w:tc>
        <w:tc>
          <w:tcPr>
            <w:tcW w:type="dxa" w:w="8064"/>
            <w:shd w:val="clear" w:color="auto" w:fill="FFFFFF"/>
          </w:tcPr>
          <w:p>
            <w:r/>
            <w:r>
              <w:rPr>
                <w:b/>
                <w:sz w:val="20"/>
              </w:rPr>
              <w:t>Victoria S. Engstrom, Partner</w:t>
            </w:r>
          </w:p>
        </w:tc>
      </w:tr>
      <w:tr>
        <w:tc>
          <w:tcPr>
            <w:tcW w:type="dxa" w:w="1296"/>
          </w:tcPr>
          <w:p>
            <w:r/>
            <w:r>
              <w:rPr>
                <w:b/>
                <w:sz w:val="20"/>
              </w:rPr>
              <w:t>cc:</w:t>
            </w:r>
          </w:p>
        </w:tc>
        <w:tc>
          <w:tcPr>
            <w:tcW w:type="dxa" w:w="8064"/>
          </w:tcPr>
          <w:p>
            <w:r/>
            <w:r>
              <w:rPr>
                <w:sz w:val="20"/>
              </w:rPr>
              <w:t>Marcus J. Wellbourne, Associate; W&amp;C Opinion Committee</w:t>
            </w:r>
          </w:p>
        </w:tc>
      </w:tr>
      <w:tr>
        <w:tc>
          <w:tcPr>
            <w:tcW w:type="dxa" w:w="1296"/>
          </w:tcPr>
          <w:p>
            <w:r/>
            <w:r>
              <w:rPr>
                <w:b/>
                <w:sz w:val="20"/>
              </w:rPr>
              <w:t>From:</w:t>
            </w:r>
          </w:p>
        </w:tc>
        <w:tc>
          <w:tcPr>
            <w:tcW w:type="dxa" w:w="8064"/>
          </w:tcPr>
          <w:p>
            <w:r/>
            <w:r>
              <w:rPr>
                <w:sz w:val="20"/>
              </w:rPr>
              <w:t>Opinion drafting team</w:t>
            </w:r>
          </w:p>
        </w:tc>
      </w:tr>
      <w:tr>
        <w:tc>
          <w:tcPr>
            <w:tcW w:type="dxa" w:w="1296"/>
          </w:tcPr>
          <w:p>
            <w:r/>
            <w:r>
              <w:rPr>
                <w:b/>
                <w:sz w:val="20"/>
              </w:rPr>
              <w:t>Date:</w:t>
            </w:r>
          </w:p>
        </w:tc>
        <w:tc>
          <w:tcPr>
            <w:tcW w:type="dxa" w:w="8064"/>
          </w:tcPr>
          <w:p>
            <w:r/>
            <w:r>
              <w:rPr>
                <w:sz w:val="20"/>
              </w:rPr>
              <w:t>June 12, 2025</w:t>
            </w:r>
          </w:p>
        </w:tc>
      </w:tr>
      <w:tr>
        <w:tc>
          <w:tcPr>
            <w:tcW w:type="dxa" w:w="1296"/>
          </w:tcPr>
          <w:p>
            <w:r/>
            <w:r>
              <w:rPr>
                <w:b/>
                <w:sz w:val="20"/>
              </w:rPr>
              <w:t>Re:</w:t>
            </w:r>
          </w:p>
        </w:tc>
        <w:tc>
          <w:tcPr>
            <w:tcW w:type="dxa" w:w="8064"/>
          </w:tcPr>
          <w:p>
            <w:r/>
            <w:r>
              <w:rPr>
                <w:sz w:val="20"/>
              </w:rPr>
              <w:t>Pinnacle Manufacturing Group, Inc. — $175,000,000 Senior Secured Revolving Credit Facility (Ridgeline National Bank, as Administrative Agent) — Closing Opinion: Deficiencies in Closing Documents and Required Cures</w:t>
            </w:r>
          </w:p>
        </w:tc>
      </w:tr>
    </w:tbl>
    <w:p/>
    <w:p>
      <w:pPr>
        <w:pStyle w:val="Heading1"/>
      </w:pPr>
      <w:r>
        <w:t>Part I — Bottom Line</w:t>
      </w:r>
    </w:p>
    <w:p>
      <w:pPr>
        <w:jc w:val="both"/>
      </w:pPr>
      <w:r>
        <w:t xml:space="preserve">The accompanying advance draft of our closing opinion (closing-legal-opinion.docx) follows the June 9, 2025 requirements letter from Raymond K. Drummond (Drummond &amp; Associates LLP). It addresses each of the five Opinion Parties separately on each opinion topic. </w:t>
      </w:r>
      <w:r>
        <w:rPr>
          <w:b/>
        </w:rPr>
        <w:t>On the current record we cannot deliver the opinion in the form the Lender Parties requested, and several defects are also failures of Credit Agreement closing conditions.</w:t>
      </w:r>
      <w:r>
        <w:t xml:space="preserve"> The draft therefore brackets every opinion that depends on a cure, carries the actual conflicts as specific exceptions (no materiality qualifier, as Drummond asked), and flags each non-standard assumption and qualification for Lender counsel. Drummond’s letter asks us to advise “as soon as possible” if we foresee any inability to deliver a requested opinion; we recommend sending the draft today with the cover note in Part VI.</w:t>
      </w:r>
    </w:p>
    <w:p>
      <w:pPr>
        <w:keepNext/>
      </w:pPr>
      <w:r>
        <w:t>The gating items, in order of severity:</w:t>
      </w:r>
    </w:p>
    <w:p>
      <w:pPr>
        <w:pStyle w:val="ListBullet"/>
      </w:pPr>
      <w:r>
        <w:rPr>
          <w:b/>
        </w:rPr>
        <w:t>Terracotta covenant breach (Issue A-1).</w:t>
      </w:r>
      <w:r>
        <w:t xml:space="preserve"> The $175,000,000 of commitments breaches the $125,000,000 Senior Secured Indebtedness cap (undrawn commitments included) in Section 7.01(b) of the Subordinated Note Purchase Agreement. That breach ripens into a Terracotta Event of Default and then a cross-default under Credit Agreement Section 8.01(f). A Terracotta amendment or consent is required, or the commitments must be cut to about $120.1 million.</w:t>
      </w:r>
    </w:p>
    <w:p>
      <w:pPr>
        <w:pStyle w:val="ListBullet"/>
      </w:pPr>
      <w:r>
        <w:rPr>
          <w:b/>
        </w:rPr>
        <w:t>Korvin consent (Issue A-3).</w:t>
      </w:r>
      <w:r>
        <w:t xml:space="preserve"> The Security Agreement grants a lien on the Borrower’s rights under the Korvin License Agreement without the consent Section 14.2 requires. Without consent the grant is void as between the parties, and Korvin may terminate a license the Credit Agreement itself calls material.</w:t>
      </w:r>
    </w:p>
    <w:p>
      <w:pPr>
        <w:pStyle w:val="ListBullet"/>
      </w:pPr>
      <w:r>
        <w:rPr>
          <w:b/>
        </w:rPr>
        <w:t>Authorizations (Part B).</w:t>
      </w:r>
      <w:r>
        <w:t xml:space="preserve"> None of the five entity authorizations supports a due-authorization opinion. The Borrower authorized only $150 million, and its board roster conflicts with the certified records. The Parent Guarantor, PFT and PAC consents were signed by persons who are not (or not all) the directors of record. The PCSS consent was signed by the General Counsel, who the LLC agreement says cannot act for the member. The guarantor signatories do not appear as officers in the governing documents.</w:t>
      </w:r>
    </w:p>
    <w:p>
      <w:pPr>
        <w:pStyle w:val="ListBullet"/>
      </w:pPr>
      <w:r>
        <w:rPr>
          <w:b/>
        </w:rPr>
        <w:t>Priority (Issues D-1 and D-2).</w:t>
      </w:r>
      <w:r>
        <w:t xml:space="preserve"> The Ironbridge all-assets UCC-1 has not been terminated (it is continued to 2029). There is also an unreleased $347,218.64 Ohio state tax lien against the Borrower that is not on Schedule 7.02.</w:t>
      </w:r>
    </w:p>
    <w:p>
      <w:pPr>
        <w:pStyle w:val="ListBullet"/>
      </w:pPr>
      <w:r>
        <w:rPr>
          <w:b/>
        </w:rPr>
        <w:t>Officer’s Certificate and pro forma covenants (Issue A-4).</w:t>
      </w:r>
      <w:r>
        <w:t xml:space="preserve"> The certificate recites an initial borrowing of $175,000,000. On its own numbers, that produces pro forma Total Leverage of about 3.98x against a 3.50x maximum (an immediate Event of Default with no cure period), and the certificate tests the wrong section on a historical rather than pro forma basis.</w:t>
      </w:r>
    </w:p>
    <w:p>
      <w:pPr>
        <w:pStyle w:val="ListBullet"/>
      </w:pPr>
      <w:r>
        <w:rPr>
          <w:b/>
        </w:rPr>
        <w:t>Good standing (Part C).</w:t>
      </w:r>
      <w:r>
        <w:t xml:space="preserve"> The PFT Ohio certificate is stale (April 12, 2025). The Borrower’s Michigan, Indiana, Texas and California certificates are missing. The record conflicts on whether the Subsidiary Guarantors are qualified anywhere outside their home states.</w:t>
      </w:r>
    </w:p>
    <w:p>
      <w:pPr>
        <w:pStyle w:val="Heading1"/>
      </w:pPr>
      <w:r>
        <w:t>Part II — Documents Reviewed</w:t>
      </w:r>
    </w:p>
    <w:p>
      <w:pPr>
        <w:jc w:val="both"/>
      </w:pPr>
      <w:r>
        <w:t>Requirements letter (Drummond, June 9, 2025); Credit Agreement dated as of June 15, 2025 (with Schedules 2.01, 5.04, 5.06, 5.13, 5.15, 5.17, 7.01, 7.02 and Exhibit C); Security Agreement dated as of June 15, 2025 (with Schedules I–V); minutes of the Borrower’s May 28, 2025 special board meeting and Secretary’s Certificate; Subsidiary and Guarantor Authorizations Package (Tabs A–D and Exhibit 1); Organizational Documents Package (excerpts, certified by D. Okonkwo June 12, 2025); Good Standing Certificates Summary (June 15, 2025); Officer’s Certificate (June 15, 2025) with Exhibit A and Schedules A and B; UCC Search Results Report (compiled June 12, 2025; searches through June 8, 2025); Subordinated Note Purchase Agreement excerpts; Korvin Technology License Agreement excerpts.</w:t>
      </w:r>
    </w:p>
    <w:p>
      <w:pPr>
        <w:jc w:val="both"/>
      </w:pPr>
      <w:r>
        <w:rPr>
          <w:b/>
        </w:rPr>
        <w:t>Not furnished, but needed for the opinion:</w:t>
      </w:r>
      <w:r>
        <w:t xml:space="preserve"> the Pledge Agreement; any stand-alone Guaranty Agreement; all Deposit Account and Securities Account Control Agreements; complete executed copies of all seven Schedule 5.04 Material Agreements (we have only excerpts of the Terracotta and Korvin agreements, and nothing for items 3–7); Korvin Amendment No. 1 (March 15, 2022); complete bylaws of the Parent Guarantor and PAC; Secretary of State-certified charters (Credit Agreement Section 4.01(b)(i)); incumbency certificates for the four guarantors; the Ironbridge payoff letter and UCC-3; the Terracotta subordination acknowledgment (Section 4.01(m)); the Borrowing Base Certificate; the Compliance Certificate (Section 4.01(l)); and certified search certificates.</w:t>
      </w:r>
    </w:p>
    <w:p>
      <w:pPr>
        <w:pStyle w:val="Heading1"/>
      </w:pPr>
      <w:r>
        <w:t>Part III — Issues Catalog</w:t>
      </w:r>
    </w:p>
    <w:p>
      <w:pPr>
        <w:jc w:val="both"/>
      </w:pPr>
      <w:r>
        <w:t xml:space="preserve">Severity key: </w:t>
      </w:r>
      <w:r>
        <w:rPr>
          <w:b/>
        </w:rPr>
        <w:t>G</w:t>
      </w:r>
      <w:r>
        <w:t xml:space="preserve"> = gating (opinion cannot be delivered as requested and/or a Credit Agreement condition fails); </w:t>
      </w:r>
      <w:r>
        <w:rPr>
          <w:b/>
        </w:rPr>
        <w:t>H</w:t>
      </w:r>
      <w:r>
        <w:t xml:space="preserve"> = high (must be fixed or specifically excepted before delivery); </w:t>
      </w:r>
      <w:r>
        <w:rPr>
          <w:b/>
        </w:rPr>
        <w:t>M</w:t>
      </w:r>
      <w:r>
        <w:t xml:space="preserve"> = medium (correct before closing; affects accuracy of documents or opinion support); </w:t>
      </w:r>
      <w:r>
        <w:rPr>
          <w:b/>
        </w:rPr>
        <w:t>L</w:t>
      </w:r>
      <w:r>
        <w:t xml:space="preserve"> = low (clean-up).</w:t>
      </w:r>
    </w:p>
    <w:p>
      <w:pPr>
        <w:pStyle w:val="Heading2"/>
      </w:pPr>
      <w:r>
        <w:t>A. Substantive Conflicts and Covenant Issues</w:t>
      </w:r>
    </w:p>
    <w:p>
      <w:pPr>
        <w:pStyle w:val="Heading3"/>
      </w:pPr>
      <w:r>
        <w:t>A-1  Subordinated Note Purchase Agreement — $125 million Senior Secured Indebtedness cap breached  [G]</w:t>
      </w:r>
    </w:p>
    <w:p>
      <w:pPr>
        <w:jc w:val="both"/>
      </w:pPr>
      <w:r>
        <w:rPr>
          <w:b/>
        </w:rPr>
        <w:t>Facts / sources.</w:t>
      </w:r>
      <w:r>
        <w:t xml:space="preserve"> Subordinated Note Purchase Agreement (Terracotta) Section 7.01(b) bars the Borrower or any Subsidiary from incurring or guaranteeing Senior Secured Indebtedness if aggregate Senior Secured Indebtedness, “including … the aggregate amount of all undrawn commitments under any revolving credit facility,” would exceed $125,000,000. The Section 1.01 definition repeats the undrawn-commitment rule. Aggregate Commitments are $175,000,000 (Credit Agreement Schedule 2.01). Other secured debt on Schedule 7.01 includes the Aldersgate capital lease obligations (approximately $4.8 million) and the Stanton lease (approximately $85,000). Total: about $179.9 million, roughly $54.9 million over the cap. Schedule 5.04 discloses the covenant but not the breach. The Terracotta “Permitted Liens” clause (i) covers Senior Credit Facility liens only “subject to the limitations set forth in Section 7.01(b)”, so Section 7.02 is breached as well.</w:t>
      </w:r>
    </w:p>
    <w:p>
      <w:pPr>
        <w:jc w:val="both"/>
      </w:pPr>
      <w:r>
        <w:rPr>
          <w:b/>
        </w:rPr>
        <w:t>Opinion and transaction impact.</w:t>
      </w:r>
      <w:r>
        <w:t xml:space="preserve"> No-conflicts opinion 5(iii) cannot be given without a specific exception, which the draft carries as Annex F, item 1. Under Terracotta Section 8.01(b), the breach becomes an Event of Default 15 days after notice or a Responsible Officer’s awareness. Once it does, the approximately $18.75 million of Subordinated Notes may be accelerated, which is a cross-default under Credit Agreement Section 8.01(f) ($5 million threshold). Representations in Credit Agreement Section 5.03(a)(iii) and Security Agreement Section 3.04(c) are untrue at signing, so the Officer’s Certificate Sections 3, 4 and 8 cannot be signed as drafted. The Section 4.01(m) condition (subordination confirmation satisfactory to the Agent) is unmet. Terracotta Article IX subordinates the Notes to all “Senior Indebtedness” without a dollar cap, but Terracotta would likely argue that debt incurred in breach of its covenant falls outside its consent. Lenders will want that foreclosed.</w:t>
      </w:r>
    </w:p>
    <w:p>
      <w:pPr>
        <w:jc w:val="both"/>
      </w:pPr>
      <w:r>
        <w:rPr>
          <w:b/>
        </w:rPr>
        <w:t>Recommended action.</w:t>
      </w:r>
      <w:r>
        <w:t xml:space="preserve"> (1) Obtain an amendment to or consent under the Subordinated Note Purchase Agreement, executed by Terracotta before closing, that raises the cap to at least about $180 million (or excludes undrawn revolving commitments) and confirms the Credit Facility is “Senior Indebtedness”/a “Senior Credit Facility”. Any later amendment requires Required Lender consent under Credit Agreement Section 7.08. (2) Obtain the subordination acknowledgment or intercreditor agreement required by Section 4.01(m). (3) Alternative: reduce Aggregate Commitments to no more than about $120.1 million ($125.0 million less about $4.885 million of other secured debt), which is a business-deal change for the Lenders. (4) Tell Drummond now; the letter asks for identified conflicts.</w:t>
      </w:r>
    </w:p>
    <w:p>
      <w:pPr>
        <w:pStyle w:val="Heading3"/>
      </w:pPr>
      <w:r>
        <w:t>A-2  Terracotta facts inconsistent; possible missed amortization payment; Parent Guarantor is a Terracotta obligor  [H]</w:t>
      </w:r>
    </w:p>
    <w:p>
      <w:pPr>
        <w:jc w:val="both"/>
      </w:pPr>
      <w:r>
        <w:rPr>
          <w:b/>
        </w:rPr>
        <w:t>Facts / sources.</w:t>
      </w:r>
      <w:r>
        <w:t xml:space="preserve"> The Subordinated Note Purchase Agreement excerpt shows 9.50% notes with </w:t>
      </w:r>
      <w:r>
        <w:rPr>
          <w:b/>
        </w:rPr>
        <w:t>annual</w:t>
      </w:r>
      <w:r>
        <w:t xml:space="preserve"> principal payments of $3,125,000 beginning April 1, 2023. Credit Agreement Schedule 7.01 shows 10.50% interest and </w:t>
      </w:r>
      <w:r>
        <w:rPr>
          <w:b/>
        </w:rPr>
        <w:t>semi-annual</w:t>
      </w:r>
      <w:r>
        <w:t xml:space="preserve"> payments of about $1,562,500 beginning October 1, 2023. On the Terracotta schedule, three payments (April 2023, 2024 and 2025) leave $15,625,000 outstanding, not the $18,750,000 the Credit Agreement and Officer’s Certificate report. The Parent Guarantor is a party to and guarantor under Terracotta Article VI, but Schedule 5.04 lists only the Borrower. The excerpt misidentifies Ironbridge as administrative agent of the new facility and gives a Seattle address for W&amp;C. Officer’s Certificate Schedule B shows $3.5 million of Restricted Payments over the last twelve months. Terracotta Section 7.05 permits only up to $2 million a year for Parent G&amp;A, plus tax distributions.</w:t>
      </w:r>
    </w:p>
    <w:p>
      <w:pPr>
        <w:jc w:val="both"/>
      </w:pPr>
      <w:r>
        <w:rPr>
          <w:b/>
        </w:rPr>
        <w:t>Opinion and transaction impact.</w:t>
      </w:r>
      <w:r>
        <w:t xml:space="preserve"> If the April 1, 2025 principal installment was not paid, there is a payment Event of Default under Terracotta Section 8.01(a) (no grace period for principal), which is an immediate cross-default under Credit Agreement Section 8.01(f) and makes the no-Default certification false. Any unrecorded amendment (rate or amortization) is a Material Agreement change we have not reviewed. The no-conflicts opinion for the Parent Guarantor must also cover Terracotta.</w:t>
      </w:r>
    </w:p>
    <w:p>
      <w:pPr>
        <w:jc w:val="both"/>
      </w:pPr>
      <w:r>
        <w:rPr>
          <w:b/>
        </w:rPr>
        <w:t>Recommended action.</w:t>
      </w:r>
      <w:r>
        <w:t xml:space="preserve"> Obtain the complete executed Subordinated Note Purchase Agreement with all amendments, the payment history, and a Terracotta payoff/status letter confirming principal outstanding and no default. Conform Schedules 5.04 and 7.01. Confirm the character of the $3.5 million in Restricted Payments. Re-certify the excerpts; the current certification contains obvious errors.</w:t>
      </w:r>
    </w:p>
    <w:p>
      <w:pPr>
        <w:pStyle w:val="Heading3"/>
      </w:pPr>
      <w:r>
        <w:t>A-3  Korvin License Agreement — anti-pledge clause; consent not obtained  [G]</w:t>
      </w:r>
    </w:p>
    <w:p>
      <w:pPr>
        <w:jc w:val="both"/>
      </w:pPr>
      <w:r>
        <w:rPr>
          <w:b/>
        </w:rPr>
        <w:t>Facts / sources.</w:t>
      </w:r>
      <w:r>
        <w:t xml:space="preserve"> Korvin Section 14.2(a) bars any pledge, security interest or encumbrance of the agreement or the License Rights, Licensed Patents or Licensed Technology without Korvin’s consent, which Korvin may withhold in its sole discretion. Section 14.2(b) makes a violating Transfer void </w:t>
      </w:r>
      <w:r>
        <w:rPr>
          <w:i/>
        </w:rPr>
        <w:t>ab initio</w:t>
      </w:r>
      <w:r>
        <w:t>. Section 14.3 provides injunctive relief and termination on 30 days’ notice if uncured. Security Agreement Section 2.01(g) expressly grants a lien on “all rights of the Borrower under” the Korvin license. The General Intangibles definition, by contrast, covers Korvin rights only “to the extent assignable or encumberable”, an internal inconsistency. Schedule 5.04 says no consent has been obtained. Credit Agreement Section 5.12 calls the license “material to the conduct of the Borrower’s business”. Security Agreement Section 3.07(d) represents that the IP grant breaches no license and needs no third-party consent; that is false. The Officer’s Certificate cites an Amendment No. 1 (March 15, 2022) that we have not seen. Korvin is mislabeled a “Copyright License” in the Security Agreement. The license term is inconsistent across documents: Korvin “Term” runs to expiry of the last Licensed Patent; Schedule 5.15 says 15 years plus two five-year renewals; Security Agreement Schedule IV says an initial term expiring August 31, 2030. The licensed patents are also described inconsistently (Schedule 5.15 lists U.S. Patent Nos. 9,876,543, 10,234,567 and 10,345,678; Schedule IV refers to a “Korvin European Patent-family”).</w:t>
      </w:r>
    </w:p>
    <w:p>
      <w:pPr>
        <w:jc w:val="both"/>
      </w:pPr>
      <w:r>
        <w:rPr>
          <w:b/>
        </w:rPr>
        <w:t>Opinion and transaction impact.</w:t>
      </w:r>
      <w:r>
        <w:t xml:space="preserve"> This is an actual conflict, carried as Annex F, item 2. Under NY UCC Section 9-408(a) and (c), the anti-assignment clause is ineffective to prevent attachment and perfection of a security interest in the licensee’s general intangible, and to trigger default or termination on account of the grant. Under Section 9-408(d), however, the Agent cannot enforce, use or assign the license against Korvin, so the collateral value is minimal. Whether federal patent law displaces Section 9-408 for an exclusive patent license is unsettled; the draft takes it as qualification (k). The litigation and termination risk is an MAE consideration.</w:t>
      </w:r>
    </w:p>
    <w:p>
      <w:pPr>
        <w:jc w:val="both"/>
      </w:pPr>
      <w:r>
        <w:rPr>
          <w:b/>
        </w:rPr>
        <w:t>Recommended action.</w:t>
      </w:r>
      <w:r>
        <w:t xml:space="preserve"> Obtain Korvin’s written consent to the grant, ideally with an estoppel and licensor acknowledgment. If that is not obtainable before closing, amend the Security Agreement to make the Korvin license an Excluded Asset except to the extent Section 9-408 renders the restriction ineffective, and correct Security Agreement Sections 2.01(g) and 3.07(d), Credit Agreement Section 5.03, and the “Copyright License” definition. Obtain the full agreement and Amendment No. 1. Conform the term and patent descriptions.</w:t>
      </w:r>
    </w:p>
    <w:p>
      <w:pPr>
        <w:pStyle w:val="Heading3"/>
      </w:pPr>
      <w:r>
        <w:t>A-4  Officer’s Certificate: pro forma covenant failure on a $175 million initial borrowing; wrong sections; historical test  [G]</w:t>
      </w:r>
    </w:p>
    <w:p>
      <w:pPr>
        <w:jc w:val="both"/>
      </w:pPr>
      <w:r>
        <w:rPr>
          <w:b/>
        </w:rPr>
        <w:t>Facts / sources.</w:t>
      </w:r>
      <w:r>
        <w:t xml:space="preserve"> Officer’s Certificate Section 4 refers to “the initial borrowing under the Credit Facility in the aggregate principal amount of $175,000,000”. Section 5 and Schedule B test “Section 7.11”, which does not exist; the financial covenants are in Section 7.09. They test only historically as of March 31, 2025, using the Ironbridge balance of $118,750,000, whereas Sections 4.01(e)(iii) and 4.01(l) require pro forma compliance after the initial Borrowing. The FCCR deducts total capex ($8.5 million) rather than Unfinanced Capital Expenditures. No Borrowing Base Certificate has been furnished, and a full $175 million draw requires the Borrowing Base to be at least $175 million.</w:t>
      </w:r>
    </w:p>
    <w:p>
      <w:pPr>
        <w:jc w:val="both"/>
      </w:pPr>
      <w:r>
        <w:rPr>
          <w:b/>
        </w:rPr>
        <w:t>Opinion and transaction impact.</w:t>
      </w:r>
      <w:r>
        <w:t xml:space="preserve"> Using the certificate’s own figures (EBITDA $50.0 million; Subordinated Notes $18.75 million; capital leases and other $5.0 million): a $175 million draw gives Consolidated Funded Indebtedness of $198.75 million and a Total Leverage Ratio of </w:t>
      </w:r>
      <w:r>
        <w:rPr>
          <w:b/>
        </w:rPr>
        <w:t>3.98x</w:t>
      </w:r>
      <w:r>
        <w:t>, above the 3.50x maximum. That is an immediate Event of Default under Section 8.01(d) (no cure period), and Section 4.02(c) blocks funding. The largest initial revolving draw consistent with 3.50x is about $151.25 million. A draw equal to the Ironbridge payoff ($118.75 million) produces 2.85x. We do not opine on financial calculations (qualification (n)), but we cannot rely on assumption (7) for a certificate we know to be inaccurate.</w:t>
      </w:r>
    </w:p>
    <w:p>
      <w:pPr>
        <w:jc w:val="both"/>
      </w:pPr>
      <w:r>
        <w:rPr>
          <w:b/>
        </w:rPr>
        <w:t>Recommended action.</w:t>
      </w:r>
      <w:r>
        <w:t xml:space="preserve"> Confirm the actual initial Borrowing amount and the Borrowing Base. Re-issue the Officer’s Certificate and deliver the Compliance Certificate (Exhibit B) with a correct Section 7.09 pro forma calculation (including pro forma interest on the new facility and Unfinanced Capex). Delete or correct the $175,000,000 initial-borrowing recital.</w:t>
      </w:r>
    </w:p>
    <w:p>
      <w:r>
        <w:rPr>
          <w:b/>
        </w:rPr>
        <w:t>Pro forma Total Leverage illustration (Officer’s Certificate figures):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2448"/>
            <w:shd w:val="clear" w:color="auto" w:fill="D9D9D9"/>
          </w:tcPr>
          <w:p>
            <w:r/>
            <w:r>
              <w:rPr>
                <w:b/>
                <w:sz w:val="17"/>
              </w:rPr>
              <w:t>Scenario</w:t>
            </w:r>
          </w:p>
        </w:tc>
        <w:tc>
          <w:tcPr>
            <w:tcW w:type="dxa" w:w="1008"/>
            <w:shd w:val="clear" w:color="auto" w:fill="D9D9D9"/>
          </w:tcPr>
          <w:p>
            <w:r/>
            <w:r>
              <w:rPr>
                <w:b/>
                <w:sz w:val="17"/>
              </w:rPr>
              <w:t>Revolver</w:t>
            </w:r>
          </w:p>
        </w:tc>
        <w:tc>
          <w:tcPr>
            <w:tcW w:type="dxa" w:w="1008"/>
            <w:shd w:val="clear" w:color="auto" w:fill="D9D9D9"/>
          </w:tcPr>
          <w:p>
            <w:r/>
            <w:r>
              <w:rPr>
                <w:b/>
                <w:sz w:val="17"/>
              </w:rPr>
              <w:t>Sub Notes</w:t>
            </w:r>
          </w:p>
        </w:tc>
        <w:tc>
          <w:tcPr>
            <w:tcW w:type="dxa" w:w="1152"/>
            <w:shd w:val="clear" w:color="auto" w:fill="D9D9D9"/>
          </w:tcPr>
          <w:p>
            <w:r/>
            <w:r>
              <w:rPr>
                <w:b/>
                <w:sz w:val="17"/>
              </w:rPr>
              <w:t>Capital Leases/Other</w:t>
            </w:r>
          </w:p>
        </w:tc>
        <w:tc>
          <w:tcPr>
            <w:tcW w:type="dxa" w:w="1152"/>
            <w:shd w:val="clear" w:color="auto" w:fill="D9D9D9"/>
          </w:tcPr>
          <w:p>
            <w:r/>
            <w:r>
              <w:rPr>
                <w:b/>
                <w:sz w:val="17"/>
              </w:rPr>
              <w:t>Total Funded Debt</w:t>
            </w:r>
          </w:p>
        </w:tc>
        <w:tc>
          <w:tcPr>
            <w:tcW w:type="dxa" w:w="1008"/>
            <w:shd w:val="clear" w:color="auto" w:fill="D9D9D9"/>
          </w:tcPr>
          <w:p>
            <w:r/>
            <w:r>
              <w:rPr>
                <w:b/>
                <w:sz w:val="17"/>
              </w:rPr>
              <w:t>LTM EBITDA</w:t>
            </w:r>
          </w:p>
        </w:tc>
        <w:tc>
          <w:tcPr>
            <w:tcW w:type="dxa" w:w="720"/>
            <w:shd w:val="clear" w:color="auto" w:fill="D9D9D9"/>
          </w:tcPr>
          <w:p>
            <w:r/>
            <w:r>
              <w:rPr>
                <w:b/>
                <w:sz w:val="17"/>
              </w:rPr>
              <w:t>TLR</w:t>
            </w:r>
          </w:p>
        </w:tc>
        <w:tc>
          <w:tcPr>
            <w:tcW w:type="dxa" w:w="1008"/>
            <w:shd w:val="clear" w:color="auto" w:fill="D9D9D9"/>
          </w:tcPr>
          <w:p>
            <w:r/>
            <w:r>
              <w:rPr>
                <w:b/>
                <w:sz w:val="17"/>
              </w:rPr>
              <w:t>vs. 3.50x</w:t>
            </w:r>
          </w:p>
        </w:tc>
      </w:tr>
      <w:tr>
        <w:tc>
          <w:tcPr>
            <w:tcW w:type="dxa" w:w="2448"/>
          </w:tcPr>
          <w:p>
            <w:r/>
            <w:r>
              <w:rPr>
                <w:sz w:val="17"/>
              </w:rPr>
              <w:t>As certified (Ironbridge balance, 3/31/25)</w:t>
            </w:r>
          </w:p>
        </w:tc>
        <w:tc>
          <w:tcPr>
            <w:tcW w:type="dxa" w:w="1008"/>
          </w:tcPr>
          <w:p>
            <w:r/>
            <w:r>
              <w:rPr>
                <w:sz w:val="17"/>
              </w:rPr>
              <w:t>$118.75M</w:t>
            </w:r>
          </w:p>
        </w:tc>
        <w:tc>
          <w:tcPr>
            <w:tcW w:type="dxa" w:w="1008"/>
          </w:tcPr>
          <w:p>
            <w:r/>
            <w:r>
              <w:rPr>
                <w:sz w:val="17"/>
              </w:rPr>
              <w:t>$18.75M</w:t>
            </w:r>
          </w:p>
        </w:tc>
        <w:tc>
          <w:tcPr>
            <w:tcW w:type="dxa" w:w="1152"/>
          </w:tcPr>
          <w:p>
            <w:r/>
            <w:r>
              <w:rPr>
                <w:sz w:val="17"/>
              </w:rPr>
              <w:t>$5.00M</w:t>
            </w:r>
          </w:p>
        </w:tc>
        <w:tc>
          <w:tcPr>
            <w:tcW w:type="dxa" w:w="1152"/>
          </w:tcPr>
          <w:p>
            <w:r/>
            <w:r>
              <w:rPr>
                <w:sz w:val="17"/>
              </w:rPr>
              <w:t>$142.50M</w:t>
            </w:r>
          </w:p>
        </w:tc>
        <w:tc>
          <w:tcPr>
            <w:tcW w:type="dxa" w:w="1008"/>
          </w:tcPr>
          <w:p>
            <w:r/>
            <w:r>
              <w:rPr>
                <w:sz w:val="17"/>
              </w:rPr>
              <w:t>$50.0M</w:t>
            </w:r>
          </w:p>
        </w:tc>
        <w:tc>
          <w:tcPr>
            <w:tcW w:type="dxa" w:w="720"/>
          </w:tcPr>
          <w:p>
            <w:r/>
            <w:r>
              <w:rPr>
                <w:sz w:val="17"/>
              </w:rPr>
              <w:t>2.85x</w:t>
            </w:r>
          </w:p>
        </w:tc>
        <w:tc>
          <w:tcPr>
            <w:tcW w:type="dxa" w:w="1008"/>
          </w:tcPr>
          <w:p>
            <w:r/>
            <w:r>
              <w:rPr>
                <w:sz w:val="17"/>
              </w:rPr>
              <w:t>Compliant</w:t>
            </w:r>
          </w:p>
        </w:tc>
      </w:tr>
      <w:tr>
        <w:tc>
          <w:tcPr>
            <w:tcW w:type="dxa" w:w="2448"/>
          </w:tcPr>
          <w:p>
            <w:r/>
            <w:r>
              <w:rPr>
                <w:sz w:val="17"/>
              </w:rPr>
              <w:t>Initial borrowing = Ironbridge payoff</w:t>
            </w:r>
          </w:p>
        </w:tc>
        <w:tc>
          <w:tcPr>
            <w:tcW w:type="dxa" w:w="1008"/>
          </w:tcPr>
          <w:p>
            <w:r/>
            <w:r>
              <w:rPr>
                <w:sz w:val="17"/>
              </w:rPr>
              <w:t>$118.75M</w:t>
            </w:r>
          </w:p>
        </w:tc>
        <w:tc>
          <w:tcPr>
            <w:tcW w:type="dxa" w:w="1008"/>
          </w:tcPr>
          <w:p>
            <w:r/>
            <w:r>
              <w:rPr>
                <w:sz w:val="17"/>
              </w:rPr>
              <w:t>$18.75M</w:t>
            </w:r>
          </w:p>
        </w:tc>
        <w:tc>
          <w:tcPr>
            <w:tcW w:type="dxa" w:w="1152"/>
          </w:tcPr>
          <w:p>
            <w:r/>
            <w:r>
              <w:rPr>
                <w:sz w:val="17"/>
              </w:rPr>
              <w:t>$5.00M</w:t>
            </w:r>
          </w:p>
        </w:tc>
        <w:tc>
          <w:tcPr>
            <w:tcW w:type="dxa" w:w="1152"/>
          </w:tcPr>
          <w:p>
            <w:r/>
            <w:r>
              <w:rPr>
                <w:sz w:val="17"/>
              </w:rPr>
              <w:t>$142.50M</w:t>
            </w:r>
          </w:p>
        </w:tc>
        <w:tc>
          <w:tcPr>
            <w:tcW w:type="dxa" w:w="1008"/>
          </w:tcPr>
          <w:p>
            <w:r/>
            <w:r>
              <w:rPr>
                <w:sz w:val="17"/>
              </w:rPr>
              <w:t>$50.0M</w:t>
            </w:r>
          </w:p>
        </w:tc>
        <w:tc>
          <w:tcPr>
            <w:tcW w:type="dxa" w:w="720"/>
          </w:tcPr>
          <w:p>
            <w:r/>
            <w:r>
              <w:rPr>
                <w:sz w:val="17"/>
              </w:rPr>
              <w:t>2.85x</w:t>
            </w:r>
          </w:p>
        </w:tc>
        <w:tc>
          <w:tcPr>
            <w:tcW w:type="dxa" w:w="1008"/>
          </w:tcPr>
          <w:p>
            <w:r/>
            <w:r>
              <w:rPr>
                <w:sz w:val="17"/>
              </w:rPr>
              <w:t>Compliant</w:t>
            </w:r>
          </w:p>
        </w:tc>
      </w:tr>
      <w:tr>
        <w:tc>
          <w:tcPr>
            <w:tcW w:type="dxa" w:w="2448"/>
          </w:tcPr>
          <w:p>
            <w:r/>
            <w:r>
              <w:rPr>
                <w:sz w:val="17"/>
              </w:rPr>
              <w:t>Maximum draw at 3.50x</w:t>
            </w:r>
          </w:p>
        </w:tc>
        <w:tc>
          <w:tcPr>
            <w:tcW w:type="dxa" w:w="1008"/>
          </w:tcPr>
          <w:p>
            <w:r/>
            <w:r>
              <w:rPr>
                <w:sz w:val="17"/>
              </w:rPr>
              <w:t>$151.25M</w:t>
            </w:r>
          </w:p>
        </w:tc>
        <w:tc>
          <w:tcPr>
            <w:tcW w:type="dxa" w:w="1008"/>
          </w:tcPr>
          <w:p>
            <w:r/>
            <w:r>
              <w:rPr>
                <w:sz w:val="17"/>
              </w:rPr>
              <w:t>$18.75M</w:t>
            </w:r>
          </w:p>
        </w:tc>
        <w:tc>
          <w:tcPr>
            <w:tcW w:type="dxa" w:w="1152"/>
          </w:tcPr>
          <w:p>
            <w:r/>
            <w:r>
              <w:rPr>
                <w:sz w:val="17"/>
              </w:rPr>
              <w:t>$5.00M</w:t>
            </w:r>
          </w:p>
        </w:tc>
        <w:tc>
          <w:tcPr>
            <w:tcW w:type="dxa" w:w="1152"/>
          </w:tcPr>
          <w:p>
            <w:r/>
            <w:r>
              <w:rPr>
                <w:sz w:val="17"/>
              </w:rPr>
              <w:t>$175.00M</w:t>
            </w:r>
          </w:p>
        </w:tc>
        <w:tc>
          <w:tcPr>
            <w:tcW w:type="dxa" w:w="1008"/>
          </w:tcPr>
          <w:p>
            <w:r/>
            <w:r>
              <w:rPr>
                <w:sz w:val="17"/>
              </w:rPr>
              <w:t>$50.0M</w:t>
            </w:r>
          </w:p>
        </w:tc>
        <w:tc>
          <w:tcPr>
            <w:tcW w:type="dxa" w:w="720"/>
          </w:tcPr>
          <w:p>
            <w:r/>
            <w:r>
              <w:rPr>
                <w:sz w:val="17"/>
              </w:rPr>
              <w:t>3.50x</w:t>
            </w:r>
          </w:p>
        </w:tc>
        <w:tc>
          <w:tcPr>
            <w:tcW w:type="dxa" w:w="1008"/>
          </w:tcPr>
          <w:p>
            <w:r/>
            <w:r>
              <w:rPr>
                <w:sz w:val="17"/>
              </w:rPr>
              <w:t>At limit</w:t>
            </w:r>
          </w:p>
        </w:tc>
      </w:tr>
      <w:tr>
        <w:tc>
          <w:tcPr>
            <w:tcW w:type="dxa" w:w="2448"/>
          </w:tcPr>
          <w:p>
            <w:r/>
            <w:r>
              <w:rPr>
                <w:sz w:val="17"/>
              </w:rPr>
              <w:t>Full $175M initial borrowing (per Officer’s Cert. Sec. 4)</w:t>
            </w:r>
          </w:p>
        </w:tc>
        <w:tc>
          <w:tcPr>
            <w:tcW w:type="dxa" w:w="1008"/>
          </w:tcPr>
          <w:p>
            <w:r/>
            <w:r>
              <w:rPr>
                <w:sz w:val="17"/>
              </w:rPr>
              <w:t>$175.00M</w:t>
            </w:r>
          </w:p>
        </w:tc>
        <w:tc>
          <w:tcPr>
            <w:tcW w:type="dxa" w:w="1008"/>
          </w:tcPr>
          <w:p>
            <w:r/>
            <w:r>
              <w:rPr>
                <w:sz w:val="17"/>
              </w:rPr>
              <w:t>$18.75M</w:t>
            </w:r>
          </w:p>
        </w:tc>
        <w:tc>
          <w:tcPr>
            <w:tcW w:type="dxa" w:w="1152"/>
          </w:tcPr>
          <w:p>
            <w:r/>
            <w:r>
              <w:rPr>
                <w:sz w:val="17"/>
              </w:rPr>
              <w:t>$5.00M</w:t>
            </w:r>
          </w:p>
        </w:tc>
        <w:tc>
          <w:tcPr>
            <w:tcW w:type="dxa" w:w="1152"/>
          </w:tcPr>
          <w:p>
            <w:r/>
            <w:r>
              <w:rPr>
                <w:sz w:val="17"/>
              </w:rPr>
              <w:t>$198.75M</w:t>
            </w:r>
          </w:p>
        </w:tc>
        <w:tc>
          <w:tcPr>
            <w:tcW w:type="dxa" w:w="1008"/>
          </w:tcPr>
          <w:p>
            <w:r/>
            <w:r>
              <w:rPr>
                <w:sz w:val="17"/>
              </w:rPr>
              <w:t>$50.0M</w:t>
            </w:r>
          </w:p>
        </w:tc>
        <w:tc>
          <w:tcPr>
            <w:tcW w:type="dxa" w:w="720"/>
          </w:tcPr>
          <w:p>
            <w:r/>
            <w:r>
              <w:rPr>
                <w:sz w:val="17"/>
              </w:rPr>
              <w:t>3.98x</w:t>
            </w:r>
          </w:p>
        </w:tc>
        <w:tc>
          <w:tcPr>
            <w:tcW w:type="dxa" w:w="1008"/>
          </w:tcPr>
          <w:p>
            <w:r/>
            <w:r>
              <w:rPr>
                <w:b/>
                <w:sz w:val="17"/>
              </w:rPr>
              <w:t>BREACH</w:t>
            </w:r>
          </w:p>
        </w:tc>
      </w:tr>
    </w:tbl>
    <w:p/>
    <w:p>
      <w:pPr>
        <w:pStyle w:val="Heading2"/>
      </w:pPr>
      <w:r>
        <w:t>B. Authorization, Execution and Incumbency</w:t>
      </w:r>
    </w:p>
    <w:p>
      <w:pPr>
        <w:pStyle w:val="Heading3"/>
      </w:pPr>
      <w:r>
        <w:t>B-1  Borrower board authorization — $150 million authorized; board roster conflict; notice; misdescribed subsidiaries  [G]</w:t>
      </w:r>
    </w:p>
    <w:p>
      <w:pPr>
        <w:jc w:val="both"/>
      </w:pPr>
      <w:r>
        <w:rPr>
          <w:b/>
        </w:rPr>
        <w:t>Facts / sources.</w:t>
      </w:r>
      <w:r>
        <w:t xml:space="preserve"> The May 28, 2025 minutes, Resolution 1 and Secretary’s Certificate paragraph 6 authorize a facility “up to $150,000,000”, while the Credit Agreement provides $175,000,000. The resolution approves the Credit Agreement “substantially in the form presented” with officer-approved changes; a 16.7% increase in principal is not a conforming change. The minutes record five directors present (Halstead, Nguyen, Sandra L. Whitmore, James E. Carruthers, Robert A. Feinberg) as “the entire membership of the Board”. The Organizational Documents Package, certified by the Secretary on June 12, 2025, lists the directors as Halstead, Nguyen, David T. Okonkwo, Patricia L. Cavanaugh and Robert M. Jennings. Okonkwo appears in the minutes only as a non-director. Bylaws Section 3.2 sets the quorum at a majority of five (three). If the certified roster is correct, only two directors attended and no quorum existed. The minutes cite notice under “Section 3.06” of the Bylaws (48 hours); the Bylaws’ special-meeting notice provision is Section 3.5 (24 hours). The minutes recite both proper notice and waivers from directors “who had not received timely formal notice”. The resolutions describe PFT as a Delaware corporation and PAC as an Ohio corporation (it is the reverse).</w:t>
      </w:r>
    </w:p>
    <w:p>
      <w:pPr>
        <w:jc w:val="both"/>
      </w:pPr>
      <w:r>
        <w:rPr>
          <w:b/>
        </w:rPr>
        <w:t>Opinion and transaction impact.</w:t>
      </w:r>
      <w:r>
        <w:t xml:space="preserve"> Opinion 3(a) (due authorization) cannot be given, and opinion 4 depends on it. Credit Agreement Section 4.01(b)(iii) requires resolutions authorizing the Loan Documents. The Secretary’s Certificate is internally inconsistent with the closing.</w:t>
      </w:r>
    </w:p>
    <w:p>
      <w:pPr>
        <w:jc w:val="both"/>
      </w:pPr>
      <w:r>
        <w:rPr>
          <w:b/>
        </w:rPr>
        <w:t>Recommended action.</w:t>
      </w:r>
      <w:r>
        <w:t xml:space="preserve"> Determine the true board composition from stockholder election records or the Parent Guarantor’s stockholder consents. Before signing, have the Borrower’s directors of record adopt a unanimous written consent under DGCL Section 141(f) and Bylaws Section 3.4. The consent should authorize the $175,000,000 facility and each Loan Document by name (Credit Agreement, Security Agreement, Pledge Agreement, Guaranty, Control Agreements), correct the subsidiaries’ jurisdictions, and ratify prior acts. If any act has already occurred, consider DGCL Section 204 ratification. Obtain the notice waivers. Re-issue the Secretary’s Certificate.</w:t>
      </w:r>
    </w:p>
    <w:p>
      <w:pPr>
        <w:pStyle w:val="Heading3"/>
      </w:pPr>
      <w:r>
        <w:t>B-2  Parent Guarantor written consent not signed by the directors of record  [G]</w:t>
      </w:r>
    </w:p>
    <w:p>
      <w:pPr>
        <w:jc w:val="both"/>
      </w:pPr>
      <w:r>
        <w:rPr>
          <w:b/>
        </w:rPr>
        <w:t>Facts / sources.</w:t>
      </w:r>
      <w:r>
        <w:t xml:space="preserve"> The Tab A consent (May 30, 2025) recites a two-member board (Halstead and Robert J. Castellano) and is signed by those two. The Organizational Documents Package (Part V) says the Parent Guarantor’s bylaws fix a three-member board of Halstead, Nguyen and Patricia L. Cavanaugh, and incorrectly states that the consent was adopted by “all three directors”. DGCL Section 141(f) requires the written consent of all directors in office.</w:t>
      </w:r>
    </w:p>
    <w:p>
      <w:pPr>
        <w:jc w:val="both"/>
      </w:pPr>
      <w:r>
        <w:rPr>
          <w:b/>
        </w:rPr>
        <w:t>Opinion and transaction impact.</w:t>
      </w:r>
      <w:r>
        <w:t xml:space="preserve"> The consent is ineffective unless Castellano is a duly elected director and the board in fact has two members, which contradicts the certified bylaws summary. Opinions 3(b) and 4 cannot be given for the Parent Guarantor (its guaranty, its grant under the Security Agreement, and the pledge of 4,500,000 Borrower shares).</w:t>
      </w:r>
    </w:p>
    <w:p>
      <w:pPr>
        <w:jc w:val="both"/>
      </w:pPr>
      <w:r>
        <w:rPr>
          <w:b/>
        </w:rPr>
        <w:t>Recommended action.</w:t>
      </w:r>
      <w:r>
        <w:t xml:space="preserve"> Obtain the complete Parent Guarantor bylaws and director election records. Adopt a new unanimous written consent signed by every director of record that authorizes the Credit Agreement (Article X), Security Agreement, Pledge Agreement and any Guaranty Agreement. Correct the Organizational Documents Package certification.</w:t>
      </w:r>
    </w:p>
    <w:p>
      <w:pPr>
        <w:pStyle w:val="Heading3"/>
      </w:pPr>
      <w:r>
        <w:t>B-3  PFT written consent — signed by one purported director; directors do not match the Articles  [G]</w:t>
      </w:r>
    </w:p>
    <w:p>
      <w:pPr>
        <w:jc w:val="both"/>
      </w:pPr>
      <w:r>
        <w:rPr>
          <w:b/>
        </w:rPr>
        <w:t>Facts / sources.</w:t>
      </w:r>
      <w:r>
        <w:t xml:space="preserve"> The Tab B consent lists directors Sandra M. Kowalski, James D. Hartwell and Patricia L. Moreno, and only Kowalski signed. PFT’s Articles (Article Fifth) and Code of Regulations (Section 2.1) fix a board of three: Halstead, Nguyen and Okonkwo, “the current directors”. ORC Section 1701.54 and Code Section 2.3 require a writing signed by </w:t>
      </w:r>
      <w:r>
        <w:rPr>
          <w:b/>
        </w:rPr>
        <w:t>all</w:t>
      </w:r>
      <w:r>
        <w:t xml:space="preserve"> directors; Section 2.3 says a consent signed by fewer than all directors “shall be of no force or effect”. The consent also states PFT’s principal office as Suite 340, whereas the Articles state Suite 300 and Security Agreement Schedule III states Youngstown, Ohio.</w:t>
      </w:r>
    </w:p>
    <w:p>
      <w:pPr>
        <w:jc w:val="both"/>
      </w:pPr>
      <w:r>
        <w:rPr>
          <w:b/>
        </w:rPr>
        <w:t>Opinion and transaction impact.</w:t>
      </w:r>
      <w:r>
        <w:t xml:space="preserve"> There is no valid PFT authorization, so opinions 3(c) and 4 fail for PFT.</w:t>
      </w:r>
    </w:p>
    <w:p>
      <w:pPr>
        <w:jc w:val="both"/>
      </w:pPr>
      <w:r>
        <w:rPr>
          <w:b/>
        </w:rPr>
        <w:t>Recommended action.</w:t>
      </w:r>
      <w:r>
        <w:t xml:space="preserve"> Adopt a new written consent signed by all three directors of record, or evidence a valid change of directors by shareholder action. The consent should approve the Credit Agreement (Article X), the Security Agreement and any Guaranty Agreement by name.</w:t>
      </w:r>
    </w:p>
    <w:p>
      <w:pPr>
        <w:pStyle w:val="Heading3"/>
      </w:pPr>
      <w:r>
        <w:t>B-4  PCSS Sole Member consent signed by a person without authority; LLC agreement versions conflict; pledge consent missing  [G]</w:t>
      </w:r>
    </w:p>
    <w:p>
      <w:pPr>
        <w:jc w:val="both"/>
      </w:pPr>
      <w:r>
        <w:rPr>
          <w:b/>
        </w:rPr>
        <w:t>Facts / sources.</w:t>
      </w:r>
      <w:r>
        <w:t xml:space="preserve"> The Tab C consent is executed for the Sole Member (the Borrower) by David T. Okonkwo, General Counsel. Under both versions of the PCSS LLC Agreement furnished to us, only the CEO or CFO of the Sole Member is an “Authorized Officer”: Section 2.4 in the Organizational Documents Package version, and Sections 3.2 and 12.4 in the Exhibit 1 “Amended and Restated” version. Section 2.4 expressly excludes the General Counsel. Section 2.3(c)–(d) requires Sole Member consent for any guaranty over $500,000 and </w:t>
      </w:r>
      <w:r>
        <w:rPr>
          <w:b/>
        </w:rPr>
        <w:t>any</w:t>
      </w:r>
      <w:r>
        <w:t xml:space="preserve"> grant of a security interest, and makes action without such consent “void and of no force or effect”. Borrower Bylaws Section 4.4 also denies the General Counsel signatory authority over financing documents absent express board authorization. The two LLC agreement versions differ in title, section numbering and consent thresholds: Section 2.3 versus Section 8.3(c), which uses $500,000 individually and $1,000,000 in the aggregate. Section 4.1 bars any pledge of the membership interests without a Member consent executed by an Authorized Officer. No such consent has been delivered for the pledge in Security Agreement Section 2.02(a)(ii).</w:t>
      </w:r>
    </w:p>
    <w:p>
      <w:pPr>
        <w:jc w:val="both"/>
      </w:pPr>
      <w:r>
        <w:rPr>
          <w:b/>
        </w:rPr>
        <w:t>Opinion and transaction impact.</w:t>
      </w:r>
      <w:r>
        <w:t xml:space="preserve"> PCSS’s guaranty and grant are void under its own LLC agreement until a proper consent is delivered, so opinions 3(d), 4 and 7 fail as to PCSS. The pledge of the PCSS interests is also restricted: DLLCA Section 18-1101(g) makes UCC Sections 9-406 and 9-408 inapplicable to LLC interests, so the restriction is enforceable.</w:t>
      </w:r>
    </w:p>
    <w:p>
      <w:pPr>
        <w:jc w:val="both"/>
      </w:pPr>
      <w:r>
        <w:rPr>
          <w:b/>
        </w:rPr>
        <w:t>Recommended action.</w:t>
      </w:r>
      <w:r>
        <w:t xml:space="preserve"> Have Halstead or Nguyen re-execute the Sole Member consent, covering the guaranty, Security Agreement grant and Credit Agreement joinder, plus a separate Section 4.1 consent to the pledge of 100% of the PCSS interests. Obtain a certified complete copy of the operative LLC agreement and all amendments. Consider an Article 8 opt-in amendment and certificated interest if the Lenders want control-based priority (Security Agreement Section 4.02(e) contemplates an amendment).</w:t>
      </w:r>
    </w:p>
    <w:p>
      <w:pPr>
        <w:pStyle w:val="Heading3"/>
      </w:pPr>
      <w:r>
        <w:t>B-5  PAC written consent — signed by a non-director; a director of record did not sign  [G]</w:t>
      </w:r>
    </w:p>
    <w:p>
      <w:pPr>
        <w:jc w:val="both"/>
      </w:pPr>
      <w:r>
        <w:rPr>
          <w:b/>
        </w:rPr>
        <w:t>Facts / sources.</w:t>
      </w:r>
      <w:r>
        <w:t xml:space="preserve"> The Tab D consent recites directors Nguyen and Karen A. Westbrook and is signed by them. PAC’s Certificate of Incorporation (Article V) lists the directors as Halstead and Nguyen and states that a unanimous written consent “requires the consent of both directors.” Halstead did not sign.</w:t>
      </w:r>
    </w:p>
    <w:p>
      <w:pPr>
        <w:jc w:val="both"/>
      </w:pPr>
      <w:r>
        <w:rPr>
          <w:b/>
        </w:rPr>
        <w:t>Opinion and transaction impact.</w:t>
      </w:r>
      <w:r>
        <w:t xml:space="preserve"> The consent fails DGCL Section 141(f), so opinions 3(e) and 4 fail for PAC.</w:t>
      </w:r>
    </w:p>
    <w:p>
      <w:pPr>
        <w:jc w:val="both"/>
      </w:pPr>
      <w:r>
        <w:rPr>
          <w:b/>
        </w:rPr>
        <w:t>Recommended action.</w:t>
      </w:r>
      <w:r>
        <w:t xml:space="preserve"> Adopt a new unanimous written consent signed by Halstead and Nguyen, or evidence a valid election of Westbrook, approving the Credit Agreement (Article X), the Security Agreement and any Guaranty Agreement.</w:t>
      </w:r>
    </w:p>
    <w:p>
      <w:pPr>
        <w:pStyle w:val="Heading3"/>
      </w:pPr>
      <w:r>
        <w:t>B-6  Signatories and incumbency — guarantor signers are not officers of record; inconsistent across documents; no incumbency certificates  [G]</w:t>
      </w:r>
    </w:p>
    <w:p>
      <w:pPr>
        <w:jc w:val="both"/>
      </w:pPr>
      <w:r>
        <w:rPr>
          <w:b/>
        </w:rPr>
        <w:t>Facts / sources.</w:t>
      </w:r>
      <w:r>
        <w:t xml:space="preserve"> PFT signed the Credit Agreement through James A. Whitmore (Vice President) and the Security Agreement through Richard S. Calloway (President). PAC signed through Sandra L. Fujikawa (Vice President) and Jennifer A. Marcos (President), respectively. The governing documents of both PFT and PAC list only Halstead (President) and Nguyen (Secretary/Treasurer) as officers. Each guarantor consent authorizes “any officer”, but no evidence of these individuals’ appointment and no incumbency certificate has been furnished for the Parent Guarantor, PFT, PCSS or PAC (Credit Agreement Section 4.01(b)(iv)). The Agent’s signatory appears as “Christopher D. Cromdale Consulting” in the Credit Agreement and “Christopher D. Engelman” in the Security Agreement. “Cromdale Consulting” is also the name of the securities intermediary in Schedule V, which suggests a document-assembly error.</w:t>
      </w:r>
    </w:p>
    <w:p>
      <w:pPr>
        <w:jc w:val="both"/>
      </w:pPr>
      <w:r>
        <w:rPr>
          <w:b/>
        </w:rPr>
        <w:t>Opinion and transaction impact.</w:t>
      </w:r>
      <w:r>
        <w:t xml:space="preserve"> The execution and delivery limb of opinion 3 cannot be given. The genuineness assumption (assumption 1) excludes Opinion Party officers, so we must verify the signers’ incumbency.</w:t>
      </w:r>
    </w:p>
    <w:p>
      <w:pPr>
        <w:jc w:val="both"/>
      </w:pPr>
      <w:r>
        <w:rPr>
          <w:b/>
        </w:rPr>
        <w:t>Recommended action.</w:t>
      </w:r>
      <w:r>
        <w:t xml:space="preserve"> Either have Halstead or Nguyen execute for PFT and PAC, or deliver board resolutions appointing the named officers together with incumbency and specimen-signature certificates for every Opinion Party. Flag the Agent signature-block errors to Drummond.</w:t>
      </w:r>
    </w:p>
    <w:p>
      <w:pPr>
        <w:pStyle w:val="Heading3"/>
      </w:pPr>
      <w:r>
        <w:t>B-7  Organizational documents — excerpts only; certification defects  [H]</w:t>
      </w:r>
    </w:p>
    <w:p>
      <w:pPr>
        <w:jc w:val="both"/>
      </w:pPr>
      <w:r>
        <w:rPr>
          <w:b/>
        </w:rPr>
        <w:t>Facts / sources.</w:t>
      </w:r>
      <w:r>
        <w:t xml:space="preserve"> The Organizational Documents Package contains excerpts only, certified by the General Counsel. It describes the facility’s agent as “National Union Bank, N.A., as Administrative Agent and Collateral Agent”, refers to the opinion as delivered under Section 4.01(e) (it is 4.01(d)), and refers to an Officer’s Certificate dated June 10, 2025 that is not in the file. Credit Agreement Section 4.01(b)(i) requires charters certified by the Secretary of State, and Drummond’s letter requires our review of the organizational documents themselves.</w:t>
      </w:r>
    </w:p>
    <w:p>
      <w:pPr>
        <w:jc w:val="both"/>
      </w:pPr>
      <w:r>
        <w:rPr>
          <w:b/>
        </w:rPr>
        <w:t>Opinion and transaction impact.</w:t>
      </w:r>
      <w:r>
        <w:t xml:space="preserve"> Opinions 1, 2, 3 and 5(i) rest on complete governing documents. An excerpt-based review is insufficient, particularly given the director and officer discrepancies above.</w:t>
      </w:r>
    </w:p>
    <w:p>
      <w:pPr>
        <w:jc w:val="both"/>
      </w:pPr>
      <w:r>
        <w:rPr>
          <w:b/>
        </w:rPr>
        <w:t>Recommended action.</w:t>
      </w:r>
      <w:r>
        <w:t xml:space="preserve"> Obtain Secretary of State-certified charters (bring-down dated within 10 Business Days), complete bylaws, Code of Regulations and LLC agreement, and a corrected Secretary’s Certificate for each Opinion Party.</w:t>
      </w:r>
    </w:p>
    <w:p>
      <w:pPr>
        <w:pStyle w:val="Heading2"/>
      </w:pPr>
      <w:r>
        <w:t>C. Good Standing and Foreign Qualification</w:t>
      </w:r>
    </w:p>
    <w:p>
      <w:pPr>
        <w:pStyle w:val="Heading3"/>
      </w:pPr>
      <w:r>
        <w:t>C-1  PFT Ohio good standing certificate is stale  [H]</w:t>
      </w:r>
    </w:p>
    <w:p>
      <w:pPr>
        <w:jc w:val="both"/>
      </w:pPr>
      <w:r>
        <w:rPr>
          <w:b/>
        </w:rPr>
        <w:t>Facts / sources.</w:t>
      </w:r>
      <w:r>
        <w:t xml:space="preserve"> The PFT certificate is dated April 12, 2025 (a Saturday), about 64 days before closing. Credit Agreement Section 4.01(c) and the June 9 letter require certificates dated within 10 Business Days of closing. Counting back from June 15, 2025 (a Sunday), the earliest acceptable date is June 2, 2025.</w:t>
      </w:r>
    </w:p>
    <w:p>
      <w:pPr>
        <w:jc w:val="both"/>
      </w:pPr>
      <w:r>
        <w:rPr>
          <w:b/>
        </w:rPr>
        <w:t>Opinion and transaction impact.</w:t>
      </w:r>
      <w:r>
        <w:t xml:space="preserve"> Opinion 1(c) is bracketed pending the bring-down.</w:t>
      </w:r>
    </w:p>
    <w:p>
      <w:pPr>
        <w:jc w:val="both"/>
      </w:pPr>
      <w:r>
        <w:rPr>
          <w:b/>
        </w:rPr>
        <w:t>Recommended action.</w:t>
      </w:r>
      <w:r>
        <w:t xml:space="preserve"> Order an Ohio Certificate of Good Standing for PFT today.</w:t>
      </w:r>
    </w:p>
    <w:p>
      <w:pPr>
        <w:pStyle w:val="Heading3"/>
      </w:pPr>
      <w:r>
        <w:t>C-2  Borrower foreign-qualification certificates missing (MI, IN, TX, CA)  [H]</w:t>
      </w:r>
    </w:p>
    <w:p>
      <w:pPr>
        <w:jc w:val="both"/>
      </w:pPr>
      <w:r>
        <w:rPr>
          <w:b/>
        </w:rPr>
        <w:t>Facts / sources.</w:t>
      </w:r>
      <w:r>
        <w:t xml:space="preserve"> Schedule 5.13(C) and Section 5.01(c) list Ohio, Michigan, Indiana, Texas and California. Only Ohio (June 3, 2025) was obtained. Drummond’s letter specifically calls out all five states. The Organizational Documents Package relies on a General Counsel representation for the other four states.</w:t>
      </w:r>
    </w:p>
    <w:p>
      <w:pPr>
        <w:jc w:val="both"/>
      </w:pPr>
      <w:r>
        <w:rPr>
          <w:b/>
        </w:rPr>
        <w:t>Opinion and transaction impact.</w:t>
      </w:r>
      <w:r>
        <w:t xml:space="preserve"> The foreign good standing opinion is limited to Ohio unless the certificates arrive. That fails a specific Lender requirement and Section 4.01(c).</w:t>
      </w:r>
    </w:p>
    <w:p>
      <w:pPr>
        <w:jc w:val="both"/>
      </w:pPr>
      <w:r>
        <w:rPr>
          <w:b/>
        </w:rPr>
        <w:t>Recommended action.</w:t>
      </w:r>
      <w:r>
        <w:t xml:space="preserve"> Order certificates from Michigan LARA, the Indiana Secretary of State, the Texas Secretary of State or Comptroller (account status), and the California Secretary of State. If timing fails, Drummond must agree in writing to a post-closing delivery.</w:t>
      </w:r>
    </w:p>
    <w:p>
      <w:pPr>
        <w:pStyle w:val="Heading3"/>
      </w:pPr>
      <w:r>
        <w:t>C-3  Subsidiary Guarantor foreign qualification — conflicting record; nothing obtained  [H]</w:t>
      </w:r>
    </w:p>
    <w:p>
      <w:pPr>
        <w:jc w:val="both"/>
      </w:pPr>
      <w:r>
        <w:rPr>
          <w:b/>
        </w:rPr>
        <w:t>Facts / sources.</w:t>
      </w:r>
      <w:r>
        <w:t xml:space="preserve"> Schedule 5.13(D) states that PFT is qualified in MI and IN, PCSS in OH and TX, and PAC in OH, TX and CA. The Organizational Documents Package (Part VI) states that none of them is qualified outside its home state. Schedule 5.17 shows leased operating facilities for PFT in Fort Wayne, IN, PCSS in Houston, TX, and PAC in El Segundo, CA, and all three show Akron, Ohio offices. The Good Standing Summary requested foreign certificates for the Borrower only, although Section 4.01(c) covers each Loan Party. The Parent Guarantor’s principal office is in Akron, Ohio, but it is reportedly not qualified in Ohio.</w:t>
      </w:r>
    </w:p>
    <w:p>
      <w:pPr>
        <w:jc w:val="both"/>
      </w:pPr>
      <w:r>
        <w:rPr>
          <w:b/>
        </w:rPr>
        <w:t>Opinion and transaction impact.</w:t>
      </w:r>
      <w:r>
        <w:t xml:space="preserve"> Either Schedule 5.13 and the Section 5.01(c) representation are wrong, or the subsidiaries (and possibly the Parent Guarantor) are doing business unqualified in states where they operate. The draft declines the “where required” formulation (a factual matter under TriBar practice) and brackets the subsidiary foreign opinions.</w:t>
      </w:r>
    </w:p>
    <w:p>
      <w:pPr>
        <w:jc w:val="both"/>
      </w:pPr>
      <w:r>
        <w:rPr>
          <w:b/>
        </w:rPr>
        <w:t>Recommended action.</w:t>
      </w:r>
      <w:r>
        <w:t xml:space="preserve"> Confirm actual qualifications with the client and through state searches. Qualify where needed (Indiana, Texas, California and Ohio appear to be implicated), obtain certificates, and correct Schedule 5.13.</w:t>
      </w:r>
    </w:p>
    <w:p>
      <w:pPr>
        <w:pStyle w:val="Heading3"/>
      </w:pPr>
      <w:r>
        <w:t>C-4  Inconsistent certificate dates and entity file numbers  [M]</w:t>
      </w:r>
    </w:p>
    <w:p>
      <w:pPr>
        <w:jc w:val="both"/>
      </w:pPr>
      <w:r>
        <w:rPr>
          <w:b/>
        </w:rPr>
        <w:t>Facts / sources.</w:t>
      </w:r>
      <w:r>
        <w:t xml:space="preserve"> The Good Standing Summary gives PCSS June 6 and PAC June 7; the Organizational Documents Package gives PCSS June 7 and PAC June 6. Delaware and Ohio file numbers differ across the record (see the table below). The Organizational Documents Package also gives an Ohio foreign registration number of 2090215 for the Borrower, while the Search Report gives F-2148703.</w:t>
      </w:r>
    </w:p>
    <w:p>
      <w:pPr>
        <w:jc w:val="both"/>
      </w:pPr>
      <w:r>
        <w:rPr>
          <w:b/>
        </w:rPr>
        <w:t>Opinion and transaction impact.</w:t>
      </w:r>
      <w:r>
        <w:t xml:space="preserve"> The discrepancies raise the question whether the certificates and searches were run on the correct entities, which affects opinions 1 and 7.</w:t>
      </w:r>
    </w:p>
    <w:p>
      <w:pPr>
        <w:jc w:val="both"/>
      </w:pPr>
      <w:r>
        <w:rPr>
          <w:b/>
        </w:rPr>
        <w:t>Recommended action.</w:t>
      </w:r>
      <w:r>
        <w:t xml:space="preserve"> Check every certificate and search certificate against the Secretary of State records, and correct Security Agreement Schedule III.</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592"/>
            <w:shd w:val="clear" w:color="auto" w:fill="D9D9D9"/>
          </w:tcPr>
          <w:p>
            <w:r/>
            <w:r>
              <w:rPr>
                <w:b/>
                <w:sz w:val="18"/>
              </w:rPr>
              <w:t>Entity</w:t>
            </w:r>
          </w:p>
        </w:tc>
        <w:tc>
          <w:tcPr>
            <w:tcW w:type="dxa" w:w="2160"/>
            <w:shd w:val="clear" w:color="auto" w:fill="D9D9D9"/>
          </w:tcPr>
          <w:p>
            <w:r/>
            <w:r>
              <w:rPr>
                <w:b/>
                <w:sz w:val="18"/>
              </w:rPr>
              <w:t>Org. Docs Package</w:t>
            </w:r>
          </w:p>
        </w:tc>
        <w:tc>
          <w:tcPr>
            <w:tcW w:type="dxa" w:w="2160"/>
            <w:shd w:val="clear" w:color="auto" w:fill="D9D9D9"/>
          </w:tcPr>
          <w:p>
            <w:r/>
            <w:r>
              <w:rPr>
                <w:b/>
                <w:sz w:val="18"/>
              </w:rPr>
              <w:t>UCC Search Report</w:t>
            </w:r>
          </w:p>
        </w:tc>
        <w:tc>
          <w:tcPr>
            <w:tcW w:type="dxa" w:w="2448"/>
            <w:shd w:val="clear" w:color="auto" w:fill="D9D9D9"/>
          </w:tcPr>
          <w:p>
            <w:r/>
            <w:r>
              <w:rPr>
                <w:b/>
                <w:sz w:val="18"/>
              </w:rPr>
              <w:t>Security Agmt. Sched. III</w:t>
            </w:r>
          </w:p>
        </w:tc>
      </w:tr>
      <w:tr>
        <w:tc>
          <w:tcPr>
            <w:tcW w:type="dxa" w:w="2592"/>
          </w:tcPr>
          <w:p>
            <w:r/>
            <w:r>
              <w:rPr>
                <w:sz w:val="18"/>
              </w:rPr>
              <w:t>Borrower (DE)</w:t>
            </w:r>
          </w:p>
        </w:tc>
        <w:tc>
          <w:tcPr>
            <w:tcW w:type="dxa" w:w="2160"/>
          </w:tcPr>
          <w:p>
            <w:r/>
            <w:r>
              <w:rPr>
                <w:sz w:val="18"/>
              </w:rPr>
              <w:t>5827341</w:t>
            </w:r>
          </w:p>
        </w:tc>
        <w:tc>
          <w:tcPr>
            <w:tcW w:type="dxa" w:w="2160"/>
          </w:tcPr>
          <w:p>
            <w:r/>
            <w:r>
              <w:rPr>
                <w:sz w:val="18"/>
              </w:rPr>
              <w:t>5874219</w:t>
            </w:r>
          </w:p>
        </w:tc>
        <w:tc>
          <w:tcPr>
            <w:tcW w:type="dxa" w:w="2448"/>
          </w:tcPr>
          <w:p>
            <w:r/>
            <w:r>
              <w:rPr>
                <w:sz w:val="18"/>
              </w:rPr>
              <w:t>4782351</w:t>
            </w:r>
          </w:p>
        </w:tc>
      </w:tr>
      <w:tr>
        <w:tc>
          <w:tcPr>
            <w:tcW w:type="dxa" w:w="2592"/>
          </w:tcPr>
          <w:p>
            <w:r/>
            <w:r>
              <w:rPr>
                <w:sz w:val="18"/>
              </w:rPr>
              <w:t>Parent Guarantor (DE)</w:t>
            </w:r>
          </w:p>
        </w:tc>
        <w:tc>
          <w:tcPr>
            <w:tcW w:type="dxa" w:w="2160"/>
          </w:tcPr>
          <w:p>
            <w:r/>
            <w:r>
              <w:rPr>
                <w:sz w:val="18"/>
              </w:rPr>
              <w:t>4319582</w:t>
            </w:r>
          </w:p>
        </w:tc>
        <w:tc>
          <w:tcPr>
            <w:tcW w:type="dxa" w:w="2160"/>
          </w:tcPr>
          <w:p>
            <w:r/>
            <w:r>
              <w:rPr>
                <w:sz w:val="18"/>
              </w:rPr>
              <w:t>5291847</w:t>
            </w:r>
          </w:p>
        </w:tc>
        <w:tc>
          <w:tcPr>
            <w:tcW w:type="dxa" w:w="2448"/>
          </w:tcPr>
          <w:p>
            <w:r/>
            <w:r>
              <w:rPr>
                <w:sz w:val="18"/>
              </w:rPr>
              <w:t>4619287</w:t>
            </w:r>
          </w:p>
        </w:tc>
      </w:tr>
      <w:tr>
        <w:tc>
          <w:tcPr>
            <w:tcW w:type="dxa" w:w="2592"/>
          </w:tcPr>
          <w:p>
            <w:r/>
            <w:r>
              <w:rPr>
                <w:sz w:val="18"/>
              </w:rPr>
              <w:t>PFT (OH charter)</w:t>
            </w:r>
          </w:p>
        </w:tc>
        <w:tc>
          <w:tcPr>
            <w:tcW w:type="dxa" w:w="2160"/>
          </w:tcPr>
          <w:p>
            <w:r/>
            <w:r>
              <w:rPr>
                <w:sz w:val="18"/>
              </w:rPr>
              <w:t>3174829</w:t>
            </w:r>
          </w:p>
        </w:tc>
        <w:tc>
          <w:tcPr>
            <w:tcW w:type="dxa" w:w="2160"/>
          </w:tcPr>
          <w:p>
            <w:r/>
            <w:r>
              <w:rPr>
                <w:sz w:val="18"/>
              </w:rPr>
              <w:t>4219753</w:t>
            </w:r>
          </w:p>
        </w:tc>
        <w:tc>
          <w:tcPr>
            <w:tcW w:type="dxa" w:w="2448"/>
          </w:tcPr>
          <w:p>
            <w:r/>
            <w:r>
              <w:rPr>
                <w:sz w:val="18"/>
              </w:rPr>
              <w:t>2137085</w:t>
            </w:r>
          </w:p>
        </w:tc>
      </w:tr>
      <w:tr>
        <w:tc>
          <w:tcPr>
            <w:tcW w:type="dxa" w:w="2592"/>
          </w:tcPr>
          <w:p>
            <w:r/>
            <w:r>
              <w:rPr>
                <w:sz w:val="18"/>
              </w:rPr>
              <w:t>PCSS (DE)</w:t>
            </w:r>
          </w:p>
        </w:tc>
        <w:tc>
          <w:tcPr>
            <w:tcW w:type="dxa" w:w="2160"/>
          </w:tcPr>
          <w:p>
            <w:r/>
            <w:r>
              <w:rPr>
                <w:sz w:val="18"/>
              </w:rPr>
              <w:t>6194720</w:t>
            </w:r>
          </w:p>
        </w:tc>
        <w:tc>
          <w:tcPr>
            <w:tcW w:type="dxa" w:w="2160"/>
          </w:tcPr>
          <w:p>
            <w:r/>
            <w:r>
              <w:rPr>
                <w:sz w:val="18"/>
              </w:rPr>
              <w:t>6403918</w:t>
            </w:r>
          </w:p>
        </w:tc>
        <w:tc>
          <w:tcPr>
            <w:tcW w:type="dxa" w:w="2448"/>
          </w:tcPr>
          <w:p>
            <w:r/>
            <w:r>
              <w:rPr>
                <w:sz w:val="18"/>
              </w:rPr>
              <w:t>5103964</w:t>
            </w:r>
          </w:p>
        </w:tc>
      </w:tr>
      <w:tr>
        <w:tc>
          <w:tcPr>
            <w:tcW w:type="dxa" w:w="2592"/>
          </w:tcPr>
          <w:p>
            <w:r/>
            <w:r>
              <w:rPr>
                <w:sz w:val="18"/>
              </w:rPr>
              <w:t>PAC (DE)</w:t>
            </w:r>
          </w:p>
        </w:tc>
        <w:tc>
          <w:tcPr>
            <w:tcW w:type="dxa" w:w="2160"/>
          </w:tcPr>
          <w:p>
            <w:r/>
            <w:r>
              <w:rPr>
                <w:sz w:val="18"/>
              </w:rPr>
              <w:t>7291054</w:t>
            </w:r>
          </w:p>
        </w:tc>
        <w:tc>
          <w:tcPr>
            <w:tcW w:type="dxa" w:w="2160"/>
          </w:tcPr>
          <w:p>
            <w:r/>
            <w:r>
              <w:rPr>
                <w:sz w:val="18"/>
              </w:rPr>
              <w:t>6781052</w:t>
            </w:r>
          </w:p>
        </w:tc>
        <w:tc>
          <w:tcPr>
            <w:tcW w:type="dxa" w:w="2448"/>
          </w:tcPr>
          <w:p>
            <w:r/>
            <w:r>
              <w:rPr>
                <w:sz w:val="18"/>
              </w:rPr>
              <w:t>5247813</w:t>
            </w:r>
          </w:p>
        </w:tc>
      </w:tr>
    </w:tbl>
    <w:p/>
    <w:p>
      <w:pPr>
        <w:pStyle w:val="Heading2"/>
      </w:pPr>
      <w:r>
        <w:t>D. Collateral, Perfection and Priority</w:t>
      </w:r>
    </w:p>
    <w:p>
      <w:pPr>
        <w:pStyle w:val="Heading3"/>
      </w:pPr>
      <w:r>
        <w:t>D-1  Ironbridge all-assets UCC-1 not terminated; prior facility facts inconsistent  [G]</w:t>
      </w:r>
    </w:p>
    <w:p>
      <w:pPr>
        <w:jc w:val="both"/>
      </w:pPr>
      <w:r>
        <w:rPr>
          <w:b/>
        </w:rPr>
        <w:t>Facts / sources.</w:t>
      </w:r>
      <w:r>
        <w:t xml:space="preserve"> Delaware File No. 2019-4572810 (filed August 9, 2019; continued July 22, 2024 to August 9, 2029) covers all of the Borrower’s assets. No UCC-3 termination was of record on June 8, 2025. The Credit Agreement dates the Prior Credit Facility March 15, 2019. Terracotta Schedule 5.11 (April 2021) shows Ironbridge as a $100 million facility maturing August 9, 2024. The Officer’s Certificate shows $118.75 million outstanding in 2025.</w:t>
      </w:r>
    </w:p>
    <w:p>
      <w:pPr>
        <w:jc w:val="both"/>
      </w:pPr>
      <w:r>
        <w:rPr>
          <w:b/>
        </w:rPr>
        <w:t>Opinion and transaction impact.</w:t>
      </w:r>
      <w:r>
        <w:t xml:space="preserve"> Ironbridge’s earlier filing would prime the Agent under UCC Section 9-322(a)(1) while it secures obligations. Section 4.01(g) is unsatisfied, and opinion 7(g) is bracketed.</w:t>
      </w:r>
    </w:p>
    <w:p>
      <w:pPr>
        <w:jc w:val="both"/>
      </w:pPr>
      <w:r>
        <w:rPr>
          <w:b/>
        </w:rPr>
        <w:t>Recommended action.</w:t>
      </w:r>
      <w:r>
        <w:t xml:space="preserve"> Obtain the Ironbridge payoff letter (amount, per diem, automatic lien release, authorization for the Borrower or Agent to file the UCC-3, and return of possessory collateral). File the UCC-3 at funding and obtain filed-stamped evidence. Reconcile the facility size and maturity (extension or upsizing amendments).</w:t>
      </w:r>
    </w:p>
    <w:p>
      <w:pPr>
        <w:pStyle w:val="Heading3"/>
      </w:pPr>
      <w:r>
        <w:t>D-2  Unreleased $347,218.64 Ohio state tax lien against the Borrower  [G]</w:t>
      </w:r>
    </w:p>
    <w:p>
      <w:pPr>
        <w:jc w:val="both"/>
      </w:pPr>
      <w:r>
        <w:rPr>
          <w:b/>
        </w:rPr>
        <w:t>Facts / sources.</w:t>
      </w:r>
      <w:r>
        <w:t xml:space="preserve"> Ohio Secretary of State notice OH-2024-TL-0048271 (March 3, 2024) covers all property for taxes, penalties and interest under ORC Chapters 5739 and 5747. It does not appear on Schedule 7.02. It contradicts Credit Agreement Section 5.08 (no tax liens filed) and is likely not a Permitted Lien: clause (i) covers only taxes not yet delinquent or contested in good faith with reserves. The Search Report itself has reliability problems. It names the claimant as a “Great Lakes Tax Authority, Ohio Department of Revenue” (Ohio’s agency is the Department of Taxation). It describes Chapter 5739 as the commercial activity tax (Chapter 5739 is sales and use tax; the CAT is Chapter 5751). And Ohio tax liens are typically recorded as judgment liens with the county clerk of courts, which were not searched. The Search Report also cites the wrong Credit Agreement sections (5.08/5.09 rather than 5.07/5.08).</w:t>
      </w:r>
    </w:p>
    <w:p>
      <w:pPr>
        <w:jc w:val="both"/>
      </w:pPr>
      <w:r>
        <w:rPr>
          <w:b/>
        </w:rPr>
        <w:t>Opinion and transaction impact.</w:t>
      </w:r>
      <w:r>
        <w:t xml:space="preserve"> A statutory tax lien may prime the Agent regardless of filing priority, so we give no priority opinion over it (Annex G, Part 2). The Officer’s Certificate representations are inaccurate.</w:t>
      </w:r>
    </w:p>
    <w:p>
      <w:pPr>
        <w:jc w:val="both"/>
      </w:pPr>
      <w:r>
        <w:rPr>
          <w:b/>
        </w:rPr>
        <w:t>Recommended action.</w:t>
      </w:r>
      <w:r>
        <w:t xml:space="preserve"> Obtain a certified copy of the lien notice and confirm the claimant and the underlying assessment. Pay the lien and file a release before closing (fund from proceeds with a release in escrow if necessary). If it is contested, add it to Schedule 7.02 with reserves and disclose it. Correct Section 5.08 and the Officer’s Certificate. Run Summit County (and other county) judgment and tax-lien searches.</w:t>
      </w:r>
    </w:p>
    <w:p>
      <w:pPr>
        <w:pStyle w:val="Heading3"/>
      </w:pPr>
      <w:r>
        <w:t>D-3  Aldersgate filing — true lease or security interest?  [M]</w:t>
      </w:r>
    </w:p>
    <w:p>
      <w:pPr>
        <w:jc w:val="both"/>
      </w:pPr>
      <w:r>
        <w:rPr>
          <w:b/>
        </w:rPr>
        <w:t>Facts / sources.</w:t>
      </w:r>
      <w:r>
        <w:t xml:space="preserve"> The Search Report treats Aldersgate as a precautionary true-lease filing. Credit Agreement Schedule 7.01 lists it as “Capital Lease Obligations … Secured by leased equipment” (about $4.8 million). The Officer’s Certificate identifies the Aldersgate Master Lease as a PFT agreement, while Schedule 5.04 and the UCC filing name the Borrower. Terracotta Schedule 5.11 (April 2021) lists Aldersgate obligations that predate the February 1, 2022 Master Lease.</w:t>
      </w:r>
    </w:p>
    <w:p>
      <w:pPr>
        <w:jc w:val="both"/>
      </w:pPr>
      <w:r>
        <w:rPr>
          <w:b/>
        </w:rPr>
        <w:t>Opinion and transaction impact.</w:t>
      </w:r>
      <w:r>
        <w:t xml:space="preserve"> If the lease is a disguised security interest under UCC Section 1-203, Aldersgate has a prior perfected lien in the described equipment. It is a Permitted Lien, but it counts toward the Terracotta cap (Issue A-1). The draft excepts it in Annex G.</w:t>
      </w:r>
    </w:p>
    <w:p>
      <w:pPr>
        <w:jc w:val="both"/>
      </w:pPr>
      <w:r>
        <w:rPr>
          <w:b/>
        </w:rPr>
        <w:t>Recommended action.</w:t>
      </w:r>
      <w:r>
        <w:t xml:space="preserve"> Obtain the Master Lease and schedules. Determine its characterization and the correct obligor, and conform Schedules 5.04 and 7.01 and the Officer’s Certificate.</w:t>
      </w:r>
    </w:p>
    <w:p>
      <w:pPr>
        <w:pStyle w:val="Heading3"/>
      </w:pPr>
      <w:r>
        <w:t>D-4  Pledged share counts in Security Agreement Schedule I do not match issuers’ capitalization  [H]</w:t>
      </w:r>
    </w:p>
    <w:p>
      <w:pPr>
        <w:jc w:val="both"/>
      </w:pPr>
      <w:r>
        <w:rPr>
          <w:b/>
        </w:rPr>
        <w:t>Facts / sources.</w:t>
      </w:r>
      <w:r>
        <w:t xml:space="preserve"> Schedule I lists PFT Certificate C-2001 for 1,000,000 shares and PAC Certificate C-3001 for 500,000 shares. PFT’s Articles and PAC’s Certificate of Incorporation each authorize, and show outstanding, 1,000 shares. The Borrower’s 4,500,000 shares (C-1001) are consistent.</w:t>
      </w:r>
    </w:p>
    <w:p>
      <w:pPr>
        <w:jc w:val="both"/>
      </w:pPr>
      <w:r>
        <w:rPr>
          <w:b/>
        </w:rPr>
        <w:t>Opinion and transaction impact.</w:t>
      </w:r>
      <w:r>
        <w:t xml:space="preserve"> Either the certificates describe shares that were never validly issued (an over-issue problem under Article 8) or the schedule is wrong. Opinion 7(e) cannot be given until we inspect the original certificates and stock ledgers.</w:t>
      </w:r>
    </w:p>
    <w:p>
      <w:pPr>
        <w:jc w:val="both"/>
      </w:pPr>
      <w:r>
        <w:rPr>
          <w:b/>
        </w:rPr>
        <w:t>Recommended action.</w:t>
      </w:r>
      <w:r>
        <w:t xml:space="preserve"> Inspect certificates C-1001, C-2001 and C-3001 and the stock ledgers. Correct Schedule I, and the Pledge Agreement schedule if separate. Deliver the original certificates with stock powers executed in blank, and agree where the Agent will hold them (the governing law for control follows the certificate’s location).</w:t>
      </w:r>
    </w:p>
    <w:p>
      <w:pPr>
        <w:pStyle w:val="Heading3"/>
      </w:pPr>
      <w:r>
        <w:t>D-5  Deposit and securities account control agreements not furnished; intermediary identity  [H]</w:t>
      </w:r>
    </w:p>
    <w:p>
      <w:pPr>
        <w:jc w:val="both"/>
      </w:pPr>
      <w:r>
        <w:rPr>
          <w:b/>
        </w:rPr>
        <w:t>Facts / sources.</w:t>
      </w:r>
      <w:r>
        <w:t xml:space="preserve"> Security Agreement Schedule V lists 10 accounts. Three are at Ridgeline itself, where control is automatic under Section 9-104(a)(1). Five DACAs are with third-party banks (First Saxonbrook, Great Lakes Commercial Bank (two accounts), Citizens National Bank (Elkhart, IN) and Heartland Bank of Kansas). Two SACAs are with “Cromdale Consulting Wealth Advisors”. None has been furnished. Security Agreement Sections 3.08(b)–(c) and 6.02(c) state that control “has been granted”. Drummond’s letter expressly requires the opinion to address the DACAs and SACAs.</w:t>
      </w:r>
    </w:p>
    <w:p>
      <w:pPr>
        <w:jc w:val="both"/>
      </w:pPr>
      <w:r>
        <w:rPr>
          <w:b/>
        </w:rPr>
        <w:t>Opinion and transaction impact.</w:t>
      </w:r>
      <w:r>
        <w:t xml:space="preserve"> Opinions 7(c) and 7(d) are bracketed. The bank’s jurisdiction (Section 9-304) and intermediary’s jurisdiction (Section 8-110(e)) may be Indiana, Kansas or elsewhere, outside our covered law. A consulting or advisory firm may not be a “securities intermediary” under Section 8-102(a)(14), in which case Section 8-106(d) control would be unavailable.</w:t>
      </w:r>
    </w:p>
    <w:p>
      <w:pPr>
        <w:jc w:val="both"/>
      </w:pPr>
      <w:r>
        <w:rPr>
          <w:b/>
        </w:rPr>
        <w:t>Recommended action.</w:t>
      </w:r>
      <w:r>
        <w:t xml:space="preserve"> Obtain the executed DACAs and SACAs. Confirm each one’s governing-law and jurisdiction clause and Cromdale’s status (broker-dealer or bank custodian). If a jurisdiction falls outside our coverage, either have the agreement select New York, Delaware or Ohio as the bank’s or intermediary’s jurisdiction or obtain local counsel.</w:t>
      </w:r>
    </w:p>
    <w:p>
      <w:pPr>
        <w:pStyle w:val="Heading3"/>
      </w:pPr>
      <w:r>
        <w:t>D-6  Intellectual property schedules irreconcilable; IP filings not prepared; registered copyrights  [H]</w:t>
      </w:r>
    </w:p>
    <w:p>
      <w:pPr>
        <w:jc w:val="both"/>
      </w:pPr>
      <w:r>
        <w:rPr>
          <w:b/>
        </w:rPr>
        <w:t>Facts / sources.</w:t>
      </w:r>
      <w:r>
        <w:t xml:space="preserve"> Credit Agreement Schedule 5.15 lists owned patents 8,765,432 (PFT), 9,123,456 (Borrower) and 10,456,789 (PAC), and trademarks PINNACLE (Reg. No. 4,567,890), PINNACLE FASTENER TECHNOLOGIES, PINNACLE AEROSPACE and DURASHIELD. Security Agreement Schedule IV lists entirely different patents (9,812,445; 10,234,678; 10,567,890; 11,012,334 owned by PCSS; Application 17/345,221) and marks (PINNACLE Reg. No. 4,215,887; PINNACLE &amp; Design; TORQLOCK; DURABOND; AEROFORM), plus two registered copyrights. No USPTO or Copyright Office searches were run (Search Report Section 7.5), and no short-form IP security agreements exist for recordation (Security Agreement Section 6.03).</w:t>
      </w:r>
    </w:p>
    <w:p>
      <w:pPr>
        <w:jc w:val="both"/>
      </w:pPr>
      <w:r>
        <w:rPr>
          <w:b/>
        </w:rPr>
        <w:t>Opinion and transaction impact.</w:t>
      </w:r>
      <w:r>
        <w:t xml:space="preserve"> UCC filing perfects security interests in patents and trademarks, but recordation with the USPTO matters as against subsequent assignees. A security interest in </w:t>
      </w:r>
      <w:r>
        <w:rPr>
          <w:b/>
        </w:rPr>
        <w:t>registered</w:t>
      </w:r>
      <w:r>
        <w:t xml:space="preserve"> copyrights is generally perfected only by recording with the Copyright Office (</w:t>
      </w:r>
      <w:r>
        <w:rPr>
          <w:i/>
        </w:rPr>
        <w:t>In re Peregrine Entertainment, Ltd.</w:t>
      </w:r>
      <w:r>
        <w:t xml:space="preserve">, 116 B.R. 194 (C.D. Cal. 1990); </w:t>
      </w:r>
      <w:r>
        <w:rPr>
          <w:i/>
        </w:rPr>
        <w:t>In re World Auxiliary Power Co.</w:t>
      </w:r>
      <w:r>
        <w:t>, 303 F.3d 1120 (9th Cir. 2002)). The draft excludes registered copyrights from opinion 7(f).</w:t>
      </w:r>
    </w:p>
    <w:p>
      <w:pPr>
        <w:jc w:val="both"/>
      </w:pPr>
      <w:r>
        <w:rPr>
          <w:b/>
        </w:rPr>
        <w:t>Recommended action.</w:t>
      </w:r>
      <w:r>
        <w:t xml:space="preserve"> Run USPTO assignment and Copyright Office searches. Reconcile the schedules with the client. Prepare and record patent, trademark and copyright security agreements at closing.</w:t>
      </w:r>
    </w:p>
    <w:p>
      <w:pPr>
        <w:pStyle w:val="Heading3"/>
      </w:pPr>
      <w:r>
        <w:t>D-7  Security Agreement Schedule III and related data errors  [M]</w:t>
      </w:r>
    </w:p>
    <w:p>
      <w:pPr>
        <w:jc w:val="both"/>
      </w:pPr>
      <w:r>
        <w:rPr>
          <w:b/>
        </w:rPr>
        <w:t>Facts / sources.</w:t>
      </w:r>
      <w:r>
        <w:t xml:space="preserve"> Schedule III organizational IDs conflict with the other records (Issue C-4). Addresses differ: PFT at Youngstown, OH; PCSS at Elkhart, IN; PAC at Wichita, KS. Elsewhere these are Akron suites 300, 340, 350 and 360 or the Schedule 5.17 sites. The Ohio statutory agent is shown as “DC Statutory Agent System”, but PFT’s Articles name Okonkwo. The representation in Section 3.06 is that Schedule III is “true, complete, and correct in all respects”.</w:t>
      </w:r>
    </w:p>
    <w:p>
      <w:pPr>
        <w:jc w:val="both"/>
      </w:pPr>
      <w:r>
        <w:rPr>
          <w:b/>
        </w:rPr>
        <w:t>Opinion and transaction impact.</w:t>
      </w:r>
      <w:r>
        <w:t xml:space="preserve"> Perfection against registered organizations turns on the state of organization, so the filings are not defective. The representations are inaccurate, however, and federal tax lien searches must be run where each corporation’s principal executive office is located (IRC Section 6323(f)).</w:t>
      </w:r>
    </w:p>
    <w:p>
      <w:pPr>
        <w:jc w:val="both"/>
      </w:pPr>
      <w:r>
        <w:rPr>
          <w:b/>
        </w:rPr>
        <w:t>Recommended action.</w:t>
      </w:r>
      <w:r>
        <w:t xml:space="preserve"> Correct Schedule III and run federal tax lien searches in the correct principal-office state for each Opinion Party.</w:t>
      </w:r>
    </w:p>
    <w:p>
      <w:pPr>
        <w:pStyle w:val="Heading3"/>
      </w:pPr>
      <w:r>
        <w:t>D-8  Search Report gaps and internal inconsistencies  [H]</w:t>
      </w:r>
    </w:p>
    <w:p>
      <w:pPr>
        <w:jc w:val="both"/>
      </w:pPr>
      <w:r>
        <w:rPr>
          <w:b/>
        </w:rPr>
        <w:t>Facts / sources.</w:t>
      </w:r>
      <w:r>
        <w:t xml:space="preserve"> Searches cover only the Delaware and Ohio Secretaries of State. Ohio searches were run only against the Borrower and PFT, although Section 4.01(f)(ii) requires UCC, tax-lien </w:t>
      </w:r>
      <w:r>
        <w:rPr>
          <w:b/>
        </w:rPr>
        <w:t>and judgment</w:t>
      </w:r>
      <w:r>
        <w:t xml:space="preserve"> searches for </w:t>
      </w:r>
      <w:r>
        <w:rPr>
          <w:b/>
        </w:rPr>
        <w:t>each</w:t>
      </w:r>
      <w:r>
        <w:t xml:space="preserve"> Loan Party in its jurisdiction of organization </w:t>
      </w:r>
      <w:r>
        <w:rPr>
          <w:b/>
        </w:rPr>
        <w:t>and Ohio</w:t>
      </w:r>
      <w:r>
        <w:t>. No judgment, county fixture, USPTO or Copyright Office searches were run. The report is “current through June 8, 2025” yet reflects UCC-1s filed June 10, 2025. Certified search certificates are “maintained in our files” but have not been reviewed.</w:t>
      </w:r>
    </w:p>
    <w:p>
      <w:pPr>
        <w:jc w:val="both"/>
      </w:pPr>
      <w:r>
        <w:rPr>
          <w:b/>
        </w:rPr>
        <w:t>Opinion and transaction impact.</w:t>
      </w:r>
      <w:r>
        <w:t xml:space="preserve"> Section 4.01(f) is not satisfied, and priority opinion 7(g) rests on an incomplete and internally inconsistent report.</w:t>
      </w:r>
    </w:p>
    <w:p>
      <w:pPr>
        <w:jc w:val="both"/>
      </w:pPr>
      <w:r>
        <w:rPr>
          <w:b/>
        </w:rPr>
        <w:t>Recommended action.</w:t>
      </w:r>
      <w:r>
        <w:t xml:space="preserve"> Order Ohio UCC, tax-lien and judgment searches for the Parent Guarantor, PCSS and PAC, plus county judgment searches. Order a bring-down Delaware and Ohio search after the Ironbridge UCC-3 and the new filings index. Review the National Lien Search Services certificates.</w:t>
      </w:r>
    </w:p>
    <w:p>
      <w:pPr>
        <w:pStyle w:val="Heading3"/>
      </w:pPr>
      <w:r>
        <w:t>D-9  Pledge Agreement and Guaranty Agreement not furnished; party descriptions inconsistent  [H]</w:t>
      </w:r>
    </w:p>
    <w:p>
      <w:pPr>
        <w:jc w:val="both"/>
      </w:pPr>
      <w:r>
        <w:rPr>
          <w:b/>
        </w:rPr>
        <w:t>Facts / sources.</w:t>
      </w:r>
      <w:r>
        <w:t xml:space="preserve"> The Credit Agreement describes the Pledge Agreement as “among the Loan Parties” and pledging 100% of each Subsidiary Guarantor’s equity. Drummond describes it as among the Borrower, the Parent Guarantor and the Agent. Security Agreement Section 2.02 already pledges the same equity, plus the Borrower’s stock. The Guaranty is Article X of the Credit Agreement, but Drummond’s letter, the Security Agreement recitals and the guarantor consents refer to a separate Guaranty or Subsidiary Guaranty, which Section 1.01 of the Credit Agreement does not define.</w:t>
      </w:r>
    </w:p>
    <w:p>
      <w:pPr>
        <w:jc w:val="both"/>
      </w:pPr>
      <w:r>
        <w:rPr>
          <w:b/>
        </w:rPr>
        <w:t>Opinion and transaction impact.</w:t>
      </w:r>
      <w:r>
        <w:t xml:space="preserve"> We cannot opine on unseen documents. The guarantor consents may not cover the Credit Agreement joinder itself if no separate guaranty is executed.</w:t>
      </w:r>
    </w:p>
    <w:p>
      <w:pPr>
        <w:jc w:val="both"/>
      </w:pPr>
      <w:r>
        <w:rPr>
          <w:b/>
        </w:rPr>
        <w:t>Recommended action.</w:t>
      </w:r>
      <w:r>
        <w:t xml:space="preserve"> Obtain final forms. Conform the party lists and definitions. Make sure each new consent names the Credit Agreement (Article X) and any separate guaranty.</w:t>
      </w:r>
    </w:p>
    <w:p>
      <w:pPr>
        <w:pStyle w:val="Heading3"/>
      </w:pPr>
      <w:r>
        <w:t>D-10  Pre-closing UCC-1 filings and commercial tort claim schedule  [L]</w:t>
      </w:r>
    </w:p>
    <w:p>
      <w:pPr>
        <w:jc w:val="both"/>
      </w:pPr>
      <w:r>
        <w:rPr>
          <w:b/>
        </w:rPr>
        <w:t>Facts / sources.</w:t>
      </w:r>
      <w:r>
        <w:t xml:space="preserve"> UCC-1s were filed June 10, 2025, before the Security Agreement was authenticated. Security Agreement Schedule II describes the Borrower’s Morrison counterclaims as commercial tort claims, but those counterclaims are for unpaid invoices, which are contract claims (accounts or general intangibles).</w:t>
      </w:r>
    </w:p>
    <w:p>
      <w:pPr>
        <w:jc w:val="both"/>
      </w:pPr>
      <w:r>
        <w:rPr>
          <w:b/>
        </w:rPr>
        <w:t>Opinion and transaction impact.</w:t>
      </w:r>
      <w:r>
        <w:t xml:space="preserve"> A pre-filing is effective if the debtor authorized it in an authenticated record (Section 9-509), and authentication of the Security Agreement ratifies it under Section 9-509(b). Schedule II is harmless but inaccurate.</w:t>
      </w:r>
    </w:p>
    <w:p>
      <w:pPr>
        <w:jc w:val="both"/>
      </w:pPr>
      <w:r>
        <w:rPr>
          <w:b/>
        </w:rPr>
        <w:t>Recommended action.</w:t>
      </w:r>
      <w:r>
        <w:t xml:space="preserve"> Obtain pre-filing authorization letters (or rely on the Section 9-509(b) ratification) and correct Schedule II.</w:t>
      </w:r>
    </w:p>
    <w:p>
      <w:pPr>
        <w:pStyle w:val="Heading3"/>
      </w:pPr>
      <w:r>
        <w:t>D-11  Security Agreement and Credit Agreement drafting errors  [M]</w:t>
      </w:r>
    </w:p>
    <w:p>
      <w:pPr>
        <w:jc w:val="both"/>
      </w:pPr>
      <w:r>
        <w:rPr>
          <w:b/>
        </w:rPr>
        <w:t>Facts / sources.</w:t>
      </w:r>
      <w:r>
        <w:t xml:space="preserve"> Security Agreement Section 7.03 cites “Section 10.02” of the Credit Agreement for notices (the notice section is 11.01). The terms “Payment in Full”, “Permitted Dispositions” and “Subsidiary Guaranty” are used but not defined in the Credit Agreement. The Agent’s notice e-mail differs between the documents (agencyservices@ridgelinebank.com versus agencynotices@ridgelinenational.com). The Korvin license appears under “Copyright License”. Credit Agreement Section 11.01 gives Drummond’s e-mail as rdrummond@drummondlaw.com, while the letter uses @drummondassociates.com. The Security Agreement represents first-priority liens (Section 3.05(c)) despite the tax lien and the Ironbridge filing.</w:t>
      </w:r>
    </w:p>
    <w:p>
      <w:pPr>
        <w:jc w:val="both"/>
      </w:pPr>
      <w:r>
        <w:rPr>
          <w:b/>
        </w:rPr>
        <w:t>Opinion and transaction impact.</w:t>
      </w:r>
      <w:r>
        <w:t xml:space="preserve"> Undefined terms and cross-reference errors bear on enforceability (opinion 4) and invite disputes.</w:t>
      </w:r>
    </w:p>
    <w:p>
      <w:pPr>
        <w:jc w:val="both"/>
      </w:pPr>
      <w:r>
        <w:rPr>
          <w:b/>
        </w:rPr>
        <w:t>Recommended action.</w:t>
      </w:r>
      <w:r>
        <w:t xml:space="preserve"> Send a conforming-changes list to Drummond.</w:t>
      </w:r>
    </w:p>
    <w:p>
      <w:pPr>
        <w:pStyle w:val="Heading2"/>
      </w:pPr>
      <w:r>
        <w:t>E. Officer’s Certificate and Factual Support</w:t>
      </w:r>
    </w:p>
    <w:p>
      <w:pPr>
        <w:pStyle w:val="Heading3"/>
      </w:pPr>
      <w:r>
        <w:t>E-1  Officer’s Certificate certifies matters known to be inaccurate  [G]</w:t>
      </w:r>
    </w:p>
    <w:p>
      <w:pPr>
        <w:jc w:val="both"/>
      </w:pPr>
      <w:r>
        <w:rPr>
          <w:b/>
        </w:rPr>
        <w:t>Facts / sources.</w:t>
      </w:r>
      <w:r>
        <w:t xml:space="preserve"> Section 3(e) and Schedule A certify that no third-party consent is required other than UCC filings, which is false because of the Korvin and Terracotta conflicts. Schedule A says UCC-1s were filed against the Borrower and each Subsidiary Guarantor and omits the Parent Guarantor. Sections 3, 4 and 8 certify no Default, true representations and no Material Agreement default. Section 3(b) gives the qualification representation without certificates. Section 8’s Material Agreements list conflicts with Schedule 5.04: it adds Korvin Amendment No. 1; shows the Aldersgate lessee as PFT; dates the Buckeye lease January 15, 2019 rather than January 15, 2015 as amended March 1, 2020; and omits Great Plains Steel, Consolidated Aerostructures and Stanton. It also uses an MAE qualifier on defaults.</w:t>
      </w:r>
    </w:p>
    <w:p>
      <w:pPr>
        <w:jc w:val="both"/>
      </w:pPr>
      <w:r>
        <w:rPr>
          <w:b/>
        </w:rPr>
        <w:t>Opinion and transaction impact.</w:t>
      </w:r>
      <w:r>
        <w:t xml:space="preserve"> Under customary practice we may not rely on a certificate we know to be inaccurate. Assumption (7) does not cover these matters.</w:t>
      </w:r>
    </w:p>
    <w:p>
      <w:pPr>
        <w:jc w:val="both"/>
      </w:pPr>
      <w:r>
        <w:rPr>
          <w:b/>
        </w:rPr>
        <w:t>Recommended action.</w:t>
      </w:r>
      <w:r>
        <w:t xml:space="preserve"> Re-issue the certificate after the cures. Conform Section 8 to Schedule 5.04.</w:t>
      </w:r>
    </w:p>
    <w:p>
      <w:pPr>
        <w:pStyle w:val="Heading3"/>
      </w:pPr>
      <w:r>
        <w:t>E-2  Litigation disclosure inconsistencies; knowledge inquiry incomplete  [H]</w:t>
      </w:r>
    </w:p>
    <w:p>
      <w:pPr>
        <w:jc w:val="both"/>
      </w:pPr>
      <w:r>
        <w:rPr>
          <w:b/>
        </w:rPr>
        <w:t>Facts / sources.</w:t>
      </w:r>
      <w:r>
        <w:t xml:space="preserve"> Morrison: Schedule 5.06 states that W&amp;C assessed the claim and that the Borrower answered and counterclaimed. The Officer’s Certificate attributes the assessment to Kellner &amp; Brandt LLP and refers to a pending motion to dismiss. Reliant: Schedule 5.06 describes a recall involving commercial aircraft and insurance that “may apply to a portion” of the claim. The Officer’s Certificate describes failures “in testing environments” and calls coverage under a Meridian Specialty Insurance Company policy “adequate”. Confirm that Meridian Specialty is unaffiliated with Lender Meridian Trust Company. The $12.5 million Reliant claim exceeds the $10 million judgment Event of Default threshold in Credit Agreement Section 8.01(h) and the $5 million threshold in Terracotta Section 8.01(f) to the extent uninsured. The certificate is signed by the CEO and CFO only; Drummond requires inquiry of the General Counsel and the CEO. Its litigation list covers the Borrower and the Subsidiary Guarantors but not expressly the Parent Guarantor.</w:t>
      </w:r>
    </w:p>
    <w:p>
      <w:pPr>
        <w:jc w:val="both"/>
      </w:pPr>
      <w:r>
        <w:rPr>
          <w:b/>
        </w:rPr>
        <w:t>Opinion and transaction impact.</w:t>
      </w:r>
      <w:r>
        <w:t xml:space="preserve"> Opinion 8 discloses both matters regardless of MAE (as requested) and expresses no view on outcome. Our own role in Morrison must be confirmed because it bears on what “our knowledge” covers.</w:t>
      </w:r>
    </w:p>
    <w:p>
      <w:pPr>
        <w:jc w:val="both"/>
      </w:pPr>
      <w:r>
        <w:rPr>
          <w:b/>
        </w:rPr>
        <w:t>Recommended action.</w:t>
      </w:r>
      <w:r>
        <w:t xml:space="preserve"> Obtain a GC/CEO litigation certificate covering all five Opinion Parties, Reliant insurer coverage-position letters, and the dockets. Conform Schedule 5.06 and the Officer’s Certificate.</w:t>
      </w:r>
    </w:p>
    <w:p>
      <w:pPr>
        <w:pStyle w:val="Heading2"/>
      </w:pPr>
      <w:r>
        <w:t>F. Opinion Scope and Form — Points for Lender Counsel</w:t>
      </w:r>
    </w:p>
    <w:p>
      <w:pPr>
        <w:pStyle w:val="ListBullet"/>
      </w:pPr>
      <w:r>
        <w:rPr>
          <w:b/>
        </w:rPr>
        <w:t>New York governing law.</w:t>
      </w:r>
      <w:r>
        <w:t xml:space="preserve"> Every Transaction Document selects New York law; Drummond’s acceptable limitations cover Ohio, Delaware and federal law and Article 9 only. The draft offers an “as if Ohio law governed” enforceability opinion (assumption (8)) plus an Ohio choice-of-law opinion (paragraph 4A; Ohio follows Restatement (Second) of Conflict of Laws Section 187, </w:t>
      </w:r>
      <w:r>
        <w:rPr>
          <w:i/>
        </w:rPr>
        <w:t>Schulke Radio Prods., Ltd. v. Midwestern Broad. Co.</w:t>
      </w:r>
      <w:r>
        <w:t>, 6 Ohio St. 3d 436 (1983)). Alternative: New York counsel delivers the enforceability opinion.</w:t>
      </w:r>
    </w:p>
    <w:p>
      <w:pPr>
        <w:pStyle w:val="ListBullet"/>
      </w:pPr>
      <w:r>
        <w:rPr>
          <w:b/>
        </w:rPr>
        <w:t>First-priority opinion.</w:t>
      </w:r>
      <w:r>
        <w:t xml:space="preserve"> Consistent with TriBar practice, the draft declines a general “first-priority subject only to Permitted Liens” opinion. It gives (i) a search-based filing-priority opinion with each Search Report filing specifically addressed (as the letter asks) and (ii) Article 8 protected-purchaser and Section 9-328 control priority for the certificated pledged shares.</w:t>
      </w:r>
    </w:p>
    <w:p>
      <w:pPr>
        <w:pStyle w:val="ListBullet"/>
      </w:pPr>
      <w:r>
        <w:rPr>
          <w:b/>
        </w:rPr>
        <w:t>“Where required” foreign qualification.</w:t>
      </w:r>
      <w:r>
        <w:t xml:space="preserve"> The draft declines this factual formulation and gives certificate-based opinions for the listed states.</w:t>
      </w:r>
    </w:p>
    <w:p>
      <w:pPr>
        <w:pStyle w:val="ListBullet"/>
      </w:pPr>
      <w:r>
        <w:rPr>
          <w:b/>
        </w:rPr>
        <w:t>Non-standard assumptions (8)–(10) and qualifications (j)–(n).</w:t>
      </w:r>
      <w:r>
        <w:t xml:space="preserve"> These are not on Drummond’s list. The letter asks that they be raised now; they are bracketed in the draft.</w:t>
      </w:r>
    </w:p>
    <w:p>
      <w:pPr>
        <w:pStyle w:val="ListBullet"/>
      </w:pPr>
      <w:r>
        <w:rPr>
          <w:b/>
        </w:rPr>
        <w:t>Reliance by assignees.</w:t>
      </w:r>
      <w:r>
        <w:t xml:space="preserve"> The draft offers bracketed reliance by future Section 11.04 assignees. Drummond’s limitation (3) would allow addressees only.</w:t>
      </w:r>
    </w:p>
    <w:p>
      <w:pPr>
        <w:pStyle w:val="ListBullet"/>
      </w:pPr>
      <w:r>
        <w:rPr>
          <w:b/>
        </w:rPr>
        <w:t>Closing date.</w:t>
      </w:r>
      <w:r>
        <w:t xml:space="preserve"> June 15, 2025 is a Sunday and not a Business Day; the closing and funding date must be confirmed and certificate windows re-measured.</w:t>
      </w:r>
    </w:p>
    <w:p>
      <w:pPr>
        <w:pStyle w:val="ListBullet"/>
      </w:pPr>
      <w:r>
        <w:rPr>
          <w:b/>
        </w:rPr>
        <w:t>Opinion giver’s involvement.</w:t>
      </w:r>
      <w:r>
        <w:t xml:space="preserve"> Ms. Engstrom attended and presented at the May 28 board meeting. Schedule 5.06 identifies W&amp;C as having assessed Morrison. These points do not bar the opinion, but the knowledge definition and Annex H must reflect them accurately.</w:t>
      </w:r>
    </w:p>
    <w:p>
      <w:pPr>
        <w:pStyle w:val="Heading1"/>
      </w:pPr>
      <w:r>
        <w:t>Part IV — Summary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576"/>
            <w:shd w:val="clear" w:color="auto" w:fill="D9D9D9"/>
          </w:tcPr>
          <w:p>
            <w:r/>
            <w:r>
              <w:rPr>
                <w:b/>
                <w:sz w:val="16"/>
              </w:rPr>
              <w:t>#</w:t>
            </w:r>
          </w:p>
        </w:tc>
        <w:tc>
          <w:tcPr>
            <w:tcW w:type="dxa" w:w="2736"/>
            <w:shd w:val="clear" w:color="auto" w:fill="D9D9D9"/>
          </w:tcPr>
          <w:p>
            <w:r/>
            <w:r>
              <w:rPr>
                <w:b/>
                <w:sz w:val="16"/>
              </w:rPr>
              <w:t>Issue</w:t>
            </w:r>
          </w:p>
        </w:tc>
        <w:tc>
          <w:tcPr>
            <w:tcW w:type="dxa" w:w="504"/>
            <w:shd w:val="clear" w:color="auto" w:fill="D9D9D9"/>
          </w:tcPr>
          <w:p>
            <w:r/>
            <w:r>
              <w:rPr>
                <w:b/>
                <w:sz w:val="16"/>
              </w:rPr>
              <w:t>Sev.</w:t>
            </w:r>
          </w:p>
        </w:tc>
        <w:tc>
          <w:tcPr>
            <w:tcW w:type="dxa" w:w="1440"/>
            <w:shd w:val="clear" w:color="auto" w:fill="D9D9D9"/>
          </w:tcPr>
          <w:p>
            <w:r/>
            <w:r>
              <w:rPr>
                <w:b/>
                <w:sz w:val="16"/>
              </w:rPr>
              <w:t>Opinion ¶ affected</w:t>
            </w:r>
          </w:p>
        </w:tc>
        <w:tc>
          <w:tcPr>
            <w:tcW w:type="dxa" w:w="2736"/>
            <w:shd w:val="clear" w:color="auto" w:fill="D9D9D9"/>
          </w:tcPr>
          <w:p>
            <w:r/>
            <w:r>
              <w:rPr>
                <w:b/>
                <w:sz w:val="16"/>
              </w:rPr>
              <w:t>Cure / deliverable</w:t>
            </w:r>
          </w:p>
        </w:tc>
        <w:tc>
          <w:tcPr>
            <w:tcW w:type="dxa" w:w="1296"/>
            <w:shd w:val="clear" w:color="auto" w:fill="D9D9D9"/>
          </w:tcPr>
          <w:p>
            <w:r/>
            <w:r>
              <w:rPr>
                <w:b/>
                <w:sz w:val="16"/>
              </w:rPr>
              <w:t>Owner</w:t>
            </w:r>
          </w:p>
        </w:tc>
      </w:tr>
      <w:tr>
        <w:tc>
          <w:tcPr>
            <w:tcW w:type="dxa" w:w="576"/>
          </w:tcPr>
          <w:p>
            <w:r/>
            <w:r>
              <w:rPr>
                <w:sz w:val="16"/>
              </w:rPr>
              <w:t>A-1</w:t>
            </w:r>
          </w:p>
        </w:tc>
        <w:tc>
          <w:tcPr>
            <w:tcW w:type="dxa" w:w="2736"/>
          </w:tcPr>
          <w:p>
            <w:r/>
            <w:r>
              <w:rPr>
                <w:sz w:val="16"/>
              </w:rPr>
              <w:t>Terracotta $125M secured debt cap exceeded</w:t>
            </w:r>
          </w:p>
        </w:tc>
        <w:tc>
          <w:tcPr>
            <w:tcW w:type="dxa" w:w="504"/>
          </w:tcPr>
          <w:p>
            <w:r/>
            <w:r>
              <w:rPr>
                <w:sz w:val="16"/>
              </w:rPr>
              <w:t>G</w:t>
            </w:r>
          </w:p>
        </w:tc>
        <w:tc>
          <w:tcPr>
            <w:tcW w:type="dxa" w:w="1440"/>
          </w:tcPr>
          <w:p>
            <w:r/>
            <w:r>
              <w:rPr>
                <w:sz w:val="16"/>
              </w:rPr>
              <w:t>5(iii); 4.01(m); Officer’s Cert.</w:t>
            </w:r>
          </w:p>
        </w:tc>
        <w:tc>
          <w:tcPr>
            <w:tcW w:type="dxa" w:w="2736"/>
          </w:tcPr>
          <w:p>
            <w:r/>
            <w:r>
              <w:rPr>
                <w:sz w:val="16"/>
              </w:rPr>
              <w:t>Terracotta amendment/consent + subordination acknowledgment, or cut commitments to about $120.1M</w:t>
            </w:r>
          </w:p>
        </w:tc>
        <w:tc>
          <w:tcPr>
            <w:tcW w:type="dxa" w:w="1296"/>
          </w:tcPr>
          <w:p>
            <w:r/>
            <w:r>
              <w:rPr>
                <w:sz w:val="16"/>
              </w:rPr>
              <w:t>Client / W&amp;C / Agent</w:t>
            </w:r>
          </w:p>
        </w:tc>
      </w:tr>
      <w:tr>
        <w:tc>
          <w:tcPr>
            <w:tcW w:type="dxa" w:w="576"/>
          </w:tcPr>
          <w:p>
            <w:r/>
            <w:r>
              <w:rPr>
                <w:sz w:val="16"/>
              </w:rPr>
              <w:t>A-2</w:t>
            </w:r>
          </w:p>
        </w:tc>
        <w:tc>
          <w:tcPr>
            <w:tcW w:type="dxa" w:w="2736"/>
          </w:tcPr>
          <w:p>
            <w:r/>
            <w:r>
              <w:rPr>
                <w:sz w:val="16"/>
              </w:rPr>
              <w:t>Terracotta rate, amortization and balance conflicts; possible missed 4/1/25 payment</w:t>
            </w:r>
          </w:p>
        </w:tc>
        <w:tc>
          <w:tcPr>
            <w:tcW w:type="dxa" w:w="504"/>
          </w:tcPr>
          <w:p>
            <w:r/>
            <w:r>
              <w:rPr>
                <w:sz w:val="16"/>
              </w:rPr>
              <w:t>H</w:t>
            </w:r>
          </w:p>
        </w:tc>
        <w:tc>
          <w:tcPr>
            <w:tcW w:type="dxa" w:w="1440"/>
          </w:tcPr>
          <w:p>
            <w:r/>
            <w:r>
              <w:rPr>
                <w:sz w:val="16"/>
              </w:rPr>
              <w:t>5(iii); no-Default certification</w:t>
            </w:r>
          </w:p>
        </w:tc>
        <w:tc>
          <w:tcPr>
            <w:tcW w:type="dxa" w:w="2736"/>
          </w:tcPr>
          <w:p>
            <w:r/>
            <w:r>
              <w:rPr>
                <w:sz w:val="16"/>
              </w:rPr>
              <w:t>Full NPA and amendments; payment history; Terracotta status letter</w:t>
            </w:r>
          </w:p>
        </w:tc>
        <w:tc>
          <w:tcPr>
            <w:tcW w:type="dxa" w:w="1296"/>
          </w:tcPr>
          <w:p>
            <w:r/>
            <w:r>
              <w:rPr>
                <w:sz w:val="16"/>
              </w:rPr>
              <w:t>Client / W&amp;C</w:t>
            </w:r>
          </w:p>
        </w:tc>
      </w:tr>
      <w:tr>
        <w:tc>
          <w:tcPr>
            <w:tcW w:type="dxa" w:w="576"/>
          </w:tcPr>
          <w:p>
            <w:r/>
            <w:r>
              <w:rPr>
                <w:sz w:val="16"/>
              </w:rPr>
              <w:t>A-3</w:t>
            </w:r>
          </w:p>
        </w:tc>
        <w:tc>
          <w:tcPr>
            <w:tcW w:type="dxa" w:w="2736"/>
          </w:tcPr>
          <w:p>
            <w:r/>
            <w:r>
              <w:rPr>
                <w:sz w:val="16"/>
              </w:rPr>
              <w:t>Korvin anti-pledge; no consent</w:t>
            </w:r>
          </w:p>
        </w:tc>
        <w:tc>
          <w:tcPr>
            <w:tcW w:type="dxa" w:w="504"/>
          </w:tcPr>
          <w:p>
            <w:r/>
            <w:r>
              <w:rPr>
                <w:sz w:val="16"/>
              </w:rPr>
              <w:t>G</w:t>
            </w:r>
          </w:p>
        </w:tc>
        <w:tc>
          <w:tcPr>
            <w:tcW w:type="dxa" w:w="1440"/>
          </w:tcPr>
          <w:p>
            <w:r/>
            <w:r>
              <w:rPr>
                <w:sz w:val="16"/>
              </w:rPr>
              <w:t>5(iii); 7(a)</w:t>
            </w:r>
          </w:p>
        </w:tc>
        <w:tc>
          <w:tcPr>
            <w:tcW w:type="dxa" w:w="2736"/>
          </w:tcPr>
          <w:p>
            <w:r/>
            <w:r>
              <w:rPr>
                <w:sz w:val="16"/>
              </w:rPr>
              <w:t>Korvin consent or Excluded-Asset carve-out; full license and Amendment No. 1</w:t>
            </w:r>
          </w:p>
        </w:tc>
        <w:tc>
          <w:tcPr>
            <w:tcW w:type="dxa" w:w="1296"/>
          </w:tcPr>
          <w:p>
            <w:r/>
            <w:r>
              <w:rPr>
                <w:sz w:val="16"/>
              </w:rPr>
              <w:t>Client / W&amp;C</w:t>
            </w:r>
          </w:p>
        </w:tc>
      </w:tr>
      <w:tr>
        <w:tc>
          <w:tcPr>
            <w:tcW w:type="dxa" w:w="576"/>
          </w:tcPr>
          <w:p>
            <w:r/>
            <w:r>
              <w:rPr>
                <w:sz w:val="16"/>
              </w:rPr>
              <w:t>A-4</w:t>
            </w:r>
          </w:p>
        </w:tc>
        <w:tc>
          <w:tcPr>
            <w:tcW w:type="dxa" w:w="2736"/>
          </w:tcPr>
          <w:p>
            <w:r/>
            <w:r>
              <w:rPr>
                <w:sz w:val="16"/>
              </w:rPr>
              <w:t>Pro forma TLR 3.98x on $175M draw; wrong section; historical test</w:t>
            </w:r>
          </w:p>
        </w:tc>
        <w:tc>
          <w:tcPr>
            <w:tcW w:type="dxa" w:w="504"/>
          </w:tcPr>
          <w:p>
            <w:r/>
            <w:r>
              <w:rPr>
                <w:sz w:val="16"/>
              </w:rPr>
              <w:t>G</w:t>
            </w:r>
          </w:p>
        </w:tc>
        <w:tc>
          <w:tcPr>
            <w:tcW w:type="dxa" w:w="1440"/>
          </w:tcPr>
          <w:p>
            <w:r/>
            <w:r>
              <w:rPr>
                <w:sz w:val="16"/>
              </w:rPr>
              <w:t>Officer’s Cert.; 4.01(e), (l)</w:t>
            </w:r>
          </w:p>
        </w:tc>
        <w:tc>
          <w:tcPr>
            <w:tcW w:type="dxa" w:w="2736"/>
          </w:tcPr>
          <w:p>
            <w:r/>
            <w:r>
              <w:rPr>
                <w:sz w:val="16"/>
              </w:rPr>
              <w:t>Confirm draw; Borrowing Base Certificate; corrected Officer’s and Compliance Certificates</w:t>
            </w:r>
          </w:p>
        </w:tc>
        <w:tc>
          <w:tcPr>
            <w:tcW w:type="dxa" w:w="1296"/>
          </w:tcPr>
          <w:p>
            <w:r/>
            <w:r>
              <w:rPr>
                <w:sz w:val="16"/>
              </w:rPr>
              <w:t>Client (CFO)</w:t>
            </w:r>
          </w:p>
        </w:tc>
      </w:tr>
      <w:tr>
        <w:tc>
          <w:tcPr>
            <w:tcW w:type="dxa" w:w="576"/>
          </w:tcPr>
          <w:p>
            <w:r/>
            <w:r>
              <w:rPr>
                <w:sz w:val="16"/>
              </w:rPr>
              <w:t>B-1</w:t>
            </w:r>
          </w:p>
        </w:tc>
        <w:tc>
          <w:tcPr>
            <w:tcW w:type="dxa" w:w="2736"/>
          </w:tcPr>
          <w:p>
            <w:r/>
            <w:r>
              <w:rPr>
                <w:sz w:val="16"/>
              </w:rPr>
              <w:t>Borrower: $150M authority; board roster; quorum; notice</w:t>
            </w:r>
          </w:p>
        </w:tc>
        <w:tc>
          <w:tcPr>
            <w:tcW w:type="dxa" w:w="504"/>
          </w:tcPr>
          <w:p>
            <w:r/>
            <w:r>
              <w:rPr>
                <w:sz w:val="16"/>
              </w:rPr>
              <w:t>G</w:t>
            </w:r>
          </w:p>
        </w:tc>
        <w:tc>
          <w:tcPr>
            <w:tcW w:type="dxa" w:w="1440"/>
          </w:tcPr>
          <w:p>
            <w:r/>
            <w:r>
              <w:rPr>
                <w:sz w:val="16"/>
              </w:rPr>
              <w:t>3(a), 4</w:t>
            </w:r>
          </w:p>
        </w:tc>
        <w:tc>
          <w:tcPr>
            <w:tcW w:type="dxa" w:w="2736"/>
          </w:tcPr>
          <w:p>
            <w:r/>
            <w:r>
              <w:rPr>
                <w:sz w:val="16"/>
              </w:rPr>
              <w:t>New UWC of directors of record; waivers; new Secretary’s Certificate</w:t>
            </w:r>
          </w:p>
        </w:tc>
        <w:tc>
          <w:tcPr>
            <w:tcW w:type="dxa" w:w="1296"/>
          </w:tcPr>
          <w:p>
            <w:r/>
            <w:r>
              <w:rPr>
                <w:sz w:val="16"/>
              </w:rPr>
              <w:t>Client / W&amp;C</w:t>
            </w:r>
          </w:p>
        </w:tc>
      </w:tr>
      <w:tr>
        <w:tc>
          <w:tcPr>
            <w:tcW w:type="dxa" w:w="576"/>
          </w:tcPr>
          <w:p>
            <w:r/>
            <w:r>
              <w:rPr>
                <w:sz w:val="16"/>
              </w:rPr>
              <w:t>B-2</w:t>
            </w:r>
          </w:p>
        </w:tc>
        <w:tc>
          <w:tcPr>
            <w:tcW w:type="dxa" w:w="2736"/>
          </w:tcPr>
          <w:p>
            <w:r/>
            <w:r>
              <w:rPr>
                <w:sz w:val="16"/>
              </w:rPr>
              <w:t>Parent Guarantor UWC not signed by directors of record</w:t>
            </w:r>
          </w:p>
        </w:tc>
        <w:tc>
          <w:tcPr>
            <w:tcW w:type="dxa" w:w="504"/>
          </w:tcPr>
          <w:p>
            <w:r/>
            <w:r>
              <w:rPr>
                <w:sz w:val="16"/>
              </w:rPr>
              <w:t>G</w:t>
            </w:r>
          </w:p>
        </w:tc>
        <w:tc>
          <w:tcPr>
            <w:tcW w:type="dxa" w:w="1440"/>
          </w:tcPr>
          <w:p>
            <w:r/>
            <w:r>
              <w:rPr>
                <w:sz w:val="16"/>
              </w:rPr>
              <w:t>3(b), 4</w:t>
            </w:r>
          </w:p>
        </w:tc>
        <w:tc>
          <w:tcPr>
            <w:tcW w:type="dxa" w:w="2736"/>
          </w:tcPr>
          <w:p>
            <w:r/>
            <w:r>
              <w:rPr>
                <w:sz w:val="16"/>
              </w:rPr>
              <w:t>New UWC (all directors); full bylaws</w:t>
            </w:r>
          </w:p>
        </w:tc>
        <w:tc>
          <w:tcPr>
            <w:tcW w:type="dxa" w:w="1296"/>
          </w:tcPr>
          <w:p>
            <w:r/>
            <w:r>
              <w:rPr>
                <w:sz w:val="16"/>
              </w:rPr>
              <w:t>Client / W&amp;C</w:t>
            </w:r>
          </w:p>
        </w:tc>
      </w:tr>
      <w:tr>
        <w:tc>
          <w:tcPr>
            <w:tcW w:type="dxa" w:w="576"/>
          </w:tcPr>
          <w:p>
            <w:r/>
            <w:r>
              <w:rPr>
                <w:sz w:val="16"/>
              </w:rPr>
              <w:t>B-3</w:t>
            </w:r>
          </w:p>
        </w:tc>
        <w:tc>
          <w:tcPr>
            <w:tcW w:type="dxa" w:w="2736"/>
          </w:tcPr>
          <w:p>
            <w:r/>
            <w:r>
              <w:rPr>
                <w:sz w:val="16"/>
              </w:rPr>
              <w:t>PFT consent signed by 1 of 3; wrong directors</w:t>
            </w:r>
          </w:p>
        </w:tc>
        <w:tc>
          <w:tcPr>
            <w:tcW w:type="dxa" w:w="504"/>
          </w:tcPr>
          <w:p>
            <w:r/>
            <w:r>
              <w:rPr>
                <w:sz w:val="16"/>
              </w:rPr>
              <w:t>G</w:t>
            </w:r>
          </w:p>
        </w:tc>
        <w:tc>
          <w:tcPr>
            <w:tcW w:type="dxa" w:w="1440"/>
          </w:tcPr>
          <w:p>
            <w:r/>
            <w:r>
              <w:rPr>
                <w:sz w:val="16"/>
              </w:rPr>
              <w:t>3(c), 4</w:t>
            </w:r>
          </w:p>
        </w:tc>
        <w:tc>
          <w:tcPr>
            <w:tcW w:type="dxa" w:w="2736"/>
          </w:tcPr>
          <w:p>
            <w:r/>
            <w:r>
              <w:rPr>
                <w:sz w:val="16"/>
              </w:rPr>
              <w:t>New consent signed by all 3 directors of record</w:t>
            </w:r>
          </w:p>
        </w:tc>
        <w:tc>
          <w:tcPr>
            <w:tcW w:type="dxa" w:w="1296"/>
          </w:tcPr>
          <w:p>
            <w:r/>
            <w:r>
              <w:rPr>
                <w:sz w:val="16"/>
              </w:rPr>
              <w:t>Client / W&amp;C</w:t>
            </w:r>
          </w:p>
        </w:tc>
      </w:tr>
      <w:tr>
        <w:tc>
          <w:tcPr>
            <w:tcW w:type="dxa" w:w="576"/>
          </w:tcPr>
          <w:p>
            <w:r/>
            <w:r>
              <w:rPr>
                <w:sz w:val="16"/>
              </w:rPr>
              <w:t>B-4</w:t>
            </w:r>
          </w:p>
        </w:tc>
        <w:tc>
          <w:tcPr>
            <w:tcW w:type="dxa" w:w="2736"/>
          </w:tcPr>
          <w:p>
            <w:r/>
            <w:r>
              <w:rPr>
                <w:sz w:val="16"/>
              </w:rPr>
              <w:t>PCSS consent signed by GC (not Authorized Officer); no Section 4.1 pledge consent</w:t>
            </w:r>
          </w:p>
        </w:tc>
        <w:tc>
          <w:tcPr>
            <w:tcW w:type="dxa" w:w="504"/>
          </w:tcPr>
          <w:p>
            <w:r/>
            <w:r>
              <w:rPr>
                <w:sz w:val="16"/>
              </w:rPr>
              <w:t>G</w:t>
            </w:r>
          </w:p>
        </w:tc>
        <w:tc>
          <w:tcPr>
            <w:tcW w:type="dxa" w:w="1440"/>
          </w:tcPr>
          <w:p>
            <w:r/>
            <w:r>
              <w:rPr>
                <w:sz w:val="16"/>
              </w:rPr>
              <w:t>3(d), 4, 7(e)</w:t>
            </w:r>
          </w:p>
        </w:tc>
        <w:tc>
          <w:tcPr>
            <w:tcW w:type="dxa" w:w="2736"/>
          </w:tcPr>
          <w:p>
            <w:r/>
            <w:r>
              <w:rPr>
                <w:sz w:val="16"/>
              </w:rPr>
              <w:t>Re-execution by Halstead/Nguyen; Section 4.1 consent; full LLC agreement</w:t>
            </w:r>
          </w:p>
        </w:tc>
        <w:tc>
          <w:tcPr>
            <w:tcW w:type="dxa" w:w="1296"/>
          </w:tcPr>
          <w:p>
            <w:r/>
            <w:r>
              <w:rPr>
                <w:sz w:val="16"/>
              </w:rPr>
              <w:t>Client / W&amp;C</w:t>
            </w:r>
          </w:p>
        </w:tc>
      </w:tr>
      <w:tr>
        <w:tc>
          <w:tcPr>
            <w:tcW w:type="dxa" w:w="576"/>
          </w:tcPr>
          <w:p>
            <w:r/>
            <w:r>
              <w:rPr>
                <w:sz w:val="16"/>
              </w:rPr>
              <w:t>B-5</w:t>
            </w:r>
          </w:p>
        </w:tc>
        <w:tc>
          <w:tcPr>
            <w:tcW w:type="dxa" w:w="2736"/>
          </w:tcPr>
          <w:p>
            <w:r/>
            <w:r>
              <w:rPr>
                <w:sz w:val="16"/>
              </w:rPr>
              <w:t>PAC UWC signed by non-director</w:t>
            </w:r>
          </w:p>
        </w:tc>
        <w:tc>
          <w:tcPr>
            <w:tcW w:type="dxa" w:w="504"/>
          </w:tcPr>
          <w:p>
            <w:r/>
            <w:r>
              <w:rPr>
                <w:sz w:val="16"/>
              </w:rPr>
              <w:t>G</w:t>
            </w:r>
          </w:p>
        </w:tc>
        <w:tc>
          <w:tcPr>
            <w:tcW w:type="dxa" w:w="1440"/>
          </w:tcPr>
          <w:p>
            <w:r/>
            <w:r>
              <w:rPr>
                <w:sz w:val="16"/>
              </w:rPr>
              <w:t>3(e), 4</w:t>
            </w:r>
          </w:p>
        </w:tc>
        <w:tc>
          <w:tcPr>
            <w:tcW w:type="dxa" w:w="2736"/>
          </w:tcPr>
          <w:p>
            <w:r/>
            <w:r>
              <w:rPr>
                <w:sz w:val="16"/>
              </w:rPr>
              <w:t>New UWC (Halstead and Nguyen)</w:t>
            </w:r>
          </w:p>
        </w:tc>
        <w:tc>
          <w:tcPr>
            <w:tcW w:type="dxa" w:w="1296"/>
          </w:tcPr>
          <w:p>
            <w:r/>
            <w:r>
              <w:rPr>
                <w:sz w:val="16"/>
              </w:rPr>
              <w:t>Client / W&amp;C</w:t>
            </w:r>
          </w:p>
        </w:tc>
      </w:tr>
      <w:tr>
        <w:tc>
          <w:tcPr>
            <w:tcW w:type="dxa" w:w="576"/>
          </w:tcPr>
          <w:p>
            <w:r/>
            <w:r>
              <w:rPr>
                <w:sz w:val="16"/>
              </w:rPr>
              <w:t>B-6</w:t>
            </w:r>
          </w:p>
        </w:tc>
        <w:tc>
          <w:tcPr>
            <w:tcW w:type="dxa" w:w="2736"/>
          </w:tcPr>
          <w:p>
            <w:r/>
            <w:r>
              <w:rPr>
                <w:sz w:val="16"/>
              </w:rPr>
              <w:t>Guarantor signers not officers of record; no incumbency certificates</w:t>
            </w:r>
          </w:p>
        </w:tc>
        <w:tc>
          <w:tcPr>
            <w:tcW w:type="dxa" w:w="504"/>
          </w:tcPr>
          <w:p>
            <w:r/>
            <w:r>
              <w:rPr>
                <w:sz w:val="16"/>
              </w:rPr>
              <w:t>G</w:t>
            </w:r>
          </w:p>
        </w:tc>
        <w:tc>
          <w:tcPr>
            <w:tcW w:type="dxa" w:w="1440"/>
          </w:tcPr>
          <w:p>
            <w:r/>
            <w:r>
              <w:rPr>
                <w:sz w:val="16"/>
              </w:rPr>
              <w:t>3 (execution)</w:t>
            </w:r>
          </w:p>
        </w:tc>
        <w:tc>
          <w:tcPr>
            <w:tcW w:type="dxa" w:w="2736"/>
          </w:tcPr>
          <w:p>
            <w:r/>
            <w:r>
              <w:rPr>
                <w:sz w:val="16"/>
              </w:rPr>
              <w:t>Officer appointments + incumbency certificates, or re-execution</w:t>
            </w:r>
          </w:p>
        </w:tc>
        <w:tc>
          <w:tcPr>
            <w:tcW w:type="dxa" w:w="1296"/>
          </w:tcPr>
          <w:p>
            <w:r/>
            <w:r>
              <w:rPr>
                <w:sz w:val="16"/>
              </w:rPr>
              <w:t>Client / W&amp;C</w:t>
            </w:r>
          </w:p>
        </w:tc>
      </w:tr>
      <w:tr>
        <w:tc>
          <w:tcPr>
            <w:tcW w:type="dxa" w:w="576"/>
          </w:tcPr>
          <w:p>
            <w:r/>
            <w:r>
              <w:rPr>
                <w:sz w:val="16"/>
              </w:rPr>
              <w:t>B-7</w:t>
            </w:r>
          </w:p>
        </w:tc>
        <w:tc>
          <w:tcPr>
            <w:tcW w:type="dxa" w:w="2736"/>
          </w:tcPr>
          <w:p>
            <w:r/>
            <w:r>
              <w:rPr>
                <w:sz w:val="16"/>
              </w:rPr>
              <w:t>Org documents are excerpts; certification errors</w:t>
            </w:r>
          </w:p>
        </w:tc>
        <w:tc>
          <w:tcPr>
            <w:tcW w:type="dxa" w:w="504"/>
          </w:tcPr>
          <w:p>
            <w:r/>
            <w:r>
              <w:rPr>
                <w:sz w:val="16"/>
              </w:rPr>
              <w:t>H</w:t>
            </w:r>
          </w:p>
        </w:tc>
        <w:tc>
          <w:tcPr>
            <w:tcW w:type="dxa" w:w="1440"/>
          </w:tcPr>
          <w:p>
            <w:r/>
            <w:r>
              <w:rPr>
                <w:sz w:val="16"/>
              </w:rPr>
              <w:t>1, 2, 3, 5(i)</w:t>
            </w:r>
          </w:p>
        </w:tc>
        <w:tc>
          <w:tcPr>
            <w:tcW w:type="dxa" w:w="2736"/>
          </w:tcPr>
          <w:p>
            <w:r/>
            <w:r>
              <w:rPr>
                <w:sz w:val="16"/>
              </w:rPr>
              <w:t>SOS-certified charters; complete governing documents</w:t>
            </w:r>
          </w:p>
        </w:tc>
        <w:tc>
          <w:tcPr>
            <w:tcW w:type="dxa" w:w="1296"/>
          </w:tcPr>
          <w:p>
            <w:r/>
            <w:r>
              <w:rPr>
                <w:sz w:val="16"/>
              </w:rPr>
              <w:t>Client / W&amp;C</w:t>
            </w:r>
          </w:p>
        </w:tc>
      </w:tr>
      <w:tr>
        <w:tc>
          <w:tcPr>
            <w:tcW w:type="dxa" w:w="576"/>
          </w:tcPr>
          <w:p>
            <w:r/>
            <w:r>
              <w:rPr>
                <w:sz w:val="16"/>
              </w:rPr>
              <w:t>C-1</w:t>
            </w:r>
          </w:p>
        </w:tc>
        <w:tc>
          <w:tcPr>
            <w:tcW w:type="dxa" w:w="2736"/>
          </w:tcPr>
          <w:p>
            <w:r/>
            <w:r>
              <w:rPr>
                <w:sz w:val="16"/>
              </w:rPr>
              <w:t>PFT certificate stale (4/12/25)</w:t>
            </w:r>
          </w:p>
        </w:tc>
        <w:tc>
          <w:tcPr>
            <w:tcW w:type="dxa" w:w="504"/>
          </w:tcPr>
          <w:p>
            <w:r/>
            <w:r>
              <w:rPr>
                <w:sz w:val="16"/>
              </w:rPr>
              <w:t>H</w:t>
            </w:r>
          </w:p>
        </w:tc>
        <w:tc>
          <w:tcPr>
            <w:tcW w:type="dxa" w:w="1440"/>
          </w:tcPr>
          <w:p>
            <w:r/>
            <w:r>
              <w:rPr>
                <w:sz w:val="16"/>
              </w:rPr>
              <w:t>1(c)</w:t>
            </w:r>
          </w:p>
        </w:tc>
        <w:tc>
          <w:tcPr>
            <w:tcW w:type="dxa" w:w="2736"/>
          </w:tcPr>
          <w:p>
            <w:r/>
            <w:r>
              <w:rPr>
                <w:sz w:val="16"/>
              </w:rPr>
              <w:t>Ohio bring-down</w:t>
            </w:r>
          </w:p>
        </w:tc>
        <w:tc>
          <w:tcPr>
            <w:tcW w:type="dxa" w:w="1296"/>
          </w:tcPr>
          <w:p>
            <w:r/>
            <w:r>
              <w:rPr>
                <w:sz w:val="16"/>
              </w:rPr>
              <w:t>W&amp;C</w:t>
            </w:r>
          </w:p>
        </w:tc>
      </w:tr>
      <w:tr>
        <w:tc>
          <w:tcPr>
            <w:tcW w:type="dxa" w:w="576"/>
          </w:tcPr>
          <w:p>
            <w:r/>
            <w:r>
              <w:rPr>
                <w:sz w:val="16"/>
              </w:rPr>
              <w:t>C-2</w:t>
            </w:r>
          </w:p>
        </w:tc>
        <w:tc>
          <w:tcPr>
            <w:tcW w:type="dxa" w:w="2736"/>
          </w:tcPr>
          <w:p>
            <w:r/>
            <w:r>
              <w:rPr>
                <w:sz w:val="16"/>
              </w:rPr>
              <w:t>Borrower MI/IN/TX/CA certificates missing</w:t>
            </w:r>
          </w:p>
        </w:tc>
        <w:tc>
          <w:tcPr>
            <w:tcW w:type="dxa" w:w="504"/>
          </w:tcPr>
          <w:p>
            <w:r/>
            <w:r>
              <w:rPr>
                <w:sz w:val="16"/>
              </w:rPr>
              <w:t>H</w:t>
            </w:r>
          </w:p>
        </w:tc>
        <w:tc>
          <w:tcPr>
            <w:tcW w:type="dxa" w:w="1440"/>
          </w:tcPr>
          <w:p>
            <w:r/>
            <w:r>
              <w:rPr>
                <w:sz w:val="16"/>
              </w:rPr>
              <w:t>1(a)</w:t>
            </w:r>
          </w:p>
        </w:tc>
        <w:tc>
          <w:tcPr>
            <w:tcW w:type="dxa" w:w="2736"/>
          </w:tcPr>
          <w:p>
            <w:r/>
            <w:r>
              <w:rPr>
                <w:sz w:val="16"/>
              </w:rPr>
              <w:t>Order certificates or obtain Lender waiver</w:t>
            </w:r>
          </w:p>
        </w:tc>
        <w:tc>
          <w:tcPr>
            <w:tcW w:type="dxa" w:w="1296"/>
          </w:tcPr>
          <w:p>
            <w:r/>
            <w:r>
              <w:rPr>
                <w:sz w:val="16"/>
              </w:rPr>
              <w:t>W&amp;C</w:t>
            </w:r>
          </w:p>
        </w:tc>
      </w:tr>
      <w:tr>
        <w:tc>
          <w:tcPr>
            <w:tcW w:type="dxa" w:w="576"/>
          </w:tcPr>
          <w:p>
            <w:r/>
            <w:r>
              <w:rPr>
                <w:sz w:val="16"/>
              </w:rPr>
              <w:t>C-3</w:t>
            </w:r>
          </w:p>
        </w:tc>
        <w:tc>
          <w:tcPr>
            <w:tcW w:type="dxa" w:w="2736"/>
          </w:tcPr>
          <w:p>
            <w:r/>
            <w:r>
              <w:rPr>
                <w:sz w:val="16"/>
              </w:rPr>
              <w:t>Subsidiary foreign qualification conflict</w:t>
            </w:r>
          </w:p>
        </w:tc>
        <w:tc>
          <w:tcPr>
            <w:tcW w:type="dxa" w:w="504"/>
          </w:tcPr>
          <w:p>
            <w:r/>
            <w:r>
              <w:rPr>
                <w:sz w:val="16"/>
              </w:rPr>
              <w:t>H</w:t>
            </w:r>
          </w:p>
        </w:tc>
        <w:tc>
          <w:tcPr>
            <w:tcW w:type="dxa" w:w="1440"/>
          </w:tcPr>
          <w:p>
            <w:r/>
            <w:r>
              <w:rPr>
                <w:sz w:val="16"/>
              </w:rPr>
              <w:t>1(c)-(e); Section 5.01(c)</w:t>
            </w:r>
          </w:p>
        </w:tc>
        <w:tc>
          <w:tcPr>
            <w:tcW w:type="dxa" w:w="2736"/>
          </w:tcPr>
          <w:p>
            <w:r/>
            <w:r>
              <w:rPr>
                <w:sz w:val="16"/>
              </w:rPr>
              <w:t>Confirm; qualify; certificates; fix Schedule 5.13</w:t>
            </w:r>
          </w:p>
        </w:tc>
        <w:tc>
          <w:tcPr>
            <w:tcW w:type="dxa" w:w="1296"/>
          </w:tcPr>
          <w:p>
            <w:r/>
            <w:r>
              <w:rPr>
                <w:sz w:val="16"/>
              </w:rPr>
              <w:t>Client / W&amp;C</w:t>
            </w:r>
          </w:p>
        </w:tc>
      </w:tr>
      <w:tr>
        <w:tc>
          <w:tcPr>
            <w:tcW w:type="dxa" w:w="576"/>
          </w:tcPr>
          <w:p>
            <w:r/>
            <w:r>
              <w:rPr>
                <w:sz w:val="16"/>
              </w:rPr>
              <w:t>C-4</w:t>
            </w:r>
          </w:p>
        </w:tc>
        <w:tc>
          <w:tcPr>
            <w:tcW w:type="dxa" w:w="2736"/>
          </w:tcPr>
          <w:p>
            <w:r/>
            <w:r>
              <w:rPr>
                <w:sz w:val="16"/>
              </w:rPr>
              <w:t>Dates and file numbers inconsistent</w:t>
            </w:r>
          </w:p>
        </w:tc>
        <w:tc>
          <w:tcPr>
            <w:tcW w:type="dxa" w:w="504"/>
          </w:tcPr>
          <w:p>
            <w:r/>
            <w:r>
              <w:rPr>
                <w:sz w:val="16"/>
              </w:rPr>
              <w:t>M</w:t>
            </w:r>
          </w:p>
        </w:tc>
        <w:tc>
          <w:tcPr>
            <w:tcW w:type="dxa" w:w="1440"/>
          </w:tcPr>
          <w:p>
            <w:r/>
            <w:r>
              <w:rPr>
                <w:sz w:val="16"/>
              </w:rPr>
              <w:t>1, 7</w:t>
            </w:r>
          </w:p>
        </w:tc>
        <w:tc>
          <w:tcPr>
            <w:tcW w:type="dxa" w:w="2736"/>
          </w:tcPr>
          <w:p>
            <w:r/>
            <w:r>
              <w:rPr>
                <w:sz w:val="16"/>
              </w:rPr>
              <w:t>Verify; fix Schedule III</w:t>
            </w:r>
          </w:p>
        </w:tc>
        <w:tc>
          <w:tcPr>
            <w:tcW w:type="dxa" w:w="1296"/>
          </w:tcPr>
          <w:p>
            <w:r/>
            <w:r>
              <w:rPr>
                <w:sz w:val="16"/>
              </w:rPr>
              <w:t>W&amp;C</w:t>
            </w:r>
          </w:p>
        </w:tc>
      </w:tr>
      <w:tr>
        <w:tc>
          <w:tcPr>
            <w:tcW w:type="dxa" w:w="576"/>
          </w:tcPr>
          <w:p>
            <w:r/>
            <w:r>
              <w:rPr>
                <w:sz w:val="16"/>
              </w:rPr>
              <w:t>D-1</w:t>
            </w:r>
          </w:p>
        </w:tc>
        <w:tc>
          <w:tcPr>
            <w:tcW w:type="dxa" w:w="2736"/>
          </w:tcPr>
          <w:p>
            <w:r/>
            <w:r>
              <w:rPr>
                <w:sz w:val="16"/>
              </w:rPr>
              <w:t>Ironbridge UCC-1 active to 2029</w:t>
            </w:r>
          </w:p>
        </w:tc>
        <w:tc>
          <w:tcPr>
            <w:tcW w:type="dxa" w:w="504"/>
          </w:tcPr>
          <w:p>
            <w:r/>
            <w:r>
              <w:rPr>
                <w:sz w:val="16"/>
              </w:rPr>
              <w:t>G</w:t>
            </w:r>
          </w:p>
        </w:tc>
        <w:tc>
          <w:tcPr>
            <w:tcW w:type="dxa" w:w="1440"/>
          </w:tcPr>
          <w:p>
            <w:r/>
            <w:r>
              <w:rPr>
                <w:sz w:val="16"/>
              </w:rPr>
              <w:t>7(g); 4.01(g)</w:t>
            </w:r>
          </w:p>
        </w:tc>
        <w:tc>
          <w:tcPr>
            <w:tcW w:type="dxa" w:w="2736"/>
          </w:tcPr>
          <w:p>
            <w:r/>
            <w:r>
              <w:rPr>
                <w:sz w:val="16"/>
              </w:rPr>
              <w:t>Payoff letter; UCC-3 filed at funding</w:t>
            </w:r>
          </w:p>
        </w:tc>
        <w:tc>
          <w:tcPr>
            <w:tcW w:type="dxa" w:w="1296"/>
          </w:tcPr>
          <w:p>
            <w:r/>
            <w:r>
              <w:rPr>
                <w:sz w:val="16"/>
              </w:rPr>
              <w:t>Client / Ironbridge / W&amp;C</w:t>
            </w:r>
          </w:p>
        </w:tc>
      </w:tr>
      <w:tr>
        <w:tc>
          <w:tcPr>
            <w:tcW w:type="dxa" w:w="576"/>
          </w:tcPr>
          <w:p>
            <w:r/>
            <w:r>
              <w:rPr>
                <w:sz w:val="16"/>
              </w:rPr>
              <w:t>D-2</w:t>
            </w:r>
          </w:p>
        </w:tc>
        <w:tc>
          <w:tcPr>
            <w:tcW w:type="dxa" w:w="2736"/>
          </w:tcPr>
          <w:p>
            <w:r/>
            <w:r>
              <w:rPr>
                <w:sz w:val="16"/>
              </w:rPr>
              <w:t>$347,218.64 Ohio tax lien</w:t>
            </w:r>
          </w:p>
        </w:tc>
        <w:tc>
          <w:tcPr>
            <w:tcW w:type="dxa" w:w="504"/>
          </w:tcPr>
          <w:p>
            <w:r/>
            <w:r>
              <w:rPr>
                <w:sz w:val="16"/>
              </w:rPr>
              <w:t>G</w:t>
            </w:r>
          </w:p>
        </w:tc>
        <w:tc>
          <w:tcPr>
            <w:tcW w:type="dxa" w:w="1440"/>
          </w:tcPr>
          <w:p>
            <w:r/>
            <w:r>
              <w:rPr>
                <w:sz w:val="16"/>
              </w:rPr>
              <w:t>7 (priority); Section 5.08</w:t>
            </w:r>
          </w:p>
        </w:tc>
        <w:tc>
          <w:tcPr>
            <w:tcW w:type="dxa" w:w="2736"/>
          </w:tcPr>
          <w:p>
            <w:r/>
            <w:r>
              <w:rPr>
                <w:sz w:val="16"/>
              </w:rPr>
              <w:t>Pay and release, or schedule and disclose; county searches</w:t>
            </w:r>
          </w:p>
        </w:tc>
        <w:tc>
          <w:tcPr>
            <w:tcW w:type="dxa" w:w="1296"/>
          </w:tcPr>
          <w:p>
            <w:r/>
            <w:r>
              <w:rPr>
                <w:sz w:val="16"/>
              </w:rPr>
              <w:t>Client</w:t>
            </w:r>
          </w:p>
        </w:tc>
      </w:tr>
      <w:tr>
        <w:tc>
          <w:tcPr>
            <w:tcW w:type="dxa" w:w="576"/>
          </w:tcPr>
          <w:p>
            <w:r/>
            <w:r>
              <w:rPr>
                <w:sz w:val="16"/>
              </w:rPr>
              <w:t>D-3</w:t>
            </w:r>
          </w:p>
        </w:tc>
        <w:tc>
          <w:tcPr>
            <w:tcW w:type="dxa" w:w="2736"/>
          </w:tcPr>
          <w:p>
            <w:r/>
            <w:r>
              <w:rPr>
                <w:sz w:val="16"/>
              </w:rPr>
              <w:t>Aldersgate lease characterization</w:t>
            </w:r>
          </w:p>
        </w:tc>
        <w:tc>
          <w:tcPr>
            <w:tcW w:type="dxa" w:w="504"/>
          </w:tcPr>
          <w:p>
            <w:r/>
            <w:r>
              <w:rPr>
                <w:sz w:val="16"/>
              </w:rPr>
              <w:t>M</w:t>
            </w:r>
          </w:p>
        </w:tc>
        <w:tc>
          <w:tcPr>
            <w:tcW w:type="dxa" w:w="1440"/>
          </w:tcPr>
          <w:p>
            <w:r/>
            <w:r>
              <w:rPr>
                <w:sz w:val="16"/>
              </w:rPr>
              <w:t>7(g); Annex G</w:t>
            </w:r>
          </w:p>
        </w:tc>
        <w:tc>
          <w:tcPr>
            <w:tcW w:type="dxa" w:w="2736"/>
          </w:tcPr>
          <w:p>
            <w:r/>
            <w:r>
              <w:rPr>
                <w:sz w:val="16"/>
              </w:rPr>
              <w:t>Master Lease review; conform schedules</w:t>
            </w:r>
          </w:p>
        </w:tc>
        <w:tc>
          <w:tcPr>
            <w:tcW w:type="dxa" w:w="1296"/>
          </w:tcPr>
          <w:p>
            <w:r/>
            <w:r>
              <w:rPr>
                <w:sz w:val="16"/>
              </w:rPr>
              <w:t>W&amp;C</w:t>
            </w:r>
          </w:p>
        </w:tc>
      </w:tr>
      <w:tr>
        <w:tc>
          <w:tcPr>
            <w:tcW w:type="dxa" w:w="576"/>
          </w:tcPr>
          <w:p>
            <w:r/>
            <w:r>
              <w:rPr>
                <w:sz w:val="16"/>
              </w:rPr>
              <w:t>D-4</w:t>
            </w:r>
          </w:p>
        </w:tc>
        <w:tc>
          <w:tcPr>
            <w:tcW w:type="dxa" w:w="2736"/>
          </w:tcPr>
          <w:p>
            <w:r/>
            <w:r>
              <w:rPr>
                <w:sz w:val="16"/>
              </w:rPr>
              <w:t>Schedule I share counts wrong (PFT, PAC)</w:t>
            </w:r>
          </w:p>
        </w:tc>
        <w:tc>
          <w:tcPr>
            <w:tcW w:type="dxa" w:w="504"/>
          </w:tcPr>
          <w:p>
            <w:r/>
            <w:r>
              <w:rPr>
                <w:sz w:val="16"/>
              </w:rPr>
              <w:t>H</w:t>
            </w:r>
          </w:p>
        </w:tc>
        <w:tc>
          <w:tcPr>
            <w:tcW w:type="dxa" w:w="1440"/>
          </w:tcPr>
          <w:p>
            <w:r/>
            <w:r>
              <w:rPr>
                <w:sz w:val="16"/>
              </w:rPr>
              <w:t>7(e), 7(h)</w:t>
            </w:r>
          </w:p>
        </w:tc>
        <w:tc>
          <w:tcPr>
            <w:tcW w:type="dxa" w:w="2736"/>
          </w:tcPr>
          <w:p>
            <w:r/>
            <w:r>
              <w:rPr>
                <w:sz w:val="16"/>
              </w:rPr>
              <w:t>Inspect certificates and ledgers; fix Schedule I</w:t>
            </w:r>
          </w:p>
        </w:tc>
        <w:tc>
          <w:tcPr>
            <w:tcW w:type="dxa" w:w="1296"/>
          </w:tcPr>
          <w:p>
            <w:r/>
            <w:r>
              <w:rPr>
                <w:sz w:val="16"/>
              </w:rPr>
              <w:t>W&amp;C / Client</w:t>
            </w:r>
          </w:p>
        </w:tc>
      </w:tr>
      <w:tr>
        <w:tc>
          <w:tcPr>
            <w:tcW w:type="dxa" w:w="576"/>
          </w:tcPr>
          <w:p>
            <w:r/>
            <w:r>
              <w:rPr>
                <w:sz w:val="16"/>
              </w:rPr>
              <w:t>D-5</w:t>
            </w:r>
          </w:p>
        </w:tc>
        <w:tc>
          <w:tcPr>
            <w:tcW w:type="dxa" w:w="2736"/>
          </w:tcPr>
          <w:p>
            <w:r/>
            <w:r>
              <w:rPr>
                <w:sz w:val="16"/>
              </w:rPr>
              <w:t>DACAs/SACAs not furnished; Cromdale status</w:t>
            </w:r>
          </w:p>
        </w:tc>
        <w:tc>
          <w:tcPr>
            <w:tcW w:type="dxa" w:w="504"/>
          </w:tcPr>
          <w:p>
            <w:r/>
            <w:r>
              <w:rPr>
                <w:sz w:val="16"/>
              </w:rPr>
              <w:t>H</w:t>
            </w:r>
          </w:p>
        </w:tc>
        <w:tc>
          <w:tcPr>
            <w:tcW w:type="dxa" w:w="1440"/>
          </w:tcPr>
          <w:p>
            <w:r/>
            <w:r>
              <w:rPr>
                <w:sz w:val="16"/>
              </w:rPr>
              <w:t>7(c), 7(d)</w:t>
            </w:r>
          </w:p>
        </w:tc>
        <w:tc>
          <w:tcPr>
            <w:tcW w:type="dxa" w:w="2736"/>
          </w:tcPr>
          <w:p>
            <w:r/>
            <w:r>
              <w:rPr>
                <w:sz w:val="16"/>
              </w:rPr>
              <w:t>Executed control agreements; jurisdiction and intermediary confirmation</w:t>
            </w:r>
          </w:p>
        </w:tc>
        <w:tc>
          <w:tcPr>
            <w:tcW w:type="dxa" w:w="1296"/>
          </w:tcPr>
          <w:p>
            <w:r/>
            <w:r>
              <w:rPr>
                <w:sz w:val="16"/>
              </w:rPr>
              <w:t>Client / Agent</w:t>
            </w:r>
          </w:p>
        </w:tc>
      </w:tr>
      <w:tr>
        <w:tc>
          <w:tcPr>
            <w:tcW w:type="dxa" w:w="576"/>
          </w:tcPr>
          <w:p>
            <w:r/>
            <w:r>
              <w:rPr>
                <w:sz w:val="16"/>
              </w:rPr>
              <w:t>D-6</w:t>
            </w:r>
          </w:p>
        </w:tc>
        <w:tc>
          <w:tcPr>
            <w:tcW w:type="dxa" w:w="2736"/>
          </w:tcPr>
          <w:p>
            <w:r/>
            <w:r>
              <w:rPr>
                <w:sz w:val="16"/>
              </w:rPr>
              <w:t>IP schedules conflict; no IP filings or searches</w:t>
            </w:r>
          </w:p>
        </w:tc>
        <w:tc>
          <w:tcPr>
            <w:tcW w:type="dxa" w:w="504"/>
          </w:tcPr>
          <w:p>
            <w:r/>
            <w:r>
              <w:rPr>
                <w:sz w:val="16"/>
              </w:rPr>
              <w:t>H</w:t>
            </w:r>
          </w:p>
        </w:tc>
        <w:tc>
          <w:tcPr>
            <w:tcW w:type="dxa" w:w="1440"/>
          </w:tcPr>
          <w:p>
            <w:r/>
            <w:r>
              <w:rPr>
                <w:sz w:val="16"/>
              </w:rPr>
              <w:t>7(f)</w:t>
            </w:r>
          </w:p>
        </w:tc>
        <w:tc>
          <w:tcPr>
            <w:tcW w:type="dxa" w:w="2736"/>
          </w:tcPr>
          <w:p>
            <w:r/>
            <w:r>
              <w:rPr>
                <w:sz w:val="16"/>
              </w:rPr>
              <w:t>USPTO/USCO searches; IP security agreements</w:t>
            </w:r>
          </w:p>
        </w:tc>
        <w:tc>
          <w:tcPr>
            <w:tcW w:type="dxa" w:w="1296"/>
          </w:tcPr>
          <w:p>
            <w:r/>
            <w:r>
              <w:rPr>
                <w:sz w:val="16"/>
              </w:rPr>
              <w:t>W&amp;C</w:t>
            </w:r>
          </w:p>
        </w:tc>
      </w:tr>
      <w:tr>
        <w:tc>
          <w:tcPr>
            <w:tcW w:type="dxa" w:w="576"/>
          </w:tcPr>
          <w:p>
            <w:r/>
            <w:r>
              <w:rPr>
                <w:sz w:val="16"/>
              </w:rPr>
              <w:t>D-7</w:t>
            </w:r>
          </w:p>
        </w:tc>
        <w:tc>
          <w:tcPr>
            <w:tcW w:type="dxa" w:w="2736"/>
          </w:tcPr>
          <w:p>
            <w:r/>
            <w:r>
              <w:rPr>
                <w:sz w:val="16"/>
              </w:rPr>
              <w:t>Schedule III data errors</w:t>
            </w:r>
          </w:p>
        </w:tc>
        <w:tc>
          <w:tcPr>
            <w:tcW w:type="dxa" w:w="504"/>
          </w:tcPr>
          <w:p>
            <w:r/>
            <w:r>
              <w:rPr>
                <w:sz w:val="16"/>
              </w:rPr>
              <w:t>M</w:t>
            </w:r>
          </w:p>
        </w:tc>
        <w:tc>
          <w:tcPr>
            <w:tcW w:type="dxa" w:w="1440"/>
          </w:tcPr>
          <w:p>
            <w:r/>
            <w:r>
              <w:rPr>
                <w:sz w:val="16"/>
              </w:rPr>
              <w:t>Representations; searches</w:t>
            </w:r>
          </w:p>
        </w:tc>
        <w:tc>
          <w:tcPr>
            <w:tcW w:type="dxa" w:w="2736"/>
          </w:tcPr>
          <w:p>
            <w:r/>
            <w:r>
              <w:rPr>
                <w:sz w:val="16"/>
              </w:rPr>
              <w:t>Correct schedule; federal tax lien searches</w:t>
            </w:r>
          </w:p>
        </w:tc>
        <w:tc>
          <w:tcPr>
            <w:tcW w:type="dxa" w:w="1296"/>
          </w:tcPr>
          <w:p>
            <w:r/>
            <w:r>
              <w:rPr>
                <w:sz w:val="16"/>
              </w:rPr>
              <w:t>W&amp;C</w:t>
            </w:r>
          </w:p>
        </w:tc>
      </w:tr>
      <w:tr>
        <w:tc>
          <w:tcPr>
            <w:tcW w:type="dxa" w:w="576"/>
          </w:tcPr>
          <w:p>
            <w:r/>
            <w:r>
              <w:rPr>
                <w:sz w:val="16"/>
              </w:rPr>
              <w:t>D-8</w:t>
            </w:r>
          </w:p>
        </w:tc>
        <w:tc>
          <w:tcPr>
            <w:tcW w:type="dxa" w:w="2736"/>
          </w:tcPr>
          <w:p>
            <w:r/>
            <w:r>
              <w:rPr>
                <w:sz w:val="16"/>
              </w:rPr>
              <w:t>Search gaps (judgment, Ohio for Parent/PCSS/PAC, IP, bring-down)</w:t>
            </w:r>
          </w:p>
        </w:tc>
        <w:tc>
          <w:tcPr>
            <w:tcW w:type="dxa" w:w="504"/>
          </w:tcPr>
          <w:p>
            <w:r/>
            <w:r>
              <w:rPr>
                <w:sz w:val="16"/>
              </w:rPr>
              <w:t>H</w:t>
            </w:r>
          </w:p>
        </w:tc>
        <w:tc>
          <w:tcPr>
            <w:tcW w:type="dxa" w:w="1440"/>
          </w:tcPr>
          <w:p>
            <w:r/>
            <w:r>
              <w:rPr>
                <w:sz w:val="16"/>
              </w:rPr>
              <w:t>7(g); 4.01(f)</w:t>
            </w:r>
          </w:p>
        </w:tc>
        <w:tc>
          <w:tcPr>
            <w:tcW w:type="dxa" w:w="2736"/>
          </w:tcPr>
          <w:p>
            <w:r/>
            <w:r>
              <w:rPr>
                <w:sz w:val="16"/>
              </w:rPr>
              <w:t>Supplemental and bring-down searches</w:t>
            </w:r>
          </w:p>
        </w:tc>
        <w:tc>
          <w:tcPr>
            <w:tcW w:type="dxa" w:w="1296"/>
          </w:tcPr>
          <w:p>
            <w:r/>
            <w:r>
              <w:rPr>
                <w:sz w:val="16"/>
              </w:rPr>
              <w:t>W&amp;C</w:t>
            </w:r>
          </w:p>
        </w:tc>
      </w:tr>
      <w:tr>
        <w:tc>
          <w:tcPr>
            <w:tcW w:type="dxa" w:w="576"/>
          </w:tcPr>
          <w:p>
            <w:r/>
            <w:r>
              <w:rPr>
                <w:sz w:val="16"/>
              </w:rPr>
              <w:t>D-9</w:t>
            </w:r>
          </w:p>
        </w:tc>
        <w:tc>
          <w:tcPr>
            <w:tcW w:type="dxa" w:w="2736"/>
          </w:tcPr>
          <w:p>
            <w:r/>
            <w:r>
              <w:rPr>
                <w:sz w:val="16"/>
              </w:rPr>
              <w:t>Pledge Agreement and Guaranty not furnished; inconsistent parties</w:t>
            </w:r>
          </w:p>
        </w:tc>
        <w:tc>
          <w:tcPr>
            <w:tcW w:type="dxa" w:w="504"/>
          </w:tcPr>
          <w:p>
            <w:r/>
            <w:r>
              <w:rPr>
                <w:sz w:val="16"/>
              </w:rPr>
              <w:t>H</w:t>
            </w:r>
          </w:p>
        </w:tc>
        <w:tc>
          <w:tcPr>
            <w:tcW w:type="dxa" w:w="1440"/>
          </w:tcPr>
          <w:p>
            <w:r/>
            <w:r>
              <w:rPr>
                <w:sz w:val="16"/>
              </w:rPr>
              <w:t>4, 7</w:t>
            </w:r>
          </w:p>
        </w:tc>
        <w:tc>
          <w:tcPr>
            <w:tcW w:type="dxa" w:w="2736"/>
          </w:tcPr>
          <w:p>
            <w:r/>
            <w:r>
              <w:rPr>
                <w:sz w:val="16"/>
              </w:rPr>
              <w:t>Final forms; conform</w:t>
            </w:r>
          </w:p>
        </w:tc>
        <w:tc>
          <w:tcPr>
            <w:tcW w:type="dxa" w:w="1296"/>
          </w:tcPr>
          <w:p>
            <w:r/>
            <w:r>
              <w:rPr>
                <w:sz w:val="16"/>
              </w:rPr>
              <w:t>Agent counsel / W&amp;C</w:t>
            </w:r>
          </w:p>
        </w:tc>
      </w:tr>
      <w:tr>
        <w:tc>
          <w:tcPr>
            <w:tcW w:type="dxa" w:w="576"/>
          </w:tcPr>
          <w:p>
            <w:r/>
            <w:r>
              <w:rPr>
                <w:sz w:val="16"/>
              </w:rPr>
              <w:t>D-10</w:t>
            </w:r>
          </w:p>
        </w:tc>
        <w:tc>
          <w:tcPr>
            <w:tcW w:type="dxa" w:w="2736"/>
          </w:tcPr>
          <w:p>
            <w:r/>
            <w:r>
              <w:rPr>
                <w:sz w:val="16"/>
              </w:rPr>
              <w:t>Pre-filing authorization; CTC schedule</w:t>
            </w:r>
          </w:p>
        </w:tc>
        <w:tc>
          <w:tcPr>
            <w:tcW w:type="dxa" w:w="504"/>
          </w:tcPr>
          <w:p>
            <w:r/>
            <w:r>
              <w:rPr>
                <w:sz w:val="16"/>
              </w:rPr>
              <w:t>L</w:t>
            </w:r>
          </w:p>
        </w:tc>
        <w:tc>
          <w:tcPr>
            <w:tcW w:type="dxa" w:w="1440"/>
          </w:tcPr>
          <w:p>
            <w:r/>
            <w:r>
              <w:rPr>
                <w:sz w:val="16"/>
              </w:rPr>
              <w:t>7(a)-(b)</w:t>
            </w:r>
          </w:p>
        </w:tc>
        <w:tc>
          <w:tcPr>
            <w:tcW w:type="dxa" w:w="2736"/>
          </w:tcPr>
          <w:p>
            <w:r/>
            <w:r>
              <w:rPr>
                <w:sz w:val="16"/>
              </w:rPr>
              <w:t>Authorization letters; fix Schedule II</w:t>
            </w:r>
          </w:p>
        </w:tc>
        <w:tc>
          <w:tcPr>
            <w:tcW w:type="dxa" w:w="1296"/>
          </w:tcPr>
          <w:p>
            <w:r/>
            <w:r>
              <w:rPr>
                <w:sz w:val="16"/>
              </w:rPr>
              <w:t>W&amp;C</w:t>
            </w:r>
          </w:p>
        </w:tc>
      </w:tr>
      <w:tr>
        <w:tc>
          <w:tcPr>
            <w:tcW w:type="dxa" w:w="576"/>
          </w:tcPr>
          <w:p>
            <w:r/>
            <w:r>
              <w:rPr>
                <w:sz w:val="16"/>
              </w:rPr>
              <w:t>D-11</w:t>
            </w:r>
          </w:p>
        </w:tc>
        <w:tc>
          <w:tcPr>
            <w:tcW w:type="dxa" w:w="2736"/>
          </w:tcPr>
          <w:p>
            <w:r/>
            <w:r>
              <w:rPr>
                <w:sz w:val="16"/>
              </w:rPr>
              <w:t>Drafting errors (cross-references, undefined terms, notices)</w:t>
            </w:r>
          </w:p>
        </w:tc>
        <w:tc>
          <w:tcPr>
            <w:tcW w:type="dxa" w:w="504"/>
          </w:tcPr>
          <w:p>
            <w:r/>
            <w:r>
              <w:rPr>
                <w:sz w:val="16"/>
              </w:rPr>
              <w:t>M</w:t>
            </w:r>
          </w:p>
        </w:tc>
        <w:tc>
          <w:tcPr>
            <w:tcW w:type="dxa" w:w="1440"/>
          </w:tcPr>
          <w:p>
            <w:r/>
            <w:r>
              <w:rPr>
                <w:sz w:val="16"/>
              </w:rPr>
              <w:t>4</w:t>
            </w:r>
          </w:p>
        </w:tc>
        <w:tc>
          <w:tcPr>
            <w:tcW w:type="dxa" w:w="2736"/>
          </w:tcPr>
          <w:p>
            <w:r/>
            <w:r>
              <w:rPr>
                <w:sz w:val="16"/>
              </w:rPr>
              <w:t>Conforming changes list</w:t>
            </w:r>
          </w:p>
        </w:tc>
        <w:tc>
          <w:tcPr>
            <w:tcW w:type="dxa" w:w="1296"/>
          </w:tcPr>
          <w:p>
            <w:r/>
            <w:r>
              <w:rPr>
                <w:sz w:val="16"/>
              </w:rPr>
              <w:t>W&amp;C / Drummond</w:t>
            </w:r>
          </w:p>
        </w:tc>
      </w:tr>
      <w:tr>
        <w:tc>
          <w:tcPr>
            <w:tcW w:type="dxa" w:w="576"/>
          </w:tcPr>
          <w:p>
            <w:r/>
            <w:r>
              <w:rPr>
                <w:sz w:val="16"/>
              </w:rPr>
              <w:t>E-1</w:t>
            </w:r>
          </w:p>
        </w:tc>
        <w:tc>
          <w:tcPr>
            <w:tcW w:type="dxa" w:w="2736"/>
          </w:tcPr>
          <w:p>
            <w:r/>
            <w:r>
              <w:rPr>
                <w:sz w:val="16"/>
              </w:rPr>
              <w:t>Officer’s Certificate inaccuracies</w:t>
            </w:r>
          </w:p>
        </w:tc>
        <w:tc>
          <w:tcPr>
            <w:tcW w:type="dxa" w:w="504"/>
          </w:tcPr>
          <w:p>
            <w:r/>
            <w:r>
              <w:rPr>
                <w:sz w:val="16"/>
              </w:rPr>
              <w:t>G</w:t>
            </w:r>
          </w:p>
        </w:tc>
        <w:tc>
          <w:tcPr>
            <w:tcW w:type="dxa" w:w="1440"/>
          </w:tcPr>
          <w:p>
            <w:r/>
            <w:r>
              <w:rPr>
                <w:sz w:val="16"/>
              </w:rPr>
              <w:t>Assumption (7)</w:t>
            </w:r>
          </w:p>
        </w:tc>
        <w:tc>
          <w:tcPr>
            <w:tcW w:type="dxa" w:w="2736"/>
          </w:tcPr>
          <w:p>
            <w:r/>
            <w:r>
              <w:rPr>
                <w:sz w:val="16"/>
              </w:rPr>
              <w:t>Re-issue after cures</w:t>
            </w:r>
          </w:p>
        </w:tc>
        <w:tc>
          <w:tcPr>
            <w:tcW w:type="dxa" w:w="1296"/>
          </w:tcPr>
          <w:p>
            <w:r/>
            <w:r>
              <w:rPr>
                <w:sz w:val="16"/>
              </w:rPr>
              <w:t>Client</w:t>
            </w:r>
          </w:p>
        </w:tc>
      </w:tr>
      <w:tr>
        <w:tc>
          <w:tcPr>
            <w:tcW w:type="dxa" w:w="576"/>
          </w:tcPr>
          <w:p>
            <w:r/>
            <w:r>
              <w:rPr>
                <w:sz w:val="16"/>
              </w:rPr>
              <w:t>E-2</w:t>
            </w:r>
          </w:p>
        </w:tc>
        <w:tc>
          <w:tcPr>
            <w:tcW w:type="dxa" w:w="2736"/>
          </w:tcPr>
          <w:p>
            <w:r/>
            <w:r>
              <w:rPr>
                <w:sz w:val="16"/>
              </w:rPr>
              <w:t>Litigation inconsistencies; GC inquiry</w:t>
            </w:r>
          </w:p>
        </w:tc>
        <w:tc>
          <w:tcPr>
            <w:tcW w:type="dxa" w:w="504"/>
          </w:tcPr>
          <w:p>
            <w:r/>
            <w:r>
              <w:rPr>
                <w:sz w:val="16"/>
              </w:rPr>
              <w:t>H</w:t>
            </w:r>
          </w:p>
        </w:tc>
        <w:tc>
          <w:tcPr>
            <w:tcW w:type="dxa" w:w="1440"/>
          </w:tcPr>
          <w:p>
            <w:r/>
            <w:r>
              <w:rPr>
                <w:sz w:val="16"/>
              </w:rPr>
              <w:t>8</w:t>
            </w:r>
          </w:p>
        </w:tc>
        <w:tc>
          <w:tcPr>
            <w:tcW w:type="dxa" w:w="2736"/>
          </w:tcPr>
          <w:p>
            <w:r/>
            <w:r>
              <w:rPr>
                <w:sz w:val="16"/>
              </w:rPr>
              <w:t>GC/CEO certificate; insurer letters; conform</w:t>
            </w:r>
          </w:p>
        </w:tc>
        <w:tc>
          <w:tcPr>
            <w:tcW w:type="dxa" w:w="1296"/>
          </w:tcPr>
          <w:p>
            <w:r/>
            <w:r>
              <w:rPr>
                <w:sz w:val="16"/>
              </w:rPr>
              <w:t>Client / W&amp;C</w:t>
            </w:r>
          </w:p>
        </w:tc>
      </w:tr>
    </w:tbl>
    <w:p/>
    <w:p>
      <w:pPr>
        <w:pStyle w:val="Heading1"/>
      </w:pPr>
      <w:r>
        <w:t>Part V — Closing Deliverables Checklist (Opinion-Related)</w:t>
      </w:r>
    </w:p>
    <w:p>
      <w:pPr>
        <w:pStyle w:val="ListBullet"/>
      </w:pPr>
      <w:r>
        <w:t>Terracotta amendment/consent and subordination acknowledgment (Credit Agreement Section 4.01(m)); complete NPA with amendments and payment history.</w:t>
      </w:r>
    </w:p>
    <w:p>
      <w:pPr>
        <w:pStyle w:val="ListBullet"/>
      </w:pPr>
      <w:r>
        <w:t>Korvin consent (or Security Agreement carve-out amendment); complete Korvin license and Amendment No. 1.</w:t>
      </w:r>
    </w:p>
    <w:p>
      <w:pPr>
        <w:pStyle w:val="ListBullet"/>
      </w:pPr>
      <w:r>
        <w:t>New authorizing consents: Borrower (UWC of all directors of record, $175M); Parent Guarantor; PFT (all three directors); PCSS (Authorized Officer, plus Section 4.1 pledge consent); PAC (Halstead and Nguyen).</w:t>
      </w:r>
    </w:p>
    <w:p>
      <w:pPr>
        <w:pStyle w:val="ListBullet"/>
      </w:pPr>
      <w:r>
        <w:t>Secretary’s/incumbency certificates for all five Opinion Parties, with specimen signatures of each actual signatory.</w:t>
      </w:r>
    </w:p>
    <w:p>
      <w:pPr>
        <w:pStyle w:val="ListBullet"/>
      </w:pPr>
      <w:r>
        <w:t>SOS-certified charters; complete bylaws, Code of Regulations and LLC agreement.</w:t>
      </w:r>
    </w:p>
    <w:p>
      <w:pPr>
        <w:pStyle w:val="ListBullet"/>
      </w:pPr>
      <w:r>
        <w:t>Good standing: PFT (Ohio) bring-down; Borrower MI/IN/TX/CA; subsidiary foreign certificates as confirmed; all dated on or after June 2, 2025 (or within 10 Business Days of the actual closing date).</w:t>
      </w:r>
    </w:p>
    <w:p>
      <w:pPr>
        <w:pStyle w:val="ListBullet"/>
      </w:pPr>
      <w:r>
        <w:t>Ironbridge payoff letter and filed UCC-3 for File No. 2019-4572810.</w:t>
      </w:r>
    </w:p>
    <w:p>
      <w:pPr>
        <w:pStyle w:val="ListBullet"/>
      </w:pPr>
      <w:r>
        <w:t>Ohio tax lien release (or Schedule 7.02 disclosure) and certified copy of the lien notice.</w:t>
      </w:r>
    </w:p>
    <w:p>
      <w:pPr>
        <w:pStyle w:val="ListBullet"/>
      </w:pPr>
      <w:r>
        <w:t>Executed DACAs (5 third-party, plus Ridgeline) and SACAs (2), with confirmation of each bank’s and intermediary’s jurisdiction and Cromdale’s status.</w:t>
      </w:r>
    </w:p>
    <w:p>
      <w:pPr>
        <w:pStyle w:val="ListBullet"/>
      </w:pPr>
      <w:r>
        <w:t>Original stock certificates C-1001, C-2001 and C-3001 with stock powers; corrected Schedule I.</w:t>
      </w:r>
    </w:p>
    <w:p>
      <w:pPr>
        <w:pStyle w:val="ListBullet"/>
      </w:pPr>
      <w:r>
        <w:t>Pledge Agreement and Guaranty Agreement (if separate), in final form.</w:t>
      </w:r>
    </w:p>
    <w:p>
      <w:pPr>
        <w:pStyle w:val="ListBullet"/>
      </w:pPr>
      <w:r>
        <w:t>IP security agreements for USPTO and Copyright Office recordation; USPTO/USCO searches.</w:t>
      </w:r>
    </w:p>
    <w:p>
      <w:pPr>
        <w:pStyle w:val="ListBullet"/>
      </w:pPr>
      <w:r>
        <w:t>Supplemental searches (Ohio for Parent, PCSS and PAC; judgment; county) and a post-filing bring-down.</w:t>
      </w:r>
    </w:p>
    <w:p>
      <w:pPr>
        <w:pStyle w:val="ListBullet"/>
      </w:pPr>
      <w:r>
        <w:t>Corrected Officer’s Certificate (Section 7.09, pro forma, consents, litigation, Material Agreements) and Compliance Certificate; Borrowing Base Certificate.</w:t>
      </w:r>
    </w:p>
    <w:p>
      <w:pPr>
        <w:pStyle w:val="ListBullet"/>
      </w:pPr>
      <w:r>
        <w:t>GC/CEO litigation back-up certificate; Reliant coverage letter.</w:t>
      </w:r>
    </w:p>
    <w:p>
      <w:pPr>
        <w:pStyle w:val="ListBullet"/>
      </w:pPr>
      <w:r>
        <w:t>Complete copies of Schedule 5.04 Material Agreements 3–7 (Aldersgate Master Lease, Buckeye lease, Great Plains supply, Consolidated Aerostructures framework, Stanton schedule).</w:t>
      </w:r>
    </w:p>
    <w:p>
      <w:pPr>
        <w:pStyle w:val="Heading1"/>
      </w:pPr>
      <w:r>
        <w:t>Part VI — Proposed Cover Note to Drummond (for VSE review)</w:t>
      </w:r>
    </w:p>
    <w:p>
      <w:pPr>
        <w:jc w:val="both"/>
      </w:pPr>
      <w:r>
        <w:rPr>
          <w:i/>
        </w:rPr>
        <w:t>Ray — As requested, attached is our advance draft of the closing opinion. Consistent with your June 9 letter, we are flagging now the points on which we cannot give the opinion in the requested form on the current record, and the non-standard items for your agreement: (1) the $175 million commitments exceed the $125 million Senior Secured Indebtedness cap (undrawn commitments included) in Section 7.01(b) of the Terracotta note purchase agreement; we are working with the Borrower to obtain a Terracotta amendment and subordination acknowledgment, and absent one the no-conflicts opinion will carry the specific exception shown on Annex F; (2) Korvin’s consent under Section 14.2 of the license has not been obtained (Annex F); (3) corrected authorizing consents and incumbency certificates for each Opinion Party are being prepared; (4) the Ironbridge termination and an Ohio tax lien notice must be cleared; (5) good standing certificates for Michigan, Indiana, Texas and California and an Ohio bring-down for PFT are on order; (6) because the Transaction Documents are governed by New York law, we propose assumption (8) and paragraph 4A, failing which a New York opinion will be needed; (7) we propose filing- and control-based priority opinions in lieu of a general first-priority opinion; and (8) please confirm the closing date, as June 15 is a Sunday. We also note signature-block issues on the Agent’s pages and need the DACAs/SACAs, Pledge Agreement and any separate Guaranty Agreement in final form. Happy to discuss at your convenience. — Victoria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Whitfield &amp; Crane LLP — Opinion Issues Memorandum — Pinnacle Manufacturing Group, Inc. $175,000,000 Senior Secured Revolving Credit Facility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A00000"/>
        <w:sz w:val="16"/>
      </w:rPr>
      <w:t>PRIVILEGED &amp; CONFIDENTIAL — ATTORNEY WORK PRODUCT — INTERNAL W&amp;C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