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PRIVILEGED &amp; CONFIDENTIAL — ATTORNEY-CLIENT COMMUNICATION — ATTORNEY WORK PRODUCT</w:t>
      </w:r>
    </w:p>
    <w:p>
      <w:pPr>
        <w:jc w:val="center"/>
      </w:pPr>
      <w:r>
        <w:rPr>
          <w:i/>
          <w:sz w:val="16"/>
        </w:rPr>
        <w:t>Prepared at the direction of the General Counsel for the purpose of providing legal advice to the Board of Directors. Do not forward outside the Board, the named executives and outside counsel.</w:t>
      </w:r>
    </w:p>
    <w:p>
      <w:pPr>
        <w:jc w:val="center"/>
      </w:pPr>
      <w:r>
        <w:rPr>
          <w:b/>
          <w:sz w:val="32"/>
        </w:rPr>
        <w:t>MEMORANDUM</w:t>
      </w:r>
    </w:p>
    <w:tbl>
      <w:tblPr>
        <w:tblW w:type="auto" w:w="0"/>
        <w:tblLook w:firstColumn="1" w:firstRow="1" w:lastColumn="0" w:lastRow="0" w:noHBand="0" w:noVBand="1" w:val="04A0"/>
      </w:tblPr>
      <w:tblGrid>
        <w:gridCol w:w="4680"/>
        <w:gridCol w:w="4680"/>
      </w:tblGrid>
      <w:tr>
        <w:tc>
          <w:tcPr>
            <w:tcW w:type="dxa" w:w="1152"/>
          </w:tcPr>
          <w:p>
            <w:r/>
            <w:r>
              <w:rPr>
                <w:b/>
              </w:rPr>
              <w:t>TO:</w:t>
            </w:r>
          </w:p>
        </w:tc>
        <w:tc>
          <w:tcPr>
            <w:tcW w:type="dxa" w:w="8208"/>
          </w:tcPr>
          <w:p>
            <w:r>
              <w:t>Board of Directors, Omnicron Logistics, Inc.</w:t>
            </w:r>
          </w:p>
        </w:tc>
      </w:tr>
      <w:tr>
        <w:tc>
          <w:tcPr>
            <w:tcW w:type="dxa" w:w="1152"/>
          </w:tcPr>
          <w:p>
            <w:r/>
            <w:r>
              <w:rPr>
                <w:b/>
              </w:rPr>
              <w:t>CC:</w:t>
            </w:r>
          </w:p>
        </w:tc>
        <w:tc>
          <w:tcPr>
            <w:tcW w:type="dxa" w:w="8208"/>
          </w:tcPr>
          <w:p>
            <w:r>
              <w:t>Marcus Delaney, Chief Executive Officer; Priya Chakravarti, Vice President &amp; General Counsel; Angela Fontaine, Controller; Derek Winstead, Senior Director, Human Resources; Nora Ellsworth, Hargrove, Tillman &amp; Bates LLP</w:t>
            </w:r>
          </w:p>
        </w:tc>
      </w:tr>
      <w:tr>
        <w:tc>
          <w:tcPr>
            <w:tcW w:type="dxa" w:w="1152"/>
          </w:tcPr>
          <w:p>
            <w:r/>
            <w:r>
              <w:rPr>
                <w:b/>
              </w:rPr>
              <w:t>FROM:</w:t>
            </w:r>
          </w:p>
        </w:tc>
        <w:tc>
          <w:tcPr>
            <w:tcW w:type="dxa" w:w="8208"/>
          </w:tcPr>
          <w:p>
            <w:r>
              <w:t>Office of the General Counsel (draft for General Counsel review)</w:t>
            </w:r>
          </w:p>
        </w:tc>
      </w:tr>
      <w:tr>
        <w:tc>
          <w:tcPr>
            <w:tcW w:type="dxa" w:w="1152"/>
          </w:tcPr>
          <w:p>
            <w:r/>
            <w:r>
              <w:rPr>
                <w:b/>
              </w:rPr>
              <w:t>DATE:</w:t>
            </w:r>
          </w:p>
        </w:tc>
        <w:tc>
          <w:tcPr>
            <w:tcW w:type="dxa" w:w="8208"/>
          </w:tcPr>
          <w:p>
            <w:r>
              <w:t>September 29, 2025 (facts current through the latest document in the record, dated September 26, 2025)</w:t>
            </w:r>
          </w:p>
        </w:tc>
      </w:tr>
      <w:tr>
        <w:tc>
          <w:tcPr>
            <w:tcW w:type="dxa" w:w="1152"/>
          </w:tcPr>
          <w:p>
            <w:r/>
            <w:r>
              <w:rPr>
                <w:b/>
              </w:rPr>
              <w:t>RE:</w:t>
            </w:r>
          </w:p>
        </w:tc>
        <w:tc>
          <w:tcPr>
            <w:tcW w:type="dxa" w:w="8208"/>
          </w:tcPr>
          <w:p>
            <w:r>
              <w:t>Illinois Wage Theft Prevention and Worker Protection Act (SB 2847) — Compliance Timeline, Critical Path, Exposure and Board Decisions Required</w:t>
            </w:r>
          </w:p>
        </w:tc>
      </w:tr>
    </w:tbl>
    <w:p/>
    <w:p>
      <w:pPr>
        <w:pStyle w:val="Heading1"/>
      </w:pPr>
      <w:r>
        <w:t>I. Bottom Line for the Board</w:t>
      </w:r>
    </w:p>
    <w:p>
      <w:pPr>
        <w:jc w:val="both"/>
      </w:pPr>
      <w:r>
        <w:t xml:space="preserve">SB 2847 was signed on September 12, 2025 and phases in over four effective dates: </w:t>
      </w:r>
      <w:r>
        <w:rPr>
          <w:b/>
        </w:rPr>
        <w:t>January 1, April 1, July 1 and October 1, 2026</w:t>
      </w:r>
      <w:r>
        <w:t>. The internal HR audit (September 25, 2025) shows that Omnicron has a compliance gap under every phase. The gaps can be closed on time, but only if three things happen in the next 120 days: a payroll-vendor contract is signed within days, the Board takes ownership of the delivery-driver decision well before the February 2026 meeting proposed by management, and the Company stops treating the statutory safe harbor as a fallback. The key conclusions are:</w:t>
      </w:r>
    </w:p>
    <w:p>
      <w:pPr>
        <w:pStyle w:val="ListNumber"/>
        <w:spacing w:after="60"/>
      </w:pPr>
      <w:r>
        <w:rPr>
          <w:b/>
        </w:rPr>
        <w:t>The payroll vendor contract is the first deadline, and the real deadline is earlier than the one in the record.</w:t>
      </w:r>
      <w:r>
        <w:t xml:space="preserve"> The Verdant Payroll Systems amendment must be signed by </w:t>
      </w:r>
      <w:r>
        <w:rPr>
          <w:b/>
        </w:rPr>
        <w:t>Tuesday, October 7, 2025</w:t>
      </w:r>
      <w:r>
        <w:t xml:space="preserve"> (management’s target). October 9 is the last possible date. Verdant’s 12-week schedule puts the </w:t>
      </w:r>
      <w:r>
        <w:rPr>
          <w:i/>
        </w:rPr>
        <w:t>first live pay cycle</w:t>
      </w:r>
      <w:r>
        <w:t xml:space="preserve"> in week 12. Counted from October 9, that lands on January 1, 2026. Omnicron’s first 2026 payday is probably </w:t>
      </w:r>
      <w:r>
        <w:rPr>
          <w:b/>
        </w:rPr>
        <w:t>Friday, January 2, 2026</w:t>
      </w:r>
      <w:r>
        <w:t xml:space="preserve">, and that payroll is processed in the last days of December. So October 9 leaves no buffer at all. Verdant itself says January 1 works only on its 10-week best case. HR’s proposed December 15 completion guarantee cannot be met from an October 9 signing either: a 12-week build would have needed signature by September 22. If signature slips past mid-October, Verdant’s fallback is a mid-February 2026 go-live. Under that fallback, Omnicron issues roughly 3–4 non-compliant payrolls, at </w:t>
      </w:r>
      <w:r>
        <w:rPr>
          <w:b/>
        </w:rPr>
        <w:t>$1,609,000 per pay period</w:t>
      </w:r>
      <w:r>
        <w:t xml:space="preserve"> (3,218 employees × $500).</w:t>
      </w:r>
    </w:p>
    <w:p>
      <w:pPr>
        <w:pStyle w:val="ListNumber"/>
        <w:spacing w:after="60"/>
      </w:pPr>
      <w:r>
        <w:rPr>
          <w:b/>
        </w:rPr>
        <w:t>The Verdant scope is incomplete. Fix it before signing, not by change order.</w:t>
      </w:r>
      <w:r>
        <w:t xml:space="preserve"> Counsel’s statutory summary lists required pay-stub fields that appear in neither the audit nor Verdant’s preliminary scope: the last four digits of the SSN or an employee ID, the employer’s telephone number, the date of payment, deductions itemized by category, and (to be confirmed) total hours and overtime </w:t>
      </w:r>
      <w:r>
        <w:rPr>
          <w:i/>
        </w:rPr>
        <w:t>rates</w:t>
      </w:r>
      <w:r>
        <w:t>. The audit also understates the exempt-employee gap. Appendix B to the audit itself shows three missing fields for exempt employees, not two. See Appendix B to this memorandum.</w:t>
      </w:r>
    </w:p>
    <w:p>
      <w:pPr>
        <w:pStyle w:val="ListNumber"/>
        <w:spacing w:after="60"/>
      </w:pPr>
      <w:r>
        <w:rPr>
          <w:b/>
        </w:rPr>
        <w:t>The delivery-driver model is the largest financial and legal exposure. It needs a Board decision by January 31, 2026, not at the February 2026 meeting.</w:t>
      </w:r>
      <w:r>
        <w:t xml:space="preserve"> On the facts in the record, the roughly 740 independent-contractor drivers are very unlikely to satisfy any prong of the ABC test that takes effect on </w:t>
      </w:r>
      <w:r>
        <w:rPr>
          <w:b/>
        </w:rPr>
        <w:t>July 1, 2026</w:t>
      </w:r>
      <w:r>
        <w:t xml:space="preserve">. Prong B (the work is outside the usual course of the business) is close to unwinnable for a logistics company that earns about 31% of its revenue from delivery. The HR audit also misstates a key fact: the Independent Contractor Agreement </w:t>
      </w:r>
      <w:r>
        <w:rPr>
          <w:i/>
        </w:rPr>
        <w:t>does</w:t>
      </w:r>
      <w:r>
        <w:t xml:space="preserve"> contain an exclusivity clause (§5.5), and the vehicle may be used only for Omnicron (§4.1). Penalties run </w:t>
      </w:r>
      <w:r>
        <w:rPr>
          <w:b/>
        </w:rPr>
        <w:t>per calendar quarter</w:t>
      </w:r>
      <w:r>
        <w:t xml:space="preserve">. A transition that slips even one day past July 1 therefore incurs a full quarter’s penalty of </w:t>
      </w:r>
      <w:r>
        <w:rPr>
          <w:b/>
        </w:rPr>
        <w:t>$1,850,000</w:t>
      </w:r>
      <w:r>
        <w:t>. Implementation needs about five months, which requires a decision by the end of January.</w:t>
      </w:r>
    </w:p>
    <w:p>
      <w:pPr>
        <w:pStyle w:val="ListNumber"/>
        <w:spacing w:after="60"/>
      </w:pPr>
      <w:r>
        <w:rPr>
          <w:b/>
        </w:rPr>
        <w:t>The safe harbor is not a reliable backstop.</w:t>
      </w:r>
      <w:r>
        <w:t xml:space="preserve"> Under counsel’s summary, the 60-day cure provision is a Phase 4 provision and does not become operative until </w:t>
      </w:r>
      <w:r>
        <w:rPr>
          <w:b/>
        </w:rPr>
        <w:t>October 1, 2026</w:t>
      </w:r>
      <w:r>
        <w:t>. IDOL penalty enforcement begins three months earlier, on July 1, 2026. Self-reporting is foreclosed once an IDOL investigation or employee complaint exists. The cure may be used only once per provision. It does not cover misclassification, joint-employer or retaliation violations. According to the bill sponsor, a failed cure revives penalties back to the original violation date. The financial analysis says the safe harbor “could eliminate up to $45,052,000”. That statement should not be relied on.</w:t>
      </w:r>
    </w:p>
    <w:p>
      <w:pPr>
        <w:pStyle w:val="ListNumber"/>
        <w:spacing w:after="60"/>
      </w:pPr>
      <w:r>
        <w:rPr>
          <w:b/>
        </w:rPr>
        <w:t>Several exposure figures in the record are wrong and must be corrected before any Board deck is finalized.</w:t>
      </w:r>
      <w:r>
        <w:t xml:space="preserve"> (a) Outside counsel’s summary states pay-stub exposure as about $3.22 million per pay period and $83.7 million per year. The correct figures are </w:t>
      </w:r>
      <w:r>
        <w:rPr>
          <w:b/>
        </w:rPr>
        <w:t>$1.609 million and $41.834 million</w:t>
      </w:r>
      <w:r>
        <w:t xml:space="preserve">, a two-fold overstatement. (b) The $13,780,255.20 driver reclassification estimate has small arithmetic errors; the recomputed total is </w:t>
      </w:r>
      <w:r>
        <w:rPr>
          <w:b/>
        </w:rPr>
        <w:t>$13,783,802.40</w:t>
      </w:r>
      <w:r>
        <w:t xml:space="preserve">. (c) The roughly $38 million driver overtime estimate applies time-and-a-half to a 2,080-hour rate. That method is probably overstated for piece-rate pay, where only a half-time premium is owed on overtime hours. A defensible illustrative range is </w:t>
      </w:r>
      <w:r>
        <w:rPr>
          <w:b/>
        </w:rPr>
        <w:t>about $5.1–$8.4 million per year</w:t>
      </w:r>
      <w:r>
        <w:t>, pending the hours audit. (d) The $41.3 million “treble damages” illustration trebles employer payroll taxes and insurance premiums, which are not “unpaid wages.”</w:t>
      </w:r>
    </w:p>
    <w:p>
      <w:pPr>
        <w:pStyle w:val="ListNumber"/>
        <w:spacing w:after="60"/>
      </w:pPr>
      <w:r>
        <w:rPr>
          <w:b/>
        </w:rPr>
        <w:t>The non-driver compliance budget is about $560,000–$615,000, not $485,500.</w:t>
      </w:r>
      <w:r>
        <w:t xml:space="preserve"> HR’s memorandum and the Controller’s workbook both report $485,500, but they reach it from different line items. The memorandum omits outside counsel’s $125,000 estimate; the workbook omits the $25,000 language audit and the $48,000 handbook review and translation; and the memorandum’s “10%” contingency is arithmetically about 12%. Spending also falls mostly in FY2026, so reliance on the FY2025 budget should be confirmed.</w:t>
      </w:r>
    </w:p>
    <w:p>
      <w:pPr>
        <w:pStyle w:val="Heading1"/>
      </w:pPr>
      <w:r>
        <w:t>II. Decisions and Actions Requested of the Board</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432"/>
            <w:shd w:val="clear" w:color="auto" w:fill="1F2A44"/>
          </w:tcPr>
          <w:p>
            <w:r/>
            <w:r>
              <w:rPr>
                <w:b/>
                <w:color w:val="FFFFFF"/>
                <w:sz w:val="17"/>
              </w:rPr>
              <w:t>#</w:t>
            </w:r>
          </w:p>
        </w:tc>
        <w:tc>
          <w:tcPr>
            <w:tcW w:type="dxa" w:w="4176"/>
            <w:shd w:val="clear" w:color="auto" w:fill="1F2A44"/>
          </w:tcPr>
          <w:p>
            <w:r/>
            <w:r>
              <w:rPr>
                <w:b/>
                <w:color w:val="FFFFFF"/>
                <w:sz w:val="17"/>
              </w:rPr>
              <w:t>Decision / action</w:t>
            </w:r>
          </w:p>
        </w:tc>
        <w:tc>
          <w:tcPr>
            <w:tcW w:type="dxa" w:w="2016"/>
            <w:shd w:val="clear" w:color="auto" w:fill="1F2A44"/>
          </w:tcPr>
          <w:p>
            <w:r/>
            <w:r>
              <w:rPr>
                <w:b/>
                <w:color w:val="FFFFFF"/>
                <w:sz w:val="17"/>
              </w:rPr>
              <w:t>Timing</w:t>
            </w:r>
          </w:p>
        </w:tc>
        <w:tc>
          <w:tcPr>
            <w:tcW w:type="dxa" w:w="2736"/>
            <w:shd w:val="clear" w:color="auto" w:fill="1F2A44"/>
          </w:tcPr>
          <w:p>
            <w:r/>
            <w:r>
              <w:rPr>
                <w:b/>
                <w:color w:val="FFFFFF"/>
                <w:sz w:val="17"/>
              </w:rPr>
              <w:t>Why now</w:t>
            </w:r>
          </w:p>
        </w:tc>
      </w:tr>
      <w:tr>
        <w:tc>
          <w:tcPr>
            <w:tcW w:type="dxa" w:w="432"/>
          </w:tcPr>
          <w:p>
            <w:pPr>
              <w:spacing w:after="0"/>
            </w:pPr>
            <w:r>
              <w:rPr>
                <w:sz w:val="17"/>
              </w:rPr>
            </w:r>
            <w:r>
              <w:rPr>
                <w:sz w:val="17"/>
              </w:rPr>
              <w:t>1</w:t>
            </w:r>
          </w:p>
        </w:tc>
        <w:tc>
          <w:tcPr>
            <w:tcW w:type="dxa" w:w="4176"/>
          </w:tcPr>
          <w:p>
            <w:pPr>
              <w:spacing w:after="0"/>
            </w:pPr>
            <w:r>
              <w:rPr>
                <w:sz w:val="17"/>
              </w:rPr>
            </w:r>
            <w:r>
              <w:rPr>
                <w:sz w:val="17"/>
              </w:rPr>
              <w:t xml:space="preserve">Ratify management’s authority to sign the Verdant amendment (about $185,000 one-time plus $24,000 per year, ±5%). The amendment must cover </w:t>
            </w:r>
            <w:r>
              <w:rPr>
                <w:b/>
                <w:sz w:val="17"/>
              </w:rPr>
              <w:t>every</w:t>
            </w:r>
            <w:r>
              <w:rPr>
                <w:sz w:val="17"/>
              </w:rPr>
              <w:t xml:space="preserve"> statutory pay-stub field, reserve a guaranteed Q4 2025 implementation slot, commit to a dated go-live before the first 2026 payroll run, and include service credits or liquidated damages plus a parallel-run obligation.</w:t>
            </w:r>
          </w:p>
        </w:tc>
        <w:tc>
          <w:tcPr>
            <w:tcW w:type="dxa" w:w="2016"/>
          </w:tcPr>
          <w:p>
            <w:pPr>
              <w:spacing w:after="0"/>
            </w:pPr>
            <w:r>
              <w:rPr>
                <w:sz w:val="17"/>
              </w:rPr>
            </w:r>
            <w:r>
              <w:rPr>
                <w:sz w:val="17"/>
              </w:rPr>
              <w:t>Immediately; signature by Oct 7, 2025</w:t>
            </w:r>
          </w:p>
        </w:tc>
        <w:tc>
          <w:tcPr>
            <w:tcW w:type="dxa" w:w="2736"/>
          </w:tcPr>
          <w:p>
            <w:pPr>
              <w:spacing w:after="0"/>
            </w:pPr>
            <w:r>
              <w:rPr>
                <w:sz w:val="17"/>
              </w:rPr>
            </w:r>
            <w:r>
              <w:rPr>
                <w:sz w:val="17"/>
              </w:rPr>
              <w:t>Critical path for Phase 1. Every later pay period of delay costs $1.609M in accruing penalties.</w:t>
            </w:r>
          </w:p>
        </w:tc>
      </w:tr>
      <w:tr>
        <w:tc>
          <w:tcPr>
            <w:tcW w:type="dxa" w:w="432"/>
            <w:shd w:val="clear" w:color="auto" w:fill="F2F4F8"/>
          </w:tcPr>
          <w:p>
            <w:pPr>
              <w:spacing w:after="0"/>
            </w:pPr>
            <w:r>
              <w:rPr>
                <w:sz w:val="17"/>
              </w:rPr>
            </w:r>
            <w:r>
              <w:rPr>
                <w:sz w:val="17"/>
              </w:rPr>
              <w:t>2</w:t>
            </w:r>
          </w:p>
        </w:tc>
        <w:tc>
          <w:tcPr>
            <w:tcW w:type="dxa" w:w="4176"/>
            <w:shd w:val="clear" w:color="auto" w:fill="F2F4F8"/>
          </w:tcPr>
          <w:p>
            <w:pPr>
              <w:spacing w:after="0"/>
            </w:pPr>
            <w:r>
              <w:rPr>
                <w:sz w:val="17"/>
              </w:rPr>
            </w:r>
            <w:r>
              <w:rPr>
                <w:sz w:val="17"/>
              </w:rPr>
              <w:t>Charter an SB 2847 Compliance Steering Committee (GC as chair; Controller, HR, Operations, IT; outside counsel attending). Designate the Audit Committee (or a designated committee) to receive monthly written status reports through October 2026.</w:t>
            </w:r>
          </w:p>
        </w:tc>
        <w:tc>
          <w:tcPr>
            <w:tcW w:type="dxa" w:w="2016"/>
            <w:shd w:val="clear" w:color="auto" w:fill="F2F4F8"/>
          </w:tcPr>
          <w:p>
            <w:pPr>
              <w:spacing w:after="0"/>
            </w:pPr>
            <w:r>
              <w:rPr>
                <w:sz w:val="17"/>
              </w:rPr>
            </w:r>
            <w:r>
              <w:rPr>
                <w:sz w:val="17"/>
              </w:rPr>
              <w:t>October 2025 Board action or unanimous written consent</w:t>
            </w:r>
          </w:p>
        </w:tc>
        <w:tc>
          <w:tcPr>
            <w:tcW w:type="dxa" w:w="2736"/>
            <w:shd w:val="clear" w:color="auto" w:fill="F2F4F8"/>
          </w:tcPr>
          <w:p>
            <w:pPr>
              <w:spacing w:after="0"/>
            </w:pPr>
            <w:r>
              <w:rPr>
                <w:sz w:val="17"/>
              </w:rPr>
            </w:r>
            <w:r>
              <w:rPr>
                <w:sz w:val="17"/>
              </w:rPr>
              <w:t>Creates a documented Board-level reporting system for a mission-critical compliance risk (Delaware oversight duties).</w:t>
            </w:r>
          </w:p>
        </w:tc>
      </w:tr>
      <w:tr>
        <w:tc>
          <w:tcPr>
            <w:tcW w:type="dxa" w:w="432"/>
          </w:tcPr>
          <w:p>
            <w:pPr>
              <w:spacing w:after="0"/>
            </w:pPr>
            <w:r>
              <w:rPr>
                <w:sz w:val="17"/>
              </w:rPr>
            </w:r>
            <w:r>
              <w:rPr>
                <w:sz w:val="17"/>
              </w:rPr>
              <w:t>3</w:t>
            </w:r>
          </w:p>
        </w:tc>
        <w:tc>
          <w:tcPr>
            <w:tcW w:type="dxa" w:w="4176"/>
          </w:tcPr>
          <w:p>
            <w:pPr>
              <w:spacing w:after="0"/>
            </w:pPr>
            <w:r>
              <w:rPr>
                <w:sz w:val="17"/>
              </w:rPr>
            </w:r>
            <w:r>
              <w:rPr>
                <w:sz w:val="17"/>
              </w:rPr>
              <w:t xml:space="preserve">Direct management to bring a fully costed driver-model recommendation, together with counsel’s ABC-test opinion, to a </w:t>
            </w:r>
            <w:r>
              <w:rPr>
                <w:b/>
                <w:sz w:val="17"/>
              </w:rPr>
              <w:t>special Board meeting no later than January 31, 2026</w:t>
            </w:r>
            <w:r>
              <w:rPr>
                <w:sz w:val="17"/>
              </w:rPr>
              <w:t>.</w:t>
            </w:r>
          </w:p>
        </w:tc>
        <w:tc>
          <w:tcPr>
            <w:tcW w:type="dxa" w:w="2016"/>
          </w:tcPr>
          <w:p>
            <w:pPr>
              <w:spacing w:after="0"/>
            </w:pPr>
            <w:r>
              <w:rPr>
                <w:sz w:val="17"/>
              </w:rPr>
            </w:r>
            <w:r>
              <w:rPr>
                <w:sz w:val="17"/>
              </w:rPr>
              <w:t>Hours audit by Dec 15, 2025; Board decision by Jan 31, 2026</w:t>
            </w:r>
          </w:p>
        </w:tc>
        <w:tc>
          <w:tcPr>
            <w:tcW w:type="dxa" w:w="2736"/>
          </w:tcPr>
          <w:p>
            <w:pPr>
              <w:spacing w:after="0"/>
            </w:pPr>
            <w:r>
              <w:rPr>
                <w:sz w:val="17"/>
              </w:rPr>
            </w:r>
            <w:r>
              <w:rPr>
                <w:sz w:val="17"/>
              </w:rPr>
              <w:t>Implementation (payroll, insurance, benefits, onboarding, vehicle leases) needs about 5 months to finish by July 1, 2026.</w:t>
            </w:r>
          </w:p>
        </w:tc>
      </w:tr>
      <w:tr>
        <w:tc>
          <w:tcPr>
            <w:tcW w:type="dxa" w:w="432"/>
            <w:shd w:val="clear" w:color="auto" w:fill="F2F4F8"/>
          </w:tcPr>
          <w:p>
            <w:pPr>
              <w:spacing w:after="0"/>
            </w:pPr>
            <w:r>
              <w:rPr>
                <w:sz w:val="17"/>
              </w:rPr>
            </w:r>
            <w:r>
              <w:rPr>
                <w:sz w:val="17"/>
              </w:rPr>
              <w:t>4</w:t>
            </w:r>
          </w:p>
        </w:tc>
        <w:tc>
          <w:tcPr>
            <w:tcW w:type="dxa" w:w="4176"/>
            <w:shd w:val="clear" w:color="auto" w:fill="F2F4F8"/>
          </w:tcPr>
          <w:p>
            <w:pPr>
              <w:spacing w:after="0"/>
            </w:pPr>
            <w:r>
              <w:rPr>
                <w:sz w:val="17"/>
              </w:rPr>
            </w:r>
            <w:r>
              <w:rPr>
                <w:sz w:val="17"/>
              </w:rPr>
              <w:t xml:space="preserve">Authorize renegotiation of the FlexForce MSA (Amendment No. 3) to add verification rights. Authorize a protective notice of non-renewal by </w:t>
            </w:r>
            <w:r>
              <w:rPr>
                <w:b/>
                <w:sz w:val="17"/>
              </w:rPr>
              <w:t>December 14, 2025</w:t>
            </w:r>
            <w:r>
              <w:rPr>
                <w:sz w:val="17"/>
              </w:rPr>
              <w:t xml:space="preserve"> if FlexForce will not agree.</w:t>
            </w:r>
          </w:p>
        </w:tc>
        <w:tc>
          <w:tcPr>
            <w:tcW w:type="dxa" w:w="2016"/>
            <w:shd w:val="clear" w:color="auto" w:fill="F2F4F8"/>
          </w:tcPr>
          <w:p>
            <w:pPr>
              <w:spacing w:after="0"/>
            </w:pPr>
            <w:r>
              <w:rPr>
                <w:sz w:val="17"/>
              </w:rPr>
            </w:r>
            <w:r>
              <w:rPr>
                <w:sz w:val="17"/>
              </w:rPr>
              <w:t>Proposal in Oct 2025; notice deadline Dec 14, 2025</w:t>
            </w:r>
          </w:p>
        </w:tc>
        <w:tc>
          <w:tcPr>
            <w:tcW w:type="dxa" w:w="2736"/>
            <w:shd w:val="clear" w:color="auto" w:fill="F2F4F8"/>
          </w:tcPr>
          <w:p>
            <w:pPr>
              <w:spacing w:after="0"/>
            </w:pPr>
            <w:r>
              <w:rPr>
                <w:sz w:val="17"/>
              </w:rPr>
            </w:r>
            <w:r>
              <w:rPr>
                <w:sz w:val="17"/>
              </w:rPr>
              <w:t>The current MSA term ends on March 14, 2026. The 90-day non-renewal notice is the Company’s main source of leverage.</w:t>
            </w:r>
          </w:p>
        </w:tc>
      </w:tr>
      <w:tr>
        <w:tc>
          <w:tcPr>
            <w:tcW w:type="dxa" w:w="432"/>
          </w:tcPr>
          <w:p>
            <w:pPr>
              <w:spacing w:after="0"/>
            </w:pPr>
            <w:r>
              <w:rPr>
                <w:sz w:val="17"/>
              </w:rPr>
            </w:r>
            <w:r>
              <w:rPr>
                <w:sz w:val="17"/>
              </w:rPr>
              <w:t>5</w:t>
            </w:r>
          </w:p>
        </w:tc>
        <w:tc>
          <w:tcPr>
            <w:tcW w:type="dxa" w:w="4176"/>
          </w:tcPr>
          <w:p>
            <w:pPr>
              <w:spacing w:after="0"/>
            </w:pPr>
            <w:r>
              <w:rPr>
                <w:sz w:val="17"/>
              </w:rPr>
            </w:r>
            <w:r>
              <w:rPr>
                <w:sz w:val="17"/>
              </w:rPr>
              <w:t>Approve a reconciled first-year budget of about $615,000 (non-driver items, including a 10% contingency). Driver-model costs are reserved for the January decision.</w:t>
            </w:r>
          </w:p>
        </w:tc>
        <w:tc>
          <w:tcPr>
            <w:tcW w:type="dxa" w:w="2016"/>
          </w:tcPr>
          <w:p>
            <w:pPr>
              <w:spacing w:after="0"/>
            </w:pPr>
            <w:r>
              <w:rPr>
                <w:sz w:val="17"/>
              </w:rPr>
            </w:r>
            <w:r>
              <w:rPr>
                <w:sz w:val="17"/>
              </w:rPr>
              <w:t>October 2025</w:t>
            </w:r>
          </w:p>
        </w:tc>
        <w:tc>
          <w:tcPr>
            <w:tcW w:type="dxa" w:w="2736"/>
          </w:tcPr>
          <w:p>
            <w:pPr>
              <w:spacing w:after="0"/>
            </w:pPr>
            <w:r>
              <w:rPr>
                <w:sz w:val="17"/>
              </w:rPr>
            </w:r>
            <w:r>
              <w:rPr>
                <w:sz w:val="17"/>
              </w:rPr>
              <w:t>Sources conflict. Most spending falls in FY2026.</w:t>
            </w:r>
          </w:p>
        </w:tc>
      </w:tr>
      <w:tr>
        <w:tc>
          <w:tcPr>
            <w:tcW w:type="dxa" w:w="432"/>
            <w:shd w:val="clear" w:color="auto" w:fill="F2F4F8"/>
          </w:tcPr>
          <w:p>
            <w:pPr>
              <w:spacing w:after="0"/>
            </w:pPr>
            <w:r>
              <w:rPr>
                <w:sz w:val="17"/>
              </w:rPr>
            </w:r>
            <w:r>
              <w:rPr>
                <w:sz w:val="17"/>
              </w:rPr>
              <w:t>6</w:t>
            </w:r>
          </w:p>
        </w:tc>
        <w:tc>
          <w:tcPr>
            <w:tcW w:type="dxa" w:w="4176"/>
            <w:shd w:val="clear" w:color="auto" w:fill="F2F4F8"/>
          </w:tcPr>
          <w:p>
            <w:pPr>
              <w:spacing w:after="0"/>
            </w:pPr>
            <w:r>
              <w:rPr>
                <w:sz w:val="17"/>
              </w:rPr>
            </w:r>
            <w:r>
              <w:rPr>
                <w:sz w:val="17"/>
              </w:rPr>
              <w:t>Direct an immediate suspension of destruction of payroll, timekeeping, GPS/telematics and driver-settlement records.</w:t>
            </w:r>
          </w:p>
        </w:tc>
        <w:tc>
          <w:tcPr>
            <w:tcW w:type="dxa" w:w="2016"/>
            <w:shd w:val="clear" w:color="auto" w:fill="F2F4F8"/>
          </w:tcPr>
          <w:p>
            <w:pPr>
              <w:spacing w:after="0"/>
            </w:pPr>
            <w:r>
              <w:rPr>
                <w:sz w:val="17"/>
              </w:rPr>
            </w:r>
            <w:r>
              <w:rPr>
                <w:sz w:val="17"/>
              </w:rPr>
              <w:t>Immediately</w:t>
            </w:r>
          </w:p>
        </w:tc>
        <w:tc>
          <w:tcPr>
            <w:tcW w:type="dxa" w:w="2736"/>
            <w:shd w:val="clear" w:color="auto" w:fill="F2F4F8"/>
          </w:tcPr>
          <w:p>
            <w:pPr>
              <w:spacing w:after="0"/>
            </w:pPr>
            <w:r>
              <w:rPr>
                <w:sz w:val="17"/>
              </w:rPr>
            </w:r>
            <w:r>
              <w:rPr>
                <w:sz w:val="17"/>
              </w:rPr>
              <w:t>The 7-year retention rule takes effect April 1, 2026, and the private-action limitations period runs up to 5 years. Records destroyed now cannot be recreated.</w:t>
            </w:r>
          </w:p>
        </w:tc>
      </w:tr>
    </w:tbl>
    <w:p>
      <w:pPr>
        <w:spacing w:after="40"/>
      </w:pPr>
    </w:p>
    <w:p>
      <w:pPr>
        <w:pStyle w:val="Heading1"/>
      </w:pPr>
      <w:r>
        <w:t>III. Scope, Sources and Key Caveat</w:t>
      </w:r>
    </w:p>
    <w:p>
      <w:pPr>
        <w:jc w:val="both"/>
      </w:pPr>
      <w:r>
        <w:t>This memorandum is based on the following documents: (1) Hargrove, Tillman &amp; Bates LLP’s Legislative Summary and Analysis of SB 2847 (September 26, 2025) (the “Counsel Summary”); (2) the House floor-debate excerpt of August 22, 2025 (the “Floor Debate”); (3) the internal HR Compliance Audit (D. Winstead, September 25, 2025) (the “HR Audit”); (4) the Controller’s SB 2847 compliance cost workbook (the “Cost Workbook”); (5) the Verdant e-mail thread of September 18–22, 2025; (6) Amendment No. 2 to the FlexForce Master Services Agreement (January 8, 2024); (7) the Standard Form Independent Contractor Agreement (Rev. 03/2021); and (8) Employee Handbook §9.4 (March 2023).</w:t>
      </w:r>
    </w:p>
    <w:p>
      <w:pPr>
        <w:jc w:val="both"/>
      </w:pPr>
      <w:r>
        <w:rPr>
          <w:b/>
        </w:rPr>
        <w:t>Caveat: the enrolled text of the Act is not in the record.</w:t>
      </w:r>
      <w:r>
        <w:t xml:space="preserve"> The section numbers used in the Counsel Summary (§§10-5 through 25-15) do not match those cited in the Floor Debate (§§10, 12, 15, 20, 22, 25 and 40). The two sources also differ on several points of substance: the scope of the safe harbor, the protected activities and remedies for retaliation, the languages of IDOL templates, and whether treble damages and penalties can both be recovered. Before the Board acts on any working position below, outside counsel should confirm it against the Public Act as enrolled. That task is the first item in the timeline.</w:t>
      </w:r>
    </w:p>
    <w:p>
      <w:pPr>
        <w:pStyle w:val="Heading1"/>
      </w:pPr>
      <w:r>
        <w:t>IV. Statutory Framework and Omnicron Gap Summary</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584"/>
            <w:shd w:val="clear" w:color="auto" w:fill="1F2A44"/>
          </w:tcPr>
          <w:p>
            <w:r/>
            <w:r>
              <w:rPr>
                <w:b/>
                <w:color w:val="FFFFFF"/>
                <w:sz w:val="17"/>
              </w:rPr>
              <w:t>Phase / effective date</w:t>
            </w:r>
          </w:p>
        </w:tc>
        <w:tc>
          <w:tcPr>
            <w:tcW w:type="dxa" w:w="3024"/>
            <w:shd w:val="clear" w:color="auto" w:fill="1F2A44"/>
          </w:tcPr>
          <w:p>
            <w:r/>
            <w:r>
              <w:rPr>
                <w:b/>
                <w:color w:val="FFFFFF"/>
                <w:sz w:val="17"/>
              </w:rPr>
              <w:t>Provisions (Counsel Summary numbering)</w:t>
            </w:r>
          </w:p>
        </w:tc>
        <w:tc>
          <w:tcPr>
            <w:tcW w:type="dxa" w:w="2880"/>
            <w:shd w:val="clear" w:color="auto" w:fill="1F2A44"/>
          </w:tcPr>
          <w:p>
            <w:r/>
            <w:r>
              <w:rPr>
                <w:b/>
                <w:color w:val="FFFFFF"/>
                <w:sz w:val="17"/>
              </w:rPr>
              <w:t>Omnicron status (per record)</w:t>
            </w:r>
          </w:p>
        </w:tc>
        <w:tc>
          <w:tcPr>
            <w:tcW w:type="dxa" w:w="1872"/>
            <w:shd w:val="clear" w:color="auto" w:fill="1F2A44"/>
          </w:tcPr>
          <w:p>
            <w:r/>
            <w:r>
              <w:rPr>
                <w:b/>
                <w:color w:val="FFFFFF"/>
                <w:sz w:val="17"/>
              </w:rPr>
              <w:t>Penalty (from July 1, 2026)</w:t>
            </w:r>
          </w:p>
        </w:tc>
      </w:tr>
      <w:tr>
        <w:tc>
          <w:tcPr>
            <w:tcW w:type="dxa" w:w="1584"/>
          </w:tcPr>
          <w:p>
            <w:pPr>
              <w:spacing w:after="0"/>
            </w:pPr>
            <w:r>
              <w:rPr>
                <w:sz w:val="17"/>
              </w:rPr>
            </w:r>
            <w:r>
              <w:rPr>
                <w:b/>
                <w:sz w:val="17"/>
              </w:rPr>
              <w:t>Phase 1 — Jan 1, 2026</w:t>
            </w:r>
          </w:p>
        </w:tc>
        <w:tc>
          <w:tcPr>
            <w:tcW w:type="dxa" w:w="3024"/>
          </w:tcPr>
          <w:p>
            <w:pPr>
              <w:spacing w:after="0"/>
            </w:pPr>
            <w:r>
              <w:rPr>
                <w:sz w:val="17"/>
              </w:rPr>
            </w:r>
            <w:r>
              <w:rPr>
                <w:sz w:val="17"/>
              </w:rPr>
              <w:t xml:space="preserve">Pay-stub content (§10-5); anti-retaliation, including handbook, new-hire and posting communication and a 90-day rebuttable presumption (§10-10); “Workers’ Rights” posting in English plus any language that is the primary language of more than 5% of the workforce </w:t>
            </w:r>
            <w:r>
              <w:rPr>
                <w:b/>
                <w:sz w:val="17"/>
              </w:rPr>
              <w:t>at each site</w:t>
            </w:r>
            <w:r>
              <w:rPr>
                <w:sz w:val="17"/>
              </w:rPr>
              <w:t xml:space="preserve"> (§10-15)</w:t>
            </w:r>
          </w:p>
        </w:tc>
        <w:tc>
          <w:tcPr>
            <w:tcW w:type="dxa" w:w="2880"/>
          </w:tcPr>
          <w:p>
            <w:pPr>
              <w:spacing w:after="0"/>
            </w:pPr>
            <w:r>
              <w:rPr>
                <w:sz w:val="17"/>
              </w:rPr>
            </w:r>
            <w:r>
              <w:rPr>
                <w:sz w:val="17"/>
              </w:rPr>
              <w:t>Pay stubs non-compliant for all 3,218 employees; Verdant upgrade not signed. Handbook §9.4 is generic (March 2023). No posting; IDOL template due by Nov 15, 2025.</w:t>
            </w:r>
          </w:p>
        </w:tc>
        <w:tc>
          <w:tcPr>
            <w:tcW w:type="dxa" w:w="1872"/>
          </w:tcPr>
          <w:p>
            <w:pPr>
              <w:spacing w:after="0"/>
            </w:pPr>
            <w:r>
              <w:rPr>
                <w:sz w:val="17"/>
              </w:rPr>
            </w:r>
            <w:r>
              <w:rPr>
                <w:sz w:val="17"/>
              </w:rPr>
              <w:t xml:space="preserve">$500 per employee per pay period, </w:t>
            </w:r>
            <w:r>
              <w:rPr>
                <w:b/>
                <w:sz w:val="17"/>
              </w:rPr>
              <w:t>accruing from Jan 1, 2026</w:t>
            </w:r>
            <w:r>
              <w:rPr>
                <w:sz w:val="17"/>
              </w:rPr>
              <w:t>; $10,000 per retaliation incident plus reinstatement and back pay</w:t>
            </w:r>
          </w:p>
        </w:tc>
      </w:tr>
      <w:tr>
        <w:tc>
          <w:tcPr>
            <w:tcW w:type="dxa" w:w="1584"/>
            <w:shd w:val="clear" w:color="auto" w:fill="F2F4F8"/>
          </w:tcPr>
          <w:p>
            <w:pPr>
              <w:spacing w:after="0"/>
            </w:pPr>
            <w:r>
              <w:rPr>
                <w:sz w:val="17"/>
              </w:rPr>
            </w:r>
            <w:r>
              <w:rPr>
                <w:b/>
                <w:sz w:val="17"/>
              </w:rPr>
              <w:t>Phase 2 — Apr 1, 2026</w:t>
            </w:r>
          </w:p>
        </w:tc>
        <w:tc>
          <w:tcPr>
            <w:tcW w:type="dxa" w:w="3024"/>
            <w:shd w:val="clear" w:color="auto" w:fill="F2F4F8"/>
          </w:tcPr>
          <w:p>
            <w:pPr>
              <w:spacing w:after="0"/>
            </w:pPr>
            <w:r>
              <w:rPr>
                <w:sz w:val="17"/>
              </w:rPr>
            </w:r>
            <w:r>
              <w:rPr>
                <w:sz w:val="17"/>
              </w:rPr>
              <w:t>Wage notice at hire and on any change in rate, schedule or classification, with signed acknowledgment (§15-5); direct-deposit option with no fees (§15-10); 7-year retention, producible within 72 hours (§15-15)</w:t>
            </w:r>
          </w:p>
        </w:tc>
        <w:tc>
          <w:tcPr>
            <w:tcW w:type="dxa" w:w="2880"/>
            <w:shd w:val="clear" w:color="auto" w:fill="F2F4F8"/>
          </w:tcPr>
          <w:p>
            <w:pPr>
              <w:spacing w:after="0"/>
            </w:pPr>
            <w:r>
              <w:rPr>
                <w:sz w:val="17"/>
              </w:rPr>
            </w:r>
            <w:r>
              <w:rPr>
                <w:sz w:val="17"/>
              </w:rPr>
              <w:t>No wage-notice form or change-notice process exists. Retention is 4 years, and older records sit on offline tape that takes 5–10 business days to retrieve. Direct deposit is offered but no-fee/no-mandate status is unconfirmed.</w:t>
            </w:r>
          </w:p>
        </w:tc>
        <w:tc>
          <w:tcPr>
            <w:tcW w:type="dxa" w:w="1872"/>
            <w:shd w:val="clear" w:color="auto" w:fill="F2F4F8"/>
          </w:tcPr>
          <w:p>
            <w:pPr>
              <w:spacing w:after="0"/>
            </w:pPr>
            <w:r>
              <w:rPr>
                <w:sz w:val="17"/>
              </w:rPr>
            </w:r>
            <w:r>
              <w:rPr>
                <w:sz w:val="17"/>
              </w:rPr>
              <w:t>$1,000 per employee (wage notice); $250 per employee plus $100 per day for late production (records)</w:t>
            </w:r>
          </w:p>
        </w:tc>
      </w:tr>
      <w:tr>
        <w:tc>
          <w:tcPr>
            <w:tcW w:type="dxa" w:w="1584"/>
          </w:tcPr>
          <w:p>
            <w:pPr>
              <w:spacing w:after="0"/>
            </w:pPr>
            <w:r>
              <w:rPr>
                <w:sz w:val="17"/>
              </w:rPr>
            </w:r>
            <w:r>
              <w:rPr>
                <w:b/>
                <w:sz w:val="17"/>
              </w:rPr>
              <w:t>Phase 3 — Jul 1, 2026</w:t>
            </w:r>
          </w:p>
        </w:tc>
        <w:tc>
          <w:tcPr>
            <w:tcW w:type="dxa" w:w="3024"/>
          </w:tcPr>
          <w:p>
            <w:pPr>
              <w:spacing w:after="0"/>
            </w:pPr>
            <w:r>
              <w:rPr>
                <w:sz w:val="17"/>
              </w:rPr>
            </w:r>
            <w:r>
              <w:rPr>
                <w:sz w:val="17"/>
              </w:rPr>
              <w:t>ABC test (§20-5); staffing-agency joint-employer liability, non-waiver and verification duty (§20-10); civil penalty framework and IDOL enforcement (§20-15)</w:t>
            </w:r>
          </w:p>
        </w:tc>
        <w:tc>
          <w:tcPr>
            <w:tcW w:type="dxa" w:w="2880"/>
          </w:tcPr>
          <w:p>
            <w:pPr>
              <w:spacing w:after="0"/>
            </w:pPr>
            <w:r>
              <w:rPr>
                <w:sz w:val="17"/>
              </w:rPr>
            </w:r>
            <w:r>
              <w:rPr>
                <w:sz w:val="17"/>
              </w:rPr>
              <w:t>About 740 drivers likely fail all three prongs. FlexForce (about 380 temporary workers at peak) is likely a joint employer under tests (a) and (c). The MSA indemnity is at risk, and there is no verification mechanism.</w:t>
            </w:r>
          </w:p>
        </w:tc>
        <w:tc>
          <w:tcPr>
            <w:tcW w:type="dxa" w:w="1872"/>
          </w:tcPr>
          <w:p>
            <w:pPr>
              <w:spacing w:after="0"/>
            </w:pPr>
            <w:r>
              <w:rPr>
                <w:sz w:val="17"/>
              </w:rPr>
            </w:r>
            <w:r>
              <w:rPr>
                <w:sz w:val="17"/>
              </w:rPr>
              <w:t xml:space="preserve">$2,500 per misclassified worker </w:t>
            </w:r>
            <w:r>
              <w:rPr>
                <w:b/>
                <w:sz w:val="17"/>
              </w:rPr>
              <w:t>per calendar quarter</w:t>
            </w:r>
            <w:r>
              <w:rPr>
                <w:sz w:val="17"/>
              </w:rPr>
              <w:t>; joint and several liability for FlexForce violations</w:t>
            </w:r>
          </w:p>
        </w:tc>
      </w:tr>
      <w:tr>
        <w:tc>
          <w:tcPr>
            <w:tcW w:type="dxa" w:w="1584"/>
            <w:shd w:val="clear" w:color="auto" w:fill="F2F4F8"/>
          </w:tcPr>
          <w:p>
            <w:pPr>
              <w:spacing w:after="0"/>
            </w:pPr>
            <w:r>
              <w:rPr>
                <w:sz w:val="17"/>
              </w:rPr>
            </w:r>
            <w:r>
              <w:rPr>
                <w:b/>
                <w:sz w:val="17"/>
              </w:rPr>
              <w:t>Phase 4 — Oct 1, 2026</w:t>
            </w:r>
          </w:p>
        </w:tc>
        <w:tc>
          <w:tcPr>
            <w:tcW w:type="dxa" w:w="3024"/>
            <w:shd w:val="clear" w:color="auto" w:fill="F2F4F8"/>
          </w:tcPr>
          <w:p>
            <w:pPr>
              <w:spacing w:after="0"/>
            </w:pPr>
            <w:r>
              <w:rPr>
                <w:sz w:val="17"/>
              </w:rPr>
            </w:r>
            <w:r>
              <w:rPr>
                <w:sz w:val="17"/>
              </w:rPr>
              <w:t>Private right of action, treble unpaid wages, mandatory fee-shifting for employees, class actions with presumed commonality, limitations period of the later of 3 years from discovery or 5 years from violation (§25-5); 60-day safe harbor (§25-10); IDOL rulemaking (§25-15)</w:t>
            </w:r>
          </w:p>
        </w:tc>
        <w:tc>
          <w:tcPr>
            <w:tcW w:type="dxa" w:w="2880"/>
            <w:shd w:val="clear" w:color="auto" w:fill="F2F4F8"/>
          </w:tcPr>
          <w:p>
            <w:pPr>
              <w:spacing w:after="0"/>
            </w:pPr>
            <w:r>
              <w:rPr>
                <w:sz w:val="17"/>
              </w:rPr>
            </w:r>
            <w:r>
              <w:rPr>
                <w:sz w:val="17"/>
              </w:rPr>
              <w:t>Any gap still open on Oct 1, 2026 becomes class-action exposure. The safe harbor and implementing rules start only on this date.</w:t>
            </w:r>
          </w:p>
        </w:tc>
        <w:tc>
          <w:tcPr>
            <w:tcW w:type="dxa" w:w="1872"/>
            <w:shd w:val="clear" w:color="auto" w:fill="F2F4F8"/>
          </w:tcPr>
          <w:p>
            <w:pPr>
              <w:spacing w:after="0"/>
            </w:pPr>
            <w:r>
              <w:rPr>
                <w:sz w:val="17"/>
              </w:rPr>
            </w:r>
            <w:r>
              <w:rPr>
                <w:sz w:val="17"/>
              </w:rPr>
              <w:t>3× unpaid wages plus fees and costs. The sponsor stated that IDOL penalties and treble damages cannot both be recovered for the same violation.</w:t>
            </w:r>
          </w:p>
        </w:tc>
      </w:tr>
    </w:tbl>
    <w:p>
      <w:pPr>
        <w:spacing w:after="40"/>
      </w:pPr>
    </w:p>
    <w:p>
      <w:pPr>
        <w:pStyle w:val="Heading1"/>
      </w:pPr>
      <w:r>
        <w:t>V. Master Compliance Timeline</w:t>
      </w:r>
    </w:p>
    <w:p>
      <w:pPr>
        <w:jc w:val="both"/>
      </w:pPr>
      <w:r>
        <w:t>The table below combines every statutory date, vendor dependency and contractual notice date in the record into one critical path. Owners follow the HR Audit’s allocation unless noted. Highlighted rows are hard deadlines or items where a slip directly creates penalty exposure.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512"/>
            <w:shd w:val="clear" w:color="auto" w:fill="1F2A44"/>
          </w:tcPr>
          <w:p>
            <w:r/>
            <w:r>
              <w:rPr>
                <w:b/>
                <w:color w:val="FFFFFF"/>
                <w:sz w:val="17"/>
              </w:rPr>
              <w:t>Date</w:t>
            </w:r>
          </w:p>
        </w:tc>
        <w:tc>
          <w:tcPr>
            <w:tcW w:type="dxa" w:w="5544"/>
            <w:shd w:val="clear" w:color="auto" w:fill="1F2A44"/>
          </w:tcPr>
          <w:p>
            <w:r/>
            <w:r>
              <w:rPr>
                <w:b/>
                <w:color w:val="FFFFFF"/>
                <w:sz w:val="17"/>
              </w:rPr>
              <w:t>Milestone / action</w:t>
            </w:r>
          </w:p>
        </w:tc>
        <w:tc>
          <w:tcPr>
            <w:tcW w:type="dxa" w:w="1440"/>
            <w:shd w:val="clear" w:color="auto" w:fill="1F2A44"/>
          </w:tcPr>
          <w:p>
            <w:r/>
            <w:r>
              <w:rPr>
                <w:b/>
                <w:color w:val="FFFFFF"/>
                <w:sz w:val="17"/>
              </w:rPr>
              <w:t>Owner</w:t>
            </w:r>
          </w:p>
        </w:tc>
        <w:tc>
          <w:tcPr>
            <w:tcW w:type="dxa" w:w="864"/>
            <w:shd w:val="clear" w:color="auto" w:fill="1F2A44"/>
          </w:tcPr>
          <w:p>
            <w:r/>
            <w:r>
              <w:rPr>
                <w:b/>
                <w:color w:val="FFFFFF"/>
                <w:sz w:val="17"/>
              </w:rPr>
              <w:t>Status</w:t>
            </w:r>
          </w:p>
        </w:tc>
      </w:tr>
      <w:tr>
        <w:tc>
          <w:tcPr>
            <w:tcW w:type="dxa" w:w="1512"/>
          </w:tcPr>
          <w:p>
            <w:pPr>
              <w:spacing w:after="0"/>
            </w:pPr>
            <w:r>
              <w:rPr>
                <w:sz w:val="17"/>
              </w:rPr>
            </w:r>
            <w:r>
              <w:rPr>
                <w:sz w:val="17"/>
              </w:rPr>
              <w:t>Sep 12, 2025</w:t>
            </w:r>
          </w:p>
        </w:tc>
        <w:tc>
          <w:tcPr>
            <w:tcW w:type="dxa" w:w="5544"/>
          </w:tcPr>
          <w:p>
            <w:pPr>
              <w:spacing w:after="0"/>
            </w:pPr>
            <w:r>
              <w:rPr>
                <w:sz w:val="17"/>
              </w:rPr>
            </w:r>
            <w:r>
              <w:rPr>
                <w:sz w:val="17"/>
              </w:rPr>
              <w:t>SB 2847 signed (no amendatory veto)</w:t>
            </w:r>
          </w:p>
        </w:tc>
        <w:tc>
          <w:tcPr>
            <w:tcW w:type="dxa" w:w="1440"/>
          </w:tcPr>
          <w:p>
            <w:pPr>
              <w:spacing w:after="0"/>
            </w:pPr>
            <w:r>
              <w:rPr>
                <w:sz w:val="17"/>
              </w:rPr>
            </w:r>
            <w:r>
              <w:rPr>
                <w:sz w:val="17"/>
              </w:rPr>
              <w:t>—</w:t>
            </w:r>
          </w:p>
        </w:tc>
        <w:tc>
          <w:tcPr>
            <w:tcW w:type="dxa" w:w="864"/>
          </w:tcPr>
          <w:p>
            <w:pPr>
              <w:spacing w:after="0"/>
            </w:pPr>
            <w:r>
              <w:rPr>
                <w:sz w:val="17"/>
              </w:rPr>
            </w:r>
            <w:r>
              <w:rPr>
                <w:sz w:val="17"/>
              </w:rPr>
              <w:t>Done</w:t>
            </w:r>
          </w:p>
        </w:tc>
      </w:tr>
      <w:tr>
        <w:tc>
          <w:tcPr>
            <w:tcW w:type="dxa" w:w="1512"/>
            <w:shd w:val="clear" w:color="auto" w:fill="F2F4F8"/>
          </w:tcPr>
          <w:p>
            <w:pPr>
              <w:spacing w:after="0"/>
            </w:pPr>
            <w:r>
              <w:rPr>
                <w:sz w:val="17"/>
              </w:rPr>
            </w:r>
            <w:r>
              <w:rPr>
                <w:sz w:val="17"/>
              </w:rPr>
              <w:t>Sep 26, 2025</w:t>
            </w:r>
          </w:p>
        </w:tc>
        <w:tc>
          <w:tcPr>
            <w:tcW w:type="dxa" w:w="5544"/>
            <w:shd w:val="clear" w:color="auto" w:fill="F2F4F8"/>
          </w:tcPr>
          <w:p>
            <w:pPr>
              <w:spacing w:after="0"/>
            </w:pPr>
            <w:r>
              <w:rPr>
                <w:sz w:val="17"/>
              </w:rPr>
            </w:r>
            <w:r>
              <w:rPr>
                <w:sz w:val="17"/>
              </w:rPr>
              <w:t>Verdant draft amendment and SOW due (5 business days); HR to contact Oakvale Point Software about the Cascade leave-accrual feed</w:t>
            </w:r>
          </w:p>
        </w:tc>
        <w:tc>
          <w:tcPr>
            <w:tcW w:type="dxa" w:w="1440"/>
            <w:shd w:val="clear" w:color="auto" w:fill="F2F4F8"/>
          </w:tcPr>
          <w:p>
            <w:pPr>
              <w:spacing w:after="0"/>
            </w:pPr>
            <w:r>
              <w:rPr>
                <w:sz w:val="17"/>
              </w:rPr>
            </w:r>
            <w:r>
              <w:rPr>
                <w:sz w:val="17"/>
              </w:rPr>
              <w:t>J. Reeves / D. Winstead</w:t>
            </w:r>
          </w:p>
        </w:tc>
        <w:tc>
          <w:tcPr>
            <w:tcW w:type="dxa" w:w="864"/>
            <w:shd w:val="clear" w:color="auto" w:fill="F2F4F8"/>
          </w:tcPr>
          <w:p>
            <w:pPr>
              <w:spacing w:after="0"/>
            </w:pPr>
            <w:r>
              <w:rPr>
                <w:sz w:val="17"/>
              </w:rPr>
            </w:r>
            <w:r>
              <w:rPr>
                <w:sz w:val="17"/>
              </w:rPr>
              <w:t>Confirm receipt</w:t>
            </w:r>
          </w:p>
        </w:tc>
      </w:tr>
      <w:tr>
        <w:tc>
          <w:tcPr>
            <w:tcW w:type="dxa" w:w="1512"/>
            <w:shd w:val="clear" w:color="auto" w:fill="FCE4E4"/>
          </w:tcPr>
          <w:p>
            <w:pPr>
              <w:spacing w:after="0"/>
            </w:pPr>
            <w:r>
              <w:rPr>
                <w:sz w:val="17"/>
              </w:rPr>
            </w:r>
            <w:r>
              <w:rPr>
                <w:b/>
                <w:sz w:val="17"/>
              </w:rPr>
              <w:t>Sep 30, 2025</w:t>
            </w:r>
          </w:p>
        </w:tc>
        <w:tc>
          <w:tcPr>
            <w:tcW w:type="dxa" w:w="5544"/>
            <w:shd w:val="clear" w:color="auto" w:fill="FCE4E4"/>
          </w:tcPr>
          <w:p>
            <w:pPr>
              <w:spacing w:after="0"/>
            </w:pPr>
            <w:r>
              <w:rPr>
                <w:sz w:val="17"/>
              </w:rPr>
            </w:r>
            <w:r>
              <w:rPr>
                <w:sz w:val="17"/>
              </w:rPr>
              <w:t>Expand the Verdant SOW to cover all statutory fields (Appendix B). Confirm the legal identity of the Cascade vendor (“Oakvale Point Software, Inc.” in the HR Audit and e-mail; “Bridgepoint Software, Inc.” in the Cost Workbook; a “Bridgepoint” data feed in Verdant’s e-mail).</w:t>
            </w:r>
          </w:p>
        </w:tc>
        <w:tc>
          <w:tcPr>
            <w:tcW w:type="dxa" w:w="1440"/>
            <w:shd w:val="clear" w:color="auto" w:fill="FCE4E4"/>
          </w:tcPr>
          <w:p>
            <w:pPr>
              <w:spacing w:after="0"/>
            </w:pPr>
            <w:r>
              <w:rPr>
                <w:sz w:val="17"/>
              </w:rPr>
            </w:r>
            <w:r>
              <w:rPr>
                <w:sz w:val="17"/>
              </w:rPr>
              <w:t>Controller / GC</w:t>
            </w:r>
          </w:p>
        </w:tc>
        <w:tc>
          <w:tcPr>
            <w:tcW w:type="dxa" w:w="864"/>
            <w:shd w:val="clear" w:color="auto" w:fill="FCE4E4"/>
          </w:tcPr>
          <w:p>
            <w:pPr>
              <w:spacing w:after="0"/>
            </w:pPr>
            <w:r>
              <w:rPr>
                <w:sz w:val="17"/>
              </w:rPr>
            </w:r>
            <w:r>
              <w:rPr>
                <w:sz w:val="17"/>
              </w:rPr>
              <w:t>Critical</w:t>
            </w:r>
          </w:p>
        </w:tc>
      </w:tr>
      <w:tr>
        <w:tc>
          <w:tcPr>
            <w:tcW w:type="dxa" w:w="1512"/>
            <w:shd w:val="clear" w:color="auto" w:fill="FCE4E4"/>
          </w:tcPr>
          <w:p>
            <w:pPr>
              <w:spacing w:after="0"/>
            </w:pPr>
            <w:r>
              <w:rPr>
                <w:sz w:val="17"/>
              </w:rPr>
            </w:r>
            <w:r>
              <w:rPr>
                <w:b/>
                <w:sz w:val="17"/>
              </w:rPr>
              <w:t>Oct 1, 2025</w:t>
            </w:r>
          </w:p>
        </w:tc>
        <w:tc>
          <w:tcPr>
            <w:tcW w:type="dxa" w:w="5544"/>
            <w:shd w:val="clear" w:color="auto" w:fill="FCE4E4"/>
          </w:tcPr>
          <w:p>
            <w:pPr>
              <w:spacing w:after="0"/>
            </w:pPr>
            <w:r>
              <w:rPr>
                <w:sz w:val="17"/>
              </w:rPr>
            </w:r>
            <w:r>
              <w:rPr>
                <w:sz w:val="17"/>
              </w:rPr>
              <w:t>Executive alignment meeting (CEO, GC, Controller, HR). Approve expenditures and charter the Steering Committee. Issue the records-destruction suspension.</w:t>
            </w:r>
          </w:p>
        </w:tc>
        <w:tc>
          <w:tcPr>
            <w:tcW w:type="dxa" w:w="1440"/>
            <w:shd w:val="clear" w:color="auto" w:fill="FCE4E4"/>
          </w:tcPr>
          <w:p>
            <w:pPr>
              <w:spacing w:after="0"/>
            </w:pPr>
            <w:r>
              <w:rPr>
                <w:sz w:val="17"/>
              </w:rPr>
            </w:r>
            <w:r>
              <w:rPr>
                <w:sz w:val="17"/>
              </w:rPr>
              <w:t>CEO / GC</w:t>
            </w:r>
          </w:p>
        </w:tc>
        <w:tc>
          <w:tcPr>
            <w:tcW w:type="dxa" w:w="864"/>
            <w:shd w:val="clear" w:color="auto" w:fill="FCE4E4"/>
          </w:tcPr>
          <w:p>
            <w:pPr>
              <w:spacing w:after="0"/>
            </w:pPr>
            <w:r>
              <w:rPr>
                <w:sz w:val="17"/>
              </w:rPr>
            </w:r>
            <w:r>
              <w:rPr>
                <w:sz w:val="17"/>
              </w:rPr>
              <w:t>Critical</w:t>
            </w:r>
          </w:p>
        </w:tc>
      </w:tr>
      <w:tr>
        <w:tc>
          <w:tcPr>
            <w:tcW w:type="dxa" w:w="1512"/>
            <w:shd w:val="clear" w:color="auto" w:fill="FCE4E4"/>
          </w:tcPr>
          <w:p>
            <w:pPr>
              <w:spacing w:after="0"/>
            </w:pPr>
            <w:r>
              <w:rPr>
                <w:sz w:val="17"/>
              </w:rPr>
            </w:r>
            <w:r>
              <w:rPr>
                <w:b/>
                <w:sz w:val="17"/>
              </w:rPr>
              <w:t>Oct 3, 2025</w:t>
            </w:r>
          </w:p>
        </w:tc>
        <w:tc>
          <w:tcPr>
            <w:tcW w:type="dxa" w:w="5544"/>
            <w:shd w:val="clear" w:color="auto" w:fill="FCE4E4"/>
          </w:tcPr>
          <w:p>
            <w:pPr>
              <w:spacing w:after="0"/>
            </w:pPr>
            <w:r>
              <w:rPr>
                <w:sz w:val="17"/>
              </w:rPr>
            </w:r>
            <w:r>
              <w:rPr>
                <w:sz w:val="17"/>
              </w:rPr>
              <w:t>GC legal review of the Verdant amendment complete. Negotiate: guaranteed Q4 slot; go-live before the first 2026 payroll processing date; parallel runs; service credits or liquidated damages; a CSV leave-balance fallback included in the price</w:t>
            </w:r>
          </w:p>
        </w:tc>
        <w:tc>
          <w:tcPr>
            <w:tcW w:type="dxa" w:w="1440"/>
            <w:shd w:val="clear" w:color="auto" w:fill="FCE4E4"/>
          </w:tcPr>
          <w:p>
            <w:pPr>
              <w:spacing w:after="0"/>
            </w:pPr>
            <w:r>
              <w:rPr>
                <w:sz w:val="17"/>
              </w:rPr>
            </w:r>
            <w:r>
              <w:rPr>
                <w:sz w:val="17"/>
              </w:rPr>
              <w:t>GC</w:t>
            </w:r>
          </w:p>
        </w:tc>
        <w:tc>
          <w:tcPr>
            <w:tcW w:type="dxa" w:w="864"/>
            <w:shd w:val="clear" w:color="auto" w:fill="FCE4E4"/>
          </w:tcPr>
          <w:p>
            <w:pPr>
              <w:spacing w:after="0"/>
            </w:pPr>
            <w:r>
              <w:rPr>
                <w:sz w:val="17"/>
              </w:rPr>
            </w:r>
            <w:r>
              <w:rPr>
                <w:sz w:val="17"/>
              </w:rPr>
              <w:t>Critical</w:t>
            </w:r>
          </w:p>
        </w:tc>
      </w:tr>
      <w:tr>
        <w:tc>
          <w:tcPr>
            <w:tcW w:type="dxa" w:w="1512"/>
            <w:shd w:val="clear" w:color="auto" w:fill="FCE4E4"/>
          </w:tcPr>
          <w:p>
            <w:pPr>
              <w:spacing w:after="0"/>
            </w:pPr>
            <w:r>
              <w:rPr>
                <w:sz w:val="17"/>
              </w:rPr>
            </w:r>
            <w:r>
              <w:rPr>
                <w:b/>
                <w:sz w:val="17"/>
              </w:rPr>
              <w:t>Oct 7, 2025</w:t>
            </w:r>
          </w:p>
        </w:tc>
        <w:tc>
          <w:tcPr>
            <w:tcW w:type="dxa" w:w="5544"/>
            <w:shd w:val="clear" w:color="auto" w:fill="FCE4E4"/>
          </w:tcPr>
          <w:p>
            <w:pPr>
              <w:spacing w:after="0"/>
            </w:pPr>
            <w:r>
              <w:rPr>
                <w:sz w:val="17"/>
              </w:rPr>
            </w:r>
            <w:r>
              <w:rPr>
                <w:b/>
                <w:sz w:val="17"/>
              </w:rPr>
              <w:t>Sign the Verdant amendment (target)</w:t>
            </w:r>
          </w:p>
        </w:tc>
        <w:tc>
          <w:tcPr>
            <w:tcW w:type="dxa" w:w="1440"/>
            <w:shd w:val="clear" w:color="auto" w:fill="FCE4E4"/>
          </w:tcPr>
          <w:p>
            <w:pPr>
              <w:spacing w:after="0"/>
            </w:pPr>
            <w:r>
              <w:rPr>
                <w:sz w:val="17"/>
              </w:rPr>
            </w:r>
            <w:r>
              <w:rPr>
                <w:sz w:val="17"/>
              </w:rPr>
              <w:t>Controller / GC</w:t>
            </w:r>
          </w:p>
        </w:tc>
        <w:tc>
          <w:tcPr>
            <w:tcW w:type="dxa" w:w="864"/>
            <w:shd w:val="clear" w:color="auto" w:fill="FCE4E4"/>
          </w:tcPr>
          <w:p>
            <w:pPr>
              <w:spacing w:after="0"/>
            </w:pPr>
            <w:r>
              <w:rPr>
                <w:sz w:val="17"/>
              </w:rPr>
            </w:r>
            <w:r>
              <w:rPr>
                <w:sz w:val="17"/>
              </w:rPr>
              <w:t>Hard deadline</w:t>
            </w:r>
          </w:p>
        </w:tc>
      </w:tr>
      <w:tr>
        <w:tc>
          <w:tcPr>
            <w:tcW w:type="dxa" w:w="1512"/>
            <w:shd w:val="clear" w:color="auto" w:fill="FCE4E4"/>
          </w:tcPr>
          <w:p>
            <w:pPr>
              <w:spacing w:after="0"/>
            </w:pPr>
            <w:r>
              <w:rPr>
                <w:sz w:val="17"/>
              </w:rPr>
            </w:r>
            <w:r>
              <w:rPr>
                <w:b/>
                <w:sz w:val="17"/>
              </w:rPr>
              <w:t>Oct 9, 2025</w:t>
            </w:r>
          </w:p>
        </w:tc>
        <w:tc>
          <w:tcPr>
            <w:tcW w:type="dxa" w:w="5544"/>
            <w:shd w:val="clear" w:color="auto" w:fill="FCE4E4"/>
          </w:tcPr>
          <w:p>
            <w:pPr>
              <w:spacing w:after="0"/>
            </w:pPr>
            <w:r>
              <w:rPr>
                <w:sz w:val="17"/>
              </w:rPr>
            </w:r>
            <w:r>
              <w:rPr>
                <w:b/>
                <w:sz w:val="17"/>
              </w:rPr>
              <w:t>Latest possible signature</w:t>
            </w:r>
            <w:r>
              <w:rPr>
                <w:sz w:val="17"/>
              </w:rPr>
              <w:t xml:space="preserve"> (12 weeks before Jan 1). After mid-October, Verdant can only offer a mid-February 2026 go-live.</w:t>
            </w:r>
          </w:p>
        </w:tc>
        <w:tc>
          <w:tcPr>
            <w:tcW w:type="dxa" w:w="1440"/>
            <w:shd w:val="clear" w:color="auto" w:fill="FCE4E4"/>
          </w:tcPr>
          <w:p>
            <w:pPr>
              <w:spacing w:after="0"/>
            </w:pPr>
            <w:r>
              <w:rPr>
                <w:sz w:val="17"/>
              </w:rPr>
            </w:r>
            <w:r>
              <w:rPr>
                <w:sz w:val="17"/>
              </w:rPr>
              <w:t>—</w:t>
            </w:r>
          </w:p>
        </w:tc>
        <w:tc>
          <w:tcPr>
            <w:tcW w:type="dxa" w:w="864"/>
            <w:shd w:val="clear" w:color="auto" w:fill="FCE4E4"/>
          </w:tcPr>
          <w:p>
            <w:pPr>
              <w:spacing w:after="0"/>
            </w:pPr>
            <w:r>
              <w:rPr>
                <w:sz w:val="17"/>
              </w:rPr>
            </w:r>
            <w:r>
              <w:rPr>
                <w:sz w:val="17"/>
              </w:rPr>
              <w:t>Drop-dead</w:t>
            </w:r>
          </w:p>
        </w:tc>
      </w:tr>
      <w:tr>
        <w:tc>
          <w:tcPr>
            <w:tcW w:type="dxa" w:w="1512"/>
            <w:shd w:val="clear" w:color="auto" w:fill="F2F4F8"/>
          </w:tcPr>
          <w:p>
            <w:pPr>
              <w:spacing w:after="0"/>
            </w:pPr>
            <w:r>
              <w:rPr>
                <w:sz w:val="17"/>
              </w:rPr>
            </w:r>
            <w:r>
              <w:rPr>
                <w:sz w:val="17"/>
              </w:rPr>
              <w:t>Oct 2025</w:t>
            </w:r>
          </w:p>
        </w:tc>
        <w:tc>
          <w:tcPr>
            <w:tcW w:type="dxa" w:w="5544"/>
            <w:shd w:val="clear" w:color="auto" w:fill="F2F4F8"/>
          </w:tcPr>
          <w:p>
            <w:pPr>
              <w:spacing w:after="0"/>
            </w:pPr>
            <w:r>
              <w:rPr>
                <w:sz w:val="17"/>
              </w:rPr>
            </w:r>
            <w:r>
              <w:rPr>
                <w:sz w:val="17"/>
              </w:rPr>
              <w:t>Outside counsel confirms the enrolled text and delivers written positions on the interpretive issues (Section IX). Driver hours audit begins (GPS, stop timestamps, shift records). FlexForce Amendment No. 3 proposal sent to T. Osgood. Oakvale/Cascade SOW requested.</w:t>
            </w:r>
          </w:p>
        </w:tc>
        <w:tc>
          <w:tcPr>
            <w:tcW w:type="dxa" w:w="1440"/>
            <w:shd w:val="clear" w:color="auto" w:fill="F2F4F8"/>
          </w:tcPr>
          <w:p>
            <w:pPr>
              <w:spacing w:after="0"/>
            </w:pPr>
            <w:r>
              <w:rPr>
                <w:sz w:val="17"/>
              </w:rPr>
            </w:r>
            <w:r>
              <w:rPr>
                <w:sz w:val="17"/>
              </w:rPr>
              <w:t>N. Ellsworth / HR / GC / Controller</w:t>
            </w:r>
          </w:p>
        </w:tc>
        <w:tc>
          <w:tcPr>
            <w:tcW w:type="dxa" w:w="864"/>
            <w:shd w:val="clear" w:color="auto" w:fill="F2F4F8"/>
          </w:tcPr>
          <w:p>
            <w:pPr>
              <w:spacing w:after="0"/>
            </w:pPr>
            <w:r>
              <w:rPr>
                <w:sz w:val="17"/>
              </w:rPr>
            </w:r>
            <w:r>
              <w:rPr>
                <w:sz w:val="17"/>
              </w:rPr>
              <w:t>Start</w:t>
            </w:r>
          </w:p>
        </w:tc>
      </w:tr>
      <w:tr>
        <w:tc>
          <w:tcPr>
            <w:tcW w:type="dxa" w:w="1512"/>
          </w:tcPr>
          <w:p>
            <w:pPr>
              <w:spacing w:after="0"/>
            </w:pPr>
            <w:r>
              <w:rPr>
                <w:sz w:val="17"/>
              </w:rPr>
            </w:r>
            <w:r>
              <w:rPr>
                <w:sz w:val="17"/>
              </w:rPr>
              <w:t>Oct 31, 2025</w:t>
            </w:r>
          </w:p>
        </w:tc>
        <w:tc>
          <w:tcPr>
            <w:tcW w:type="dxa" w:w="5544"/>
          </w:tcPr>
          <w:p>
            <w:pPr>
              <w:spacing w:after="0"/>
            </w:pPr>
            <w:r>
              <w:rPr>
                <w:sz w:val="17"/>
              </w:rPr>
            </w:r>
            <w:r>
              <w:rPr>
                <w:sz w:val="17"/>
              </w:rPr>
              <w:t>Cascade retention and tape-migration SOW signed (about $67,000). Retention parameter changed from 4 to 7 years so that no further records age out.</w:t>
            </w:r>
          </w:p>
        </w:tc>
        <w:tc>
          <w:tcPr>
            <w:tcW w:type="dxa" w:w="1440"/>
          </w:tcPr>
          <w:p>
            <w:pPr>
              <w:spacing w:after="0"/>
            </w:pPr>
            <w:r>
              <w:rPr>
                <w:sz w:val="17"/>
              </w:rPr>
            </w:r>
            <w:r>
              <w:rPr>
                <w:sz w:val="17"/>
              </w:rPr>
              <w:t>Controller</w:t>
            </w:r>
          </w:p>
        </w:tc>
        <w:tc>
          <w:tcPr>
            <w:tcW w:type="dxa" w:w="864"/>
          </w:tcPr>
          <w:p>
            <w:pPr>
              <w:spacing w:after="0"/>
            </w:pPr>
            <w:r>
              <w:rPr>
                <w:sz w:val="17"/>
              </w:rPr>
            </w:r>
            <w:r>
              <w:rPr>
                <w:sz w:val="17"/>
              </w:rPr>
              <w:t>Due</w:t>
            </w:r>
          </w:p>
        </w:tc>
      </w:tr>
      <w:tr>
        <w:tc>
          <w:tcPr>
            <w:tcW w:type="dxa" w:w="1512"/>
            <w:shd w:val="clear" w:color="auto" w:fill="F2F4F8"/>
          </w:tcPr>
          <w:p>
            <w:pPr>
              <w:spacing w:after="0"/>
            </w:pPr>
            <w:r>
              <w:rPr>
                <w:sz w:val="17"/>
              </w:rPr>
            </w:r>
            <w:r>
              <w:rPr>
                <w:sz w:val="17"/>
              </w:rPr>
              <w:t>Nov 15, 2025</w:t>
            </w:r>
          </w:p>
        </w:tc>
        <w:tc>
          <w:tcPr>
            <w:tcW w:type="dxa" w:w="5544"/>
            <w:shd w:val="clear" w:color="auto" w:fill="F2F4F8"/>
          </w:tcPr>
          <w:p>
            <w:pPr>
              <w:spacing w:after="0"/>
            </w:pPr>
            <w:r>
              <w:rPr>
                <w:sz w:val="17"/>
              </w:rPr>
            </w:r>
            <w:r>
              <w:rPr>
                <w:sz w:val="17"/>
              </w:rPr>
              <w:t>IDOL publishes the “Workers’ Rights” posting template (statutory deadline per Counsel Summary). Multilingual per-facility language audit complete (HR target: “mid-November”).</w:t>
            </w:r>
          </w:p>
        </w:tc>
        <w:tc>
          <w:tcPr>
            <w:tcW w:type="dxa" w:w="1440"/>
            <w:shd w:val="clear" w:color="auto" w:fill="F2F4F8"/>
          </w:tcPr>
          <w:p>
            <w:pPr>
              <w:spacing w:after="0"/>
            </w:pPr>
            <w:r>
              <w:rPr>
                <w:sz w:val="17"/>
              </w:rPr>
            </w:r>
            <w:r>
              <w:rPr>
                <w:sz w:val="17"/>
              </w:rPr>
              <w:t>IDOL / HR</w:t>
            </w:r>
          </w:p>
        </w:tc>
        <w:tc>
          <w:tcPr>
            <w:tcW w:type="dxa" w:w="864"/>
            <w:shd w:val="clear" w:color="auto" w:fill="F2F4F8"/>
          </w:tcPr>
          <w:p>
            <w:pPr>
              <w:spacing w:after="0"/>
            </w:pPr>
            <w:r>
              <w:rPr>
                <w:sz w:val="17"/>
              </w:rPr>
            </w:r>
            <w:r>
              <w:rPr>
                <w:sz w:val="17"/>
              </w:rPr>
              <w:t>Due</w:t>
            </w:r>
          </w:p>
        </w:tc>
      </w:tr>
      <w:tr>
        <w:tc>
          <w:tcPr>
            <w:tcW w:type="dxa" w:w="1512"/>
          </w:tcPr>
          <w:p>
            <w:pPr>
              <w:spacing w:after="0"/>
            </w:pPr>
            <w:r>
              <w:rPr>
                <w:sz w:val="17"/>
              </w:rPr>
            </w:r>
            <w:r>
              <w:rPr>
                <w:sz w:val="17"/>
              </w:rPr>
              <w:t>Late Nov 2025</w:t>
            </w:r>
          </w:p>
        </w:tc>
        <w:tc>
          <w:tcPr>
            <w:tcW w:type="dxa" w:w="5544"/>
          </w:tcPr>
          <w:p>
            <w:pPr>
              <w:spacing w:after="0"/>
            </w:pPr>
            <w:r>
              <w:rPr>
                <w:sz w:val="17"/>
              </w:rPr>
            </w:r>
            <w:r>
              <w:rPr>
                <w:sz w:val="17"/>
              </w:rPr>
              <w:t>Verdant weeks 4–8: development. Revised Handbook §9.4 drafted by counsel. Translations ordered (Spanish; Polish; Tagalog). Supervisor anti-retaliation training scheduled.</w:t>
            </w:r>
          </w:p>
        </w:tc>
        <w:tc>
          <w:tcPr>
            <w:tcW w:type="dxa" w:w="1440"/>
          </w:tcPr>
          <w:p>
            <w:pPr>
              <w:spacing w:after="0"/>
            </w:pPr>
            <w:r>
              <w:rPr>
                <w:sz w:val="17"/>
              </w:rPr>
            </w:r>
            <w:r>
              <w:rPr>
                <w:sz w:val="17"/>
              </w:rPr>
              <w:t>Verdant / GC / HR</w:t>
            </w:r>
          </w:p>
        </w:tc>
        <w:tc>
          <w:tcPr>
            <w:tcW w:type="dxa" w:w="864"/>
          </w:tcPr>
          <w:p>
            <w:pPr>
              <w:spacing w:after="0"/>
            </w:pPr>
            <w:r>
              <w:rPr>
                <w:sz w:val="17"/>
              </w:rPr>
            </w:r>
            <w:r>
              <w:rPr>
                <w:sz w:val="17"/>
              </w:rPr>
              <w:t>Track</w:t>
            </w:r>
          </w:p>
        </w:tc>
      </w:tr>
      <w:tr>
        <w:tc>
          <w:tcPr>
            <w:tcW w:type="dxa" w:w="1512"/>
            <w:shd w:val="clear" w:color="auto" w:fill="FCE4E4"/>
          </w:tcPr>
          <w:p>
            <w:pPr>
              <w:spacing w:after="0"/>
            </w:pPr>
            <w:r>
              <w:rPr>
                <w:sz w:val="17"/>
              </w:rPr>
            </w:r>
            <w:r>
              <w:rPr>
                <w:b/>
                <w:sz w:val="17"/>
              </w:rPr>
              <w:t>Dec 14, 2025</w:t>
            </w:r>
          </w:p>
        </w:tc>
        <w:tc>
          <w:tcPr>
            <w:tcW w:type="dxa" w:w="5544"/>
            <w:shd w:val="clear" w:color="auto" w:fill="FCE4E4"/>
          </w:tcPr>
          <w:p>
            <w:pPr>
              <w:spacing w:after="0"/>
            </w:pPr>
            <w:r>
              <w:rPr>
                <w:sz w:val="17"/>
              </w:rPr>
            </w:r>
            <w:r>
              <w:rPr>
                <w:b/>
                <w:sz w:val="17"/>
              </w:rPr>
              <w:t>Last day to give FlexForce 90 days’ notice of non-renewal</w:t>
            </w:r>
            <w:r>
              <w:rPr>
                <w:sz w:val="17"/>
              </w:rPr>
              <w:t xml:space="preserve"> for the term ending Mar 14, 2026. Serve a protective notice if Amendment No. 3 is not agreed in principle.</w:t>
            </w:r>
          </w:p>
        </w:tc>
        <w:tc>
          <w:tcPr>
            <w:tcW w:type="dxa" w:w="1440"/>
            <w:shd w:val="clear" w:color="auto" w:fill="FCE4E4"/>
          </w:tcPr>
          <w:p>
            <w:pPr>
              <w:spacing w:after="0"/>
            </w:pPr>
            <w:r>
              <w:rPr>
                <w:sz w:val="17"/>
              </w:rPr>
            </w:r>
            <w:r>
              <w:rPr>
                <w:sz w:val="17"/>
              </w:rPr>
              <w:t>GC</w:t>
            </w:r>
          </w:p>
        </w:tc>
        <w:tc>
          <w:tcPr>
            <w:tcW w:type="dxa" w:w="864"/>
            <w:shd w:val="clear" w:color="auto" w:fill="FCE4E4"/>
          </w:tcPr>
          <w:p>
            <w:pPr>
              <w:spacing w:after="0"/>
            </w:pPr>
            <w:r>
              <w:rPr>
                <w:sz w:val="17"/>
              </w:rPr>
            </w:r>
            <w:r>
              <w:rPr>
                <w:sz w:val="17"/>
              </w:rPr>
              <w:t>Hard deadline</w:t>
            </w:r>
          </w:p>
        </w:tc>
      </w:tr>
      <w:tr>
        <w:tc>
          <w:tcPr>
            <w:tcW w:type="dxa" w:w="1512"/>
          </w:tcPr>
          <w:p>
            <w:pPr>
              <w:spacing w:after="0"/>
            </w:pPr>
            <w:r>
              <w:rPr>
                <w:sz w:val="17"/>
              </w:rPr>
            </w:r>
            <w:r>
              <w:rPr>
                <w:sz w:val="17"/>
              </w:rPr>
              <w:t>Dec 15, 2025</w:t>
            </w:r>
          </w:p>
        </w:tc>
        <w:tc>
          <w:tcPr>
            <w:tcW w:type="dxa" w:w="5544"/>
          </w:tcPr>
          <w:p>
            <w:pPr>
              <w:spacing w:after="0"/>
            </w:pPr>
            <w:r>
              <w:rPr>
                <w:sz w:val="17"/>
              </w:rPr>
            </w:r>
            <w:r>
              <w:rPr>
                <w:sz w:val="17"/>
              </w:rPr>
              <w:t>Driver hours audit and corrected cost model delivered to the Steering Committee. Verdant UAT and parallel payroll runs under way (weeks 9–11).</w:t>
            </w:r>
          </w:p>
        </w:tc>
        <w:tc>
          <w:tcPr>
            <w:tcW w:type="dxa" w:w="1440"/>
          </w:tcPr>
          <w:p>
            <w:pPr>
              <w:spacing w:after="0"/>
            </w:pPr>
            <w:r>
              <w:rPr>
                <w:sz w:val="17"/>
              </w:rPr>
            </w:r>
            <w:r>
              <w:rPr>
                <w:sz w:val="17"/>
              </w:rPr>
              <w:t>HR / Controller / Verdant</w:t>
            </w:r>
          </w:p>
        </w:tc>
        <w:tc>
          <w:tcPr>
            <w:tcW w:type="dxa" w:w="864"/>
          </w:tcPr>
          <w:p>
            <w:pPr>
              <w:spacing w:after="0"/>
            </w:pPr>
            <w:r>
              <w:rPr>
                <w:sz w:val="17"/>
              </w:rPr>
            </w:r>
            <w:r>
              <w:rPr>
                <w:sz w:val="17"/>
              </w:rPr>
              <w:t>Due</w:t>
            </w:r>
          </w:p>
        </w:tc>
      </w:tr>
      <w:tr>
        <w:tc>
          <w:tcPr>
            <w:tcW w:type="dxa" w:w="1512"/>
            <w:shd w:val="clear" w:color="auto" w:fill="F2F4F8"/>
          </w:tcPr>
          <w:p>
            <w:pPr>
              <w:spacing w:after="0"/>
            </w:pPr>
            <w:r>
              <w:rPr>
                <w:sz w:val="17"/>
              </w:rPr>
            </w:r>
            <w:r>
              <w:rPr>
                <w:sz w:val="17"/>
              </w:rPr>
              <w:t>Dec 15–31, 2025</w:t>
            </w:r>
          </w:p>
        </w:tc>
        <w:tc>
          <w:tcPr>
            <w:tcW w:type="dxa" w:w="5544"/>
            <w:shd w:val="clear" w:color="auto" w:fill="F2F4F8"/>
          </w:tcPr>
          <w:p>
            <w:pPr>
              <w:spacing w:after="0"/>
            </w:pPr>
            <w:r>
              <w:rPr>
                <w:sz w:val="17"/>
              </w:rPr>
            </w:r>
            <w:r>
              <w:rPr>
                <w:sz w:val="17"/>
              </w:rPr>
              <w:t>Revised §9.4 distributed to all 3,218 employees with individual acknowledgments; added to onboarding packet. Postings installed at all 11 facilities. Supervisor training complete. Payroll change freeze until the first compliant run is verified.</w:t>
            </w:r>
          </w:p>
        </w:tc>
        <w:tc>
          <w:tcPr>
            <w:tcW w:type="dxa" w:w="1440"/>
            <w:shd w:val="clear" w:color="auto" w:fill="F2F4F8"/>
          </w:tcPr>
          <w:p>
            <w:pPr>
              <w:spacing w:after="0"/>
            </w:pPr>
            <w:r>
              <w:rPr>
                <w:sz w:val="17"/>
              </w:rPr>
            </w:r>
            <w:r>
              <w:rPr>
                <w:sz w:val="17"/>
              </w:rPr>
              <w:t>HR</w:t>
            </w:r>
          </w:p>
        </w:tc>
        <w:tc>
          <w:tcPr>
            <w:tcW w:type="dxa" w:w="864"/>
            <w:shd w:val="clear" w:color="auto" w:fill="F2F4F8"/>
          </w:tcPr>
          <w:p>
            <w:pPr>
              <w:spacing w:after="0"/>
            </w:pPr>
            <w:r>
              <w:rPr>
                <w:sz w:val="17"/>
              </w:rPr>
            </w:r>
            <w:r>
              <w:rPr>
                <w:sz w:val="17"/>
              </w:rPr>
              <w:t>Due</w:t>
            </w:r>
          </w:p>
        </w:tc>
      </w:tr>
      <w:tr>
        <w:tc>
          <w:tcPr>
            <w:tcW w:type="dxa" w:w="1512"/>
            <w:shd w:val="clear" w:color="auto" w:fill="FCE4E4"/>
          </w:tcPr>
          <w:p>
            <w:pPr>
              <w:spacing w:after="0"/>
            </w:pPr>
            <w:r>
              <w:rPr>
                <w:sz w:val="17"/>
              </w:rPr>
            </w:r>
            <w:r>
              <w:rPr>
                <w:b/>
                <w:sz w:val="17"/>
              </w:rPr>
              <w:t>Jan 1, 2026</w:t>
            </w:r>
          </w:p>
        </w:tc>
        <w:tc>
          <w:tcPr>
            <w:tcW w:type="dxa" w:w="5544"/>
            <w:shd w:val="clear" w:color="auto" w:fill="FCE4E4"/>
          </w:tcPr>
          <w:p>
            <w:pPr>
              <w:spacing w:after="0"/>
            </w:pPr>
            <w:r>
              <w:rPr>
                <w:sz w:val="17"/>
              </w:rPr>
            </w:r>
            <w:r>
              <w:rPr>
                <w:b/>
                <w:sz w:val="17"/>
              </w:rPr>
              <w:t>PHASE 1 EFFECTIVE</w:t>
            </w:r>
            <w:r>
              <w:rPr>
                <w:sz w:val="17"/>
              </w:rPr>
              <w:t>: pay stubs, anti-retaliation, postings. Pay-stub penalties begin to accrue.</w:t>
            </w:r>
          </w:p>
        </w:tc>
        <w:tc>
          <w:tcPr>
            <w:tcW w:type="dxa" w:w="1440"/>
            <w:shd w:val="clear" w:color="auto" w:fill="FCE4E4"/>
          </w:tcPr>
          <w:p>
            <w:pPr>
              <w:spacing w:after="0"/>
            </w:pPr>
            <w:r>
              <w:rPr>
                <w:sz w:val="17"/>
              </w:rPr>
            </w:r>
            <w:r>
              <w:rPr>
                <w:sz w:val="17"/>
              </w:rPr>
              <w:t>All</w:t>
            </w:r>
          </w:p>
        </w:tc>
        <w:tc>
          <w:tcPr>
            <w:tcW w:type="dxa" w:w="864"/>
            <w:shd w:val="clear" w:color="auto" w:fill="FCE4E4"/>
          </w:tcPr>
          <w:p>
            <w:pPr>
              <w:spacing w:after="0"/>
            </w:pPr>
            <w:r>
              <w:rPr>
                <w:sz w:val="17"/>
              </w:rPr>
            </w:r>
            <w:r>
              <w:rPr>
                <w:sz w:val="17"/>
              </w:rPr>
              <w:t>Statutory</w:t>
            </w:r>
          </w:p>
        </w:tc>
      </w:tr>
      <w:tr>
        <w:tc>
          <w:tcPr>
            <w:tcW w:type="dxa" w:w="1512"/>
            <w:shd w:val="clear" w:color="auto" w:fill="F2F4F8"/>
          </w:tcPr>
          <w:p>
            <w:pPr>
              <w:spacing w:after="0"/>
            </w:pPr>
            <w:r>
              <w:rPr>
                <w:sz w:val="17"/>
              </w:rPr>
            </w:r>
            <w:r>
              <w:rPr>
                <w:b/>
                <w:sz w:val="17"/>
              </w:rPr>
              <w:t>Jan 2, 2026 (Fri.)</w:t>
            </w:r>
          </w:p>
        </w:tc>
        <w:tc>
          <w:tcPr>
            <w:tcW w:type="dxa" w:w="5544"/>
            <w:shd w:val="clear" w:color="auto" w:fill="F2F4F8"/>
          </w:tcPr>
          <w:p>
            <w:pPr>
              <w:spacing w:after="0"/>
            </w:pPr>
            <w:r>
              <w:rPr>
                <w:sz w:val="17"/>
              </w:rPr>
            </w:r>
            <w:r>
              <w:rPr>
                <w:sz w:val="17"/>
              </w:rPr>
              <w:t>Likely first 2026 payday, assuming the biweekly cycle falls on this date. Every stub must be compliant. Audit a sample of stubs from each pay group the same day.</w:t>
            </w:r>
          </w:p>
        </w:tc>
        <w:tc>
          <w:tcPr>
            <w:tcW w:type="dxa" w:w="1440"/>
            <w:shd w:val="clear" w:color="auto" w:fill="F2F4F8"/>
          </w:tcPr>
          <w:p>
            <w:pPr>
              <w:spacing w:after="0"/>
            </w:pPr>
            <w:r>
              <w:rPr>
                <w:sz w:val="17"/>
              </w:rPr>
            </w:r>
            <w:r>
              <w:rPr>
                <w:sz w:val="17"/>
              </w:rPr>
              <w:t>Controller</w:t>
            </w:r>
          </w:p>
        </w:tc>
        <w:tc>
          <w:tcPr>
            <w:tcW w:type="dxa" w:w="864"/>
            <w:shd w:val="clear" w:color="auto" w:fill="F2F4F8"/>
          </w:tcPr>
          <w:p>
            <w:pPr>
              <w:spacing w:after="0"/>
            </w:pPr>
            <w:r>
              <w:rPr>
                <w:sz w:val="17"/>
              </w:rPr>
            </w:r>
            <w:r>
              <w:rPr>
                <w:sz w:val="17"/>
              </w:rPr>
              <w:t>Verify</w:t>
            </w:r>
          </w:p>
        </w:tc>
      </w:tr>
      <w:tr>
        <w:tc>
          <w:tcPr>
            <w:tcW w:type="dxa" w:w="1512"/>
          </w:tcPr>
          <w:p>
            <w:pPr>
              <w:spacing w:after="0"/>
            </w:pPr>
            <w:r>
              <w:rPr>
                <w:sz w:val="17"/>
              </w:rPr>
            </w:r>
            <w:r>
              <w:rPr>
                <w:sz w:val="17"/>
              </w:rPr>
              <w:t>Jan 2026</w:t>
            </w:r>
          </w:p>
        </w:tc>
        <w:tc>
          <w:tcPr>
            <w:tcW w:type="dxa" w:w="5544"/>
          </w:tcPr>
          <w:p>
            <w:pPr>
              <w:spacing w:after="0"/>
            </w:pPr>
            <w:r>
              <w:rPr>
                <w:sz w:val="17"/>
              </w:rPr>
            </w:r>
            <w:r>
              <w:rPr>
                <w:sz w:val="17"/>
              </w:rPr>
              <w:t>Obtain FlexForce’s written certification of Phase 1 compliance for Omnicron-assigned workers. Seasonal ramp-down of temporary workers: route any separations within 90 days of a wage inquiry through HR/Legal review.</w:t>
            </w:r>
          </w:p>
        </w:tc>
        <w:tc>
          <w:tcPr>
            <w:tcW w:type="dxa" w:w="1440"/>
          </w:tcPr>
          <w:p>
            <w:pPr>
              <w:spacing w:after="0"/>
            </w:pPr>
            <w:r>
              <w:rPr>
                <w:sz w:val="17"/>
              </w:rPr>
            </w:r>
            <w:r>
              <w:rPr>
                <w:sz w:val="17"/>
              </w:rPr>
              <w:t>GC / HR</w:t>
            </w:r>
          </w:p>
        </w:tc>
        <w:tc>
          <w:tcPr>
            <w:tcW w:type="dxa" w:w="864"/>
          </w:tcPr>
          <w:p>
            <w:pPr>
              <w:spacing w:after="0"/>
            </w:pPr>
            <w:r>
              <w:rPr>
                <w:sz w:val="17"/>
              </w:rPr>
            </w:r>
            <w:r>
              <w:rPr>
                <w:sz w:val="17"/>
              </w:rPr>
              <w:t>Due</w:t>
            </w:r>
          </w:p>
        </w:tc>
      </w:tr>
      <w:tr>
        <w:tc>
          <w:tcPr>
            <w:tcW w:type="dxa" w:w="1512"/>
            <w:shd w:val="clear" w:color="auto" w:fill="FCE4E4"/>
          </w:tcPr>
          <w:p>
            <w:pPr>
              <w:spacing w:after="0"/>
            </w:pPr>
            <w:r>
              <w:rPr>
                <w:sz w:val="17"/>
              </w:rPr>
            </w:r>
            <w:r>
              <w:rPr>
                <w:b/>
                <w:sz w:val="17"/>
              </w:rPr>
              <w:t>By Jan 31, 2026</w:t>
            </w:r>
          </w:p>
        </w:tc>
        <w:tc>
          <w:tcPr>
            <w:tcW w:type="dxa" w:w="5544"/>
            <w:shd w:val="clear" w:color="auto" w:fill="FCE4E4"/>
          </w:tcPr>
          <w:p>
            <w:pPr>
              <w:spacing w:after="0"/>
            </w:pPr>
            <w:r>
              <w:rPr>
                <w:sz w:val="17"/>
              </w:rPr>
            </w:r>
            <w:r>
              <w:rPr>
                <w:b/>
                <w:sz w:val="17"/>
              </w:rPr>
              <w:t>Special Board meeting: driver-model decision</w:t>
            </w:r>
            <w:r>
              <w:rPr>
                <w:sz w:val="17"/>
              </w:rPr>
              <w:t xml:space="preserve"> (reclassify, third-party carrier model, or hybrid), with counsel’s ABC opinion and the corrected cost model</w:t>
            </w:r>
          </w:p>
        </w:tc>
        <w:tc>
          <w:tcPr>
            <w:tcW w:type="dxa" w:w="1440"/>
            <w:shd w:val="clear" w:color="auto" w:fill="FCE4E4"/>
          </w:tcPr>
          <w:p>
            <w:pPr>
              <w:spacing w:after="0"/>
            </w:pPr>
            <w:r>
              <w:rPr>
                <w:sz w:val="17"/>
              </w:rPr>
            </w:r>
            <w:r>
              <w:rPr>
                <w:sz w:val="17"/>
              </w:rPr>
              <w:t>Board</w:t>
            </w:r>
          </w:p>
        </w:tc>
        <w:tc>
          <w:tcPr>
            <w:tcW w:type="dxa" w:w="864"/>
            <w:shd w:val="clear" w:color="auto" w:fill="FCE4E4"/>
          </w:tcPr>
          <w:p>
            <w:pPr>
              <w:spacing w:after="0"/>
            </w:pPr>
            <w:r>
              <w:rPr>
                <w:sz w:val="17"/>
              </w:rPr>
            </w:r>
            <w:r>
              <w:rPr>
                <w:sz w:val="17"/>
              </w:rPr>
              <w:t>Hard deadline</w:t>
            </w:r>
          </w:p>
        </w:tc>
      </w:tr>
      <w:tr>
        <w:tc>
          <w:tcPr>
            <w:tcW w:type="dxa" w:w="1512"/>
          </w:tcPr>
          <w:p>
            <w:pPr>
              <w:spacing w:after="0"/>
            </w:pPr>
            <w:r>
              <w:rPr>
                <w:sz w:val="17"/>
              </w:rPr>
            </w:r>
            <w:r>
              <w:rPr>
                <w:sz w:val="17"/>
              </w:rPr>
              <w:t>Feb 2026</w:t>
            </w:r>
          </w:p>
        </w:tc>
        <w:tc>
          <w:tcPr>
            <w:tcW w:type="dxa" w:w="5544"/>
          </w:tcPr>
          <w:p>
            <w:pPr>
              <w:spacing w:after="0"/>
            </w:pPr>
            <w:r>
              <w:rPr>
                <w:sz w:val="17"/>
              </w:rPr>
            </w:r>
            <w:r>
              <w:rPr>
                <w:sz w:val="17"/>
              </w:rPr>
              <w:t>Regular Board meeting: status report; approve the implementation budget for the driver model. Wage-notice forms finalized (English plus translations). Verdant change order for the driver pay group if drivers are reclassified.</w:t>
            </w:r>
          </w:p>
        </w:tc>
        <w:tc>
          <w:tcPr>
            <w:tcW w:type="dxa" w:w="1440"/>
          </w:tcPr>
          <w:p>
            <w:pPr>
              <w:spacing w:after="0"/>
            </w:pPr>
            <w:r>
              <w:rPr>
                <w:sz w:val="17"/>
              </w:rPr>
            </w:r>
            <w:r>
              <w:rPr>
                <w:sz w:val="17"/>
              </w:rPr>
              <w:t>Board / HR / Controller</w:t>
            </w:r>
          </w:p>
        </w:tc>
        <w:tc>
          <w:tcPr>
            <w:tcW w:type="dxa" w:w="864"/>
          </w:tcPr>
          <w:p>
            <w:pPr>
              <w:spacing w:after="0"/>
            </w:pPr>
            <w:r>
              <w:rPr>
                <w:sz w:val="17"/>
              </w:rPr>
            </w:r>
            <w:r>
              <w:rPr>
                <w:sz w:val="17"/>
              </w:rPr>
              <w:t>Due</w:t>
            </w:r>
          </w:p>
        </w:tc>
      </w:tr>
      <w:tr>
        <w:tc>
          <w:tcPr>
            <w:tcW w:type="dxa" w:w="1512"/>
            <w:shd w:val="clear" w:color="auto" w:fill="F2F4F8"/>
          </w:tcPr>
          <w:p>
            <w:pPr>
              <w:spacing w:after="0"/>
            </w:pPr>
            <w:r>
              <w:rPr>
                <w:sz w:val="17"/>
              </w:rPr>
            </w:r>
            <w:r>
              <w:rPr>
                <w:sz w:val="17"/>
              </w:rPr>
              <w:t>Mar 1, 2026</w:t>
            </w:r>
          </w:p>
        </w:tc>
        <w:tc>
          <w:tcPr>
            <w:tcW w:type="dxa" w:w="5544"/>
            <w:shd w:val="clear" w:color="auto" w:fill="F2F4F8"/>
          </w:tcPr>
          <w:p>
            <w:pPr>
              <w:spacing w:after="0"/>
            </w:pPr>
            <w:r>
              <w:rPr>
                <w:sz w:val="17"/>
              </w:rPr>
            </w:r>
            <w:r>
              <w:rPr>
                <w:sz w:val="17"/>
              </w:rPr>
              <w:t>Tape-archive migration complete. 72-hour production drill run and documented.</w:t>
            </w:r>
          </w:p>
        </w:tc>
        <w:tc>
          <w:tcPr>
            <w:tcW w:type="dxa" w:w="1440"/>
            <w:shd w:val="clear" w:color="auto" w:fill="F2F4F8"/>
          </w:tcPr>
          <w:p>
            <w:pPr>
              <w:spacing w:after="0"/>
            </w:pPr>
            <w:r>
              <w:rPr>
                <w:sz w:val="17"/>
              </w:rPr>
            </w:r>
            <w:r>
              <w:rPr>
                <w:sz w:val="17"/>
              </w:rPr>
              <w:t>Controller / IT</w:t>
            </w:r>
          </w:p>
        </w:tc>
        <w:tc>
          <w:tcPr>
            <w:tcW w:type="dxa" w:w="864"/>
            <w:shd w:val="clear" w:color="auto" w:fill="F2F4F8"/>
          </w:tcPr>
          <w:p>
            <w:pPr>
              <w:spacing w:after="0"/>
            </w:pPr>
            <w:r>
              <w:rPr>
                <w:sz w:val="17"/>
              </w:rPr>
            </w:r>
            <w:r>
              <w:rPr>
                <w:sz w:val="17"/>
              </w:rPr>
              <w:t>Due</w:t>
            </w:r>
          </w:p>
        </w:tc>
      </w:tr>
      <w:tr>
        <w:tc>
          <w:tcPr>
            <w:tcW w:type="dxa" w:w="1512"/>
          </w:tcPr>
          <w:p>
            <w:pPr>
              <w:spacing w:after="0"/>
            </w:pPr>
            <w:r>
              <w:rPr>
                <w:sz w:val="17"/>
              </w:rPr>
            </w:r>
            <w:r>
              <w:rPr>
                <w:b/>
                <w:sz w:val="17"/>
              </w:rPr>
              <w:t>Mar 14, 2026</w:t>
            </w:r>
          </w:p>
        </w:tc>
        <w:tc>
          <w:tcPr>
            <w:tcW w:type="dxa" w:w="5544"/>
          </w:tcPr>
          <w:p>
            <w:pPr>
              <w:spacing w:after="0"/>
            </w:pPr>
            <w:r>
              <w:rPr>
                <w:sz w:val="17"/>
              </w:rPr>
            </w:r>
            <w:r>
              <w:rPr>
                <w:sz w:val="17"/>
              </w:rPr>
              <w:t>Current FlexForce MSA term ends; Amendment No. 3 effective (audit and access rights, certifications, records within 72 hours, cooperation on wage notices and stubs)</w:t>
            </w:r>
          </w:p>
        </w:tc>
        <w:tc>
          <w:tcPr>
            <w:tcW w:type="dxa" w:w="1440"/>
          </w:tcPr>
          <w:p>
            <w:pPr>
              <w:spacing w:after="0"/>
            </w:pPr>
            <w:r>
              <w:rPr>
                <w:sz w:val="17"/>
              </w:rPr>
            </w:r>
            <w:r>
              <w:rPr>
                <w:sz w:val="17"/>
              </w:rPr>
              <w:t>GC</w:t>
            </w:r>
          </w:p>
        </w:tc>
        <w:tc>
          <w:tcPr>
            <w:tcW w:type="dxa" w:w="864"/>
          </w:tcPr>
          <w:p>
            <w:pPr>
              <w:spacing w:after="0"/>
            </w:pPr>
            <w:r>
              <w:rPr>
                <w:sz w:val="17"/>
              </w:rPr>
            </w:r>
            <w:r>
              <w:rPr>
                <w:sz w:val="17"/>
              </w:rPr>
              <w:t>Contract date</w:t>
            </w:r>
          </w:p>
        </w:tc>
      </w:tr>
      <w:tr>
        <w:tc>
          <w:tcPr>
            <w:tcW w:type="dxa" w:w="1512"/>
            <w:shd w:val="clear" w:color="auto" w:fill="F2F4F8"/>
          </w:tcPr>
          <w:p>
            <w:pPr>
              <w:spacing w:after="0"/>
            </w:pPr>
            <w:r>
              <w:rPr>
                <w:sz w:val="17"/>
              </w:rPr>
            </w:r>
            <w:r>
              <w:rPr>
                <w:sz w:val="17"/>
              </w:rPr>
              <w:t>Mar 2026</w:t>
            </w:r>
          </w:p>
        </w:tc>
        <w:tc>
          <w:tcPr>
            <w:tcW w:type="dxa" w:w="5544"/>
            <w:shd w:val="clear" w:color="auto" w:fill="F2F4F8"/>
          </w:tcPr>
          <w:p>
            <w:pPr>
              <w:spacing w:after="0"/>
            </w:pPr>
            <w:r>
              <w:rPr>
                <w:sz w:val="17"/>
              </w:rPr>
            </w:r>
            <w:r>
              <w:rPr>
                <w:sz w:val="17"/>
              </w:rPr>
              <w:t>Begin distributing wage notices to existing employees, with signed acknowledgments. Configure Cascade so that rate, schedule and classification changes automatically generate a notice. Confirm no fee or mandatory direct deposit at any facility.</w:t>
            </w:r>
          </w:p>
        </w:tc>
        <w:tc>
          <w:tcPr>
            <w:tcW w:type="dxa" w:w="1440"/>
            <w:shd w:val="clear" w:color="auto" w:fill="F2F4F8"/>
          </w:tcPr>
          <w:p>
            <w:pPr>
              <w:spacing w:after="0"/>
            </w:pPr>
            <w:r>
              <w:rPr>
                <w:sz w:val="17"/>
              </w:rPr>
            </w:r>
            <w:r>
              <w:rPr>
                <w:sz w:val="17"/>
              </w:rPr>
              <w:t>HR</w:t>
            </w:r>
          </w:p>
        </w:tc>
        <w:tc>
          <w:tcPr>
            <w:tcW w:type="dxa" w:w="864"/>
            <w:shd w:val="clear" w:color="auto" w:fill="F2F4F8"/>
          </w:tcPr>
          <w:p>
            <w:pPr>
              <w:spacing w:after="0"/>
            </w:pPr>
            <w:r>
              <w:rPr>
                <w:sz w:val="17"/>
              </w:rPr>
            </w:r>
            <w:r>
              <w:rPr>
                <w:sz w:val="17"/>
              </w:rPr>
              <w:t>Start</w:t>
            </w:r>
          </w:p>
        </w:tc>
      </w:tr>
      <w:tr>
        <w:tc>
          <w:tcPr>
            <w:tcW w:type="dxa" w:w="1512"/>
            <w:shd w:val="clear" w:color="auto" w:fill="FCE4E4"/>
          </w:tcPr>
          <w:p>
            <w:pPr>
              <w:spacing w:after="0"/>
            </w:pPr>
            <w:r>
              <w:rPr>
                <w:sz w:val="17"/>
              </w:rPr>
            </w:r>
            <w:r>
              <w:rPr>
                <w:b/>
                <w:sz w:val="17"/>
              </w:rPr>
              <w:t>Apr 1, 2026</w:t>
            </w:r>
          </w:p>
        </w:tc>
        <w:tc>
          <w:tcPr>
            <w:tcW w:type="dxa" w:w="5544"/>
            <w:shd w:val="clear" w:color="auto" w:fill="FCE4E4"/>
          </w:tcPr>
          <w:p>
            <w:pPr>
              <w:spacing w:after="0"/>
            </w:pPr>
            <w:r>
              <w:rPr>
                <w:sz w:val="17"/>
              </w:rPr>
            </w:r>
            <w:r>
              <w:rPr>
                <w:b/>
                <w:sz w:val="17"/>
              </w:rPr>
              <w:t>PHASE 2 EFFECTIVE</w:t>
            </w:r>
            <w:r>
              <w:rPr>
                <w:sz w:val="17"/>
              </w:rPr>
              <w:t>: wage notices at hire and on change; direct deposit; 7-year, 72-hour records</w:t>
            </w:r>
          </w:p>
        </w:tc>
        <w:tc>
          <w:tcPr>
            <w:tcW w:type="dxa" w:w="1440"/>
            <w:shd w:val="clear" w:color="auto" w:fill="FCE4E4"/>
          </w:tcPr>
          <w:p>
            <w:pPr>
              <w:spacing w:after="0"/>
            </w:pPr>
            <w:r>
              <w:rPr>
                <w:sz w:val="17"/>
              </w:rPr>
            </w:r>
            <w:r>
              <w:rPr>
                <w:sz w:val="17"/>
              </w:rPr>
              <w:t>All</w:t>
            </w:r>
          </w:p>
        </w:tc>
        <w:tc>
          <w:tcPr>
            <w:tcW w:type="dxa" w:w="864"/>
            <w:shd w:val="clear" w:color="auto" w:fill="FCE4E4"/>
          </w:tcPr>
          <w:p>
            <w:pPr>
              <w:spacing w:after="0"/>
            </w:pPr>
            <w:r>
              <w:rPr>
                <w:sz w:val="17"/>
              </w:rPr>
            </w:r>
            <w:r>
              <w:rPr>
                <w:sz w:val="17"/>
              </w:rPr>
              <w:t>Statutory</w:t>
            </w:r>
          </w:p>
        </w:tc>
      </w:tr>
      <w:tr>
        <w:tc>
          <w:tcPr>
            <w:tcW w:type="dxa" w:w="1512"/>
            <w:shd w:val="clear" w:color="auto" w:fill="F2F4F8"/>
          </w:tcPr>
          <w:p>
            <w:pPr>
              <w:spacing w:after="0"/>
            </w:pPr>
            <w:r>
              <w:rPr>
                <w:sz w:val="17"/>
              </w:rPr>
            </w:r>
            <w:r>
              <w:rPr>
                <w:sz w:val="17"/>
              </w:rPr>
              <w:t>Apr–Jun 2026</w:t>
            </w:r>
          </w:p>
        </w:tc>
        <w:tc>
          <w:tcPr>
            <w:tcW w:type="dxa" w:w="5544"/>
            <w:shd w:val="clear" w:color="auto" w:fill="F2F4F8"/>
          </w:tcPr>
          <w:p>
            <w:pPr>
              <w:spacing w:after="0"/>
            </w:pPr>
            <w:r>
              <w:rPr>
                <w:sz w:val="17"/>
              </w:rPr>
            </w:r>
            <w:r>
              <w:rPr>
                <w:sz w:val="17"/>
              </w:rPr>
              <w:t>Driver transition: offers or carrier contracts; I-9 and W-4; wage notices at hire; payroll set-up; Thornhill workers’ compensation endorsement; Lakeshore benefits eligibility; unwinding vehicle leases and deductions; 14-day IC termination notices sent by mid-June</w:t>
            </w:r>
          </w:p>
        </w:tc>
        <w:tc>
          <w:tcPr>
            <w:tcW w:type="dxa" w:w="1440"/>
            <w:shd w:val="clear" w:color="auto" w:fill="F2F4F8"/>
          </w:tcPr>
          <w:p>
            <w:pPr>
              <w:spacing w:after="0"/>
            </w:pPr>
            <w:r>
              <w:rPr>
                <w:sz w:val="17"/>
              </w:rPr>
            </w:r>
            <w:r>
              <w:rPr>
                <w:sz w:val="17"/>
              </w:rPr>
              <w:t>Operations / HR / Controller</w:t>
            </w:r>
          </w:p>
        </w:tc>
        <w:tc>
          <w:tcPr>
            <w:tcW w:type="dxa" w:w="864"/>
            <w:shd w:val="clear" w:color="auto" w:fill="F2F4F8"/>
          </w:tcPr>
          <w:p>
            <w:pPr>
              <w:spacing w:after="0"/>
            </w:pPr>
            <w:r>
              <w:rPr>
                <w:sz w:val="17"/>
              </w:rPr>
            </w:r>
            <w:r>
              <w:rPr>
                <w:sz w:val="17"/>
              </w:rPr>
              <w:t>Execute</w:t>
            </w:r>
          </w:p>
        </w:tc>
      </w:tr>
      <w:tr>
        <w:tc>
          <w:tcPr>
            <w:tcW w:type="dxa" w:w="1512"/>
          </w:tcPr>
          <w:p>
            <w:pPr>
              <w:spacing w:after="0"/>
            </w:pPr>
            <w:r>
              <w:rPr>
                <w:sz w:val="17"/>
              </w:rPr>
            </w:r>
            <w:r>
              <w:rPr>
                <w:sz w:val="17"/>
              </w:rPr>
              <w:t>~May 31, 2026</w:t>
            </w:r>
          </w:p>
        </w:tc>
        <w:tc>
          <w:tcPr>
            <w:tcW w:type="dxa" w:w="5544"/>
          </w:tcPr>
          <w:p>
            <w:pPr>
              <w:spacing w:after="0"/>
            </w:pPr>
            <w:r>
              <w:rPr>
                <w:sz w:val="17"/>
              </w:rPr>
            </w:r>
            <w:r>
              <w:rPr>
                <w:sz w:val="17"/>
              </w:rPr>
              <w:t>IDOL wage-notice templates due within 60 days of Phase 2 (per the Floor Debate) in English, Spanish, Polish, Mandarin, Tagalog and Arabic. Re-issue notices in each employee’s primary language where a template now exists.</w:t>
            </w:r>
          </w:p>
        </w:tc>
        <w:tc>
          <w:tcPr>
            <w:tcW w:type="dxa" w:w="1440"/>
          </w:tcPr>
          <w:p>
            <w:pPr>
              <w:spacing w:after="0"/>
            </w:pPr>
            <w:r>
              <w:rPr>
                <w:sz w:val="17"/>
              </w:rPr>
            </w:r>
            <w:r>
              <w:rPr>
                <w:sz w:val="17"/>
              </w:rPr>
              <w:t>HR</w:t>
            </w:r>
          </w:p>
        </w:tc>
        <w:tc>
          <w:tcPr>
            <w:tcW w:type="dxa" w:w="864"/>
          </w:tcPr>
          <w:p>
            <w:pPr>
              <w:spacing w:after="0"/>
            </w:pPr>
            <w:r>
              <w:rPr>
                <w:sz w:val="17"/>
              </w:rPr>
            </w:r>
            <w:r>
              <w:rPr>
                <w:sz w:val="17"/>
              </w:rPr>
              <w:t>Due</w:t>
            </w:r>
          </w:p>
        </w:tc>
      </w:tr>
      <w:tr>
        <w:tc>
          <w:tcPr>
            <w:tcW w:type="dxa" w:w="1512"/>
            <w:shd w:val="clear" w:color="auto" w:fill="FCE4E4"/>
          </w:tcPr>
          <w:p>
            <w:pPr>
              <w:spacing w:after="0"/>
            </w:pPr>
            <w:r>
              <w:rPr>
                <w:sz w:val="17"/>
              </w:rPr>
            </w:r>
            <w:r>
              <w:rPr>
                <w:b/>
                <w:sz w:val="17"/>
              </w:rPr>
              <w:t>Jun 30, 2026</w:t>
            </w:r>
          </w:p>
        </w:tc>
        <w:tc>
          <w:tcPr>
            <w:tcW w:type="dxa" w:w="5544"/>
            <w:shd w:val="clear" w:color="auto" w:fill="FCE4E4"/>
          </w:tcPr>
          <w:p>
            <w:pPr>
              <w:spacing w:after="0"/>
            </w:pPr>
            <w:r>
              <w:rPr>
                <w:sz w:val="17"/>
              </w:rPr>
            </w:r>
            <w:r>
              <w:rPr>
                <w:b/>
                <w:sz w:val="17"/>
              </w:rPr>
              <w:t>Outside date for wage notices to all existing employees</w:t>
            </w:r>
            <w:r>
              <w:rPr>
                <w:sz w:val="17"/>
              </w:rPr>
              <w:t xml:space="preserve"> (the sponsor’s stated 90-day window; the Company’s conservative position)</w:t>
            </w:r>
          </w:p>
        </w:tc>
        <w:tc>
          <w:tcPr>
            <w:tcW w:type="dxa" w:w="1440"/>
            <w:shd w:val="clear" w:color="auto" w:fill="FCE4E4"/>
          </w:tcPr>
          <w:p>
            <w:pPr>
              <w:spacing w:after="0"/>
            </w:pPr>
            <w:r>
              <w:rPr>
                <w:sz w:val="17"/>
              </w:rPr>
            </w:r>
            <w:r>
              <w:rPr>
                <w:sz w:val="17"/>
              </w:rPr>
              <w:t>HR</w:t>
            </w:r>
          </w:p>
        </w:tc>
        <w:tc>
          <w:tcPr>
            <w:tcW w:type="dxa" w:w="864"/>
            <w:shd w:val="clear" w:color="auto" w:fill="FCE4E4"/>
          </w:tcPr>
          <w:p>
            <w:pPr>
              <w:spacing w:after="0"/>
            </w:pPr>
            <w:r>
              <w:rPr>
                <w:sz w:val="17"/>
              </w:rPr>
            </w:r>
            <w:r>
              <w:rPr>
                <w:sz w:val="17"/>
              </w:rPr>
              <w:t>Hard deadline</w:t>
            </w:r>
          </w:p>
        </w:tc>
      </w:tr>
      <w:tr>
        <w:tc>
          <w:tcPr>
            <w:tcW w:type="dxa" w:w="1512"/>
            <w:shd w:val="clear" w:color="auto" w:fill="FCE4E4"/>
          </w:tcPr>
          <w:p>
            <w:pPr>
              <w:spacing w:after="0"/>
            </w:pPr>
            <w:r>
              <w:rPr>
                <w:sz w:val="17"/>
              </w:rPr>
            </w:r>
            <w:r>
              <w:rPr>
                <w:b/>
                <w:sz w:val="17"/>
              </w:rPr>
              <w:t>Jul 1, 2026</w:t>
            </w:r>
          </w:p>
        </w:tc>
        <w:tc>
          <w:tcPr>
            <w:tcW w:type="dxa" w:w="5544"/>
            <w:shd w:val="clear" w:color="auto" w:fill="FCE4E4"/>
          </w:tcPr>
          <w:p>
            <w:pPr>
              <w:spacing w:after="0"/>
            </w:pPr>
            <w:r>
              <w:rPr>
                <w:sz w:val="17"/>
              </w:rPr>
            </w:r>
            <w:r>
              <w:rPr>
                <w:b/>
                <w:sz w:val="17"/>
              </w:rPr>
              <w:t>PHASE 3 EFFECTIVE</w:t>
            </w:r>
            <w:r>
              <w:rPr>
                <w:sz w:val="17"/>
              </w:rPr>
              <w:t>: ABC test; joint-employer liability; IDOL enforcement begins (including accrued pay-stub penalties). Driver model must be live. FlexForce verification protocol must be operating.</w:t>
            </w:r>
          </w:p>
        </w:tc>
        <w:tc>
          <w:tcPr>
            <w:tcW w:type="dxa" w:w="1440"/>
            <w:shd w:val="clear" w:color="auto" w:fill="FCE4E4"/>
          </w:tcPr>
          <w:p>
            <w:pPr>
              <w:spacing w:after="0"/>
            </w:pPr>
            <w:r>
              <w:rPr>
                <w:sz w:val="17"/>
              </w:rPr>
            </w:r>
            <w:r>
              <w:rPr>
                <w:sz w:val="17"/>
              </w:rPr>
              <w:t>All</w:t>
            </w:r>
          </w:p>
        </w:tc>
        <w:tc>
          <w:tcPr>
            <w:tcW w:type="dxa" w:w="864"/>
            <w:shd w:val="clear" w:color="auto" w:fill="FCE4E4"/>
          </w:tcPr>
          <w:p>
            <w:pPr>
              <w:spacing w:after="0"/>
            </w:pPr>
            <w:r>
              <w:rPr>
                <w:sz w:val="17"/>
              </w:rPr>
            </w:r>
            <w:r>
              <w:rPr>
                <w:sz w:val="17"/>
              </w:rPr>
              <w:t>Statutory</w:t>
            </w:r>
          </w:p>
        </w:tc>
      </w:tr>
      <w:tr>
        <w:tc>
          <w:tcPr>
            <w:tcW w:type="dxa" w:w="1512"/>
            <w:shd w:val="clear" w:color="auto" w:fill="F2F4F8"/>
          </w:tcPr>
          <w:p>
            <w:pPr>
              <w:spacing w:after="0"/>
            </w:pPr>
            <w:r>
              <w:rPr>
                <w:sz w:val="17"/>
              </w:rPr>
            </w:r>
            <w:r>
              <w:rPr>
                <w:sz w:val="17"/>
              </w:rPr>
              <w:t>Jul–Sep 2026</w:t>
            </w:r>
          </w:p>
        </w:tc>
        <w:tc>
          <w:tcPr>
            <w:tcW w:type="dxa" w:w="5544"/>
            <w:shd w:val="clear" w:color="auto" w:fill="F2F4F8"/>
          </w:tcPr>
          <w:p>
            <w:pPr>
              <w:spacing w:after="0"/>
            </w:pPr>
            <w:r>
              <w:rPr>
                <w:sz w:val="17"/>
              </w:rPr>
            </w:r>
            <w:r>
              <w:rPr>
                <w:sz w:val="17"/>
              </w:rPr>
              <w:t>First quarterly FlexForce compliance audit. Internal pay-stub, wage-notice and records self-audit. Identify any residual gaps for a possible safe-harbor filing on Oct 1.</w:t>
            </w:r>
          </w:p>
        </w:tc>
        <w:tc>
          <w:tcPr>
            <w:tcW w:type="dxa" w:w="1440"/>
            <w:shd w:val="clear" w:color="auto" w:fill="F2F4F8"/>
          </w:tcPr>
          <w:p>
            <w:pPr>
              <w:spacing w:after="0"/>
            </w:pPr>
            <w:r>
              <w:rPr>
                <w:sz w:val="17"/>
              </w:rPr>
            </w:r>
            <w:r>
              <w:rPr>
                <w:sz w:val="17"/>
              </w:rPr>
              <w:t>GC / Internal Audit</w:t>
            </w:r>
          </w:p>
        </w:tc>
        <w:tc>
          <w:tcPr>
            <w:tcW w:type="dxa" w:w="864"/>
            <w:shd w:val="clear" w:color="auto" w:fill="F2F4F8"/>
          </w:tcPr>
          <w:p>
            <w:pPr>
              <w:spacing w:after="0"/>
            </w:pPr>
            <w:r>
              <w:rPr>
                <w:sz w:val="17"/>
              </w:rPr>
            </w:r>
            <w:r>
              <w:rPr>
                <w:sz w:val="17"/>
              </w:rPr>
              <w:t>Due</w:t>
            </w:r>
          </w:p>
        </w:tc>
      </w:tr>
      <w:tr>
        <w:tc>
          <w:tcPr>
            <w:tcW w:type="dxa" w:w="1512"/>
            <w:shd w:val="clear" w:color="auto" w:fill="FCE4E4"/>
          </w:tcPr>
          <w:p>
            <w:pPr>
              <w:spacing w:after="0"/>
            </w:pPr>
            <w:r>
              <w:rPr>
                <w:sz w:val="17"/>
              </w:rPr>
            </w:r>
            <w:r>
              <w:rPr>
                <w:b/>
                <w:sz w:val="17"/>
              </w:rPr>
              <w:t>Oct 1, 2026</w:t>
            </w:r>
          </w:p>
        </w:tc>
        <w:tc>
          <w:tcPr>
            <w:tcW w:type="dxa" w:w="5544"/>
            <w:shd w:val="clear" w:color="auto" w:fill="FCE4E4"/>
          </w:tcPr>
          <w:p>
            <w:pPr>
              <w:spacing w:after="0"/>
            </w:pPr>
            <w:r>
              <w:rPr>
                <w:sz w:val="17"/>
              </w:rPr>
            </w:r>
            <w:r>
              <w:rPr>
                <w:b/>
                <w:sz w:val="17"/>
              </w:rPr>
              <w:t>PHASE 4 EFFECTIVE</w:t>
            </w:r>
            <w:r>
              <w:rPr>
                <w:sz w:val="17"/>
              </w:rPr>
              <w:t>: private actions with treble damages; safe harbor available; IDOL rulemaking authority. Monitor IDOL rules on wage-notice transition, salary thresholds, “readily accessible” and “reasonable measures.”</w:t>
            </w:r>
          </w:p>
        </w:tc>
        <w:tc>
          <w:tcPr>
            <w:tcW w:type="dxa" w:w="1440"/>
            <w:shd w:val="clear" w:color="auto" w:fill="FCE4E4"/>
          </w:tcPr>
          <w:p>
            <w:pPr>
              <w:spacing w:after="0"/>
            </w:pPr>
            <w:r>
              <w:rPr>
                <w:sz w:val="17"/>
              </w:rPr>
            </w:r>
            <w:r>
              <w:rPr>
                <w:sz w:val="17"/>
              </w:rPr>
              <w:t>All</w:t>
            </w:r>
          </w:p>
        </w:tc>
        <w:tc>
          <w:tcPr>
            <w:tcW w:type="dxa" w:w="864"/>
            <w:shd w:val="clear" w:color="auto" w:fill="FCE4E4"/>
          </w:tcPr>
          <w:p>
            <w:pPr>
              <w:spacing w:after="0"/>
            </w:pPr>
            <w:r>
              <w:rPr>
                <w:sz w:val="17"/>
              </w:rPr>
            </w:r>
            <w:r>
              <w:rPr>
                <w:sz w:val="17"/>
              </w:rPr>
              <w:t>Statutory</w:t>
            </w:r>
          </w:p>
        </w:tc>
      </w:tr>
      <w:tr>
        <w:tc>
          <w:tcPr>
            <w:tcW w:type="dxa" w:w="1512"/>
            <w:shd w:val="clear" w:color="auto" w:fill="F2F4F8"/>
          </w:tcPr>
          <w:p>
            <w:pPr>
              <w:spacing w:after="0"/>
            </w:pPr>
            <w:r>
              <w:rPr>
                <w:sz w:val="17"/>
              </w:rPr>
            </w:r>
            <w:r>
              <w:rPr>
                <w:sz w:val="17"/>
              </w:rPr>
              <w:t>Dec 31, 2027 / Mar 31, 2028 / Jun 30, 2028</w:t>
            </w:r>
          </w:p>
        </w:tc>
        <w:tc>
          <w:tcPr>
            <w:tcW w:type="dxa" w:w="5544"/>
            <w:shd w:val="clear" w:color="auto" w:fill="F2F4F8"/>
          </w:tcPr>
          <w:p>
            <w:pPr>
              <w:spacing w:after="0"/>
            </w:pPr>
            <w:r>
              <w:rPr>
                <w:sz w:val="17"/>
              </w:rPr>
            </w:r>
            <w:r>
              <w:rPr>
                <w:sz w:val="17"/>
              </w:rPr>
              <w:t>Safe-harbor “first 24 months” windows close for Phase 1, 2 and 3 provisions respectively, if measured from each provision’s own effective date (to be confirmed)</w:t>
            </w:r>
          </w:p>
        </w:tc>
        <w:tc>
          <w:tcPr>
            <w:tcW w:type="dxa" w:w="1440"/>
            <w:shd w:val="clear" w:color="auto" w:fill="F2F4F8"/>
          </w:tcPr>
          <w:p>
            <w:pPr>
              <w:spacing w:after="0"/>
            </w:pPr>
            <w:r>
              <w:rPr>
                <w:sz w:val="17"/>
              </w:rPr>
            </w:r>
            <w:r>
              <w:rPr>
                <w:sz w:val="17"/>
              </w:rPr>
              <w:t>GC</w:t>
            </w:r>
          </w:p>
        </w:tc>
        <w:tc>
          <w:tcPr>
            <w:tcW w:type="dxa" w:w="864"/>
            <w:shd w:val="clear" w:color="auto" w:fill="F2F4F8"/>
          </w:tcPr>
          <w:p>
            <w:pPr>
              <w:spacing w:after="0"/>
            </w:pPr>
            <w:r>
              <w:rPr>
                <w:sz w:val="17"/>
              </w:rPr>
            </w:r>
            <w:r>
              <w:rPr>
                <w:sz w:val="17"/>
              </w:rPr>
              <w:t>Track</w:t>
            </w:r>
          </w:p>
        </w:tc>
      </w:tr>
    </w:tbl>
    <w:p>
      <w:pPr>
        <w:spacing w:after="40"/>
      </w:pPr>
    </w:p>
    <w:p>
      <w:pPr>
        <w:pStyle w:val="Heading1"/>
      </w:pPr>
      <w:r>
        <w:t>VI. Phase-by-Phase Analysis and Workplan</w:t>
      </w:r>
    </w:p>
    <w:p>
      <w:pPr>
        <w:pStyle w:val="Heading2"/>
      </w:pPr>
      <w:r>
        <w:t>A. Phase 1 (January 1, 2026)</w:t>
      </w:r>
    </w:p>
    <w:p>
      <w:pPr>
        <w:pStyle w:val="Heading3"/>
      </w:pPr>
      <w:r>
        <w:t>1. Pay stubs: the critical path</w:t>
      </w:r>
    </w:p>
    <w:p>
      <w:pPr>
        <w:jc w:val="both"/>
      </w:pPr>
      <w:r>
        <w:rPr>
          <w:b/>
        </w:rPr>
        <w:t>Schedule math.</w:t>
      </w:r>
      <w:r>
        <w:t xml:space="preserve"> Verdant’s plan runs as follows: weeks 1–3 requirements, weeks 4–8 build, weeks 9–11 user acceptance testing and parallel runs, and week 12 production cutover and </w:t>
      </w:r>
      <w:r>
        <w:rPr>
          <w:i/>
        </w:rPr>
        <w:t>first live pay cycle</w:t>
      </w:r>
      <w:r>
        <w:t>. The table shows what each signing date produces.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872"/>
            <w:shd w:val="clear" w:color="auto" w:fill="1F2A44"/>
          </w:tcPr>
          <w:p>
            <w:r/>
            <w:r>
              <w:rPr>
                <w:b/>
                <w:color w:val="FFFFFF"/>
                <w:sz w:val="17"/>
              </w:rPr>
              <w:t>Signing date</w:t>
            </w:r>
          </w:p>
        </w:tc>
        <w:tc>
          <w:tcPr>
            <w:tcW w:type="dxa" w:w="1872"/>
            <w:shd w:val="clear" w:color="auto" w:fill="1F2A44"/>
          </w:tcPr>
          <w:p>
            <w:r/>
            <w:r>
              <w:rPr>
                <w:b/>
                <w:color w:val="FFFFFF"/>
                <w:sz w:val="17"/>
              </w:rPr>
              <w:t>10-week best case ends</w:t>
            </w:r>
          </w:p>
        </w:tc>
        <w:tc>
          <w:tcPr>
            <w:tcW w:type="dxa" w:w="1872"/>
            <w:shd w:val="clear" w:color="auto" w:fill="1F2A44"/>
          </w:tcPr>
          <w:p>
            <w:r/>
            <w:r>
              <w:rPr>
                <w:b/>
                <w:color w:val="FFFFFF"/>
                <w:sz w:val="17"/>
              </w:rPr>
              <w:t>12-week plan ends</w:t>
            </w:r>
          </w:p>
        </w:tc>
        <w:tc>
          <w:tcPr>
            <w:tcW w:type="dxa" w:w="3744"/>
            <w:shd w:val="clear" w:color="auto" w:fill="1F2A44"/>
          </w:tcPr>
          <w:p>
            <w:r/>
            <w:r>
              <w:rPr>
                <w:b/>
                <w:color w:val="FFFFFF"/>
                <w:sz w:val="17"/>
              </w:rPr>
              <w:t>Assessment</w:t>
            </w:r>
          </w:p>
        </w:tc>
      </w:tr>
      <w:tr>
        <w:tc>
          <w:tcPr>
            <w:tcW w:type="dxa" w:w="1872"/>
          </w:tcPr>
          <w:p>
            <w:pPr>
              <w:spacing w:after="0"/>
            </w:pPr>
            <w:r>
              <w:rPr>
                <w:sz w:val="17"/>
              </w:rPr>
            </w:r>
            <w:r>
              <w:rPr>
                <w:sz w:val="17"/>
              </w:rPr>
              <w:t>Sep 22, 2025</w:t>
            </w:r>
          </w:p>
        </w:tc>
        <w:tc>
          <w:tcPr>
            <w:tcW w:type="dxa" w:w="1872"/>
          </w:tcPr>
          <w:p>
            <w:pPr>
              <w:spacing w:after="0"/>
            </w:pPr>
            <w:r>
              <w:rPr>
                <w:sz w:val="17"/>
              </w:rPr>
            </w:r>
            <w:r>
              <w:rPr>
                <w:sz w:val="17"/>
              </w:rPr>
              <w:t>Dec 1, 2025</w:t>
            </w:r>
          </w:p>
        </w:tc>
        <w:tc>
          <w:tcPr>
            <w:tcW w:type="dxa" w:w="1872"/>
          </w:tcPr>
          <w:p>
            <w:pPr>
              <w:spacing w:after="0"/>
            </w:pPr>
            <w:r>
              <w:rPr>
                <w:sz w:val="17"/>
              </w:rPr>
            </w:r>
            <w:r>
              <w:rPr>
                <w:sz w:val="17"/>
              </w:rPr>
              <w:t>Dec 15, 2025</w:t>
            </w:r>
          </w:p>
        </w:tc>
        <w:tc>
          <w:tcPr>
            <w:tcW w:type="dxa" w:w="3744"/>
          </w:tcPr>
          <w:p>
            <w:pPr>
              <w:spacing w:after="0"/>
            </w:pPr>
            <w:r>
              <w:rPr>
                <w:sz w:val="17"/>
              </w:rPr>
            </w:r>
            <w:r>
              <w:rPr>
                <w:sz w:val="17"/>
              </w:rPr>
              <w:t>Only date that meets HR’s Dec 15 completion target. Already passed.</w:t>
            </w:r>
          </w:p>
        </w:tc>
      </w:tr>
      <w:tr>
        <w:tc>
          <w:tcPr>
            <w:tcW w:type="dxa" w:w="1872"/>
            <w:shd w:val="clear" w:color="auto" w:fill="F2F4F8"/>
          </w:tcPr>
          <w:p>
            <w:pPr>
              <w:spacing w:after="0"/>
            </w:pPr>
            <w:r>
              <w:rPr>
                <w:sz w:val="17"/>
              </w:rPr>
            </w:r>
            <w:r>
              <w:rPr>
                <w:sz w:val="17"/>
              </w:rPr>
              <w:t>Oct 7, 2025 (target)</w:t>
            </w:r>
          </w:p>
        </w:tc>
        <w:tc>
          <w:tcPr>
            <w:tcW w:type="dxa" w:w="1872"/>
            <w:shd w:val="clear" w:color="auto" w:fill="F2F4F8"/>
          </w:tcPr>
          <w:p>
            <w:pPr>
              <w:spacing w:after="0"/>
            </w:pPr>
            <w:r>
              <w:rPr>
                <w:sz w:val="17"/>
              </w:rPr>
            </w:r>
            <w:r>
              <w:rPr>
                <w:sz w:val="17"/>
              </w:rPr>
              <w:t>Dec 16, 2025</w:t>
            </w:r>
          </w:p>
        </w:tc>
        <w:tc>
          <w:tcPr>
            <w:tcW w:type="dxa" w:w="1872"/>
            <w:shd w:val="clear" w:color="auto" w:fill="F2F4F8"/>
          </w:tcPr>
          <w:p>
            <w:pPr>
              <w:spacing w:after="0"/>
            </w:pPr>
            <w:r>
              <w:rPr>
                <w:sz w:val="17"/>
              </w:rPr>
            </w:r>
            <w:r>
              <w:rPr>
                <w:sz w:val="17"/>
              </w:rPr>
              <w:t>Dec 30, 2025</w:t>
            </w:r>
          </w:p>
        </w:tc>
        <w:tc>
          <w:tcPr>
            <w:tcW w:type="dxa" w:w="3744"/>
            <w:shd w:val="clear" w:color="auto" w:fill="F2F4F8"/>
          </w:tcPr>
          <w:p>
            <w:pPr>
              <w:spacing w:after="0"/>
            </w:pPr>
            <w:r>
              <w:rPr>
                <w:sz w:val="17"/>
              </w:rPr>
            </w:r>
            <w:r>
              <w:rPr>
                <w:sz w:val="17"/>
              </w:rPr>
              <w:t>Workable. A 12-week slip still collides with the processing of a Jan 2 payroll. Insist on the 10-week plan.</w:t>
            </w:r>
          </w:p>
        </w:tc>
      </w:tr>
      <w:tr>
        <w:tc>
          <w:tcPr>
            <w:tcW w:type="dxa" w:w="1872"/>
          </w:tcPr>
          <w:p>
            <w:pPr>
              <w:spacing w:after="0"/>
            </w:pPr>
            <w:r>
              <w:rPr>
                <w:sz w:val="17"/>
              </w:rPr>
            </w:r>
            <w:r>
              <w:rPr>
                <w:sz w:val="17"/>
              </w:rPr>
              <w:t>Oct 9, 2025 (drop-dead)</w:t>
            </w:r>
          </w:p>
        </w:tc>
        <w:tc>
          <w:tcPr>
            <w:tcW w:type="dxa" w:w="1872"/>
          </w:tcPr>
          <w:p>
            <w:pPr>
              <w:spacing w:after="0"/>
            </w:pPr>
            <w:r>
              <w:rPr>
                <w:sz w:val="17"/>
              </w:rPr>
            </w:r>
            <w:r>
              <w:rPr>
                <w:sz w:val="17"/>
              </w:rPr>
              <w:t>Dec 18, 2025</w:t>
            </w:r>
          </w:p>
        </w:tc>
        <w:tc>
          <w:tcPr>
            <w:tcW w:type="dxa" w:w="1872"/>
          </w:tcPr>
          <w:p>
            <w:pPr>
              <w:spacing w:after="0"/>
            </w:pPr>
            <w:r>
              <w:rPr>
                <w:sz w:val="17"/>
              </w:rPr>
            </w:r>
            <w:r>
              <w:rPr>
                <w:sz w:val="17"/>
              </w:rPr>
              <w:t>Jan 1, 2026</w:t>
            </w:r>
          </w:p>
        </w:tc>
        <w:tc>
          <w:tcPr>
            <w:tcW w:type="dxa" w:w="3744"/>
          </w:tcPr>
          <w:p>
            <w:pPr>
              <w:spacing w:after="0"/>
            </w:pPr>
            <w:r>
              <w:rPr>
                <w:sz w:val="17"/>
              </w:rPr>
            </w:r>
            <w:r>
              <w:rPr>
                <w:sz w:val="17"/>
              </w:rPr>
              <w:t>No buffer. Any UAT or Oakvale delay produces non-compliant January payrolls.</w:t>
            </w:r>
          </w:p>
        </w:tc>
      </w:tr>
      <w:tr>
        <w:tc>
          <w:tcPr>
            <w:tcW w:type="dxa" w:w="1872"/>
            <w:shd w:val="clear" w:color="auto" w:fill="F2F4F8"/>
          </w:tcPr>
          <w:p>
            <w:pPr>
              <w:spacing w:after="0"/>
            </w:pPr>
            <w:r>
              <w:rPr>
                <w:sz w:val="17"/>
              </w:rPr>
            </w:r>
            <w:r>
              <w:rPr>
                <w:sz w:val="17"/>
              </w:rPr>
              <w:t>After mid-Oct 2025</w:t>
            </w:r>
          </w:p>
        </w:tc>
        <w:tc>
          <w:tcPr>
            <w:tcW w:type="dxa" w:w="1872"/>
            <w:shd w:val="clear" w:color="auto" w:fill="F2F4F8"/>
          </w:tcPr>
          <w:p>
            <w:pPr>
              <w:spacing w:after="0"/>
            </w:pPr>
            <w:r>
              <w:rPr>
                <w:sz w:val="17"/>
              </w:rPr>
            </w:r>
            <w:r>
              <w:rPr>
                <w:sz w:val="17"/>
              </w:rPr>
              <w:t>—</w:t>
            </w:r>
          </w:p>
        </w:tc>
        <w:tc>
          <w:tcPr>
            <w:tcW w:type="dxa" w:w="1872"/>
            <w:shd w:val="clear" w:color="auto" w:fill="F2F4F8"/>
          </w:tcPr>
          <w:p>
            <w:pPr>
              <w:spacing w:after="0"/>
            </w:pPr>
            <w:r>
              <w:rPr>
                <w:sz w:val="17"/>
              </w:rPr>
            </w:r>
            <w:r>
              <w:rPr>
                <w:sz w:val="17"/>
              </w:rPr>
              <w:t>Mid-Feb 2026 (Verdant)</w:t>
            </w:r>
          </w:p>
        </w:tc>
        <w:tc>
          <w:tcPr>
            <w:tcW w:type="dxa" w:w="3744"/>
            <w:shd w:val="clear" w:color="auto" w:fill="F2F4F8"/>
          </w:tcPr>
          <w:p>
            <w:pPr>
              <w:spacing w:after="0"/>
            </w:pPr>
            <w:r>
              <w:rPr>
                <w:sz w:val="17"/>
              </w:rPr>
            </w:r>
            <w:r>
              <w:rPr>
                <w:sz w:val="17"/>
              </w:rPr>
              <w:t xml:space="preserve">Phase 1 missed. About 3–4 payrolls (Jan 2, Jan 16, Jan 30, possibly Feb 13) at $1.609M each = </w:t>
            </w:r>
            <w:r>
              <w:rPr>
                <w:b/>
                <w:sz w:val="17"/>
              </w:rPr>
              <w:t>$4.8M–$6.4M accrued</w:t>
            </w:r>
            <w:r>
              <w:rPr>
                <w:sz w:val="17"/>
              </w:rPr>
              <w:t>.</w:t>
            </w:r>
          </w:p>
        </w:tc>
      </w:tr>
    </w:tbl>
    <w:p>
      <w:pPr>
        <w:spacing w:after="40"/>
      </w:pPr>
    </w:p>
    <w:p>
      <w:pPr>
        <w:jc w:val="both"/>
      </w:pPr>
      <w:r>
        <w:rPr>
          <w:b/>
        </w:rPr>
        <w:t>Dependencies and fallbacks.</w:t>
      </w:r>
      <w:r>
        <w:t xml:space="preserve"> (i) Leave balances depend on Oakvale Point updating the Cascade feed, and Verdant “cannot guarantee Oakvale Point’s timeline.” The manual CSV upload fallback should be priced into the amendment and staffed by HR now, so that it can be switched on without a further contract. (ii) The salary threshold to print on exempt stubs is uncertain until IDOL issues rules (from Oct 1, 2026). The HR Audit cites a $1,128 weekly federal threshold “as updated effective July 1, 2024.” Counsel should confirm the figure: our understanding is that the 2024 federal rule was vacated by a federal court in November 2024, which restored the $684 weekly threshold. The stub field should be data-driven so that it can be updated without re-coding. (iii) The record shows that 680 night or weekend workers have shift differentials of $1.50–$2.25, and that some employees work across facilities. The multi-rate logic must be tested against those real cases during parallel runs. (iv) The Q4 peak season, when FlexForce volumes are highest, coincides with cutover. Freeze payroll configuration changes from mid-December.</w:t>
      </w:r>
    </w:p>
    <w:p>
      <w:pPr>
        <w:jc w:val="both"/>
      </w:pPr>
      <w:r>
        <w:rPr>
          <w:b/>
        </w:rPr>
        <w:t>Scope gap.</w:t>
      </w:r>
      <w:r>
        <w:t xml:space="preserve"> Appendix B compares the 17 fields in counsel’s summary with the current stub and with Verdant’s preliminary scope. At least four statutory items are not in Verdant’s scope: the SSN last four digits or employee ID, the employer telephone number, the date of payment, and deductions itemized by category. Three more need confirmation: total hours, overtime rate(s) and the salary-per-period label. Adding them after signing will cost time Omnicron does not have.</w:t>
      </w:r>
    </w:p>
    <w:p>
      <w:pPr>
        <w:pStyle w:val="Heading3"/>
      </w:pPr>
      <w:r>
        <w:t>2. Anti-retaliation (Handbook §9.4)</w:t>
      </w:r>
    </w:p>
    <w:p>
      <w:pPr>
        <w:jc w:val="both"/>
      </w:pPr>
      <w:r>
        <w:t xml:space="preserve">Current §9.4 protects reports of “violation[s] of law or Company policy” and lists protected activities oriented to OSHA and internal ethics matters. It does not mention wages, IDOL, the Act, the 90-day presumption, or wage-specific remedies. The sources disagree on what the revised policy must say. The Counsel Summary lists five protected activities: wage inquiries to the employer, IDOL complaints, court complaints, participation in investigations, and informing co-workers of their rights. The HR Audit lists a different set: inquiring about one’s own or others’ wages, disclosing one’s wages, IDOL complaints, participation, and testifying. </w:t>
      </w:r>
      <w:r>
        <w:rPr>
          <w:b/>
        </w:rPr>
        <w:t>Working position: draft to the union of both lists.</w:t>
      </w:r>
      <w:r>
        <w:t xml:space="preserve"> Include the 90-day rebuttable presumption. State the remedies in neutral terms (reinstatement, back pay and civil penalties, plus any other relief the Act provides), pending confirmation against the enrolled text. Under the Counsel Summary, the handbook must be updated by Jan 1, 2026, given to every new hire, and posted. The Company should also distribute it to all current employees and obtain individual acknowledgments, as HR proposes.</w:t>
      </w:r>
    </w:p>
    <w:p>
      <w:pPr>
        <w:jc w:val="both"/>
      </w:pPr>
      <w:r>
        <w:rPr>
          <w:b/>
        </w:rPr>
        <w:t>Operational risk.</w:t>
      </w:r>
      <w:r>
        <w:t xml:space="preserve"> The 90-day presumption will apply to ordinary personnel actions during 2026. These include the January ramp-down of seasonal staff, driver restructuring, and removals of FlexForce workers under MSA §3.4(b). From Jan 1, 2026, any adverse action affecting a worker who has made a wage inquiry within the preceding 90 days should go through HR/Legal pre-clearance. Supervisor training ($42,000) must be completed before January 1.</w:t>
      </w:r>
    </w:p>
    <w:p>
      <w:pPr>
        <w:pStyle w:val="Heading3"/>
      </w:pPr>
      <w:r>
        <w:t>3. Workplace postings (per-facility language threshold)</w:t>
      </w:r>
    </w:p>
    <w:p>
      <w:pPr>
        <w:jc w:val="both"/>
      </w:pPr>
      <w:r>
        <w:t xml:space="preserve">The obligation is triggered by a language spoken as a primary language by </w:t>
      </w:r>
      <w:r>
        <w:rPr>
          <w:b/>
        </w:rPr>
        <w:t>more than 5%</w:t>
      </w:r>
      <w:r>
        <w:t xml:space="preserve"> of the workforce at a particular site. On the survey data (Appendix A), the results are: Spanish is required at all 11 sites. Polish is required at 6 sites (Naperville, Elk Grove Village, Schaumburg, Mundelein, Rockford and Loves Park). Tagalog is required at Waukegan (11.9%). Note that Counsel Summary refers to “the Lake County facility”, but Omnicron has two Lake County sites, and Mundelein is at 2.1%. </w:t>
      </w:r>
      <w:r>
        <w:rPr>
          <w:b/>
        </w:rPr>
        <w:t>Correction:</w:t>
      </w:r>
      <w:r>
        <w:t xml:space="preserve"> the HR Audit counts Romeoville HQ as over the Polish threshold, but 26 of 520 is exactly 5.0%, which is not “more than 5%.” Because the survey reached only 89.3% of employees, was offered only in English and Spanish, and appears to have counted non-respondents as English speakers, </w:t>
      </w:r>
      <w:r>
        <w:rPr>
          <w:b/>
        </w:rPr>
        <w:t>we recommend posting in Polish at all 11 sites</w:t>
      </w:r>
      <w:r>
        <w:t xml:space="preserve"> (incremental cost is minimal) and completing the multilingual audit by mid-November. Tagalog is among the eight languages IDOL is directed to publish, so the HR Audit’s concern about a missing Tagalog template should resolve once IDOL publishes. If IDOL misses its November 15 deadline, the Company should commission certified translations.</w:t>
      </w:r>
    </w:p>
    <w:p>
      <w:pPr>
        <w:pStyle w:val="Heading2"/>
      </w:pPr>
      <w:r>
        <w:t>B. Phase 2 (April 1, 2026)</w:t>
      </w:r>
    </w:p>
    <w:p>
      <w:pPr>
        <w:pStyle w:val="Heading3"/>
      </w:pPr>
      <w:r>
        <w:t>1. Wage notices: the retroactivity question</w:t>
      </w:r>
    </w:p>
    <w:p>
      <w:pPr>
        <w:jc w:val="both"/>
      </w:pPr>
      <w:r>
        <w:t xml:space="preserve">The statutory text requires notices “at the time of hire and upon any change.” The sponsor stated on the floor that existing employees should receive notices within 90 days of April 1 (that is, by June 30, 2026). Representatives Murchison and Kowalski objected on the record that the text does not say this, and no conforming amendment was adopted. IDOL cannot issue rules until Oct 1, 2026. </w:t>
      </w:r>
      <w:r>
        <w:rPr>
          <w:b/>
        </w:rPr>
        <w:t>Working position: treat the notice as owed to all 3,218 existing employees, beginning distribution in March 2026 and finishing well before June 30, 2026.</w:t>
      </w:r>
      <w:r>
        <w:t xml:space="preserve"> The cost is modest (included in the $34,000 line). The downside of the narrow reading is $3.218M in penalties plus Phase 4 class exposure. The HR Audit’s alternative target of “on or before April 1” is acceptable if it can be achieved, but nothing in the record requires it.</w:t>
      </w:r>
    </w:p>
    <w:p>
      <w:pPr>
        <w:jc w:val="both"/>
      </w:pPr>
      <w:r>
        <w:rPr>
          <w:b/>
        </w:rPr>
        <w:t>Language of notices.</w:t>
      </w:r>
      <w:r>
        <w:t xml:space="preserve"> The wage-notice language duty is tied to </w:t>
      </w:r>
      <w:r>
        <w:rPr>
          <w:b/>
        </w:rPr>
        <w:t>each employee’s primary language</w:t>
      </w:r>
      <w:r>
        <w:t xml:space="preserve"> where IDOL has published a template. It is not tied to the per-site 5% posting threshold. The HR Audit plans Tagalog notices only at Waukegan. Under the per-employee rule, all 42 Tagalog speakers, wherever they work, and any Mandarin or Arabic speakers would receive notices in their language once templates exist. The Floor Debate indicates that IDOL wage-notice templates are due within 60 days </w:t>
      </w:r>
      <w:r>
        <w:rPr>
          <w:i/>
        </w:rPr>
        <w:t>after</w:t>
      </w:r>
      <w:r>
        <w:t xml:space="preserve"> April 1 (about May 31, 2026). Notices issued before then should be re-issued in the template language. </w:t>
      </w:r>
      <w:r>
        <w:rPr>
          <w:b/>
        </w:rPr>
        <w:t>Change notices:</w:t>
      </w:r>
      <w:r>
        <w:t xml:space="preserve"> HR proposes giving notice </w:t>
      </w:r>
      <w:r>
        <w:rPr>
          <w:i/>
        </w:rPr>
        <w:t>before</w:t>
      </w:r>
      <w:r>
        <w:t xml:space="preserve"> a change takes effect; the statute requires notice “upon” a change. HR’s approach is the safer practice. Cascade should be configured so that every rate, shift-differential, schedule or classification change generates a notice. </w:t>
      </w:r>
      <w:r>
        <w:rPr>
          <w:b/>
        </w:rPr>
        <w:t>Content:</w:t>
      </w:r>
      <w:r>
        <w:t xml:space="preserve"> the current offer letter lacks the FEIN, telephone number, specific payday, allowances statement (“none claimed”), leave-accrual rate and a separate acknowledgment.</w:t>
      </w:r>
    </w:p>
    <w:p>
      <w:pPr>
        <w:pStyle w:val="Heading3"/>
      </w:pPr>
      <w:r>
        <w:t>2. Recordkeeping and direct deposit</w:t>
      </w:r>
    </w:p>
    <w:p>
      <w:pPr>
        <w:jc w:val="both"/>
      </w:pPr>
      <w:r>
        <w:t xml:space="preserve">Retention must move from 4 years (Policy HR-2021-004) to 7 years. Records on Oakvale tape take 5–10 business days to retrieve, which fails the 72-hour standard. Records requiring third-party vendor involvement are deemed non-compliant in any event. Actions: (i) change the Cascade retention parameter </w:t>
      </w:r>
      <w:r>
        <w:rPr>
          <w:b/>
        </w:rPr>
        <w:t>now</w:t>
      </w:r>
      <w:r>
        <w:t>, so that no further records age out to tape; (ii) migrate the existing tape records into searchable storage by March 1, 2026; (iii) suspend destruction immediately. To the extent records back to April 2019 have already been destroyed, document that fact. They cannot be recreated, and counsel should advise whether the 7-year rule reaches records created before April 1, 2026. Production rights must extend to FlexForce. MSA §5.1(c) currently allows Omnicron to inspect FlexForce records only on five business days’ notice, which is inconsistent with a 72-hour production obligation once Omnicron is a joint employer. For direct deposit, confirm in writing that no facility requires direct deposit or charges check fees.</w:t>
      </w:r>
    </w:p>
    <w:p>
      <w:pPr>
        <w:pStyle w:val="Heading2"/>
      </w:pPr>
      <w:r>
        <w:t>C. Phase 3 (July 1, 2026)</w:t>
      </w:r>
    </w:p>
    <w:p>
      <w:pPr>
        <w:pStyle w:val="Heading3"/>
      </w:pPr>
      <w:r>
        <w:t>1. Delivery drivers and the ABC test</w:t>
      </w:r>
    </w:p>
    <w:p>
      <w:pPr>
        <w:jc w:val="both"/>
      </w:pPr>
      <w:r>
        <w:t>The record contains an unusually complete set of control facts. Several facts in the HR Audit are inconsistent with the governing Independent Contractor Agreement, and the Agreement is the more reliable source: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728"/>
            <w:shd w:val="clear" w:color="auto" w:fill="1F2A44"/>
          </w:tcPr>
          <w:p>
            <w:r/>
            <w:r>
              <w:rPr>
                <w:b/>
                <w:color w:val="FFFFFF"/>
                <w:sz w:val="17"/>
              </w:rPr>
              <w:t>ABC prong</w:t>
            </w:r>
          </w:p>
        </w:tc>
        <w:tc>
          <w:tcPr>
            <w:tcW w:type="dxa" w:w="5616"/>
            <w:shd w:val="clear" w:color="auto" w:fill="1F2A44"/>
          </w:tcPr>
          <w:p>
            <w:r/>
            <w:r>
              <w:rPr>
                <w:b/>
                <w:color w:val="FFFFFF"/>
                <w:sz w:val="17"/>
              </w:rPr>
              <w:t>Facts (source)</w:t>
            </w:r>
          </w:p>
        </w:tc>
        <w:tc>
          <w:tcPr>
            <w:tcW w:type="dxa" w:w="2016"/>
            <w:shd w:val="clear" w:color="auto" w:fill="1F2A44"/>
          </w:tcPr>
          <w:p>
            <w:r/>
            <w:r>
              <w:rPr>
                <w:b/>
                <w:color w:val="FFFFFF"/>
                <w:sz w:val="17"/>
              </w:rPr>
              <w:t>Assessment</w:t>
            </w:r>
          </w:p>
        </w:tc>
      </w:tr>
      <w:tr>
        <w:tc>
          <w:tcPr>
            <w:tcW w:type="dxa" w:w="1728"/>
          </w:tcPr>
          <w:p>
            <w:pPr>
              <w:spacing w:after="0"/>
            </w:pPr>
            <w:r>
              <w:rPr>
                <w:sz w:val="17"/>
              </w:rPr>
            </w:r>
            <w:r>
              <w:rPr>
                <w:sz w:val="17"/>
              </w:rPr>
              <w:t>A — free from control</w:t>
            </w:r>
          </w:p>
        </w:tc>
        <w:tc>
          <w:tcPr>
            <w:tcW w:type="dxa" w:w="5616"/>
          </w:tcPr>
          <w:p>
            <w:pPr>
              <w:spacing w:after="0"/>
            </w:pPr>
            <w:r>
              <w:rPr>
                <w:sz w:val="17"/>
              </w:rPr>
            </w:r>
            <w:r>
              <w:rPr>
                <w:sz w:val="17"/>
              </w:rPr>
              <w:t>Routes generated by Omnicron software and must be followed; deviations reported within 30 minutes (IC §1.4). Omnicron-assigned 6 AM–6 PM windows, minimum 5 per week, no more than 2 declines per month (§§2.1–2.3). Lateness documented and can lead to termination (§2.4). Branded leased vehicle, uniforms, appearance standards, GPS monitoring (§§4.1, 4.3, 4.5). Operations Manual protocols; 97% completion and 4.2 rating metrics (§§5.1, 5.4). 16 hours of mandatory, unpaid training (§5.3). The “method and manner” clause (§6.3) is contradicted by these terms, and the Act makes contract labels non-dispositive.</w:t>
            </w:r>
          </w:p>
        </w:tc>
        <w:tc>
          <w:tcPr>
            <w:tcW w:type="dxa" w:w="2016"/>
          </w:tcPr>
          <w:p>
            <w:pPr>
              <w:spacing w:after="0"/>
            </w:pPr>
            <w:r>
              <w:rPr>
                <w:sz w:val="17"/>
              </w:rPr>
            </w:r>
            <w:r>
              <w:rPr>
                <w:sz w:val="17"/>
              </w:rPr>
              <w:t>Very likely fails</w:t>
            </w:r>
          </w:p>
        </w:tc>
      </w:tr>
      <w:tr>
        <w:tc>
          <w:tcPr>
            <w:tcW w:type="dxa" w:w="1728"/>
            <w:shd w:val="clear" w:color="auto" w:fill="F2F4F8"/>
          </w:tcPr>
          <w:p>
            <w:pPr>
              <w:spacing w:after="0"/>
            </w:pPr>
            <w:r>
              <w:rPr>
                <w:sz w:val="17"/>
              </w:rPr>
            </w:r>
            <w:r>
              <w:rPr>
                <w:sz w:val="17"/>
              </w:rPr>
              <w:t>B — outside usual course of business</w:t>
            </w:r>
          </w:p>
        </w:tc>
        <w:tc>
          <w:tcPr>
            <w:tcW w:type="dxa" w:w="5616"/>
            <w:shd w:val="clear" w:color="auto" w:fill="F2F4F8"/>
          </w:tcPr>
          <w:p>
            <w:pPr>
              <w:spacing w:after="0"/>
            </w:pPr>
            <w:r>
              <w:rPr>
                <w:sz w:val="17"/>
              </w:rPr>
            </w:r>
            <w:r>
              <w:rPr>
                <w:sz w:val="17"/>
              </w:rPr>
              <w:t>Recitals describe Omnicron as providing “delivery and distribution services.” Delivery is about 31% of revenue (about $151M of $487M) and is marketed as a differentiator (HR Audit).</w:t>
            </w:r>
          </w:p>
        </w:tc>
        <w:tc>
          <w:tcPr>
            <w:tcW w:type="dxa" w:w="2016"/>
            <w:shd w:val="clear" w:color="auto" w:fill="F2F4F8"/>
          </w:tcPr>
          <w:p>
            <w:pPr>
              <w:spacing w:after="0"/>
            </w:pPr>
            <w:r>
              <w:rPr>
                <w:sz w:val="17"/>
              </w:rPr>
            </w:r>
            <w:r>
              <w:rPr>
                <w:sz w:val="17"/>
              </w:rPr>
              <w:t>Almost certainly fails; restructuring individual contracts cannot cure this</w:t>
            </w:r>
          </w:p>
        </w:tc>
      </w:tr>
      <w:tr>
        <w:tc>
          <w:tcPr>
            <w:tcW w:type="dxa" w:w="1728"/>
          </w:tcPr>
          <w:p>
            <w:pPr>
              <w:spacing w:after="0"/>
            </w:pPr>
            <w:r>
              <w:rPr>
                <w:sz w:val="17"/>
              </w:rPr>
            </w:r>
            <w:r>
              <w:rPr>
                <w:sz w:val="17"/>
              </w:rPr>
              <w:t>C — independently established business</w:t>
            </w:r>
          </w:p>
        </w:tc>
        <w:tc>
          <w:tcPr>
            <w:tcW w:type="dxa" w:w="5616"/>
          </w:tcPr>
          <w:p>
            <w:pPr>
              <w:spacing w:after="0"/>
            </w:pPr>
            <w:r>
              <w:rPr>
                <w:sz w:val="17"/>
              </w:rPr>
            </w:r>
            <w:r>
              <w:rPr>
                <w:b/>
                <w:sz w:val="17"/>
              </w:rPr>
              <w:t>Exclusivity clause bars work for any “direct competitor” in the six counties (IC §5.5).</w:t>
            </w:r>
            <w:r>
              <w:rPr>
                <w:sz w:val="17"/>
              </w:rPr>
              <w:t xml:space="preserve"> The HR Audit states there is no formal exclusivity clause; that is wrong. The vehicle may be used only for Omnicron (§4.1). 680 of 740 (91.9%) work only for Omnicron. A 6-month non-solicit applies (§10.1).</w:t>
            </w:r>
          </w:p>
        </w:tc>
        <w:tc>
          <w:tcPr>
            <w:tcW w:type="dxa" w:w="2016"/>
          </w:tcPr>
          <w:p>
            <w:pPr>
              <w:spacing w:after="0"/>
            </w:pPr>
            <w:r>
              <w:rPr>
                <w:sz w:val="17"/>
              </w:rPr>
            </w:r>
            <w:r>
              <w:rPr>
                <w:sz w:val="17"/>
              </w:rPr>
              <w:t>Very likely fails</w:t>
            </w:r>
          </w:p>
        </w:tc>
      </w:tr>
    </w:tbl>
    <w:p>
      <w:pPr>
        <w:spacing w:after="40"/>
      </w:pPr>
    </w:p>
    <w:p>
      <w:pPr>
        <w:jc w:val="both"/>
      </w:pPr>
      <w:r>
        <w:rPr>
          <w:b/>
        </w:rPr>
        <w:t>Options for the January Board decision.</w:t>
      </w:r>
      <w:r>
        <w:t xml:space="preserve"> (1) </w:t>
      </w:r>
      <w:r>
        <w:rPr>
          <w:i/>
        </w:rPr>
        <w:t>Reclassify as W-2 employees effective on or before July 1, 2026.</w:t>
      </w:r>
      <w:r>
        <w:t xml:space="preserve"> Recomputed incremental cost is $13.78M per year. That figure excludes overtime (illustratively $5.1–$8.4M per year, see Section VII), paid leave, 401(k), payroll administration and expense reimbursement (phones and hand trucks are now driver-supplied, and the mileage rate is $0.38). It also requires redesigning the pay plan (hourly or a compliant piece-rate plan) and stopping vehicle-lease deductions from wages unless a lawful written authorization exists. (2) </w:t>
      </w:r>
      <w:r>
        <w:rPr>
          <w:i/>
        </w:rPr>
        <w:t>Move to independent third-party delivery carriers that employ their own drivers.</w:t>
      </w:r>
      <w:r>
        <w:t xml:space="preserve"> This avoids Omnicron’s direct ABC exposure only if the carriers are genuine businesses. It carries procurement lead time, and its treatment under §20-10 (whether such carriers could be treated as “staffing agencies”) must be confirmed. (3) </w:t>
      </w:r>
      <w:r>
        <w:rPr>
          <w:i/>
        </w:rPr>
        <w:t>Hybrid.</w:t>
      </w:r>
      <w:r>
        <w:t xml:space="preserve"> Redrafting the IC Agreement alone is not a viable option, because Prong B cannot be satisfied for drivers performing Omnicron’s core delivery service.</w:t>
      </w:r>
    </w:p>
    <w:p>
      <w:pPr>
        <w:jc w:val="both"/>
      </w:pPr>
      <w:r>
        <w:rPr>
          <w:b/>
        </w:rPr>
        <w:t>Why January, not February.</w:t>
      </w:r>
      <w:r>
        <w:t xml:space="preserve"> Any option requires 4–5 months of execution. That includes payroll set-up and a further Verdant change order, Thornhill workers’ compensation coverage, Lakeshore benefits eligibility, I-9s, and wage notices at hire (Phase 2 applies to these new hires). It also includes unwinding vehicle leases and issuing 14-day IC termination notices (§9.3). Penalties run per calendar quarter in which misclassification continues, so being late by days into Q3 costs $1.85M. </w:t>
      </w:r>
      <w:r>
        <w:rPr>
          <w:b/>
        </w:rPr>
        <w:t>Related exposures that do not depend on the Act</w:t>
      </w:r>
      <w:r>
        <w:t xml:space="preserve"> (to be assessed under privilege): overtime and minimum-wage exposure for prior periods under existing federal and Illinois law, and the federal and state employment-tax treatment of the transition (including whether the IRS Voluntary Classification Settlement Program is advisable). The IC Agreement’s AAA arbitration clause (§11.2) contains no class waiver, and counsel should not assume it will limit class claims under the Act.</w:t>
      </w:r>
    </w:p>
    <w:p>
      <w:pPr>
        <w:pStyle w:val="Heading3"/>
      </w:pPr>
      <w:r>
        <w:t>2. FlexForce joint-employer liability</w:t>
      </w:r>
    </w:p>
    <w:p>
      <w:pPr>
        <w:jc w:val="both"/>
      </w:pPr>
      <w:r>
        <w:t>Amendment No. 2 gives Omnicron the right to set shifts and mandatory overtime (§3.2), to direct the “manner, methods, and means” of work (§3.3), and to reject or remove workers at its “sole discretion” (§3.4). Those terms satisfy joint-employer tests (a) and (c), and possibly (b), because Omnicron negotiates a billing rate tied to the wage. The “no joint employment” disclaimer (§3.5) has no effect against the statute. The wage-and-hour indemnity (§8.3) expressly covers penalties and claims “regardless of whether Omnicron is named as … joint employer.” Under the non-waiver clause (§20-10(e)), it is void to the extent it purports to relieve Omnicron of liability. At best it remains a contractual reimbursement right against FlexForce, so its value depends on FlexForce’s solvency. Note also that §8.3 survives only 4 years, while the private-action limitations period runs up to 5.</w:t>
      </w:r>
    </w:p>
    <w:p>
      <w:pPr>
        <w:jc w:val="both"/>
      </w:pPr>
      <w:r>
        <w:rPr>
          <w:b/>
        </w:rPr>
        <w:t>Record corrections.</w:t>
      </w:r>
      <w:r>
        <w:t xml:space="preserve"> Both the Counsel Summary and the HR Audit describe the MSA as “amended January 8, 2024” by Amendment No. 1 and attribute §8.3 to Amendment No. 1. In fact the January 8, 2024 instrument is </w:t>
      </w:r>
      <w:r>
        <w:rPr>
          <w:b/>
        </w:rPr>
        <w:t>Amendment No. 2</w:t>
      </w:r>
      <w:r>
        <w:t>, which replaced §8 in full. The Cost Workbook says the MSA was “executed 2021”; the correct date is March 15, 2022. Amendment No. 1 is not in the record and should be reviewed.</w:t>
      </w:r>
    </w:p>
    <w:p>
      <w:pPr>
        <w:jc w:val="both"/>
      </w:pPr>
      <w:r>
        <w:rPr>
          <w:b/>
        </w:rPr>
        <w:t>Amendment No. 3 terms to seek:</w:t>
      </w:r>
      <w:r>
        <w:t xml:space="preserve"> on-demand access to records for Omnicron-assigned workers within 48 hours, which supports Omnicron’s own 72-hour obligation; monthly compliance certifications covering pay stubs, wage notices and records; quarterly audit rights; copies of wage-notice acknowledgments; immediate notice of IDOL inquiries; a cure-or-terminate right for compliance failures; extension of indemnity survival to at least 5 years plus a fully funded insurance or credit-support backstop; and confirmation that the $16.25 wage and the $22.50 / $31.50 billing rates fund paid-leave accrual and the new compliance obligations. FlexForce may seek a rate increase; MSA §4.4 caps annual increases at 4% absent agreement. </w:t>
      </w:r>
      <w:r>
        <w:rPr>
          <w:b/>
        </w:rPr>
        <w:t>Leverage:</w:t>
      </w:r>
      <w:r>
        <w:t xml:space="preserve"> the term ends March 14, 2026, and either party may prevent renewal on 90 days’ notice (by Dec 14, 2025). Omnicron may also terminate for convenience on 90 days’ notice (§9.3). Because penalty accrual for pay stubs runs from Jan 1, 2026, Omnicron should also obtain FlexForce’s Phase 1 compliance certification in January 2026, even though joint-employer liability formally begins July 1.</w:t>
      </w:r>
    </w:p>
    <w:p>
      <w:pPr>
        <w:pStyle w:val="Heading2"/>
      </w:pPr>
      <w:r>
        <w:t>D. Phase 4 (October 1, 2026) and the Safe Harbor</w:t>
      </w:r>
    </w:p>
    <w:p>
      <w:pPr>
        <w:jc w:val="both"/>
      </w:pPr>
      <w:r>
        <w:t>From October 1, 2026, employees may sue directly, without exhausting administrative remedies, for treble unpaid wages, mandatory fees and expert costs. Commonality is presumed where a uniform payroll practice, classification policy or stub format applies, which describes every gap in this memorandum. The limitations period of the later of 3 years from discovery or 5 years from violation means that 2026 compliance failures will remain actionable into 2031.</w:t>
      </w:r>
    </w:p>
    <w:p>
      <w:pPr>
        <w:jc w:val="both"/>
      </w:pPr>
      <w:r>
        <w:t>The safe harbor is narrower and later than the HR Audit and the Cost Workbook assume:</w:t>
      </w:r>
    </w:p>
    <w:p>
      <w:pPr>
        <w:pStyle w:val="ListBullet"/>
        <w:spacing w:after="60"/>
      </w:pPr>
      <w:r>
        <w:rPr>
          <w:b/>
        </w:rPr>
        <w:t>Timing:</w:t>
      </w:r>
      <w:r>
        <w:t xml:space="preserve"> it is a Phase 4 provision (Oct 1, 2026), and cure procedures depend on IDOL rulemaking that also begins Oct 1. IDOL can begin investigating on July 1, and an investigation forecloses self-reporting. Phase 1 or 2 failures are therefore exposed for at least three months with no safe harbor. Counsel should advise whether a voluntary disclosure before Oct 1 is possible or advisable.</w:t>
      </w:r>
    </w:p>
    <w:p>
      <w:pPr>
        <w:pStyle w:val="ListBullet"/>
        <w:spacing w:after="60"/>
      </w:pPr>
      <w:r>
        <w:rPr>
          <w:b/>
        </w:rPr>
        <w:t>Conditions</w:t>
      </w:r>
      <w:r>
        <w:t xml:space="preserve"> (Counsel Summary): self-report before any complaint or investigation; corrective-action plan within 15 days; full cure within 60 days; proof of cure within 10 days after completion; one use per provision in the first 24 months. The HR Audit omits the plan and proof requirements and the one-use limit.</w:t>
      </w:r>
    </w:p>
    <w:p>
      <w:pPr>
        <w:pStyle w:val="ListBullet"/>
        <w:spacing w:after="60"/>
      </w:pPr>
      <w:r>
        <w:rPr>
          <w:b/>
        </w:rPr>
        <w:t>Scope conflict:</w:t>
      </w:r>
      <w:r>
        <w:t xml:space="preserve"> the Counsel Summary includes recordkeeping; the sponsor’s floor statement lists only pay stubs and wage notices. Treat recordkeeping as </w:t>
      </w:r>
      <w:r>
        <w:rPr>
          <w:i/>
        </w:rPr>
        <w:t>not</w:t>
      </w:r>
      <w:r>
        <w:t xml:space="preserve"> covered until the enrolled text confirms otherwise.</w:t>
      </w:r>
    </w:p>
    <w:p>
      <w:pPr>
        <w:pStyle w:val="ListBullet"/>
        <w:spacing w:after="60"/>
      </w:pPr>
      <w:r>
        <w:rPr>
          <w:b/>
        </w:rPr>
        <w:t>Consequences:</w:t>
      </w:r>
      <w:r>
        <w:t xml:space="preserve"> the safe harbor waives penalties only, not unpaid wages. According to the sponsor, a failed cure reinstates penalties “retroactively to the original violation date.” Self-reporting also creates an admission record. It should be decided case by case with counsel, not planned for in advance.</w:t>
      </w:r>
    </w:p>
    <w:p>
      <w:pPr>
        <w:pStyle w:val="Heading1"/>
      </w:pPr>
      <w:r>
        <w:t>VII. Exposure Analysis (Corrected)</w:t>
      </w:r>
    </w:p>
    <w:p>
      <w:pPr>
        <w:jc w:val="both"/>
      </w:pPr>
      <w:r>
        <w:rPr>
          <w:i/>
          <w:sz w:val="19"/>
        </w:rPr>
        <w:t>All figures are statutory maximums assuming non-compliance continues. They are not predictions of what IDOL would assess. Pay-stub penalties accrue from Jan 1, 2026 but are enforceable only from Jul 1, 2026. There are 26 biweekly paydays in 2026 if the cycle starts on Jan 2.</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944"/>
            <w:shd w:val="clear" w:color="auto" w:fill="1F2A44"/>
          </w:tcPr>
          <w:p>
            <w:r/>
            <w:r>
              <w:rPr>
                <w:b/>
                <w:color w:val="FFFFFF"/>
                <w:sz w:val="17"/>
              </w:rPr>
              <w:t>Exposure</w:t>
            </w:r>
          </w:p>
        </w:tc>
        <w:tc>
          <w:tcPr>
            <w:tcW w:type="dxa" w:w="2664"/>
            <w:shd w:val="clear" w:color="auto" w:fill="1F2A44"/>
          </w:tcPr>
          <w:p>
            <w:r/>
            <w:r>
              <w:rPr>
                <w:b/>
                <w:color w:val="FFFFFF"/>
                <w:sz w:val="17"/>
              </w:rPr>
              <w:t>Calculation</w:t>
            </w:r>
          </w:p>
        </w:tc>
        <w:tc>
          <w:tcPr>
            <w:tcW w:type="dxa" w:w="1944"/>
            <w:shd w:val="clear" w:color="auto" w:fill="1F2A44"/>
          </w:tcPr>
          <w:p>
            <w:r/>
            <w:r>
              <w:rPr>
                <w:b/>
                <w:color w:val="FFFFFF"/>
                <w:sz w:val="17"/>
              </w:rPr>
              <w:t>Amount</w:t>
            </w:r>
          </w:p>
        </w:tc>
        <w:tc>
          <w:tcPr>
            <w:tcW w:type="dxa" w:w="2808"/>
            <w:shd w:val="clear" w:color="auto" w:fill="1F2A44"/>
          </w:tcPr>
          <w:p>
            <w:r/>
            <w:r>
              <w:rPr>
                <w:b/>
                <w:color w:val="FFFFFF"/>
                <w:sz w:val="17"/>
              </w:rPr>
              <w:t>Comment</w:t>
            </w:r>
          </w:p>
        </w:tc>
      </w:tr>
      <w:tr>
        <w:tc>
          <w:tcPr>
            <w:tcW w:type="dxa" w:w="1944"/>
          </w:tcPr>
          <w:p>
            <w:pPr>
              <w:spacing w:after="0"/>
            </w:pPr>
            <w:r>
              <w:rPr>
                <w:sz w:val="17"/>
              </w:rPr>
            </w:r>
            <w:r>
              <w:rPr>
                <w:sz w:val="17"/>
              </w:rPr>
              <w:t>Pay stubs — per pay period</w:t>
            </w:r>
          </w:p>
        </w:tc>
        <w:tc>
          <w:tcPr>
            <w:tcW w:type="dxa" w:w="2664"/>
          </w:tcPr>
          <w:p>
            <w:pPr>
              <w:spacing w:after="0"/>
            </w:pPr>
            <w:r>
              <w:rPr>
                <w:sz w:val="17"/>
              </w:rPr>
            </w:r>
            <w:r>
              <w:rPr>
                <w:sz w:val="17"/>
              </w:rPr>
              <w:t>3,218 × $500</w:t>
            </w:r>
          </w:p>
        </w:tc>
        <w:tc>
          <w:tcPr>
            <w:tcW w:type="dxa" w:w="1944"/>
          </w:tcPr>
          <w:p>
            <w:pPr>
              <w:spacing w:after="0"/>
            </w:pPr>
            <w:r>
              <w:rPr>
                <w:sz w:val="17"/>
              </w:rPr>
            </w:r>
            <w:r>
              <w:rPr>
                <w:sz w:val="17"/>
              </w:rPr>
              <w:t>$1,609,000</w:t>
            </w:r>
          </w:p>
        </w:tc>
        <w:tc>
          <w:tcPr>
            <w:tcW w:type="dxa" w:w="2808"/>
          </w:tcPr>
          <w:p>
            <w:pPr>
              <w:spacing w:after="0"/>
            </w:pPr>
            <w:r>
              <w:rPr>
                <w:sz w:val="17"/>
              </w:rPr>
            </w:r>
            <w:r>
              <w:rPr>
                <w:sz w:val="17"/>
              </w:rPr>
              <w:t xml:space="preserve">Counsel Summary states “approximately $3.22 million”, which is </w:t>
            </w:r>
            <w:r>
              <w:rPr>
                <w:b/>
                <w:sz w:val="17"/>
              </w:rPr>
              <w:t>overstated 2×</w:t>
            </w:r>
          </w:p>
        </w:tc>
      </w:tr>
      <w:tr>
        <w:tc>
          <w:tcPr>
            <w:tcW w:type="dxa" w:w="1944"/>
            <w:shd w:val="clear" w:color="auto" w:fill="F2F4F8"/>
          </w:tcPr>
          <w:p>
            <w:pPr>
              <w:spacing w:after="0"/>
            </w:pPr>
            <w:r>
              <w:rPr>
                <w:sz w:val="17"/>
              </w:rPr>
            </w:r>
            <w:r>
              <w:rPr>
                <w:sz w:val="17"/>
              </w:rPr>
              <w:t>Pay stubs — full year</w:t>
            </w:r>
          </w:p>
        </w:tc>
        <w:tc>
          <w:tcPr>
            <w:tcW w:type="dxa" w:w="2664"/>
            <w:shd w:val="clear" w:color="auto" w:fill="F2F4F8"/>
          </w:tcPr>
          <w:p>
            <w:pPr>
              <w:spacing w:after="0"/>
            </w:pPr>
            <w:r>
              <w:rPr>
                <w:sz w:val="17"/>
              </w:rPr>
            </w:r>
            <w:r>
              <w:rPr>
                <w:sz w:val="17"/>
              </w:rPr>
              <w:t>3,218 × $500 × 26</w:t>
            </w:r>
          </w:p>
        </w:tc>
        <w:tc>
          <w:tcPr>
            <w:tcW w:type="dxa" w:w="1944"/>
            <w:shd w:val="clear" w:color="auto" w:fill="F2F4F8"/>
          </w:tcPr>
          <w:p>
            <w:pPr>
              <w:spacing w:after="0"/>
            </w:pPr>
            <w:r>
              <w:rPr>
                <w:sz w:val="17"/>
              </w:rPr>
            </w:r>
            <w:r>
              <w:rPr>
                <w:sz w:val="17"/>
              </w:rPr>
              <w:t>$41,834,000</w:t>
            </w:r>
          </w:p>
        </w:tc>
        <w:tc>
          <w:tcPr>
            <w:tcW w:type="dxa" w:w="2808"/>
            <w:shd w:val="clear" w:color="auto" w:fill="F2F4F8"/>
          </w:tcPr>
          <w:p>
            <w:pPr>
              <w:spacing w:after="0"/>
            </w:pPr>
            <w:r>
              <w:rPr>
                <w:sz w:val="17"/>
              </w:rPr>
            </w:r>
            <w:r>
              <w:rPr>
                <w:sz w:val="17"/>
              </w:rPr>
              <w:t xml:space="preserve">Counsel Summary states “$83.7 million”, which is </w:t>
            </w:r>
            <w:r>
              <w:rPr>
                <w:b/>
                <w:sz w:val="17"/>
              </w:rPr>
              <w:t>overstated 2×</w:t>
            </w:r>
            <w:r>
              <w:rPr>
                <w:sz w:val="17"/>
              </w:rPr>
              <w:t>. The HR Audit and Workbook figure is correct.</w:t>
            </w:r>
          </w:p>
        </w:tc>
      </w:tr>
      <w:tr>
        <w:tc>
          <w:tcPr>
            <w:tcW w:type="dxa" w:w="1944"/>
          </w:tcPr>
          <w:p>
            <w:pPr>
              <w:spacing w:after="0"/>
            </w:pPr>
            <w:r>
              <w:rPr>
                <w:sz w:val="17"/>
              </w:rPr>
            </w:r>
            <w:r>
              <w:rPr>
                <w:sz w:val="17"/>
              </w:rPr>
              <w:t>Pay stubs — Verdant mid-Feb slip</w:t>
            </w:r>
          </w:p>
        </w:tc>
        <w:tc>
          <w:tcPr>
            <w:tcW w:type="dxa" w:w="2664"/>
          </w:tcPr>
          <w:p>
            <w:pPr>
              <w:spacing w:after="0"/>
            </w:pPr>
            <w:r>
              <w:rPr>
                <w:sz w:val="17"/>
              </w:rPr>
            </w:r>
            <w:r>
              <w:rPr>
                <w:sz w:val="17"/>
              </w:rPr>
              <w:t>3–4 pay periods × $1,609,000</w:t>
            </w:r>
          </w:p>
        </w:tc>
        <w:tc>
          <w:tcPr>
            <w:tcW w:type="dxa" w:w="1944"/>
          </w:tcPr>
          <w:p>
            <w:pPr>
              <w:spacing w:after="0"/>
            </w:pPr>
            <w:r>
              <w:rPr>
                <w:sz w:val="17"/>
              </w:rPr>
            </w:r>
            <w:r>
              <w:rPr>
                <w:sz w:val="17"/>
              </w:rPr>
              <w:t>$4.8M–$6.4M</w:t>
            </w:r>
          </w:p>
        </w:tc>
        <w:tc>
          <w:tcPr>
            <w:tcW w:type="dxa" w:w="2808"/>
          </w:tcPr>
          <w:p>
            <w:pPr>
              <w:spacing w:after="0"/>
            </w:pPr>
            <w:r>
              <w:rPr>
                <w:sz w:val="17"/>
              </w:rPr>
            </w:r>
            <w:r>
              <w:rPr>
                <w:sz w:val="17"/>
              </w:rPr>
              <w:t>Realistic downside if the amendment slips past mid-October</w:t>
            </w:r>
          </w:p>
        </w:tc>
      </w:tr>
      <w:tr>
        <w:tc>
          <w:tcPr>
            <w:tcW w:type="dxa" w:w="1944"/>
            <w:shd w:val="clear" w:color="auto" w:fill="F2F4F8"/>
          </w:tcPr>
          <w:p>
            <w:pPr>
              <w:spacing w:after="0"/>
            </w:pPr>
            <w:r>
              <w:rPr>
                <w:sz w:val="17"/>
              </w:rPr>
            </w:r>
            <w:r>
              <w:rPr>
                <w:sz w:val="17"/>
              </w:rPr>
              <w:t>Wage notices (existing staff)</w:t>
            </w:r>
          </w:p>
        </w:tc>
        <w:tc>
          <w:tcPr>
            <w:tcW w:type="dxa" w:w="2664"/>
            <w:shd w:val="clear" w:color="auto" w:fill="F2F4F8"/>
          </w:tcPr>
          <w:p>
            <w:pPr>
              <w:spacing w:after="0"/>
            </w:pPr>
            <w:r>
              <w:rPr>
                <w:sz w:val="17"/>
              </w:rPr>
            </w:r>
            <w:r>
              <w:rPr>
                <w:sz w:val="17"/>
              </w:rPr>
              <w:t>3,218 × $1,000</w:t>
            </w:r>
          </w:p>
        </w:tc>
        <w:tc>
          <w:tcPr>
            <w:tcW w:type="dxa" w:w="1944"/>
            <w:shd w:val="clear" w:color="auto" w:fill="F2F4F8"/>
          </w:tcPr>
          <w:p>
            <w:pPr>
              <w:spacing w:after="0"/>
            </w:pPr>
            <w:r>
              <w:rPr>
                <w:sz w:val="17"/>
              </w:rPr>
            </w:r>
            <w:r>
              <w:rPr>
                <w:sz w:val="17"/>
              </w:rPr>
              <w:t>$3,218,000</w:t>
            </w:r>
          </w:p>
        </w:tc>
        <w:tc>
          <w:tcPr>
            <w:tcW w:type="dxa" w:w="2808"/>
            <w:shd w:val="clear" w:color="auto" w:fill="F2F4F8"/>
          </w:tcPr>
          <w:p>
            <w:pPr>
              <w:spacing w:after="0"/>
            </w:pPr>
            <w:r>
              <w:rPr>
                <w:sz w:val="17"/>
              </w:rPr>
            </w:r>
            <w:r>
              <w:rPr>
                <w:sz w:val="17"/>
              </w:rPr>
              <w:t>Avoidable at a cost of about $34,000</w:t>
            </w:r>
          </w:p>
        </w:tc>
      </w:tr>
      <w:tr>
        <w:tc>
          <w:tcPr>
            <w:tcW w:type="dxa" w:w="1944"/>
          </w:tcPr>
          <w:p>
            <w:pPr>
              <w:spacing w:after="0"/>
            </w:pPr>
            <w:r>
              <w:rPr>
                <w:sz w:val="17"/>
              </w:rPr>
            </w:r>
            <w:r>
              <w:rPr>
                <w:sz w:val="17"/>
              </w:rPr>
              <w:t>Recordkeeping</w:t>
            </w:r>
          </w:p>
        </w:tc>
        <w:tc>
          <w:tcPr>
            <w:tcW w:type="dxa" w:w="2664"/>
          </w:tcPr>
          <w:p>
            <w:pPr>
              <w:spacing w:after="0"/>
            </w:pPr>
            <w:r>
              <w:rPr>
                <w:sz w:val="17"/>
              </w:rPr>
            </w:r>
            <w:r>
              <w:rPr>
                <w:sz w:val="17"/>
              </w:rPr>
              <w:t>3,218 × $250, plus $100 per day late</w:t>
            </w:r>
          </w:p>
        </w:tc>
        <w:tc>
          <w:tcPr>
            <w:tcW w:type="dxa" w:w="1944"/>
          </w:tcPr>
          <w:p>
            <w:pPr>
              <w:spacing w:after="0"/>
            </w:pPr>
            <w:r>
              <w:rPr>
                <w:sz w:val="17"/>
              </w:rPr>
            </w:r>
            <w:r>
              <w:rPr>
                <w:sz w:val="17"/>
              </w:rPr>
              <w:t>$804,500 + daily</w:t>
            </w:r>
          </w:p>
        </w:tc>
        <w:tc>
          <w:tcPr>
            <w:tcW w:type="dxa" w:w="2808"/>
          </w:tcPr>
          <w:p>
            <w:pPr>
              <w:spacing w:after="0"/>
            </w:pPr>
            <w:r>
              <w:rPr>
                <w:sz w:val="17"/>
              </w:rPr>
            </w:r>
            <w:r>
              <w:rPr>
                <w:sz w:val="17"/>
              </w:rPr>
              <w:t>Not in the Workbook’s penalty tab</w:t>
            </w:r>
          </w:p>
        </w:tc>
      </w:tr>
      <w:tr>
        <w:tc>
          <w:tcPr>
            <w:tcW w:type="dxa" w:w="1944"/>
            <w:shd w:val="clear" w:color="auto" w:fill="F2F4F8"/>
          </w:tcPr>
          <w:p>
            <w:pPr>
              <w:spacing w:after="0"/>
            </w:pPr>
            <w:r>
              <w:rPr>
                <w:sz w:val="17"/>
              </w:rPr>
            </w:r>
            <w:r>
              <w:rPr>
                <w:sz w:val="17"/>
              </w:rPr>
              <w:t>IC misclassification</w:t>
            </w:r>
          </w:p>
        </w:tc>
        <w:tc>
          <w:tcPr>
            <w:tcW w:type="dxa" w:w="2664"/>
            <w:shd w:val="clear" w:color="auto" w:fill="F2F4F8"/>
          </w:tcPr>
          <w:p>
            <w:pPr>
              <w:spacing w:after="0"/>
            </w:pPr>
            <w:r>
              <w:rPr>
                <w:sz w:val="17"/>
              </w:rPr>
            </w:r>
            <w:r>
              <w:rPr>
                <w:sz w:val="17"/>
              </w:rPr>
              <w:t>740 × $2,500 per quarter</w:t>
            </w:r>
          </w:p>
        </w:tc>
        <w:tc>
          <w:tcPr>
            <w:tcW w:type="dxa" w:w="1944"/>
            <w:shd w:val="clear" w:color="auto" w:fill="F2F4F8"/>
          </w:tcPr>
          <w:p>
            <w:pPr>
              <w:spacing w:after="0"/>
            </w:pPr>
            <w:r>
              <w:rPr>
                <w:sz w:val="17"/>
              </w:rPr>
            </w:r>
            <w:r>
              <w:rPr>
                <w:sz w:val="17"/>
              </w:rPr>
              <w:t>$1,850,000 per quarter / $7,400,000 per year</w:t>
            </w:r>
          </w:p>
        </w:tc>
        <w:tc>
          <w:tcPr>
            <w:tcW w:type="dxa" w:w="2808"/>
            <w:shd w:val="clear" w:color="auto" w:fill="F2F4F8"/>
          </w:tcPr>
          <w:p>
            <w:pPr>
              <w:spacing w:after="0"/>
            </w:pPr>
            <w:r>
              <w:rPr>
                <w:sz w:val="17"/>
              </w:rPr>
            </w:r>
            <w:r>
              <w:rPr>
                <w:sz w:val="17"/>
              </w:rPr>
              <w:t>A full quarter accrues even for a partial-quarter slip</w:t>
            </w:r>
          </w:p>
        </w:tc>
      </w:tr>
      <w:tr>
        <w:tc>
          <w:tcPr>
            <w:tcW w:type="dxa" w:w="1944"/>
          </w:tcPr>
          <w:p>
            <w:pPr>
              <w:spacing w:after="0"/>
            </w:pPr>
            <w:r>
              <w:rPr>
                <w:sz w:val="17"/>
              </w:rPr>
            </w:r>
            <w:r>
              <w:rPr>
                <w:sz w:val="17"/>
              </w:rPr>
              <w:t>Driver reclassification (recurring cost)</w:t>
            </w:r>
          </w:p>
        </w:tc>
        <w:tc>
          <w:tcPr>
            <w:tcW w:type="dxa" w:w="2664"/>
          </w:tcPr>
          <w:p>
            <w:pPr>
              <w:spacing w:after="0"/>
            </w:pPr>
            <w:r>
              <w:rPr>
                <w:sz w:val="17"/>
              </w:rPr>
            </w:r>
            <w:r>
              <w:rPr>
                <w:sz w:val="17"/>
              </w:rPr>
              <w:t>FICA $3,872,124.00 + UI $321,811.20 + WC $4,261,867.20 + health $5,328,000.00</w:t>
            </w:r>
          </w:p>
        </w:tc>
        <w:tc>
          <w:tcPr>
            <w:tcW w:type="dxa" w:w="1944"/>
          </w:tcPr>
          <w:p>
            <w:pPr>
              <w:spacing w:after="0"/>
            </w:pPr>
            <w:r>
              <w:rPr>
                <w:sz w:val="17"/>
              </w:rPr>
            </w:r>
            <w:r>
              <w:rPr>
                <w:sz w:val="17"/>
              </w:rPr>
              <w:t>$13,783,802.40</w:t>
            </w:r>
          </w:p>
        </w:tc>
        <w:tc>
          <w:tcPr>
            <w:tcW w:type="dxa" w:w="2808"/>
          </w:tcPr>
          <w:p>
            <w:pPr>
              <w:spacing w:after="0"/>
            </w:pPr>
            <w:r>
              <w:rPr>
                <w:sz w:val="17"/>
              </w:rPr>
            </w:r>
            <w:r>
              <w:rPr>
                <w:sz w:val="17"/>
              </w:rPr>
              <w:t>Workbook shows $13,780,255.20; its FICA, UI and WC lines are each understated (by $720.00, $86.40 and $2,740.80)</w:t>
            </w:r>
          </w:p>
        </w:tc>
      </w:tr>
      <w:tr>
        <w:tc>
          <w:tcPr>
            <w:tcW w:type="dxa" w:w="1944"/>
            <w:shd w:val="clear" w:color="auto" w:fill="F2F4F8"/>
          </w:tcPr>
          <w:p>
            <w:pPr>
              <w:spacing w:after="0"/>
            </w:pPr>
            <w:r>
              <w:rPr>
                <w:sz w:val="17"/>
              </w:rPr>
            </w:r>
            <w:r>
              <w:rPr>
                <w:sz w:val="17"/>
              </w:rPr>
              <w:t>Driver overtime (illustrative)</w:t>
            </w:r>
          </w:p>
        </w:tc>
        <w:tc>
          <w:tcPr>
            <w:tcW w:type="dxa" w:w="2664"/>
            <w:shd w:val="clear" w:color="auto" w:fill="F2F4F8"/>
          </w:tcPr>
          <w:p>
            <w:pPr>
              <w:spacing w:after="0"/>
            </w:pPr>
            <w:r>
              <w:rPr>
                <w:sz w:val="17"/>
              </w:rPr>
            </w:r>
            <w:r>
              <w:rPr>
                <w:sz w:val="17"/>
              </w:rPr>
              <w:t>Piece-rate half-time premium: ($68,400 ÷ 52 ÷ hours) × 0.5 × (hours − 40) × 52 × 740</w:t>
            </w:r>
          </w:p>
        </w:tc>
        <w:tc>
          <w:tcPr>
            <w:tcW w:type="dxa" w:w="1944"/>
            <w:shd w:val="clear" w:color="auto" w:fill="F2F4F8"/>
          </w:tcPr>
          <w:p>
            <w:pPr>
              <w:spacing w:after="0"/>
            </w:pPr>
            <w:r>
              <w:rPr>
                <w:sz w:val="17"/>
              </w:rPr>
            </w:r>
            <w:r>
              <w:rPr>
                <w:sz w:val="17"/>
              </w:rPr>
              <w:t>50 hrs: $5.06M; 55 hrs: $6.90M; 60 hrs: $8.44M per year</w:t>
            </w:r>
          </w:p>
        </w:tc>
        <w:tc>
          <w:tcPr>
            <w:tcW w:type="dxa" w:w="2808"/>
            <w:shd w:val="clear" w:color="auto" w:fill="F2F4F8"/>
          </w:tcPr>
          <w:p>
            <w:pPr>
              <w:spacing w:after="0"/>
            </w:pPr>
            <w:r>
              <w:rPr>
                <w:sz w:val="17"/>
              </w:rPr>
            </w:r>
            <w:r>
              <w:rPr>
                <w:sz w:val="17"/>
              </w:rPr>
              <w:t>Workbook’s ~$37.96M applies 1.5× to a 2,080-hour rate. Counsel should confirm the method; hours are not yet audited</w:t>
            </w:r>
          </w:p>
        </w:tc>
      </w:tr>
      <w:tr>
        <w:tc>
          <w:tcPr>
            <w:tcW w:type="dxa" w:w="1944"/>
          </w:tcPr>
          <w:p>
            <w:pPr>
              <w:spacing w:after="0"/>
            </w:pPr>
            <w:r>
              <w:rPr>
                <w:sz w:val="17"/>
              </w:rPr>
            </w:r>
            <w:r>
              <w:rPr>
                <w:sz w:val="17"/>
              </w:rPr>
              <w:t>Treble damages (drivers)</w:t>
            </w:r>
          </w:p>
        </w:tc>
        <w:tc>
          <w:tcPr>
            <w:tcW w:type="dxa" w:w="2664"/>
          </w:tcPr>
          <w:p>
            <w:pPr>
              <w:spacing w:after="0"/>
            </w:pPr>
            <w:r>
              <w:rPr>
                <w:sz w:val="17"/>
              </w:rPr>
            </w:r>
            <w:r>
              <w:rPr>
                <w:sz w:val="17"/>
              </w:rPr>
              <w:t xml:space="preserve">3 × unpaid </w:t>
            </w:r>
            <w:r>
              <w:rPr>
                <w:b/>
                <w:sz w:val="17"/>
              </w:rPr>
              <w:t>wages</w:t>
            </w:r>
            <w:r>
              <w:rPr>
                <w:sz w:val="17"/>
              </w:rPr>
              <w:t xml:space="preserve"> (e.g., overtime)</w:t>
            </w:r>
          </w:p>
        </w:tc>
        <w:tc>
          <w:tcPr>
            <w:tcW w:type="dxa" w:w="1944"/>
          </w:tcPr>
          <w:p>
            <w:pPr>
              <w:spacing w:after="0"/>
            </w:pPr>
            <w:r>
              <w:rPr>
                <w:sz w:val="17"/>
              </w:rPr>
            </w:r>
            <w:r>
              <w:rPr>
                <w:sz w:val="17"/>
              </w:rPr>
              <w:t>e.g., $15M–$25M per year of unpaid overtime at the 50–60 hour assumptions</w:t>
            </w:r>
          </w:p>
        </w:tc>
        <w:tc>
          <w:tcPr>
            <w:tcW w:type="dxa" w:w="2808"/>
          </w:tcPr>
          <w:p>
            <w:pPr>
              <w:spacing w:after="0"/>
            </w:pPr>
            <w:r>
              <w:rPr>
                <w:sz w:val="17"/>
              </w:rPr>
            </w:r>
            <w:r>
              <w:rPr>
                <w:sz w:val="17"/>
              </w:rPr>
              <w:t>Workbook’s $41.3M trebles payroll taxes and premiums, which are not wages. Per the sponsor, no double recovery with IDOL penalties.</w:t>
            </w:r>
          </w:p>
        </w:tc>
      </w:tr>
      <w:tr>
        <w:tc>
          <w:tcPr>
            <w:tcW w:type="dxa" w:w="1944"/>
            <w:shd w:val="clear" w:color="auto" w:fill="F2F4F8"/>
          </w:tcPr>
          <w:p>
            <w:pPr>
              <w:spacing w:after="0"/>
            </w:pPr>
            <w:r>
              <w:rPr>
                <w:sz w:val="17"/>
              </w:rPr>
            </w:r>
            <w:r>
              <w:rPr>
                <w:sz w:val="17"/>
              </w:rPr>
              <w:t>FlexForce joint-employer liability (illustrative)</w:t>
            </w:r>
          </w:p>
        </w:tc>
        <w:tc>
          <w:tcPr>
            <w:tcW w:type="dxa" w:w="2664"/>
            <w:shd w:val="clear" w:color="auto" w:fill="F2F4F8"/>
          </w:tcPr>
          <w:p>
            <w:pPr>
              <w:spacing w:after="0"/>
            </w:pPr>
            <w:r>
              <w:rPr>
                <w:sz w:val="17"/>
              </w:rPr>
            </w:r>
            <w:r>
              <w:rPr>
                <w:sz w:val="17"/>
              </w:rPr>
              <w:t>380 × $500 × 26 (stubs); 380 × $1,000 (notices)</w:t>
            </w:r>
          </w:p>
        </w:tc>
        <w:tc>
          <w:tcPr>
            <w:tcW w:type="dxa" w:w="1944"/>
            <w:shd w:val="clear" w:color="auto" w:fill="F2F4F8"/>
          </w:tcPr>
          <w:p>
            <w:pPr>
              <w:spacing w:after="0"/>
            </w:pPr>
            <w:r>
              <w:rPr>
                <w:sz w:val="17"/>
              </w:rPr>
            </w:r>
            <w:r>
              <w:rPr>
                <w:sz w:val="17"/>
              </w:rPr>
              <w:t>Up to $4.94M + $0.38M</w:t>
            </w:r>
          </w:p>
        </w:tc>
        <w:tc>
          <w:tcPr>
            <w:tcW w:type="dxa" w:w="2808"/>
            <w:shd w:val="clear" w:color="auto" w:fill="F2F4F8"/>
          </w:tcPr>
          <w:p>
            <w:pPr>
              <w:spacing w:after="0"/>
            </w:pPr>
            <w:r>
              <w:rPr>
                <w:sz w:val="17"/>
              </w:rPr>
            </w:r>
            <w:r>
              <w:rPr>
                <w:sz w:val="17"/>
              </w:rPr>
              <w:t>Only if FlexForce is itself non-compliant; currently cannot be verified</w:t>
            </w:r>
          </w:p>
        </w:tc>
      </w:tr>
      <w:tr>
        <w:tc>
          <w:tcPr>
            <w:tcW w:type="dxa" w:w="1944"/>
          </w:tcPr>
          <w:p>
            <w:pPr>
              <w:spacing w:after="0"/>
            </w:pPr>
            <w:r>
              <w:rPr>
                <w:sz w:val="17"/>
              </w:rPr>
            </w:r>
            <w:r>
              <w:rPr>
                <w:sz w:val="17"/>
              </w:rPr>
              <w:t>Retaliation</w:t>
            </w:r>
          </w:p>
        </w:tc>
        <w:tc>
          <w:tcPr>
            <w:tcW w:type="dxa" w:w="2664"/>
          </w:tcPr>
          <w:p>
            <w:pPr>
              <w:spacing w:after="0"/>
            </w:pPr>
            <w:r>
              <w:rPr>
                <w:sz w:val="17"/>
              </w:rPr>
            </w:r>
            <w:r>
              <w:rPr>
                <w:sz w:val="17"/>
              </w:rPr>
              <w:t>$10,000 per incident plus reinstatement and back pay</w:t>
            </w:r>
          </w:p>
        </w:tc>
        <w:tc>
          <w:tcPr>
            <w:tcW w:type="dxa" w:w="1944"/>
          </w:tcPr>
          <w:p>
            <w:pPr>
              <w:spacing w:after="0"/>
            </w:pPr>
            <w:r>
              <w:rPr>
                <w:sz w:val="17"/>
              </w:rPr>
            </w:r>
            <w:r>
              <w:rPr>
                <w:sz w:val="17"/>
              </w:rPr>
              <w:t>Event-driven</w:t>
            </w:r>
          </w:p>
        </w:tc>
        <w:tc>
          <w:tcPr>
            <w:tcW w:type="dxa" w:w="2808"/>
          </w:tcPr>
          <w:p>
            <w:pPr>
              <w:spacing w:after="0"/>
            </w:pPr>
            <w:r>
              <w:rPr>
                <w:sz w:val="17"/>
              </w:rPr>
            </w:r>
            <w:r>
              <w:rPr>
                <w:sz w:val="17"/>
              </w:rPr>
              <w:t>Elevated during 2026 ramp-downs and restructuring</w:t>
            </w:r>
          </w:p>
        </w:tc>
      </w:tr>
    </w:tbl>
    <w:p>
      <w:pPr>
        <w:spacing w:after="40"/>
      </w:pPr>
    </w:p>
    <w:p>
      <w:pPr>
        <w:pStyle w:val="Heading1"/>
      </w:pPr>
      <w:r>
        <w:t>VIII. Reconciled First-Year Budget (Excluding Driver Model)</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3744"/>
            <w:shd w:val="clear" w:color="auto" w:fill="1F2A44"/>
          </w:tcPr>
          <w:p>
            <w:r/>
            <w:r>
              <w:rPr>
                <w:b/>
                <w:color w:val="FFFFFF"/>
                <w:sz w:val="17"/>
              </w:rPr>
              <w:t>Item</w:t>
            </w:r>
          </w:p>
        </w:tc>
        <w:tc>
          <w:tcPr>
            <w:tcW w:type="dxa" w:w="1872"/>
            <w:shd w:val="clear" w:color="auto" w:fill="1F2A44"/>
          </w:tcPr>
          <w:p>
            <w:r/>
            <w:r>
              <w:rPr>
                <w:b/>
                <w:color w:val="FFFFFF"/>
                <w:sz w:val="17"/>
              </w:rPr>
              <w:t>HR Audit</w:t>
            </w:r>
          </w:p>
        </w:tc>
        <w:tc>
          <w:tcPr>
            <w:tcW w:type="dxa" w:w="1872"/>
            <w:shd w:val="clear" w:color="auto" w:fill="1F2A44"/>
          </w:tcPr>
          <w:p>
            <w:r/>
            <w:r>
              <w:rPr>
                <w:b/>
                <w:color w:val="FFFFFF"/>
                <w:sz w:val="17"/>
              </w:rPr>
              <w:t>Cost Workbook</w:t>
            </w:r>
          </w:p>
        </w:tc>
        <w:tc>
          <w:tcPr>
            <w:tcW w:type="dxa" w:w="1872"/>
            <w:shd w:val="clear" w:color="auto" w:fill="1F2A44"/>
          </w:tcPr>
          <w:p>
            <w:r/>
            <w:r>
              <w:rPr>
                <w:b/>
                <w:color w:val="FFFFFF"/>
                <w:sz w:val="17"/>
              </w:rPr>
              <w:t>Reconciled</w:t>
            </w:r>
          </w:p>
        </w:tc>
      </w:tr>
      <w:tr>
        <w:tc>
          <w:tcPr>
            <w:tcW w:type="dxa" w:w="3744"/>
          </w:tcPr>
          <w:p>
            <w:pPr>
              <w:spacing w:after="0"/>
            </w:pPr>
            <w:r>
              <w:rPr>
                <w:sz w:val="17"/>
              </w:rPr>
            </w:r>
            <w:r>
              <w:rPr>
                <w:sz w:val="17"/>
              </w:rPr>
              <w:t>Verdant upgrade ($185,000 one-time + $24,000 year 1; ±5%)</w:t>
            </w:r>
          </w:p>
        </w:tc>
        <w:tc>
          <w:tcPr>
            <w:tcW w:type="dxa" w:w="1872"/>
          </w:tcPr>
          <w:p>
            <w:pPr>
              <w:spacing w:after="0"/>
            </w:pPr>
            <w:r>
              <w:rPr>
                <w:sz w:val="17"/>
              </w:rPr>
            </w:r>
            <w:r>
              <w:rPr>
                <w:sz w:val="17"/>
              </w:rPr>
              <w:t>$209,000</w:t>
            </w:r>
          </w:p>
        </w:tc>
        <w:tc>
          <w:tcPr>
            <w:tcW w:type="dxa" w:w="1872"/>
          </w:tcPr>
          <w:p>
            <w:pPr>
              <w:spacing w:after="0"/>
            </w:pPr>
            <w:r>
              <w:rPr>
                <w:sz w:val="17"/>
              </w:rPr>
            </w:r>
            <w:r>
              <w:rPr>
                <w:sz w:val="17"/>
              </w:rPr>
              <w:t>$209,000</w:t>
            </w:r>
          </w:p>
        </w:tc>
        <w:tc>
          <w:tcPr>
            <w:tcW w:type="dxa" w:w="1872"/>
          </w:tcPr>
          <w:p>
            <w:pPr>
              <w:spacing w:after="0"/>
            </w:pPr>
            <w:r>
              <w:rPr>
                <w:sz w:val="17"/>
              </w:rPr>
            </w:r>
            <w:r>
              <w:rPr>
                <w:sz w:val="17"/>
              </w:rPr>
              <w:t>$209,000</w:t>
            </w:r>
          </w:p>
        </w:tc>
      </w:tr>
      <w:tr>
        <w:tc>
          <w:tcPr>
            <w:tcW w:type="dxa" w:w="3744"/>
            <w:shd w:val="clear" w:color="auto" w:fill="F2F4F8"/>
          </w:tcPr>
          <w:p>
            <w:pPr>
              <w:spacing w:after="0"/>
            </w:pPr>
            <w:r>
              <w:rPr>
                <w:sz w:val="17"/>
              </w:rPr>
            </w:r>
            <w:r>
              <w:rPr>
                <w:sz w:val="17"/>
              </w:rPr>
              <w:t>Cascade retention and tape migration</w:t>
            </w:r>
          </w:p>
        </w:tc>
        <w:tc>
          <w:tcPr>
            <w:tcW w:type="dxa" w:w="1872"/>
            <w:shd w:val="clear" w:color="auto" w:fill="F2F4F8"/>
          </w:tcPr>
          <w:p>
            <w:pPr>
              <w:spacing w:after="0"/>
            </w:pPr>
            <w:r>
              <w:rPr>
                <w:sz w:val="17"/>
              </w:rPr>
            </w:r>
            <w:r>
              <w:rPr>
                <w:sz w:val="17"/>
              </w:rPr>
              <w:t>$67,000</w:t>
            </w:r>
          </w:p>
        </w:tc>
        <w:tc>
          <w:tcPr>
            <w:tcW w:type="dxa" w:w="1872"/>
            <w:shd w:val="clear" w:color="auto" w:fill="F2F4F8"/>
          </w:tcPr>
          <w:p>
            <w:pPr>
              <w:spacing w:after="0"/>
            </w:pPr>
            <w:r>
              <w:rPr>
                <w:sz w:val="17"/>
              </w:rPr>
            </w:r>
            <w:r>
              <w:rPr>
                <w:sz w:val="17"/>
              </w:rPr>
              <w:t>$67,000</w:t>
            </w:r>
          </w:p>
        </w:tc>
        <w:tc>
          <w:tcPr>
            <w:tcW w:type="dxa" w:w="1872"/>
            <w:shd w:val="clear" w:color="auto" w:fill="F2F4F8"/>
          </w:tcPr>
          <w:p>
            <w:pPr>
              <w:spacing w:after="0"/>
            </w:pPr>
            <w:r>
              <w:rPr>
                <w:sz w:val="17"/>
              </w:rPr>
            </w:r>
            <w:r>
              <w:rPr>
                <w:sz w:val="17"/>
              </w:rPr>
              <w:t>$67,000</w:t>
            </w:r>
          </w:p>
        </w:tc>
      </w:tr>
      <w:tr>
        <w:tc>
          <w:tcPr>
            <w:tcW w:type="dxa" w:w="3744"/>
          </w:tcPr>
          <w:p>
            <w:pPr>
              <w:spacing w:after="0"/>
            </w:pPr>
            <w:r>
              <w:rPr>
                <w:sz w:val="17"/>
              </w:rPr>
            </w:r>
            <w:r>
              <w:rPr>
                <w:sz w:val="17"/>
              </w:rPr>
              <w:t>Anti-retaliation / statutory training</w:t>
            </w:r>
          </w:p>
        </w:tc>
        <w:tc>
          <w:tcPr>
            <w:tcW w:type="dxa" w:w="1872"/>
          </w:tcPr>
          <w:p>
            <w:pPr>
              <w:spacing w:after="0"/>
            </w:pPr>
            <w:r>
              <w:rPr>
                <w:sz w:val="17"/>
              </w:rPr>
            </w:r>
            <w:r>
              <w:rPr>
                <w:sz w:val="17"/>
              </w:rPr>
              <w:t>$42,000</w:t>
            </w:r>
          </w:p>
        </w:tc>
        <w:tc>
          <w:tcPr>
            <w:tcW w:type="dxa" w:w="1872"/>
          </w:tcPr>
          <w:p>
            <w:pPr>
              <w:spacing w:after="0"/>
            </w:pPr>
            <w:r>
              <w:rPr>
                <w:sz w:val="17"/>
              </w:rPr>
            </w:r>
            <w:r>
              <w:rPr>
                <w:sz w:val="17"/>
              </w:rPr>
              <w:t>$42,000</w:t>
            </w:r>
          </w:p>
        </w:tc>
        <w:tc>
          <w:tcPr>
            <w:tcW w:type="dxa" w:w="1872"/>
          </w:tcPr>
          <w:p>
            <w:pPr>
              <w:spacing w:after="0"/>
            </w:pPr>
            <w:r>
              <w:rPr>
                <w:sz w:val="17"/>
              </w:rPr>
            </w:r>
            <w:r>
              <w:rPr>
                <w:sz w:val="17"/>
              </w:rPr>
              <w:t>$42,000</w:t>
            </w:r>
          </w:p>
        </w:tc>
      </w:tr>
      <w:tr>
        <w:tc>
          <w:tcPr>
            <w:tcW w:type="dxa" w:w="3744"/>
            <w:shd w:val="clear" w:color="auto" w:fill="F2F4F8"/>
          </w:tcPr>
          <w:p>
            <w:pPr>
              <w:spacing w:after="0"/>
            </w:pPr>
            <w:r>
              <w:rPr>
                <w:sz w:val="17"/>
              </w:rPr>
            </w:r>
            <w:r>
              <w:rPr>
                <w:sz w:val="17"/>
              </w:rPr>
              <w:t>Wage-notice development, translation, distribution</w:t>
            </w:r>
          </w:p>
        </w:tc>
        <w:tc>
          <w:tcPr>
            <w:tcW w:type="dxa" w:w="1872"/>
            <w:shd w:val="clear" w:color="auto" w:fill="F2F4F8"/>
          </w:tcPr>
          <w:p>
            <w:pPr>
              <w:spacing w:after="0"/>
            </w:pPr>
            <w:r>
              <w:rPr>
                <w:sz w:val="17"/>
              </w:rPr>
            </w:r>
            <w:r>
              <w:rPr>
                <w:sz w:val="17"/>
              </w:rPr>
              <w:t>$34,000</w:t>
            </w:r>
          </w:p>
        </w:tc>
        <w:tc>
          <w:tcPr>
            <w:tcW w:type="dxa" w:w="1872"/>
            <w:shd w:val="clear" w:color="auto" w:fill="F2F4F8"/>
          </w:tcPr>
          <w:p>
            <w:pPr>
              <w:spacing w:after="0"/>
            </w:pPr>
            <w:r>
              <w:rPr>
                <w:sz w:val="17"/>
              </w:rPr>
            </w:r>
            <w:r>
              <w:rPr>
                <w:sz w:val="17"/>
              </w:rPr>
              <w:t>$34,000</w:t>
            </w:r>
          </w:p>
        </w:tc>
        <w:tc>
          <w:tcPr>
            <w:tcW w:type="dxa" w:w="1872"/>
            <w:shd w:val="clear" w:color="auto" w:fill="F2F4F8"/>
          </w:tcPr>
          <w:p>
            <w:pPr>
              <w:spacing w:after="0"/>
            </w:pPr>
            <w:r>
              <w:rPr>
                <w:sz w:val="17"/>
              </w:rPr>
            </w:r>
            <w:r>
              <w:rPr>
                <w:sz w:val="17"/>
              </w:rPr>
              <w:t>$34,000</w:t>
            </w:r>
          </w:p>
        </w:tc>
      </w:tr>
      <w:tr>
        <w:tc>
          <w:tcPr>
            <w:tcW w:type="dxa" w:w="3744"/>
          </w:tcPr>
          <w:p>
            <w:pPr>
              <w:spacing w:after="0"/>
            </w:pPr>
            <w:r>
              <w:rPr>
                <w:sz w:val="17"/>
              </w:rPr>
            </w:r>
            <w:r>
              <w:rPr>
                <w:sz w:val="17"/>
              </w:rPr>
              <w:t>Multilingual postings</w:t>
            </w:r>
          </w:p>
        </w:tc>
        <w:tc>
          <w:tcPr>
            <w:tcW w:type="dxa" w:w="1872"/>
          </w:tcPr>
          <w:p>
            <w:pPr>
              <w:spacing w:after="0"/>
            </w:pPr>
            <w:r>
              <w:rPr>
                <w:sz w:val="17"/>
              </w:rPr>
            </w:r>
            <w:r>
              <w:rPr>
                <w:sz w:val="17"/>
              </w:rPr>
              <w:t>$8,500</w:t>
            </w:r>
          </w:p>
        </w:tc>
        <w:tc>
          <w:tcPr>
            <w:tcW w:type="dxa" w:w="1872"/>
          </w:tcPr>
          <w:p>
            <w:pPr>
              <w:spacing w:after="0"/>
            </w:pPr>
            <w:r>
              <w:rPr>
                <w:sz w:val="17"/>
              </w:rPr>
            </w:r>
            <w:r>
              <w:rPr>
                <w:sz w:val="17"/>
              </w:rPr>
              <w:t>$8,500</w:t>
            </w:r>
          </w:p>
        </w:tc>
        <w:tc>
          <w:tcPr>
            <w:tcW w:type="dxa" w:w="1872"/>
          </w:tcPr>
          <w:p>
            <w:pPr>
              <w:spacing w:after="0"/>
            </w:pPr>
            <w:r>
              <w:rPr>
                <w:sz w:val="17"/>
              </w:rPr>
            </w:r>
            <w:r>
              <w:rPr>
                <w:sz w:val="17"/>
              </w:rPr>
              <w:t>$8,500</w:t>
            </w:r>
          </w:p>
        </w:tc>
      </w:tr>
      <w:tr>
        <w:tc>
          <w:tcPr>
            <w:tcW w:type="dxa" w:w="3744"/>
            <w:shd w:val="clear" w:color="auto" w:fill="F2F4F8"/>
          </w:tcPr>
          <w:p>
            <w:pPr>
              <w:spacing w:after="0"/>
            </w:pPr>
            <w:r>
              <w:rPr>
                <w:sz w:val="17"/>
              </w:rPr>
            </w:r>
            <w:r>
              <w:rPr>
                <w:sz w:val="17"/>
              </w:rPr>
              <w:t>Per-facility language audit</w:t>
            </w:r>
          </w:p>
        </w:tc>
        <w:tc>
          <w:tcPr>
            <w:tcW w:type="dxa" w:w="1872"/>
            <w:shd w:val="clear" w:color="auto" w:fill="F2F4F8"/>
          </w:tcPr>
          <w:p>
            <w:pPr>
              <w:spacing w:after="0"/>
            </w:pPr>
            <w:r>
              <w:rPr>
                <w:sz w:val="17"/>
              </w:rPr>
            </w:r>
            <w:r>
              <w:rPr>
                <w:sz w:val="17"/>
              </w:rPr>
              <w:t>$25,000</w:t>
            </w:r>
          </w:p>
        </w:tc>
        <w:tc>
          <w:tcPr>
            <w:tcW w:type="dxa" w:w="1872"/>
            <w:shd w:val="clear" w:color="auto" w:fill="F2F4F8"/>
          </w:tcPr>
          <w:p>
            <w:pPr>
              <w:spacing w:after="0"/>
            </w:pPr>
            <w:r>
              <w:rPr>
                <w:sz w:val="17"/>
              </w:rPr>
            </w:r>
            <w:r>
              <w:rPr>
                <w:sz w:val="17"/>
              </w:rPr>
              <w:t>—</w:t>
            </w:r>
          </w:p>
        </w:tc>
        <w:tc>
          <w:tcPr>
            <w:tcW w:type="dxa" w:w="1872"/>
            <w:shd w:val="clear" w:color="auto" w:fill="F2F4F8"/>
          </w:tcPr>
          <w:p>
            <w:pPr>
              <w:spacing w:after="0"/>
            </w:pPr>
            <w:r>
              <w:rPr>
                <w:sz w:val="17"/>
              </w:rPr>
            </w:r>
            <w:r>
              <w:rPr>
                <w:sz w:val="17"/>
              </w:rPr>
              <w:t>$25,000</w:t>
            </w:r>
          </w:p>
        </w:tc>
      </w:tr>
      <w:tr>
        <w:tc>
          <w:tcPr>
            <w:tcW w:type="dxa" w:w="3744"/>
          </w:tcPr>
          <w:p>
            <w:pPr>
              <w:spacing w:after="0"/>
            </w:pPr>
            <w:r>
              <w:rPr>
                <w:sz w:val="17"/>
              </w:rPr>
            </w:r>
            <w:r>
              <w:rPr>
                <w:sz w:val="17"/>
              </w:rPr>
              <w:t>Handbook revision — counsel review and translation</w:t>
            </w:r>
          </w:p>
        </w:tc>
        <w:tc>
          <w:tcPr>
            <w:tcW w:type="dxa" w:w="1872"/>
          </w:tcPr>
          <w:p>
            <w:pPr>
              <w:spacing w:after="0"/>
            </w:pPr>
            <w:r>
              <w:rPr>
                <w:sz w:val="17"/>
              </w:rPr>
            </w:r>
            <w:r>
              <w:rPr>
                <w:sz w:val="17"/>
              </w:rPr>
              <w:t>$48,000</w:t>
            </w:r>
          </w:p>
        </w:tc>
        <w:tc>
          <w:tcPr>
            <w:tcW w:type="dxa" w:w="1872"/>
          </w:tcPr>
          <w:p>
            <w:pPr>
              <w:spacing w:after="0"/>
            </w:pPr>
            <w:r>
              <w:rPr>
                <w:sz w:val="17"/>
              </w:rPr>
            </w:r>
            <w:r>
              <w:rPr>
                <w:sz w:val="17"/>
              </w:rPr>
              <w:t>$0 (said to be within counsel scope)</w:t>
            </w:r>
          </w:p>
        </w:tc>
        <w:tc>
          <w:tcPr>
            <w:tcW w:type="dxa" w:w="1872"/>
          </w:tcPr>
          <w:p>
            <w:pPr>
              <w:spacing w:after="0"/>
            </w:pPr>
            <w:r>
              <w:rPr>
                <w:sz w:val="17"/>
              </w:rPr>
            </w:r>
            <w:r>
              <w:rPr>
                <w:sz w:val="17"/>
              </w:rPr>
              <w:t>$48,000 (confirm no double count with counsel fee)</w:t>
            </w:r>
          </w:p>
        </w:tc>
      </w:tr>
      <w:tr>
        <w:tc>
          <w:tcPr>
            <w:tcW w:type="dxa" w:w="3744"/>
            <w:shd w:val="clear" w:color="auto" w:fill="F2F4F8"/>
          </w:tcPr>
          <w:p>
            <w:pPr>
              <w:spacing w:after="0"/>
            </w:pPr>
            <w:r>
              <w:rPr>
                <w:sz w:val="17"/>
              </w:rPr>
            </w:r>
            <w:r>
              <w:rPr>
                <w:sz w:val="17"/>
              </w:rPr>
              <w:t>Outside counsel (Hargrove, Tillman &amp; Bates)</w:t>
            </w:r>
          </w:p>
        </w:tc>
        <w:tc>
          <w:tcPr>
            <w:tcW w:type="dxa" w:w="1872"/>
            <w:shd w:val="clear" w:color="auto" w:fill="F2F4F8"/>
          </w:tcPr>
          <w:p>
            <w:pPr>
              <w:spacing w:after="0"/>
            </w:pPr>
            <w:r>
              <w:rPr>
                <w:sz w:val="17"/>
              </w:rPr>
            </w:r>
            <w:r>
              <w:rPr>
                <w:sz w:val="17"/>
              </w:rPr>
              <w:t>—</w:t>
            </w:r>
          </w:p>
        </w:tc>
        <w:tc>
          <w:tcPr>
            <w:tcW w:type="dxa" w:w="1872"/>
            <w:shd w:val="clear" w:color="auto" w:fill="F2F4F8"/>
          </w:tcPr>
          <w:p>
            <w:pPr>
              <w:spacing w:after="0"/>
            </w:pPr>
            <w:r>
              <w:rPr>
                <w:sz w:val="17"/>
              </w:rPr>
            </w:r>
            <w:r>
              <w:rPr>
                <w:sz w:val="17"/>
              </w:rPr>
              <w:t>$125,000</w:t>
            </w:r>
          </w:p>
        </w:tc>
        <w:tc>
          <w:tcPr>
            <w:tcW w:type="dxa" w:w="1872"/>
            <w:shd w:val="clear" w:color="auto" w:fill="F2F4F8"/>
          </w:tcPr>
          <w:p>
            <w:pPr>
              <w:spacing w:after="0"/>
            </w:pPr>
            <w:r>
              <w:rPr>
                <w:sz w:val="17"/>
              </w:rPr>
            </w:r>
            <w:r>
              <w:rPr>
                <w:sz w:val="17"/>
              </w:rPr>
              <w:t>$125,000</w:t>
            </w:r>
          </w:p>
        </w:tc>
      </w:tr>
      <w:tr>
        <w:tc>
          <w:tcPr>
            <w:tcW w:type="dxa" w:w="3744"/>
          </w:tcPr>
          <w:p>
            <w:pPr>
              <w:spacing w:after="0"/>
            </w:pPr>
            <w:r>
              <w:rPr>
                <w:sz w:val="17"/>
              </w:rPr>
            </w:r>
            <w:r>
              <w:rPr>
                <w:sz w:val="17"/>
              </w:rPr>
              <w:t>Subtotal</w:t>
            </w:r>
          </w:p>
        </w:tc>
        <w:tc>
          <w:tcPr>
            <w:tcW w:type="dxa" w:w="1872"/>
          </w:tcPr>
          <w:p>
            <w:pPr>
              <w:spacing w:after="0"/>
            </w:pPr>
            <w:r>
              <w:rPr>
                <w:sz w:val="17"/>
              </w:rPr>
            </w:r>
            <w:r>
              <w:rPr>
                <w:sz w:val="17"/>
              </w:rPr>
              <w:t>$433,500</w:t>
            </w:r>
          </w:p>
        </w:tc>
        <w:tc>
          <w:tcPr>
            <w:tcW w:type="dxa" w:w="1872"/>
          </w:tcPr>
          <w:p>
            <w:pPr>
              <w:spacing w:after="0"/>
            </w:pPr>
            <w:r>
              <w:rPr>
                <w:sz w:val="17"/>
              </w:rPr>
            </w:r>
            <w:r>
              <w:rPr>
                <w:sz w:val="17"/>
              </w:rPr>
              <w:t>$485,500</w:t>
            </w:r>
          </w:p>
        </w:tc>
        <w:tc>
          <w:tcPr>
            <w:tcW w:type="dxa" w:w="1872"/>
          </w:tcPr>
          <w:p>
            <w:pPr>
              <w:spacing w:after="0"/>
            </w:pPr>
            <w:r>
              <w:rPr>
                <w:sz w:val="17"/>
              </w:rPr>
            </w:r>
            <w:r>
              <w:rPr>
                <w:b/>
                <w:sz w:val="17"/>
              </w:rPr>
              <w:t>$558,500</w:t>
            </w:r>
          </w:p>
        </w:tc>
      </w:tr>
      <w:tr>
        <w:tc>
          <w:tcPr>
            <w:tcW w:type="dxa" w:w="3744"/>
            <w:shd w:val="clear" w:color="auto" w:fill="F2F4F8"/>
          </w:tcPr>
          <w:p>
            <w:pPr>
              <w:spacing w:after="0"/>
            </w:pPr>
            <w:r>
              <w:rPr>
                <w:sz w:val="17"/>
              </w:rPr>
            </w:r>
            <w:r>
              <w:rPr>
                <w:sz w:val="17"/>
              </w:rPr>
              <w:t>Contingency</w:t>
            </w:r>
          </w:p>
        </w:tc>
        <w:tc>
          <w:tcPr>
            <w:tcW w:type="dxa" w:w="1872"/>
            <w:shd w:val="clear" w:color="auto" w:fill="F2F4F8"/>
          </w:tcPr>
          <w:p>
            <w:pPr>
              <w:spacing w:after="0"/>
            </w:pPr>
            <w:r>
              <w:rPr>
                <w:sz w:val="17"/>
              </w:rPr>
            </w:r>
            <w:r>
              <w:rPr>
                <w:sz w:val="17"/>
              </w:rPr>
              <w:t>$52,000 (stated as “10%”; actually 12.0%)</w:t>
            </w:r>
          </w:p>
        </w:tc>
        <w:tc>
          <w:tcPr>
            <w:tcW w:type="dxa" w:w="1872"/>
            <w:shd w:val="clear" w:color="auto" w:fill="F2F4F8"/>
          </w:tcPr>
          <w:p>
            <w:pPr>
              <w:spacing w:after="0"/>
            </w:pPr>
            <w:r>
              <w:rPr>
                <w:sz w:val="17"/>
              </w:rPr>
            </w:r>
            <w:r>
              <w:rPr>
                <w:sz w:val="17"/>
              </w:rPr>
              <w:t>—</w:t>
            </w:r>
          </w:p>
        </w:tc>
        <w:tc>
          <w:tcPr>
            <w:tcW w:type="dxa" w:w="1872"/>
            <w:shd w:val="clear" w:color="auto" w:fill="F2F4F8"/>
          </w:tcPr>
          <w:p>
            <w:pPr>
              <w:spacing w:after="0"/>
            </w:pPr>
            <w:r>
              <w:rPr>
                <w:sz w:val="17"/>
              </w:rPr>
            </w:r>
            <w:r>
              <w:rPr>
                <w:sz w:val="17"/>
              </w:rPr>
              <w:t>$55,850 (10%)</w:t>
            </w:r>
          </w:p>
        </w:tc>
      </w:tr>
      <w:tr>
        <w:tc>
          <w:tcPr>
            <w:tcW w:type="dxa" w:w="3744"/>
          </w:tcPr>
          <w:p>
            <w:pPr>
              <w:spacing w:after="0"/>
            </w:pPr>
            <w:r>
              <w:rPr>
                <w:sz w:val="17"/>
              </w:rPr>
            </w:r>
            <w:r>
              <w:rPr>
                <w:b/>
                <w:sz w:val="17"/>
              </w:rPr>
              <w:t>Total</w:t>
            </w:r>
          </w:p>
        </w:tc>
        <w:tc>
          <w:tcPr>
            <w:tcW w:type="dxa" w:w="1872"/>
          </w:tcPr>
          <w:p>
            <w:pPr>
              <w:spacing w:after="0"/>
            </w:pPr>
            <w:r>
              <w:rPr>
                <w:sz w:val="17"/>
              </w:rPr>
            </w:r>
            <w:r>
              <w:rPr>
                <w:b/>
                <w:sz w:val="17"/>
              </w:rPr>
              <w:t>$485,500</w:t>
            </w:r>
          </w:p>
        </w:tc>
        <w:tc>
          <w:tcPr>
            <w:tcW w:type="dxa" w:w="1872"/>
          </w:tcPr>
          <w:p>
            <w:pPr>
              <w:spacing w:after="0"/>
            </w:pPr>
            <w:r>
              <w:rPr>
                <w:sz w:val="17"/>
              </w:rPr>
            </w:r>
            <w:r>
              <w:rPr>
                <w:b/>
                <w:sz w:val="17"/>
              </w:rPr>
              <w:t>$485,500</w:t>
            </w:r>
          </w:p>
        </w:tc>
        <w:tc>
          <w:tcPr>
            <w:tcW w:type="dxa" w:w="1872"/>
          </w:tcPr>
          <w:p>
            <w:pPr>
              <w:spacing w:after="0"/>
            </w:pPr>
            <w:r>
              <w:rPr>
                <w:sz w:val="17"/>
              </w:rPr>
            </w:r>
            <w:r>
              <w:rPr>
                <w:b/>
                <w:sz w:val="17"/>
              </w:rPr>
              <w:t>$614,350</w:t>
            </w:r>
          </w:p>
        </w:tc>
      </w:tr>
    </w:tbl>
    <w:p>
      <w:pPr>
        <w:spacing w:after="40"/>
      </w:pPr>
    </w:p>
    <w:p>
      <w:pPr>
        <w:jc w:val="both"/>
      </w:pPr>
      <w:r>
        <w:t>The two documents reach the same $485,500 total through different line items. Neither is complete. Items not yet costed: expanding Verdant’s scope to cover the missing fields; HR labor for the CSV leave-balance fallback; the driver-hours audit; FlexForce audit costs; and any Verdant change order for a driver pay group. The FY2025 HR/compliance budget ($2.8M) is cited as the funding source. Most of the spending falls in Q4 2025 and in 2026, so FY2026 budget treatment should be confirmed. Driver-model costs (more than $13.8M per year) require separate Board approval.</w:t>
      </w:r>
    </w:p>
    <w:p>
      <w:pPr>
        <w:pStyle w:val="Heading1"/>
      </w:pPr>
      <w:r>
        <w:t>IX. Interpretive Issues Requiring Counsel’s Written Position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304"/>
            <w:shd w:val="clear" w:color="auto" w:fill="1F2A44"/>
          </w:tcPr>
          <w:p>
            <w:r/>
            <w:r>
              <w:rPr>
                <w:b/>
                <w:color w:val="FFFFFF"/>
                <w:sz w:val="17"/>
              </w:rPr>
              <w:t>Issue</w:t>
            </w:r>
          </w:p>
        </w:tc>
        <w:tc>
          <w:tcPr>
            <w:tcW w:type="dxa" w:w="3744"/>
            <w:shd w:val="clear" w:color="auto" w:fill="1F2A44"/>
          </w:tcPr>
          <w:p>
            <w:r/>
            <w:r>
              <w:rPr>
                <w:b/>
                <w:color w:val="FFFFFF"/>
                <w:sz w:val="17"/>
              </w:rPr>
              <w:t>Conflict in record</w:t>
            </w:r>
          </w:p>
        </w:tc>
        <w:tc>
          <w:tcPr>
            <w:tcW w:type="dxa" w:w="3312"/>
            <w:shd w:val="clear" w:color="auto" w:fill="1F2A44"/>
          </w:tcPr>
          <w:p>
            <w:r/>
            <w:r>
              <w:rPr>
                <w:b/>
                <w:color w:val="FFFFFF"/>
                <w:sz w:val="17"/>
              </w:rPr>
              <w:t>Recommended working position</w:t>
            </w:r>
          </w:p>
        </w:tc>
      </w:tr>
      <w:tr>
        <w:tc>
          <w:tcPr>
            <w:tcW w:type="dxa" w:w="2304"/>
          </w:tcPr>
          <w:p>
            <w:pPr>
              <w:spacing w:after="0"/>
            </w:pPr>
            <w:r>
              <w:rPr>
                <w:sz w:val="17"/>
              </w:rPr>
            </w:r>
            <w:r>
              <w:rPr>
                <w:sz w:val="17"/>
              </w:rPr>
              <w:t>Enrolled text and section numbering</w:t>
            </w:r>
          </w:p>
        </w:tc>
        <w:tc>
          <w:tcPr>
            <w:tcW w:type="dxa" w:w="3744"/>
          </w:tcPr>
          <w:p>
            <w:pPr>
              <w:spacing w:after="0"/>
            </w:pPr>
            <w:r>
              <w:rPr>
                <w:sz w:val="17"/>
              </w:rPr>
            </w:r>
            <w:r>
              <w:rPr>
                <w:sz w:val="17"/>
              </w:rPr>
              <w:t>Counsel Summary (§§10-5 to 25-15) vs. Floor Debate (§§10, 12, 15, 20, 22, 25, 40)</w:t>
            </w:r>
          </w:p>
        </w:tc>
        <w:tc>
          <w:tcPr>
            <w:tcW w:type="dxa" w:w="3312"/>
          </w:tcPr>
          <w:p>
            <w:pPr>
              <w:spacing w:after="0"/>
            </w:pPr>
            <w:r>
              <w:rPr>
                <w:sz w:val="17"/>
              </w:rPr>
            </w:r>
            <w:r>
              <w:rPr>
                <w:sz w:val="17"/>
              </w:rPr>
              <w:t>Obtain the Public Act; re-verify every requirement in this memorandum (October 2025)</w:t>
            </w:r>
          </w:p>
        </w:tc>
      </w:tr>
      <w:tr>
        <w:tc>
          <w:tcPr>
            <w:tcW w:type="dxa" w:w="2304"/>
            <w:shd w:val="clear" w:color="auto" w:fill="F2F4F8"/>
          </w:tcPr>
          <w:p>
            <w:pPr>
              <w:spacing w:after="0"/>
            </w:pPr>
            <w:r>
              <w:rPr>
                <w:sz w:val="17"/>
              </w:rPr>
            </w:r>
            <w:r>
              <w:rPr>
                <w:sz w:val="17"/>
              </w:rPr>
              <w:t>Wage notices to existing employees</w:t>
            </w:r>
          </w:p>
        </w:tc>
        <w:tc>
          <w:tcPr>
            <w:tcW w:type="dxa" w:w="3744"/>
            <w:shd w:val="clear" w:color="auto" w:fill="F2F4F8"/>
          </w:tcPr>
          <w:p>
            <w:pPr>
              <w:spacing w:after="0"/>
            </w:pPr>
            <w:r>
              <w:rPr>
                <w:sz w:val="17"/>
              </w:rPr>
            </w:r>
            <w:r>
              <w:rPr>
                <w:sz w:val="17"/>
              </w:rPr>
              <w:t>Text says “at hire / upon change”; the sponsor stated a 90-day window; objections on the record</w:t>
            </w:r>
          </w:p>
        </w:tc>
        <w:tc>
          <w:tcPr>
            <w:tcW w:type="dxa" w:w="3312"/>
            <w:shd w:val="clear" w:color="auto" w:fill="F2F4F8"/>
          </w:tcPr>
          <w:p>
            <w:pPr>
              <w:spacing w:after="0"/>
            </w:pPr>
            <w:r>
              <w:rPr>
                <w:sz w:val="17"/>
              </w:rPr>
            </w:r>
            <w:r>
              <w:rPr>
                <w:sz w:val="17"/>
              </w:rPr>
              <w:t>Notify all existing employees by Jun 30, 2026 at the latest</w:t>
            </w:r>
          </w:p>
        </w:tc>
      </w:tr>
      <w:tr>
        <w:tc>
          <w:tcPr>
            <w:tcW w:type="dxa" w:w="2304"/>
          </w:tcPr>
          <w:p>
            <w:pPr>
              <w:spacing w:after="0"/>
            </w:pPr>
            <w:r>
              <w:rPr>
                <w:sz w:val="17"/>
              </w:rPr>
            </w:r>
            <w:r>
              <w:rPr>
                <w:sz w:val="17"/>
              </w:rPr>
              <w:t>Wage-notice languages</w:t>
            </w:r>
          </w:p>
        </w:tc>
        <w:tc>
          <w:tcPr>
            <w:tcW w:type="dxa" w:w="3744"/>
          </w:tcPr>
          <w:p>
            <w:pPr>
              <w:spacing w:after="0"/>
            </w:pPr>
            <w:r>
              <w:rPr>
                <w:sz w:val="17"/>
              </w:rPr>
            </w:r>
            <w:r>
              <w:rPr>
                <w:sz w:val="17"/>
              </w:rPr>
              <w:t>Counsel Summary: any IDOL template language; Floor Debate: templates in 6 languages due within 60 days of Apr 1; HR Audit: per-site threshold</w:t>
            </w:r>
          </w:p>
        </w:tc>
        <w:tc>
          <w:tcPr>
            <w:tcW w:type="dxa" w:w="3312"/>
          </w:tcPr>
          <w:p>
            <w:pPr>
              <w:spacing w:after="0"/>
            </w:pPr>
            <w:r>
              <w:rPr>
                <w:sz w:val="17"/>
              </w:rPr>
            </w:r>
            <w:r>
              <w:rPr>
                <w:sz w:val="17"/>
              </w:rPr>
              <w:t>Per-employee primary language; re-issue when templates are published</w:t>
            </w:r>
          </w:p>
        </w:tc>
      </w:tr>
      <w:tr>
        <w:tc>
          <w:tcPr>
            <w:tcW w:type="dxa" w:w="2304"/>
            <w:shd w:val="clear" w:color="auto" w:fill="F2F4F8"/>
          </w:tcPr>
          <w:p>
            <w:pPr>
              <w:spacing w:after="0"/>
            </w:pPr>
            <w:r>
              <w:rPr>
                <w:sz w:val="17"/>
              </w:rPr>
            </w:r>
            <w:r>
              <w:rPr>
                <w:sz w:val="17"/>
              </w:rPr>
              <w:t>Posting translation where no IDOL template exists</w:t>
            </w:r>
          </w:p>
        </w:tc>
        <w:tc>
          <w:tcPr>
            <w:tcW w:type="dxa" w:w="3744"/>
            <w:shd w:val="clear" w:color="auto" w:fill="F2F4F8"/>
          </w:tcPr>
          <w:p>
            <w:pPr>
              <w:spacing w:after="0"/>
            </w:pPr>
            <w:r>
              <w:rPr>
                <w:sz w:val="17"/>
              </w:rPr>
            </w:r>
            <w:r>
              <w:rPr>
                <w:sz w:val="17"/>
              </w:rPr>
              <w:t>HR Audit unsure; Counsel Summary: employer must request IDOL translation or obtain a certified translation</w:t>
            </w:r>
          </w:p>
        </w:tc>
        <w:tc>
          <w:tcPr>
            <w:tcW w:type="dxa" w:w="3312"/>
            <w:shd w:val="clear" w:color="auto" w:fill="F2F4F8"/>
          </w:tcPr>
          <w:p>
            <w:pPr>
              <w:spacing w:after="0"/>
            </w:pPr>
            <w:r>
              <w:rPr>
                <w:sz w:val="17"/>
              </w:rPr>
            </w:r>
            <w:r>
              <w:rPr>
                <w:sz w:val="17"/>
              </w:rPr>
              <w:t>Obtain a certified translation if the template is late</w:t>
            </w:r>
          </w:p>
        </w:tc>
      </w:tr>
      <w:tr>
        <w:tc>
          <w:tcPr>
            <w:tcW w:type="dxa" w:w="2304"/>
          </w:tcPr>
          <w:p>
            <w:pPr>
              <w:spacing w:after="0"/>
            </w:pPr>
            <w:r>
              <w:rPr>
                <w:sz w:val="17"/>
              </w:rPr>
            </w:r>
            <w:r>
              <w:rPr>
                <w:sz w:val="17"/>
              </w:rPr>
              <w:t>Safe-harbor scope and availability before Oct 1, 2026</w:t>
            </w:r>
          </w:p>
        </w:tc>
        <w:tc>
          <w:tcPr>
            <w:tcW w:type="dxa" w:w="3744"/>
          </w:tcPr>
          <w:p>
            <w:pPr>
              <w:spacing w:after="0"/>
            </w:pPr>
            <w:r>
              <w:rPr>
                <w:sz w:val="17"/>
              </w:rPr>
            </w:r>
            <w:r>
              <w:rPr>
                <w:sz w:val="17"/>
              </w:rPr>
              <w:t>Counsel Summary includes recordkeeping; sponsor does not. Effective only Oct 1, 2026.</w:t>
            </w:r>
          </w:p>
        </w:tc>
        <w:tc>
          <w:tcPr>
            <w:tcW w:type="dxa" w:w="3312"/>
          </w:tcPr>
          <w:p>
            <w:pPr>
              <w:spacing w:after="0"/>
            </w:pPr>
            <w:r>
              <w:rPr>
                <w:sz w:val="17"/>
              </w:rPr>
            </w:r>
            <w:r>
              <w:rPr>
                <w:sz w:val="17"/>
              </w:rPr>
              <w:t>Treat as covering pay stubs and wage notices only, from Oct 1, 2026; do not budget reliance on it</w:t>
            </w:r>
          </w:p>
        </w:tc>
      </w:tr>
      <w:tr>
        <w:tc>
          <w:tcPr>
            <w:tcW w:type="dxa" w:w="2304"/>
            <w:shd w:val="clear" w:color="auto" w:fill="F2F4F8"/>
          </w:tcPr>
          <w:p>
            <w:pPr>
              <w:spacing w:after="0"/>
            </w:pPr>
            <w:r>
              <w:rPr>
                <w:sz w:val="17"/>
              </w:rPr>
            </w:r>
            <w:r>
              <w:rPr>
                <w:sz w:val="17"/>
              </w:rPr>
              <w:t>Treble damages plus penalties</w:t>
            </w:r>
          </w:p>
        </w:tc>
        <w:tc>
          <w:tcPr>
            <w:tcW w:type="dxa" w:w="3744"/>
            <w:shd w:val="clear" w:color="auto" w:fill="F2F4F8"/>
          </w:tcPr>
          <w:p>
            <w:pPr>
              <w:spacing w:after="0"/>
            </w:pPr>
            <w:r>
              <w:rPr>
                <w:sz w:val="17"/>
              </w:rPr>
            </w:r>
            <w:r>
              <w:rPr>
                <w:sz w:val="17"/>
              </w:rPr>
              <w:t>Counsel Summary: treble plus statutory penalties; sponsor: no double recovery</w:t>
            </w:r>
          </w:p>
        </w:tc>
        <w:tc>
          <w:tcPr>
            <w:tcW w:type="dxa" w:w="3312"/>
            <w:shd w:val="clear" w:color="auto" w:fill="F2F4F8"/>
          </w:tcPr>
          <w:p>
            <w:pPr>
              <w:spacing w:after="0"/>
            </w:pPr>
            <w:r>
              <w:rPr>
                <w:sz w:val="17"/>
              </w:rPr>
            </w:r>
            <w:r>
              <w:rPr>
                <w:sz w:val="17"/>
              </w:rPr>
              <w:t>Model the higher figure for reserves; litigate the lower</w:t>
            </w:r>
          </w:p>
        </w:tc>
      </w:tr>
      <w:tr>
        <w:tc>
          <w:tcPr>
            <w:tcW w:type="dxa" w:w="2304"/>
          </w:tcPr>
          <w:p>
            <w:pPr>
              <w:spacing w:after="0"/>
            </w:pPr>
            <w:r>
              <w:rPr>
                <w:sz w:val="17"/>
              </w:rPr>
            </w:r>
            <w:r>
              <w:rPr>
                <w:sz w:val="17"/>
              </w:rPr>
              <w:t>Anti-retaliation content and remedies</w:t>
            </w:r>
          </w:p>
        </w:tc>
        <w:tc>
          <w:tcPr>
            <w:tcW w:type="dxa" w:w="3744"/>
          </w:tcPr>
          <w:p>
            <w:pPr>
              <w:spacing w:after="0"/>
            </w:pPr>
            <w:r>
              <w:rPr>
                <w:sz w:val="17"/>
              </w:rPr>
            </w:r>
            <w:r>
              <w:rPr>
                <w:sz w:val="17"/>
              </w:rPr>
              <w:t>Different protected-activity lists; remedies differ (penalty, reinstatement, back pay vs. compensatory damages and fees)</w:t>
            </w:r>
          </w:p>
        </w:tc>
        <w:tc>
          <w:tcPr>
            <w:tcW w:type="dxa" w:w="3312"/>
          </w:tcPr>
          <w:p>
            <w:pPr>
              <w:spacing w:after="0"/>
            </w:pPr>
            <w:r>
              <w:rPr>
                <w:sz w:val="17"/>
              </w:rPr>
            </w:r>
            <w:r>
              <w:rPr>
                <w:sz w:val="17"/>
              </w:rPr>
              <w:t>Draft to the union of both lists; neutral description of remedies</w:t>
            </w:r>
          </w:p>
        </w:tc>
      </w:tr>
      <w:tr>
        <w:tc>
          <w:tcPr>
            <w:tcW w:type="dxa" w:w="2304"/>
            <w:shd w:val="clear" w:color="auto" w:fill="F2F4F8"/>
          </w:tcPr>
          <w:p>
            <w:pPr>
              <w:spacing w:after="0"/>
            </w:pPr>
            <w:r>
              <w:rPr>
                <w:sz w:val="17"/>
              </w:rPr>
            </w:r>
            <w:r>
              <w:rPr>
                <w:sz w:val="17"/>
              </w:rPr>
              <w:t>Exempt salary threshold on stubs</w:t>
            </w:r>
          </w:p>
        </w:tc>
        <w:tc>
          <w:tcPr>
            <w:tcW w:type="dxa" w:w="3744"/>
            <w:shd w:val="clear" w:color="auto" w:fill="F2F4F8"/>
          </w:tcPr>
          <w:p>
            <w:pPr>
              <w:spacing w:after="0"/>
            </w:pPr>
            <w:r>
              <w:rPr>
                <w:sz w:val="17"/>
              </w:rPr>
            </w:r>
            <w:r>
              <w:rPr>
                <w:sz w:val="17"/>
              </w:rPr>
              <w:t>IDOL rules not until Oct 1, 2026; HR Audit cites a $1,128 weekly federal threshold</w:t>
            </w:r>
          </w:p>
        </w:tc>
        <w:tc>
          <w:tcPr>
            <w:tcW w:type="dxa" w:w="3312"/>
            <w:shd w:val="clear" w:color="auto" w:fill="F2F4F8"/>
          </w:tcPr>
          <w:p>
            <w:pPr>
              <w:spacing w:after="0"/>
            </w:pPr>
            <w:r>
              <w:rPr>
                <w:sz w:val="17"/>
              </w:rPr>
            </w:r>
            <w:r>
              <w:rPr>
                <w:sz w:val="17"/>
              </w:rPr>
              <w:t>Confirm the current federal figure (see Section VI.A.1); keep the field configurable</w:t>
            </w:r>
          </w:p>
        </w:tc>
      </w:tr>
      <w:tr>
        <w:tc>
          <w:tcPr>
            <w:tcW w:type="dxa" w:w="2304"/>
          </w:tcPr>
          <w:p>
            <w:pPr>
              <w:spacing w:after="0"/>
            </w:pPr>
            <w:r>
              <w:rPr>
                <w:sz w:val="17"/>
              </w:rPr>
            </w:r>
            <w:r>
              <w:rPr>
                <w:sz w:val="17"/>
              </w:rPr>
              <w:t>7-year retention for pre-April 2026 records</w:t>
            </w:r>
          </w:p>
        </w:tc>
        <w:tc>
          <w:tcPr>
            <w:tcW w:type="dxa" w:w="3744"/>
          </w:tcPr>
          <w:p>
            <w:pPr>
              <w:spacing w:after="0"/>
            </w:pPr>
            <w:r>
              <w:rPr>
                <w:sz w:val="17"/>
              </w:rPr>
            </w:r>
            <w:r>
              <w:rPr>
                <w:sz w:val="17"/>
              </w:rPr>
              <w:t>Silent</w:t>
            </w:r>
          </w:p>
        </w:tc>
        <w:tc>
          <w:tcPr>
            <w:tcW w:type="dxa" w:w="3312"/>
          </w:tcPr>
          <w:p>
            <w:pPr>
              <w:spacing w:after="0"/>
            </w:pPr>
            <w:r>
              <w:rPr>
                <w:sz w:val="17"/>
              </w:rPr>
            </w:r>
            <w:r>
              <w:rPr>
                <w:sz w:val="17"/>
              </w:rPr>
              <w:t>Preserve everything now; document what has already been destroyed</w:t>
            </w:r>
          </w:p>
        </w:tc>
      </w:tr>
      <w:tr>
        <w:tc>
          <w:tcPr>
            <w:tcW w:type="dxa" w:w="2304"/>
            <w:shd w:val="clear" w:color="auto" w:fill="F2F4F8"/>
          </w:tcPr>
          <w:p>
            <w:pPr>
              <w:spacing w:after="0"/>
            </w:pPr>
            <w:r>
              <w:rPr>
                <w:sz w:val="17"/>
              </w:rPr>
            </w:r>
            <w:r>
              <w:rPr>
                <w:sz w:val="17"/>
              </w:rPr>
              <w:t>Joint-employer liability for Jan–Jun 2026 FlexForce stub violations</w:t>
            </w:r>
          </w:p>
        </w:tc>
        <w:tc>
          <w:tcPr>
            <w:tcW w:type="dxa" w:w="3744"/>
            <w:shd w:val="clear" w:color="auto" w:fill="F2F4F8"/>
          </w:tcPr>
          <w:p>
            <w:pPr>
              <w:spacing w:after="0"/>
            </w:pPr>
            <w:r>
              <w:rPr>
                <w:sz w:val="17"/>
              </w:rPr>
            </w:r>
            <w:r>
              <w:rPr>
                <w:sz w:val="17"/>
              </w:rPr>
              <w:t>Penalties accrue from Jan 1; §20-10 effective Jul 1</w:t>
            </w:r>
          </w:p>
        </w:tc>
        <w:tc>
          <w:tcPr>
            <w:tcW w:type="dxa" w:w="3312"/>
            <w:shd w:val="clear" w:color="auto" w:fill="F2F4F8"/>
          </w:tcPr>
          <w:p>
            <w:pPr>
              <w:spacing w:after="0"/>
            </w:pPr>
            <w:r>
              <w:rPr>
                <w:sz w:val="17"/>
              </w:rPr>
            </w:r>
            <w:r>
              <w:rPr>
                <w:sz w:val="17"/>
              </w:rPr>
              <w:t>Obtain FlexForce certification of Phase 1 compliance in January 2026</w:t>
            </w:r>
          </w:p>
        </w:tc>
      </w:tr>
    </w:tbl>
    <w:p>
      <w:pPr>
        <w:spacing w:after="40"/>
      </w:pPr>
    </w:p>
    <w:p>
      <w:pPr>
        <w:pStyle w:val="Heading1"/>
      </w:pPr>
      <w:r>
        <w:t>X. Discrepancies and Data-Integrity Issues in the Record</w:t>
      </w:r>
    </w:p>
    <w:p>
      <w:pPr>
        <w:jc w:val="both"/>
      </w:pPr>
      <w:r>
        <w:t>These should be corrected before any material is presented to the Board or produced to a regulator:</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432"/>
            <w:shd w:val="clear" w:color="auto" w:fill="1F2A44"/>
          </w:tcPr>
          <w:p>
            <w:r/>
            <w:r>
              <w:rPr>
                <w:b/>
                <w:color w:val="FFFFFF"/>
                <w:sz w:val="17"/>
              </w:rPr>
              <w:t>#</w:t>
            </w:r>
          </w:p>
        </w:tc>
        <w:tc>
          <w:tcPr>
            <w:tcW w:type="dxa" w:w="3456"/>
            <w:shd w:val="clear" w:color="auto" w:fill="1F2A44"/>
          </w:tcPr>
          <w:p>
            <w:r/>
            <w:r>
              <w:rPr>
                <w:b/>
                <w:color w:val="FFFFFF"/>
                <w:sz w:val="17"/>
              </w:rPr>
              <w:t>Issue</w:t>
            </w:r>
          </w:p>
        </w:tc>
        <w:tc>
          <w:tcPr>
            <w:tcW w:type="dxa" w:w="2304"/>
            <w:shd w:val="clear" w:color="auto" w:fill="1F2A44"/>
          </w:tcPr>
          <w:p>
            <w:r/>
            <w:r>
              <w:rPr>
                <w:b/>
                <w:color w:val="FFFFFF"/>
                <w:sz w:val="17"/>
              </w:rPr>
              <w:t>Sources</w:t>
            </w:r>
          </w:p>
        </w:tc>
        <w:tc>
          <w:tcPr>
            <w:tcW w:type="dxa" w:w="3168"/>
            <w:shd w:val="clear" w:color="auto" w:fill="1F2A44"/>
          </w:tcPr>
          <w:p>
            <w:r/>
            <w:r>
              <w:rPr>
                <w:b/>
                <w:color w:val="FFFFFF"/>
                <w:sz w:val="17"/>
              </w:rPr>
              <w:t>Correction / action</w:t>
            </w:r>
          </w:p>
        </w:tc>
      </w:tr>
      <w:tr>
        <w:tc>
          <w:tcPr>
            <w:tcW w:type="dxa" w:w="432"/>
          </w:tcPr>
          <w:p>
            <w:pPr>
              <w:spacing w:after="0"/>
            </w:pPr>
            <w:r>
              <w:rPr>
                <w:sz w:val="17"/>
              </w:rPr>
            </w:r>
            <w:r>
              <w:rPr>
                <w:sz w:val="17"/>
              </w:rPr>
              <w:t>1</w:t>
            </w:r>
          </w:p>
        </w:tc>
        <w:tc>
          <w:tcPr>
            <w:tcW w:type="dxa" w:w="3456"/>
          </w:tcPr>
          <w:p>
            <w:pPr>
              <w:spacing w:after="0"/>
            </w:pPr>
            <w:r>
              <w:rPr>
                <w:sz w:val="17"/>
              </w:rPr>
            </w:r>
            <w:r>
              <w:rPr>
                <w:sz w:val="17"/>
              </w:rPr>
              <w:t>Pay-stub exposure doubled ($3.22M per period; $83.7M per year)</w:t>
            </w:r>
          </w:p>
        </w:tc>
        <w:tc>
          <w:tcPr>
            <w:tcW w:type="dxa" w:w="2304"/>
          </w:tcPr>
          <w:p>
            <w:pPr>
              <w:spacing w:after="0"/>
            </w:pPr>
            <w:r>
              <w:rPr>
                <w:sz w:val="17"/>
              </w:rPr>
            </w:r>
            <w:r>
              <w:rPr>
                <w:sz w:val="17"/>
              </w:rPr>
              <w:t>Counsel Summary §II.A</w:t>
            </w:r>
          </w:p>
        </w:tc>
        <w:tc>
          <w:tcPr>
            <w:tcW w:type="dxa" w:w="3168"/>
          </w:tcPr>
          <w:p>
            <w:pPr>
              <w:spacing w:after="0"/>
            </w:pPr>
            <w:r>
              <w:rPr>
                <w:sz w:val="17"/>
              </w:rPr>
            </w:r>
            <w:r>
              <w:rPr>
                <w:sz w:val="17"/>
              </w:rPr>
              <w:t>$1.609M per period; $41.834M per year</w:t>
            </w:r>
          </w:p>
        </w:tc>
      </w:tr>
      <w:tr>
        <w:tc>
          <w:tcPr>
            <w:tcW w:type="dxa" w:w="432"/>
            <w:shd w:val="clear" w:color="auto" w:fill="F2F4F8"/>
          </w:tcPr>
          <w:p>
            <w:pPr>
              <w:spacing w:after="0"/>
            </w:pPr>
            <w:r>
              <w:rPr>
                <w:sz w:val="17"/>
              </w:rPr>
            </w:r>
            <w:r>
              <w:rPr>
                <w:sz w:val="17"/>
              </w:rPr>
              <w:t>2</w:t>
            </w:r>
          </w:p>
        </w:tc>
        <w:tc>
          <w:tcPr>
            <w:tcW w:type="dxa" w:w="3456"/>
            <w:shd w:val="clear" w:color="auto" w:fill="F2F4F8"/>
          </w:tcPr>
          <w:p>
            <w:pPr>
              <w:spacing w:after="0"/>
            </w:pPr>
            <w:r>
              <w:rPr>
                <w:sz w:val="17"/>
              </w:rPr>
            </w:r>
            <w:r>
              <w:rPr>
                <w:sz w:val="17"/>
              </w:rPr>
              <w:t>Exempt stub gaps described as “two”; Appendix B shows three (employer legal name and address also missing)</w:t>
            </w:r>
          </w:p>
        </w:tc>
        <w:tc>
          <w:tcPr>
            <w:tcW w:type="dxa" w:w="2304"/>
            <w:shd w:val="clear" w:color="auto" w:fill="F2F4F8"/>
          </w:tcPr>
          <w:p>
            <w:pPr>
              <w:spacing w:after="0"/>
            </w:pPr>
            <w:r>
              <w:rPr>
                <w:sz w:val="17"/>
              </w:rPr>
            </w:r>
            <w:r>
              <w:rPr>
                <w:sz w:val="17"/>
              </w:rPr>
              <w:t>HR Audit §IV.B vs. App. B; Verdant e-mail</w:t>
            </w:r>
          </w:p>
        </w:tc>
        <w:tc>
          <w:tcPr>
            <w:tcW w:type="dxa" w:w="3168"/>
            <w:shd w:val="clear" w:color="auto" w:fill="F2F4F8"/>
          </w:tcPr>
          <w:p>
            <w:pPr>
              <w:spacing w:after="0"/>
            </w:pPr>
            <w:r>
              <w:rPr>
                <w:sz w:val="17"/>
              </w:rPr>
            </w:r>
            <w:r>
              <w:rPr>
                <w:sz w:val="17"/>
              </w:rPr>
              <w:t>Three or more; see Appendix B</w:t>
            </w:r>
          </w:p>
        </w:tc>
      </w:tr>
      <w:tr>
        <w:tc>
          <w:tcPr>
            <w:tcW w:type="dxa" w:w="432"/>
          </w:tcPr>
          <w:p>
            <w:pPr>
              <w:spacing w:after="0"/>
            </w:pPr>
            <w:r>
              <w:rPr>
                <w:sz w:val="17"/>
              </w:rPr>
            </w:r>
            <w:r>
              <w:rPr>
                <w:sz w:val="17"/>
              </w:rPr>
              <w:t>3</w:t>
            </w:r>
          </w:p>
        </w:tc>
        <w:tc>
          <w:tcPr>
            <w:tcW w:type="dxa" w:w="3456"/>
          </w:tcPr>
          <w:p>
            <w:pPr>
              <w:spacing w:after="0"/>
            </w:pPr>
            <w:r>
              <w:rPr>
                <w:sz w:val="17"/>
              </w:rPr>
            </w:r>
            <w:r>
              <w:rPr>
                <w:sz w:val="17"/>
              </w:rPr>
              <w:t>Statutory stub fields missing from the audit and Verdant scope (SSN last 4 / ID, employer phone, pay date, itemized deductions, OT rate)</w:t>
            </w:r>
          </w:p>
        </w:tc>
        <w:tc>
          <w:tcPr>
            <w:tcW w:type="dxa" w:w="2304"/>
          </w:tcPr>
          <w:p>
            <w:pPr>
              <w:spacing w:after="0"/>
            </w:pPr>
            <w:r>
              <w:rPr>
                <w:sz w:val="17"/>
              </w:rPr>
            </w:r>
            <w:r>
              <w:rPr>
                <w:sz w:val="17"/>
              </w:rPr>
              <w:t>Counsel Summary §II.A vs. HR Audit App. A</w:t>
            </w:r>
          </w:p>
        </w:tc>
        <w:tc>
          <w:tcPr>
            <w:tcW w:type="dxa" w:w="3168"/>
          </w:tcPr>
          <w:p>
            <w:pPr>
              <w:spacing w:after="0"/>
            </w:pPr>
            <w:r>
              <w:rPr>
                <w:sz w:val="17"/>
              </w:rPr>
            </w:r>
            <w:r>
              <w:rPr>
                <w:sz w:val="17"/>
              </w:rPr>
              <w:t>Add to the SOW before signing</w:t>
            </w:r>
          </w:p>
        </w:tc>
      </w:tr>
      <w:tr>
        <w:tc>
          <w:tcPr>
            <w:tcW w:type="dxa" w:w="432"/>
            <w:shd w:val="clear" w:color="auto" w:fill="F2F4F8"/>
          </w:tcPr>
          <w:p>
            <w:pPr>
              <w:spacing w:after="0"/>
            </w:pPr>
            <w:r>
              <w:rPr>
                <w:sz w:val="17"/>
              </w:rPr>
            </w:r>
            <w:r>
              <w:rPr>
                <w:sz w:val="17"/>
              </w:rPr>
              <w:t>4</w:t>
            </w:r>
          </w:p>
        </w:tc>
        <w:tc>
          <w:tcPr>
            <w:tcW w:type="dxa" w:w="3456"/>
            <w:shd w:val="clear" w:color="auto" w:fill="F2F4F8"/>
          </w:tcPr>
          <w:p>
            <w:pPr>
              <w:spacing w:after="0"/>
            </w:pPr>
            <w:r>
              <w:rPr>
                <w:sz w:val="17"/>
              </w:rPr>
            </w:r>
            <w:r>
              <w:rPr>
                <w:sz w:val="17"/>
              </w:rPr>
              <w:t>Romeoville HQ Polish counted as above 5% (26/520 = 5.0%)</w:t>
            </w:r>
          </w:p>
        </w:tc>
        <w:tc>
          <w:tcPr>
            <w:tcW w:type="dxa" w:w="2304"/>
            <w:shd w:val="clear" w:color="auto" w:fill="F2F4F8"/>
          </w:tcPr>
          <w:p>
            <w:pPr>
              <w:spacing w:after="0"/>
            </w:pPr>
            <w:r>
              <w:rPr>
                <w:sz w:val="17"/>
              </w:rPr>
            </w:r>
            <w:r>
              <w:rPr>
                <w:sz w:val="17"/>
              </w:rPr>
              <w:t>HR Audit §III.B, §IX</w:t>
            </w:r>
          </w:p>
        </w:tc>
        <w:tc>
          <w:tcPr>
            <w:tcW w:type="dxa" w:w="3168"/>
            <w:shd w:val="clear" w:color="auto" w:fill="F2F4F8"/>
          </w:tcPr>
          <w:p>
            <w:pPr>
              <w:spacing w:after="0"/>
            </w:pPr>
            <w:r>
              <w:rPr>
                <w:sz w:val="17"/>
              </w:rPr>
            </w:r>
            <w:r>
              <w:rPr>
                <w:sz w:val="17"/>
              </w:rPr>
              <w:t>Not triggered on the data; post anyway (conservative)</w:t>
            </w:r>
          </w:p>
        </w:tc>
      </w:tr>
      <w:tr>
        <w:tc>
          <w:tcPr>
            <w:tcW w:type="dxa" w:w="432"/>
          </w:tcPr>
          <w:p>
            <w:pPr>
              <w:spacing w:after="0"/>
            </w:pPr>
            <w:r>
              <w:rPr>
                <w:sz w:val="17"/>
              </w:rPr>
            </w:r>
            <w:r>
              <w:rPr>
                <w:sz w:val="17"/>
              </w:rPr>
              <w:t>5</w:t>
            </w:r>
          </w:p>
        </w:tc>
        <w:tc>
          <w:tcPr>
            <w:tcW w:type="dxa" w:w="3456"/>
          </w:tcPr>
          <w:p>
            <w:pPr>
              <w:spacing w:after="0"/>
            </w:pPr>
            <w:r>
              <w:rPr>
                <w:sz w:val="17"/>
              </w:rPr>
            </w:r>
            <w:r>
              <w:rPr>
                <w:sz w:val="17"/>
              </w:rPr>
              <w:t>Language totals do not reconcile: English 2,393 + Spanish 640 + Polish 185 = 3,218, leaving no room for 42 Tagalog speakers, 44 others or 344 non-respondents</w:t>
            </w:r>
          </w:p>
        </w:tc>
        <w:tc>
          <w:tcPr>
            <w:tcW w:type="dxa" w:w="2304"/>
          </w:tcPr>
          <w:p>
            <w:pPr>
              <w:spacing w:after="0"/>
            </w:pPr>
            <w:r>
              <w:rPr>
                <w:sz w:val="17"/>
              </w:rPr>
            </w:r>
            <w:r>
              <w:rPr>
                <w:sz w:val="17"/>
              </w:rPr>
              <w:t>HR Audit §III.B</w:t>
            </w:r>
          </w:p>
        </w:tc>
        <w:tc>
          <w:tcPr>
            <w:tcW w:type="dxa" w:w="3168"/>
          </w:tcPr>
          <w:p>
            <w:pPr>
              <w:spacing w:after="0"/>
            </w:pPr>
            <w:r>
              <w:rPr>
                <w:sz w:val="17"/>
              </w:rPr>
            </w:r>
            <w:r>
              <w:rPr>
                <w:sz w:val="17"/>
              </w:rPr>
              <w:t>Re-run the survey in multiple languages; treat non-respondents as unknown, not English</w:t>
            </w:r>
          </w:p>
        </w:tc>
      </w:tr>
      <w:tr>
        <w:tc>
          <w:tcPr>
            <w:tcW w:type="dxa" w:w="432"/>
            <w:shd w:val="clear" w:color="auto" w:fill="F2F4F8"/>
          </w:tcPr>
          <w:p>
            <w:pPr>
              <w:spacing w:after="0"/>
            </w:pPr>
            <w:r>
              <w:rPr>
                <w:sz w:val="17"/>
              </w:rPr>
            </w:r>
            <w:r>
              <w:rPr>
                <w:sz w:val="17"/>
              </w:rPr>
              <w:t>6</w:t>
            </w:r>
          </w:p>
        </w:tc>
        <w:tc>
          <w:tcPr>
            <w:tcW w:type="dxa" w:w="3456"/>
            <w:shd w:val="clear" w:color="auto" w:fill="F2F4F8"/>
          </w:tcPr>
          <w:p>
            <w:pPr>
              <w:spacing w:after="0"/>
            </w:pPr>
            <w:r>
              <w:rPr>
                <w:sz w:val="17"/>
              </w:rPr>
            </w:r>
            <w:r>
              <w:rPr>
                <w:sz w:val="17"/>
              </w:rPr>
              <w:t>IC Agreement has an exclusivity clause (§5.5); the audit says it has none</w:t>
            </w:r>
          </w:p>
        </w:tc>
        <w:tc>
          <w:tcPr>
            <w:tcW w:type="dxa" w:w="2304"/>
            <w:shd w:val="clear" w:color="auto" w:fill="F2F4F8"/>
          </w:tcPr>
          <w:p>
            <w:pPr>
              <w:spacing w:after="0"/>
            </w:pPr>
            <w:r>
              <w:rPr>
                <w:sz w:val="17"/>
              </w:rPr>
            </w:r>
            <w:r>
              <w:rPr>
                <w:sz w:val="17"/>
              </w:rPr>
              <w:t>HR Audit §VI.B vs. IC §5.5</w:t>
            </w:r>
          </w:p>
        </w:tc>
        <w:tc>
          <w:tcPr>
            <w:tcW w:type="dxa" w:w="3168"/>
            <w:shd w:val="clear" w:color="auto" w:fill="F2F4F8"/>
          </w:tcPr>
          <w:p>
            <w:pPr>
              <w:spacing w:after="0"/>
            </w:pPr>
            <w:r>
              <w:rPr>
                <w:sz w:val="17"/>
              </w:rPr>
            </w:r>
            <w:r>
              <w:rPr>
                <w:sz w:val="17"/>
              </w:rPr>
              <w:t>Correct the factual predicate for the ABC opinion</w:t>
            </w:r>
          </w:p>
        </w:tc>
      </w:tr>
      <w:tr>
        <w:tc>
          <w:tcPr>
            <w:tcW w:type="dxa" w:w="432"/>
          </w:tcPr>
          <w:p>
            <w:pPr>
              <w:spacing w:after="0"/>
            </w:pPr>
            <w:r>
              <w:rPr>
                <w:sz w:val="17"/>
              </w:rPr>
            </w:r>
            <w:r>
              <w:rPr>
                <w:sz w:val="17"/>
              </w:rPr>
              <w:t>7</w:t>
            </w:r>
          </w:p>
        </w:tc>
        <w:tc>
          <w:tcPr>
            <w:tcW w:type="dxa" w:w="3456"/>
          </w:tcPr>
          <w:p>
            <w:pPr>
              <w:spacing w:after="0"/>
            </w:pPr>
            <w:r>
              <w:rPr>
                <w:sz w:val="17"/>
              </w:rPr>
            </w:r>
            <w:r>
              <w:rPr>
                <w:sz w:val="17"/>
              </w:rPr>
              <w:t>Routing software “OmniRoute v3.1” vs. “RouteLogix”; driver pay “weekly” vs. biweekly within 10 business days; template revised “January 2021” vs. “Rev. 03/2021”; decline limit of 3 vs. 2 per month</w:t>
            </w:r>
          </w:p>
        </w:tc>
        <w:tc>
          <w:tcPr>
            <w:tcW w:type="dxa" w:w="2304"/>
          </w:tcPr>
          <w:p>
            <w:pPr>
              <w:spacing w:after="0"/>
            </w:pPr>
            <w:r>
              <w:rPr>
                <w:sz w:val="17"/>
              </w:rPr>
            </w:r>
            <w:r>
              <w:rPr>
                <w:sz w:val="17"/>
              </w:rPr>
              <w:t>HR Audit §VI vs. IC Agreement §§1.2, 2.3, 3.3</w:t>
            </w:r>
          </w:p>
        </w:tc>
        <w:tc>
          <w:tcPr>
            <w:tcW w:type="dxa" w:w="3168"/>
          </w:tcPr>
          <w:p>
            <w:pPr>
              <w:spacing w:after="0"/>
            </w:pPr>
            <w:r>
              <w:rPr>
                <w:sz w:val="17"/>
              </w:rPr>
            </w:r>
            <w:r>
              <w:rPr>
                <w:sz w:val="17"/>
              </w:rPr>
              <w:t>Confirm actual practice; the agreement governs</w:t>
            </w:r>
          </w:p>
        </w:tc>
      </w:tr>
      <w:tr>
        <w:tc>
          <w:tcPr>
            <w:tcW w:type="dxa" w:w="432"/>
            <w:shd w:val="clear" w:color="auto" w:fill="F2F4F8"/>
          </w:tcPr>
          <w:p>
            <w:pPr>
              <w:spacing w:after="0"/>
            </w:pPr>
            <w:r>
              <w:rPr>
                <w:sz w:val="17"/>
              </w:rPr>
            </w:r>
            <w:r>
              <w:rPr>
                <w:sz w:val="17"/>
              </w:rPr>
              <w:t>8</w:t>
            </w:r>
          </w:p>
        </w:tc>
        <w:tc>
          <w:tcPr>
            <w:tcW w:type="dxa" w:w="3456"/>
            <w:shd w:val="clear" w:color="auto" w:fill="F2F4F8"/>
          </w:tcPr>
          <w:p>
            <w:pPr>
              <w:spacing w:after="0"/>
            </w:pPr>
            <w:r>
              <w:rPr>
                <w:sz w:val="17"/>
              </w:rPr>
            </w:r>
            <w:r>
              <w:rPr>
                <w:sz w:val="17"/>
              </w:rPr>
              <w:t>Cascade vendor named Oakvale Point Software vs. Bridgepoint Software</w:t>
            </w:r>
          </w:p>
        </w:tc>
        <w:tc>
          <w:tcPr>
            <w:tcW w:type="dxa" w:w="2304"/>
            <w:shd w:val="clear" w:color="auto" w:fill="F2F4F8"/>
          </w:tcPr>
          <w:p>
            <w:pPr>
              <w:spacing w:after="0"/>
            </w:pPr>
            <w:r>
              <w:rPr>
                <w:sz w:val="17"/>
              </w:rPr>
            </w:r>
            <w:r>
              <w:rPr>
                <w:sz w:val="17"/>
              </w:rPr>
              <w:t>HR Audit / e-mail vs. Cost Workbook; Verdant e-mail</w:t>
            </w:r>
          </w:p>
        </w:tc>
        <w:tc>
          <w:tcPr>
            <w:tcW w:type="dxa" w:w="3168"/>
            <w:shd w:val="clear" w:color="auto" w:fill="F2F4F8"/>
          </w:tcPr>
          <w:p>
            <w:pPr>
              <w:spacing w:after="0"/>
            </w:pPr>
            <w:r>
              <w:rPr>
                <w:sz w:val="17"/>
              </w:rPr>
            </w:r>
            <w:r>
              <w:rPr>
                <w:sz w:val="17"/>
              </w:rPr>
              <w:t>Confirm the contracting entity before signing the SOW</w:t>
            </w:r>
          </w:p>
        </w:tc>
      </w:tr>
      <w:tr>
        <w:tc>
          <w:tcPr>
            <w:tcW w:type="dxa" w:w="432"/>
          </w:tcPr>
          <w:p>
            <w:pPr>
              <w:spacing w:after="0"/>
            </w:pPr>
            <w:r>
              <w:rPr>
                <w:sz w:val="17"/>
              </w:rPr>
            </w:r>
            <w:r>
              <w:rPr>
                <w:sz w:val="17"/>
              </w:rPr>
              <w:t>9</w:t>
            </w:r>
          </w:p>
        </w:tc>
        <w:tc>
          <w:tcPr>
            <w:tcW w:type="dxa" w:w="3456"/>
          </w:tcPr>
          <w:p>
            <w:pPr>
              <w:spacing w:after="0"/>
            </w:pPr>
            <w:r>
              <w:rPr>
                <w:sz w:val="17"/>
              </w:rPr>
            </w:r>
            <w:r>
              <w:rPr>
                <w:sz w:val="17"/>
              </w:rPr>
              <w:t>FlexForce instrument misidentified (Amendment No. 1, “executed 2021”)</w:t>
            </w:r>
          </w:p>
        </w:tc>
        <w:tc>
          <w:tcPr>
            <w:tcW w:type="dxa" w:w="2304"/>
          </w:tcPr>
          <w:p>
            <w:pPr>
              <w:spacing w:after="0"/>
            </w:pPr>
            <w:r>
              <w:rPr>
                <w:sz w:val="17"/>
              </w:rPr>
            </w:r>
            <w:r>
              <w:rPr>
                <w:sz w:val="17"/>
              </w:rPr>
              <w:t>Counsel Summary; HR Audit §X; Workbook</w:t>
            </w:r>
          </w:p>
        </w:tc>
        <w:tc>
          <w:tcPr>
            <w:tcW w:type="dxa" w:w="3168"/>
          </w:tcPr>
          <w:p>
            <w:pPr>
              <w:spacing w:after="0"/>
            </w:pPr>
            <w:r>
              <w:rPr>
                <w:sz w:val="17"/>
              </w:rPr>
            </w:r>
            <w:r>
              <w:rPr>
                <w:sz w:val="17"/>
              </w:rPr>
              <w:t>Amendment No. 2 dated Jan 8, 2024; MSA dated Mar 15, 2022</w:t>
            </w:r>
          </w:p>
        </w:tc>
      </w:tr>
      <w:tr>
        <w:tc>
          <w:tcPr>
            <w:tcW w:type="dxa" w:w="432"/>
            <w:shd w:val="clear" w:color="auto" w:fill="F2F4F8"/>
          </w:tcPr>
          <w:p>
            <w:pPr>
              <w:spacing w:after="0"/>
            </w:pPr>
            <w:r>
              <w:rPr>
                <w:sz w:val="17"/>
              </w:rPr>
            </w:r>
            <w:r>
              <w:rPr>
                <w:sz w:val="17"/>
              </w:rPr>
              <w:t>10</w:t>
            </w:r>
          </w:p>
        </w:tc>
        <w:tc>
          <w:tcPr>
            <w:tcW w:type="dxa" w:w="3456"/>
            <w:shd w:val="clear" w:color="auto" w:fill="F2F4F8"/>
          </w:tcPr>
          <w:p>
            <w:pPr>
              <w:spacing w:after="0"/>
            </w:pPr>
            <w:r>
              <w:rPr>
                <w:sz w:val="17"/>
              </w:rPr>
            </w:r>
            <w:r>
              <w:rPr>
                <w:sz w:val="17"/>
              </w:rPr>
              <w:t>Reclassification arithmetic understated by $3,547.20</w:t>
            </w:r>
          </w:p>
        </w:tc>
        <w:tc>
          <w:tcPr>
            <w:tcW w:type="dxa" w:w="2304"/>
            <w:shd w:val="clear" w:color="auto" w:fill="F2F4F8"/>
          </w:tcPr>
          <w:p>
            <w:pPr>
              <w:spacing w:after="0"/>
            </w:pPr>
            <w:r>
              <w:rPr>
                <w:sz w:val="17"/>
              </w:rPr>
            </w:r>
            <w:r>
              <w:rPr>
                <w:sz w:val="17"/>
              </w:rPr>
              <w:t>Workbook / HR Audit §VI.C</w:t>
            </w:r>
          </w:p>
        </w:tc>
        <w:tc>
          <w:tcPr>
            <w:tcW w:type="dxa" w:w="3168"/>
            <w:shd w:val="clear" w:color="auto" w:fill="F2F4F8"/>
          </w:tcPr>
          <w:p>
            <w:pPr>
              <w:spacing w:after="0"/>
            </w:pPr>
            <w:r>
              <w:rPr>
                <w:sz w:val="17"/>
              </w:rPr>
            </w:r>
            <w:r>
              <w:rPr>
                <w:sz w:val="17"/>
              </w:rPr>
              <w:t>$13,783,802.40</w:t>
            </w:r>
          </w:p>
        </w:tc>
      </w:tr>
      <w:tr>
        <w:tc>
          <w:tcPr>
            <w:tcW w:type="dxa" w:w="432"/>
          </w:tcPr>
          <w:p>
            <w:pPr>
              <w:spacing w:after="0"/>
            </w:pPr>
            <w:r>
              <w:rPr>
                <w:sz w:val="17"/>
              </w:rPr>
            </w:r>
            <w:r>
              <w:rPr>
                <w:sz w:val="17"/>
              </w:rPr>
              <w:t>11</w:t>
            </w:r>
          </w:p>
        </w:tc>
        <w:tc>
          <w:tcPr>
            <w:tcW w:type="dxa" w:w="3456"/>
          </w:tcPr>
          <w:p>
            <w:pPr>
              <w:spacing w:after="0"/>
            </w:pPr>
            <w:r>
              <w:rPr>
                <w:sz w:val="17"/>
              </w:rPr>
            </w:r>
            <w:r>
              <w:rPr>
                <w:sz w:val="17"/>
              </w:rPr>
              <w:t>Overtime estimate method (1.5× a 2,080-hour rate) and treble-damages proxy (trebling taxes and premiums)</w:t>
            </w:r>
          </w:p>
        </w:tc>
        <w:tc>
          <w:tcPr>
            <w:tcW w:type="dxa" w:w="2304"/>
          </w:tcPr>
          <w:p>
            <w:pPr>
              <w:spacing w:after="0"/>
            </w:pPr>
            <w:r>
              <w:rPr>
                <w:sz w:val="17"/>
              </w:rPr>
            </w:r>
            <w:r>
              <w:rPr>
                <w:sz w:val="17"/>
              </w:rPr>
              <w:t>Workbook</w:t>
            </w:r>
          </w:p>
        </w:tc>
        <w:tc>
          <w:tcPr>
            <w:tcW w:type="dxa" w:w="3168"/>
          </w:tcPr>
          <w:p>
            <w:pPr>
              <w:spacing w:after="0"/>
            </w:pPr>
            <w:r>
              <w:rPr>
                <w:sz w:val="17"/>
              </w:rPr>
            </w:r>
            <w:r>
              <w:rPr>
                <w:sz w:val="17"/>
              </w:rPr>
              <w:t>Re-model after the hours audit (Section VII)</w:t>
            </w:r>
          </w:p>
        </w:tc>
      </w:tr>
      <w:tr>
        <w:tc>
          <w:tcPr>
            <w:tcW w:type="dxa" w:w="432"/>
            <w:shd w:val="clear" w:color="auto" w:fill="F2F4F8"/>
          </w:tcPr>
          <w:p>
            <w:pPr>
              <w:spacing w:after="0"/>
            </w:pPr>
            <w:r>
              <w:rPr>
                <w:sz w:val="17"/>
              </w:rPr>
            </w:r>
            <w:r>
              <w:rPr>
                <w:sz w:val="17"/>
              </w:rPr>
              <w:t>12</w:t>
            </w:r>
          </w:p>
        </w:tc>
        <w:tc>
          <w:tcPr>
            <w:tcW w:type="dxa" w:w="3456"/>
            <w:shd w:val="clear" w:color="auto" w:fill="F2F4F8"/>
          </w:tcPr>
          <w:p>
            <w:pPr>
              <w:spacing w:after="0"/>
            </w:pPr>
            <w:r>
              <w:rPr>
                <w:sz w:val="17"/>
              </w:rPr>
            </w:r>
            <w:r>
              <w:rPr>
                <w:sz w:val="17"/>
              </w:rPr>
              <w:t>Budget line items inconsistent; contingency mislabeled</w:t>
            </w:r>
          </w:p>
        </w:tc>
        <w:tc>
          <w:tcPr>
            <w:tcW w:type="dxa" w:w="2304"/>
            <w:shd w:val="clear" w:color="auto" w:fill="F2F4F8"/>
          </w:tcPr>
          <w:p>
            <w:pPr>
              <w:spacing w:after="0"/>
            </w:pPr>
            <w:r>
              <w:rPr>
                <w:sz w:val="17"/>
              </w:rPr>
            </w:r>
            <w:r>
              <w:rPr>
                <w:sz w:val="17"/>
              </w:rPr>
              <w:t>HR Audit §XII vs. Workbook</w:t>
            </w:r>
          </w:p>
        </w:tc>
        <w:tc>
          <w:tcPr>
            <w:tcW w:type="dxa" w:w="3168"/>
            <w:shd w:val="clear" w:color="auto" w:fill="F2F4F8"/>
          </w:tcPr>
          <w:p>
            <w:pPr>
              <w:spacing w:after="0"/>
            </w:pPr>
            <w:r>
              <w:rPr>
                <w:sz w:val="17"/>
              </w:rPr>
            </w:r>
            <w:r>
              <w:rPr>
                <w:sz w:val="17"/>
              </w:rPr>
              <w:t>Reconciled $614,350 (Section VIII)</w:t>
            </w:r>
          </w:p>
        </w:tc>
      </w:tr>
      <w:tr>
        <w:tc>
          <w:tcPr>
            <w:tcW w:type="dxa" w:w="432"/>
          </w:tcPr>
          <w:p>
            <w:pPr>
              <w:spacing w:after="0"/>
            </w:pPr>
            <w:r>
              <w:rPr>
                <w:sz w:val="17"/>
              </w:rPr>
            </w:r>
            <w:r>
              <w:rPr>
                <w:sz w:val="17"/>
              </w:rPr>
              <w:t>13</w:t>
            </w:r>
          </w:p>
        </w:tc>
        <w:tc>
          <w:tcPr>
            <w:tcW w:type="dxa" w:w="3456"/>
          </w:tcPr>
          <w:p>
            <w:pPr>
              <w:spacing w:after="0"/>
            </w:pPr>
            <w:r>
              <w:rPr>
                <w:sz w:val="17"/>
              </w:rPr>
            </w:r>
            <w:r>
              <w:rPr>
                <w:sz w:val="17"/>
              </w:rPr>
              <w:t>Officer titles inconsistent (Fontaine: Controller vs. Director, Payroll Operations; Winstead: Senior Director, HR vs. VP, HR vs. “Vice President, Operations” as IC signatory)</w:t>
            </w:r>
          </w:p>
        </w:tc>
        <w:tc>
          <w:tcPr>
            <w:tcW w:type="dxa" w:w="2304"/>
          </w:tcPr>
          <w:p>
            <w:pPr>
              <w:spacing w:after="0"/>
            </w:pPr>
            <w:r>
              <w:rPr>
                <w:sz w:val="17"/>
              </w:rPr>
            </w:r>
            <w:r>
              <w:rPr>
                <w:sz w:val="17"/>
              </w:rPr>
              <w:t>Counsel Summary §VII; IC Agreement signature block</w:t>
            </w:r>
          </w:p>
        </w:tc>
        <w:tc>
          <w:tcPr>
            <w:tcW w:type="dxa" w:w="3168"/>
          </w:tcPr>
          <w:p>
            <w:pPr>
              <w:spacing w:after="0"/>
            </w:pPr>
            <w:r>
              <w:rPr>
                <w:sz w:val="17"/>
              </w:rPr>
            </w:r>
            <w:r>
              <w:rPr>
                <w:sz w:val="17"/>
              </w:rPr>
              <w:t>Confirm titles and signing authority, including authority for the IC and Verdant contracts</w:t>
            </w:r>
          </w:p>
        </w:tc>
      </w:tr>
      <w:tr>
        <w:tc>
          <w:tcPr>
            <w:tcW w:type="dxa" w:w="432"/>
            <w:shd w:val="clear" w:color="auto" w:fill="F2F4F8"/>
          </w:tcPr>
          <w:p>
            <w:pPr>
              <w:spacing w:after="0"/>
            </w:pPr>
            <w:r>
              <w:rPr>
                <w:sz w:val="17"/>
              </w:rPr>
            </w:r>
            <w:r>
              <w:rPr>
                <w:sz w:val="17"/>
              </w:rPr>
              <w:t>14</w:t>
            </w:r>
          </w:p>
        </w:tc>
        <w:tc>
          <w:tcPr>
            <w:tcW w:type="dxa" w:w="3456"/>
            <w:shd w:val="clear" w:color="auto" w:fill="F2F4F8"/>
          </w:tcPr>
          <w:p>
            <w:pPr>
              <w:spacing w:after="0"/>
            </w:pPr>
            <w:r>
              <w:rPr>
                <w:sz w:val="17"/>
              </w:rPr>
            </w:r>
            <w:r>
              <w:rPr>
                <w:sz w:val="17"/>
              </w:rPr>
              <w:t>Safe harbor described without plan and proof steps, the one-use limit, or the Oct 1, 2026 operative date</w:t>
            </w:r>
          </w:p>
        </w:tc>
        <w:tc>
          <w:tcPr>
            <w:tcW w:type="dxa" w:w="2304"/>
            <w:shd w:val="clear" w:color="auto" w:fill="F2F4F8"/>
          </w:tcPr>
          <w:p>
            <w:pPr>
              <w:spacing w:after="0"/>
            </w:pPr>
            <w:r>
              <w:rPr>
                <w:sz w:val="17"/>
              </w:rPr>
            </w:r>
            <w:r>
              <w:rPr>
                <w:sz w:val="17"/>
              </w:rPr>
              <w:t>HR Audit §XI.D; Workbook memo row</w:t>
            </w:r>
          </w:p>
        </w:tc>
        <w:tc>
          <w:tcPr>
            <w:tcW w:type="dxa" w:w="3168"/>
            <w:shd w:val="clear" w:color="auto" w:fill="F2F4F8"/>
          </w:tcPr>
          <w:p>
            <w:pPr>
              <w:spacing w:after="0"/>
            </w:pPr>
            <w:r>
              <w:rPr>
                <w:sz w:val="17"/>
              </w:rPr>
            </w:r>
            <w:r>
              <w:rPr>
                <w:sz w:val="17"/>
              </w:rPr>
              <w:t>Section VI.D</w:t>
            </w:r>
          </w:p>
        </w:tc>
      </w:tr>
      <w:tr>
        <w:tc>
          <w:tcPr>
            <w:tcW w:type="dxa" w:w="432"/>
          </w:tcPr>
          <w:p>
            <w:pPr>
              <w:spacing w:after="0"/>
            </w:pPr>
            <w:r>
              <w:rPr>
                <w:sz w:val="17"/>
              </w:rPr>
            </w:r>
            <w:r>
              <w:rPr>
                <w:sz w:val="17"/>
              </w:rPr>
              <w:t>15</w:t>
            </w:r>
          </w:p>
        </w:tc>
        <w:tc>
          <w:tcPr>
            <w:tcW w:type="dxa" w:w="3456"/>
          </w:tcPr>
          <w:p>
            <w:pPr>
              <w:spacing w:after="0"/>
            </w:pPr>
            <w:r>
              <w:rPr>
                <w:sz w:val="17"/>
              </w:rPr>
            </w:r>
            <w:r>
              <w:rPr>
                <w:sz w:val="17"/>
              </w:rPr>
              <w:t>HR Audit treats treble damages as limited to “willful” violations</w:t>
            </w:r>
          </w:p>
        </w:tc>
        <w:tc>
          <w:tcPr>
            <w:tcW w:type="dxa" w:w="2304"/>
          </w:tcPr>
          <w:p>
            <w:pPr>
              <w:spacing w:after="0"/>
            </w:pPr>
            <w:r>
              <w:rPr>
                <w:sz w:val="17"/>
              </w:rPr>
            </w:r>
            <w:r>
              <w:rPr>
                <w:sz w:val="17"/>
              </w:rPr>
              <w:t>HR Audit §XI.D vs. Counsel Summary / Floor Debate</w:t>
            </w:r>
          </w:p>
        </w:tc>
        <w:tc>
          <w:tcPr>
            <w:tcW w:type="dxa" w:w="3168"/>
          </w:tcPr>
          <w:p>
            <w:pPr>
              <w:spacing w:after="0"/>
            </w:pPr>
            <w:r>
              <w:rPr>
                <w:sz w:val="17"/>
              </w:rPr>
            </w:r>
            <w:r>
              <w:rPr>
                <w:sz w:val="17"/>
              </w:rPr>
              <w:t>No willfulness requirement stated in the other sources</w:t>
            </w:r>
          </w:p>
        </w:tc>
      </w:tr>
      <w:tr>
        <w:tc>
          <w:tcPr>
            <w:tcW w:type="dxa" w:w="432"/>
            <w:shd w:val="clear" w:color="auto" w:fill="F2F4F8"/>
          </w:tcPr>
          <w:p>
            <w:pPr>
              <w:spacing w:after="0"/>
            </w:pPr>
            <w:r>
              <w:rPr>
                <w:sz w:val="17"/>
              </w:rPr>
            </w:r>
            <w:r>
              <w:rPr>
                <w:sz w:val="17"/>
              </w:rPr>
              <w:t>16</w:t>
            </w:r>
          </w:p>
        </w:tc>
        <w:tc>
          <w:tcPr>
            <w:tcW w:type="dxa" w:w="3456"/>
            <w:shd w:val="clear" w:color="auto" w:fill="F2F4F8"/>
          </w:tcPr>
          <w:p>
            <w:pPr>
              <w:spacing w:after="0"/>
            </w:pPr>
            <w:r>
              <w:rPr>
                <w:sz w:val="17"/>
              </w:rPr>
            </w:r>
            <w:r>
              <w:rPr>
                <w:sz w:val="17"/>
              </w:rPr>
              <w:t>Workplace posting: the HR Audit says IDOL’s website offers templates in English and Spanish, but elsewhere says no template has been issued</w:t>
            </w:r>
          </w:p>
        </w:tc>
        <w:tc>
          <w:tcPr>
            <w:tcW w:type="dxa" w:w="2304"/>
            <w:shd w:val="clear" w:color="auto" w:fill="F2F4F8"/>
          </w:tcPr>
          <w:p>
            <w:pPr>
              <w:spacing w:after="0"/>
            </w:pPr>
            <w:r>
              <w:rPr>
                <w:sz w:val="17"/>
              </w:rPr>
            </w:r>
            <w:r>
              <w:rPr>
                <w:sz w:val="17"/>
              </w:rPr>
              <w:t>HR Audit §III.B vs. §IX</w:t>
            </w:r>
          </w:p>
        </w:tc>
        <w:tc>
          <w:tcPr>
            <w:tcW w:type="dxa" w:w="3168"/>
            <w:shd w:val="clear" w:color="auto" w:fill="F2F4F8"/>
          </w:tcPr>
          <w:p>
            <w:pPr>
              <w:spacing w:after="0"/>
            </w:pPr>
            <w:r>
              <w:rPr>
                <w:sz w:val="17"/>
              </w:rPr>
            </w:r>
            <w:r>
              <w:rPr>
                <w:sz w:val="17"/>
              </w:rPr>
              <w:t>Confirm what IDOL has actually published</w:t>
            </w:r>
          </w:p>
        </w:tc>
      </w:tr>
    </w:tbl>
    <w:p>
      <w:pPr>
        <w:spacing w:after="40"/>
      </w:pPr>
    </w:p>
    <w:p>
      <w:pPr>
        <w:pStyle w:val="Heading1"/>
      </w:pPr>
      <w:r>
        <w:t>XI. Governance and Oversight Recommendations</w:t>
      </w:r>
    </w:p>
    <w:p>
      <w:pPr>
        <w:pStyle w:val="ListBullet"/>
        <w:spacing w:after="60"/>
      </w:pPr>
      <w:r>
        <w:rPr>
          <w:b/>
        </w:rPr>
        <w:t>Board-level reporting system.</w:t>
      </w:r>
      <w:r>
        <w:t xml:space="preserve"> Omnicron is a Delaware corporation, and SB 2847 compliance is mission-critical: it touches the pay of every Illinois worker and carries eight-figure exposure. The Board should document that it has established, and actually monitors, a reporting system. Recommended: a Steering Committee charter; a monthly dashboard to the Audit Committee tracking every dated milestone in Section V (on track / at risk / missed); escalation of any at-risk “hard deadline” item to the Committee chair within 48 hours; and minutes that record the Board’s review.</w:t>
      </w:r>
    </w:p>
    <w:p>
      <w:pPr>
        <w:pStyle w:val="ListBullet"/>
        <w:spacing w:after="60"/>
      </w:pPr>
      <w:r>
        <w:rPr>
          <w:b/>
        </w:rPr>
        <w:t>Single accountable owner.</w:t>
      </w:r>
      <w:r>
        <w:t xml:space="preserve"> The GC should chair the Steering Committee. Each workstream should have one named owner: Controller for payroll and records vendors; Senior Director HR for postings, handbook and notices; GC with outside counsel for drivers and FlexForce; Operations for the driver transition.</w:t>
      </w:r>
    </w:p>
    <w:p>
      <w:pPr>
        <w:pStyle w:val="ListBullet"/>
        <w:spacing w:after="60"/>
      </w:pPr>
      <w:r>
        <w:rPr>
          <w:b/>
        </w:rPr>
        <w:t>Privilege discipline.</w:t>
      </w:r>
      <w:r>
        <w:t xml:space="preserve"> Route classification analyses, exposure models and safe-harbor deliberations through counsel. Keep operational trackers factual.</w:t>
      </w:r>
    </w:p>
    <w:p>
      <w:pPr>
        <w:pStyle w:val="ListBullet"/>
        <w:spacing w:after="60"/>
      </w:pPr>
      <w:r>
        <w:rPr>
          <w:b/>
        </w:rPr>
        <w:t>Insurance and disclosure.</w:t>
      </w:r>
      <w:r>
        <w:t xml:space="preserve"> Notify the D&amp;O and EPL carriers as their policies require. The driver decision and any accruals for penalty exposure should be reviewed with the auditors.</w:t>
      </w:r>
    </w:p>
    <w:p>
      <w:pPr>
        <w:pStyle w:val="ListBullet"/>
        <w:spacing w:after="60"/>
      </w:pPr>
      <w:r>
        <w:rPr>
          <w:b/>
        </w:rPr>
        <w:t>Board calendar.</w:t>
      </w:r>
      <w:r>
        <w:t xml:space="preserve"> (1) October 2025: ratify Verdant authority, the Steering Committee and the budget. (2) Special meeting by January 31, 2026: driver-model decision. (3) February 2026: implementation budget and FlexForce status. (4) June 2026: readiness certification for Phase 3. (5) September 2026: Phase 4 readiness and any safe-harbor decision.</w:t>
      </w:r>
    </w:p>
    <w:p>
      <w:pPr>
        <w:pStyle w:val="Heading1"/>
      </w:pPr>
      <w:r>
        <w:t>Appendix A — Per-Facility Language Threshold Determinations (“more than 5%”)</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944"/>
            <w:shd w:val="clear" w:color="auto" w:fill="1F2A44"/>
          </w:tcPr>
          <w:p>
            <w:r/>
            <w:r>
              <w:rPr>
                <w:b/>
                <w:color w:val="FFFFFF"/>
                <w:sz w:val="15"/>
              </w:rPr>
              <w:t>Facility</w:t>
            </w:r>
          </w:p>
        </w:tc>
        <w:tc>
          <w:tcPr>
            <w:tcW w:type="dxa" w:w="576"/>
            <w:shd w:val="clear" w:color="auto" w:fill="1F2A44"/>
          </w:tcPr>
          <w:p>
            <w:r/>
            <w:r>
              <w:rPr>
                <w:b/>
                <w:color w:val="FFFFFF"/>
                <w:sz w:val="15"/>
              </w:rPr>
              <w:t>HC</w:t>
            </w:r>
          </w:p>
        </w:tc>
        <w:tc>
          <w:tcPr>
            <w:tcW w:type="dxa" w:w="1296"/>
            <w:shd w:val="clear" w:color="auto" w:fill="1F2A44"/>
          </w:tcPr>
          <w:p>
            <w:r/>
            <w:r>
              <w:rPr>
                <w:b/>
                <w:color w:val="FFFFFF"/>
                <w:sz w:val="15"/>
              </w:rPr>
              <w:t>Spanish</w:t>
            </w:r>
          </w:p>
        </w:tc>
        <w:tc>
          <w:tcPr>
            <w:tcW w:type="dxa" w:w="1368"/>
            <w:shd w:val="clear" w:color="auto" w:fill="1F2A44"/>
          </w:tcPr>
          <w:p>
            <w:r/>
            <w:r>
              <w:rPr>
                <w:b/>
                <w:color w:val="FFFFFF"/>
                <w:sz w:val="15"/>
              </w:rPr>
              <w:t>Polish</w:t>
            </w:r>
          </w:p>
        </w:tc>
        <w:tc>
          <w:tcPr>
            <w:tcW w:type="dxa" w:w="1296"/>
            <w:shd w:val="clear" w:color="auto" w:fill="1F2A44"/>
          </w:tcPr>
          <w:p>
            <w:r/>
            <w:r>
              <w:rPr>
                <w:b/>
                <w:color w:val="FFFFFF"/>
                <w:sz w:val="15"/>
              </w:rPr>
              <w:t>Tagalog</w:t>
            </w:r>
          </w:p>
        </w:tc>
        <w:tc>
          <w:tcPr>
            <w:tcW w:type="dxa" w:w="1440"/>
            <w:shd w:val="clear" w:color="auto" w:fill="1F2A44"/>
          </w:tcPr>
          <w:p>
            <w:r/>
            <w:r>
              <w:rPr>
                <w:b/>
                <w:color w:val="FFFFFF"/>
                <w:sz w:val="15"/>
              </w:rPr>
              <w:t>Required on survey data</w:t>
            </w:r>
          </w:p>
        </w:tc>
        <w:tc>
          <w:tcPr>
            <w:tcW w:type="dxa" w:w="1440"/>
            <w:shd w:val="clear" w:color="auto" w:fill="1F2A44"/>
          </w:tcPr>
          <w:p>
            <w:r/>
            <w:r>
              <w:rPr>
                <w:b/>
                <w:color w:val="FFFFFF"/>
                <w:sz w:val="15"/>
              </w:rPr>
              <w:t>Recommended</w:t>
            </w:r>
          </w:p>
        </w:tc>
      </w:tr>
      <w:tr>
        <w:tc>
          <w:tcPr>
            <w:tcW w:type="dxa" w:w="1944"/>
          </w:tcPr>
          <w:p>
            <w:pPr>
              <w:spacing w:after="0"/>
            </w:pPr>
            <w:r>
              <w:rPr>
                <w:sz w:val="15"/>
              </w:rPr>
            </w:r>
            <w:r>
              <w:rPr>
                <w:sz w:val="15"/>
              </w:rPr>
              <w:t>Romeoville HQ &amp; Dist. Ctr.</w:t>
            </w:r>
          </w:p>
        </w:tc>
        <w:tc>
          <w:tcPr>
            <w:tcW w:type="dxa" w:w="576"/>
          </w:tcPr>
          <w:p>
            <w:pPr>
              <w:spacing w:after="0"/>
            </w:pPr>
            <w:r>
              <w:rPr>
                <w:sz w:val="15"/>
              </w:rPr>
            </w:r>
            <w:r>
              <w:rPr>
                <w:sz w:val="15"/>
              </w:rPr>
              <w:t>520</w:t>
            </w:r>
          </w:p>
        </w:tc>
        <w:tc>
          <w:tcPr>
            <w:tcW w:type="dxa" w:w="1296"/>
          </w:tcPr>
          <w:p>
            <w:pPr>
              <w:spacing w:after="0"/>
            </w:pPr>
            <w:r>
              <w:rPr>
                <w:sz w:val="15"/>
              </w:rPr>
            </w:r>
            <w:r>
              <w:rPr>
                <w:sz w:val="15"/>
              </w:rPr>
              <w:t>118 (22.69%) YES</w:t>
            </w:r>
          </w:p>
        </w:tc>
        <w:tc>
          <w:tcPr>
            <w:tcW w:type="dxa" w:w="1368"/>
          </w:tcPr>
          <w:p>
            <w:pPr>
              <w:spacing w:after="0"/>
            </w:pPr>
            <w:r>
              <w:rPr>
                <w:sz w:val="15"/>
              </w:rPr>
            </w:r>
            <w:r>
              <w:rPr>
                <w:sz w:val="15"/>
              </w:rPr>
              <w:t>26 (5.00%) AT 5.00% — NO</w:t>
            </w:r>
          </w:p>
        </w:tc>
        <w:tc>
          <w:tcPr>
            <w:tcW w:type="dxa" w:w="1296"/>
          </w:tcPr>
          <w:p>
            <w:pPr>
              <w:spacing w:after="0"/>
            </w:pPr>
            <w:r>
              <w:rPr>
                <w:sz w:val="15"/>
              </w:rPr>
            </w:r>
            <w:r>
              <w:rPr>
                <w:sz w:val="15"/>
              </w:rPr>
              <w:t>3 (0.58%) no</w:t>
            </w:r>
          </w:p>
        </w:tc>
        <w:tc>
          <w:tcPr>
            <w:tcW w:type="dxa" w:w="1440"/>
          </w:tcPr>
          <w:p>
            <w:pPr>
              <w:spacing w:after="0"/>
            </w:pPr>
            <w:r>
              <w:rPr>
                <w:sz w:val="15"/>
              </w:rPr>
            </w:r>
            <w:r>
              <w:rPr>
                <w:sz w:val="15"/>
              </w:rPr>
              <w:t>English, Spanish</w:t>
            </w:r>
          </w:p>
        </w:tc>
        <w:tc>
          <w:tcPr>
            <w:tcW w:type="dxa" w:w="1440"/>
          </w:tcPr>
          <w:p>
            <w:pPr>
              <w:spacing w:after="0"/>
            </w:pPr>
            <w:r>
              <w:rPr>
                <w:sz w:val="15"/>
              </w:rPr>
            </w:r>
            <w:r>
              <w:rPr>
                <w:sz w:val="15"/>
              </w:rPr>
              <w:t>English, Spanish, Polish (recommended)</w:t>
            </w:r>
          </w:p>
        </w:tc>
      </w:tr>
      <w:tr>
        <w:tc>
          <w:tcPr>
            <w:tcW w:type="dxa" w:w="1944"/>
            <w:shd w:val="clear" w:color="auto" w:fill="F2F4F8"/>
          </w:tcPr>
          <w:p>
            <w:pPr>
              <w:spacing w:after="0"/>
            </w:pPr>
            <w:r>
              <w:rPr>
                <w:sz w:val="15"/>
              </w:rPr>
            </w:r>
            <w:r>
              <w:rPr>
                <w:sz w:val="15"/>
              </w:rPr>
              <w:t>Romeoville West Warehouse</w:t>
            </w:r>
          </w:p>
        </w:tc>
        <w:tc>
          <w:tcPr>
            <w:tcW w:type="dxa" w:w="576"/>
            <w:shd w:val="clear" w:color="auto" w:fill="F2F4F8"/>
          </w:tcPr>
          <w:p>
            <w:pPr>
              <w:spacing w:after="0"/>
            </w:pPr>
            <w:r>
              <w:rPr>
                <w:sz w:val="15"/>
              </w:rPr>
            </w:r>
            <w:r>
              <w:rPr>
                <w:sz w:val="15"/>
              </w:rPr>
              <w:t>410</w:t>
            </w:r>
          </w:p>
        </w:tc>
        <w:tc>
          <w:tcPr>
            <w:tcW w:type="dxa" w:w="1296"/>
            <w:shd w:val="clear" w:color="auto" w:fill="F2F4F8"/>
          </w:tcPr>
          <w:p>
            <w:pPr>
              <w:spacing w:after="0"/>
            </w:pPr>
            <w:r>
              <w:rPr>
                <w:sz w:val="15"/>
              </w:rPr>
            </w:r>
            <w:r>
              <w:rPr>
                <w:sz w:val="15"/>
              </w:rPr>
              <w:t>98 (23.90%) YES</w:t>
            </w:r>
          </w:p>
        </w:tc>
        <w:tc>
          <w:tcPr>
            <w:tcW w:type="dxa" w:w="1368"/>
            <w:shd w:val="clear" w:color="auto" w:fill="F2F4F8"/>
          </w:tcPr>
          <w:p>
            <w:pPr>
              <w:spacing w:after="0"/>
            </w:pPr>
            <w:r>
              <w:rPr>
                <w:sz w:val="15"/>
              </w:rPr>
            </w:r>
            <w:r>
              <w:rPr>
                <w:sz w:val="15"/>
              </w:rPr>
              <w:t>18 (4.39%) no</w:t>
            </w:r>
          </w:p>
        </w:tc>
        <w:tc>
          <w:tcPr>
            <w:tcW w:type="dxa" w:w="1296"/>
            <w:shd w:val="clear" w:color="auto" w:fill="F2F4F8"/>
          </w:tcPr>
          <w:p>
            <w:pPr>
              <w:spacing w:after="0"/>
            </w:pPr>
            <w:r>
              <w:rPr>
                <w:sz w:val="15"/>
              </w:rPr>
            </w:r>
            <w:r>
              <w:rPr>
                <w:sz w:val="15"/>
              </w:rPr>
              <w:t>2 (0.49%) no</w:t>
            </w:r>
          </w:p>
        </w:tc>
        <w:tc>
          <w:tcPr>
            <w:tcW w:type="dxa" w:w="1440"/>
            <w:shd w:val="clear" w:color="auto" w:fill="F2F4F8"/>
          </w:tcPr>
          <w:p>
            <w:pPr>
              <w:spacing w:after="0"/>
            </w:pPr>
            <w:r>
              <w:rPr>
                <w:sz w:val="15"/>
              </w:rPr>
            </w:r>
            <w:r>
              <w:rPr>
                <w:sz w:val="15"/>
              </w:rPr>
              <w:t>English, Spanish</w:t>
            </w:r>
          </w:p>
        </w:tc>
        <w:tc>
          <w:tcPr>
            <w:tcW w:type="dxa" w:w="1440"/>
            <w:shd w:val="clear" w:color="auto" w:fill="F2F4F8"/>
          </w:tcPr>
          <w:p>
            <w:pPr>
              <w:spacing w:after="0"/>
            </w:pPr>
            <w:r>
              <w:rPr>
                <w:sz w:val="15"/>
              </w:rPr>
            </w:r>
            <w:r>
              <w:rPr>
                <w:sz w:val="15"/>
              </w:rPr>
              <w:t>English, Spanish, Polish (recommended)</w:t>
            </w:r>
          </w:p>
        </w:tc>
      </w:tr>
      <w:tr>
        <w:tc>
          <w:tcPr>
            <w:tcW w:type="dxa" w:w="1944"/>
          </w:tcPr>
          <w:p>
            <w:pPr>
              <w:spacing w:after="0"/>
            </w:pPr>
            <w:r>
              <w:rPr>
                <w:sz w:val="15"/>
              </w:rPr>
            </w:r>
            <w:r>
              <w:rPr>
                <w:sz w:val="15"/>
              </w:rPr>
              <w:t>Bolingbrook Dist. Ctr.</w:t>
            </w:r>
          </w:p>
        </w:tc>
        <w:tc>
          <w:tcPr>
            <w:tcW w:type="dxa" w:w="576"/>
          </w:tcPr>
          <w:p>
            <w:pPr>
              <w:spacing w:after="0"/>
            </w:pPr>
            <w:r>
              <w:rPr>
                <w:sz w:val="15"/>
              </w:rPr>
            </w:r>
            <w:r>
              <w:rPr>
                <w:sz w:val="15"/>
              </w:rPr>
              <w:t>385</w:t>
            </w:r>
          </w:p>
        </w:tc>
        <w:tc>
          <w:tcPr>
            <w:tcW w:type="dxa" w:w="1296"/>
          </w:tcPr>
          <w:p>
            <w:pPr>
              <w:spacing w:after="0"/>
            </w:pPr>
            <w:r>
              <w:rPr>
                <w:sz w:val="15"/>
              </w:rPr>
            </w:r>
            <w:r>
              <w:rPr>
                <w:sz w:val="15"/>
              </w:rPr>
              <w:t>85 (22.08%) YES</w:t>
            </w:r>
          </w:p>
        </w:tc>
        <w:tc>
          <w:tcPr>
            <w:tcW w:type="dxa" w:w="1368"/>
          </w:tcPr>
          <w:p>
            <w:pPr>
              <w:spacing w:after="0"/>
            </w:pPr>
            <w:r>
              <w:rPr>
                <w:sz w:val="15"/>
              </w:rPr>
            </w:r>
            <w:r>
              <w:rPr>
                <w:sz w:val="15"/>
              </w:rPr>
              <w:t>16 (4.16%) no</w:t>
            </w:r>
          </w:p>
        </w:tc>
        <w:tc>
          <w:tcPr>
            <w:tcW w:type="dxa" w:w="1296"/>
          </w:tcPr>
          <w:p>
            <w:pPr>
              <w:spacing w:after="0"/>
            </w:pPr>
            <w:r>
              <w:rPr>
                <w:sz w:val="15"/>
              </w:rPr>
            </w:r>
            <w:r>
              <w:rPr>
                <w:sz w:val="15"/>
              </w:rPr>
              <w:t>1 (0.26%) no</w:t>
            </w:r>
          </w:p>
        </w:tc>
        <w:tc>
          <w:tcPr>
            <w:tcW w:type="dxa" w:w="1440"/>
          </w:tcPr>
          <w:p>
            <w:pPr>
              <w:spacing w:after="0"/>
            </w:pPr>
            <w:r>
              <w:rPr>
                <w:sz w:val="15"/>
              </w:rPr>
            </w:r>
            <w:r>
              <w:rPr>
                <w:sz w:val="15"/>
              </w:rPr>
              <w:t>English, Spanish</w:t>
            </w:r>
          </w:p>
        </w:tc>
        <w:tc>
          <w:tcPr>
            <w:tcW w:type="dxa" w:w="1440"/>
          </w:tcPr>
          <w:p>
            <w:pPr>
              <w:spacing w:after="0"/>
            </w:pPr>
            <w:r>
              <w:rPr>
                <w:sz w:val="15"/>
              </w:rPr>
            </w:r>
            <w:r>
              <w:rPr>
                <w:sz w:val="15"/>
              </w:rPr>
              <w:t>English, Spanish, Polish (recommended)</w:t>
            </w:r>
          </w:p>
        </w:tc>
      </w:tr>
      <w:tr>
        <w:tc>
          <w:tcPr>
            <w:tcW w:type="dxa" w:w="1944"/>
            <w:shd w:val="clear" w:color="auto" w:fill="F2F4F8"/>
          </w:tcPr>
          <w:p>
            <w:pPr>
              <w:spacing w:after="0"/>
            </w:pPr>
            <w:r>
              <w:rPr>
                <w:sz w:val="15"/>
              </w:rPr>
            </w:r>
            <w:r>
              <w:rPr>
                <w:sz w:val="15"/>
              </w:rPr>
              <w:t>Aurora Fulfillment Ctr.</w:t>
            </w:r>
          </w:p>
        </w:tc>
        <w:tc>
          <w:tcPr>
            <w:tcW w:type="dxa" w:w="576"/>
            <w:shd w:val="clear" w:color="auto" w:fill="F2F4F8"/>
          </w:tcPr>
          <w:p>
            <w:pPr>
              <w:spacing w:after="0"/>
            </w:pPr>
            <w:r>
              <w:rPr>
                <w:sz w:val="15"/>
              </w:rPr>
            </w:r>
            <w:r>
              <w:rPr>
                <w:sz w:val="15"/>
              </w:rPr>
              <w:t>340</w:t>
            </w:r>
          </w:p>
        </w:tc>
        <w:tc>
          <w:tcPr>
            <w:tcW w:type="dxa" w:w="1296"/>
            <w:shd w:val="clear" w:color="auto" w:fill="F2F4F8"/>
          </w:tcPr>
          <w:p>
            <w:pPr>
              <w:spacing w:after="0"/>
            </w:pPr>
            <w:r>
              <w:rPr>
                <w:sz w:val="15"/>
              </w:rPr>
            </w:r>
            <w:r>
              <w:rPr>
                <w:sz w:val="15"/>
              </w:rPr>
              <w:t>78 (22.94%) YES</w:t>
            </w:r>
          </w:p>
        </w:tc>
        <w:tc>
          <w:tcPr>
            <w:tcW w:type="dxa" w:w="1368"/>
            <w:shd w:val="clear" w:color="auto" w:fill="F2F4F8"/>
          </w:tcPr>
          <w:p>
            <w:pPr>
              <w:spacing w:after="0"/>
            </w:pPr>
            <w:r>
              <w:rPr>
                <w:sz w:val="15"/>
              </w:rPr>
            </w:r>
            <w:r>
              <w:rPr>
                <w:sz w:val="15"/>
              </w:rPr>
              <w:t>14 (4.12%) no</w:t>
            </w:r>
          </w:p>
        </w:tc>
        <w:tc>
          <w:tcPr>
            <w:tcW w:type="dxa" w:w="1296"/>
            <w:shd w:val="clear" w:color="auto" w:fill="F2F4F8"/>
          </w:tcPr>
          <w:p>
            <w:pPr>
              <w:spacing w:after="0"/>
            </w:pPr>
            <w:r>
              <w:rPr>
                <w:sz w:val="15"/>
              </w:rPr>
            </w:r>
            <w:r>
              <w:rPr>
                <w:sz w:val="15"/>
              </w:rPr>
              <w:t>0 (0.00%) no</w:t>
            </w:r>
          </w:p>
        </w:tc>
        <w:tc>
          <w:tcPr>
            <w:tcW w:type="dxa" w:w="1440"/>
            <w:shd w:val="clear" w:color="auto" w:fill="F2F4F8"/>
          </w:tcPr>
          <w:p>
            <w:pPr>
              <w:spacing w:after="0"/>
            </w:pPr>
            <w:r>
              <w:rPr>
                <w:sz w:val="15"/>
              </w:rPr>
            </w:r>
            <w:r>
              <w:rPr>
                <w:sz w:val="15"/>
              </w:rPr>
              <w:t>English, Spanish</w:t>
            </w:r>
          </w:p>
        </w:tc>
        <w:tc>
          <w:tcPr>
            <w:tcW w:type="dxa" w:w="1440"/>
            <w:shd w:val="clear" w:color="auto" w:fill="F2F4F8"/>
          </w:tcPr>
          <w:p>
            <w:pPr>
              <w:spacing w:after="0"/>
            </w:pPr>
            <w:r>
              <w:rPr>
                <w:sz w:val="15"/>
              </w:rPr>
            </w:r>
            <w:r>
              <w:rPr>
                <w:sz w:val="15"/>
              </w:rPr>
              <w:t>English, Spanish, Polish (recommended)</w:t>
            </w:r>
          </w:p>
        </w:tc>
      </w:tr>
      <w:tr>
        <w:tc>
          <w:tcPr>
            <w:tcW w:type="dxa" w:w="1944"/>
          </w:tcPr>
          <w:p>
            <w:pPr>
              <w:spacing w:after="0"/>
            </w:pPr>
            <w:r>
              <w:rPr>
                <w:sz w:val="15"/>
              </w:rPr>
            </w:r>
            <w:r>
              <w:rPr>
                <w:sz w:val="15"/>
              </w:rPr>
              <w:t>Naperville Ops. Ctr.</w:t>
            </w:r>
          </w:p>
        </w:tc>
        <w:tc>
          <w:tcPr>
            <w:tcW w:type="dxa" w:w="576"/>
          </w:tcPr>
          <w:p>
            <w:pPr>
              <w:spacing w:after="0"/>
            </w:pPr>
            <w:r>
              <w:rPr>
                <w:sz w:val="15"/>
              </w:rPr>
            </w:r>
            <w:r>
              <w:rPr>
                <w:sz w:val="15"/>
              </w:rPr>
              <w:t>295</w:t>
            </w:r>
          </w:p>
        </w:tc>
        <w:tc>
          <w:tcPr>
            <w:tcW w:type="dxa" w:w="1296"/>
          </w:tcPr>
          <w:p>
            <w:pPr>
              <w:spacing w:after="0"/>
            </w:pPr>
            <w:r>
              <w:rPr>
                <w:sz w:val="15"/>
              </w:rPr>
            </w:r>
            <w:r>
              <w:rPr>
                <w:sz w:val="15"/>
              </w:rPr>
              <w:t>52 (17.63%) YES</w:t>
            </w:r>
          </w:p>
        </w:tc>
        <w:tc>
          <w:tcPr>
            <w:tcW w:type="dxa" w:w="1368"/>
          </w:tcPr>
          <w:p>
            <w:pPr>
              <w:spacing w:after="0"/>
            </w:pPr>
            <w:r>
              <w:rPr>
                <w:sz w:val="15"/>
              </w:rPr>
            </w:r>
            <w:r>
              <w:rPr>
                <w:sz w:val="15"/>
              </w:rPr>
              <w:t>19 (6.44%) YES</w:t>
            </w:r>
          </w:p>
        </w:tc>
        <w:tc>
          <w:tcPr>
            <w:tcW w:type="dxa" w:w="1296"/>
          </w:tcPr>
          <w:p>
            <w:pPr>
              <w:spacing w:after="0"/>
            </w:pPr>
            <w:r>
              <w:rPr>
                <w:sz w:val="15"/>
              </w:rPr>
            </w:r>
            <w:r>
              <w:rPr>
                <w:sz w:val="15"/>
              </w:rPr>
              <w:t>1 (0.34%) no</w:t>
            </w:r>
          </w:p>
        </w:tc>
        <w:tc>
          <w:tcPr>
            <w:tcW w:type="dxa" w:w="1440"/>
          </w:tcPr>
          <w:p>
            <w:pPr>
              <w:spacing w:after="0"/>
            </w:pPr>
            <w:r>
              <w:rPr>
                <w:sz w:val="15"/>
              </w:rPr>
            </w:r>
            <w:r>
              <w:rPr>
                <w:sz w:val="15"/>
              </w:rPr>
              <w:t>English, Spanish, Polish</w:t>
            </w:r>
          </w:p>
        </w:tc>
        <w:tc>
          <w:tcPr>
            <w:tcW w:type="dxa" w:w="1440"/>
          </w:tcPr>
          <w:p>
            <w:pPr>
              <w:spacing w:after="0"/>
            </w:pPr>
            <w:r>
              <w:rPr>
                <w:sz w:val="15"/>
              </w:rPr>
            </w:r>
            <w:r>
              <w:rPr>
                <w:sz w:val="15"/>
              </w:rPr>
              <w:t>English, Spanish, Polish</w:t>
            </w:r>
          </w:p>
        </w:tc>
      </w:tr>
      <w:tr>
        <w:tc>
          <w:tcPr>
            <w:tcW w:type="dxa" w:w="1944"/>
            <w:shd w:val="clear" w:color="auto" w:fill="F2F4F8"/>
          </w:tcPr>
          <w:p>
            <w:pPr>
              <w:spacing w:after="0"/>
            </w:pPr>
            <w:r>
              <w:rPr>
                <w:sz w:val="15"/>
              </w:rPr>
            </w:r>
            <w:r>
              <w:rPr>
                <w:sz w:val="15"/>
              </w:rPr>
              <w:t>Elk Grove Village Whs.</w:t>
            </w:r>
          </w:p>
        </w:tc>
        <w:tc>
          <w:tcPr>
            <w:tcW w:type="dxa" w:w="576"/>
            <w:shd w:val="clear" w:color="auto" w:fill="F2F4F8"/>
          </w:tcPr>
          <w:p>
            <w:pPr>
              <w:spacing w:after="0"/>
            </w:pPr>
            <w:r>
              <w:rPr>
                <w:sz w:val="15"/>
              </w:rPr>
            </w:r>
            <w:r>
              <w:rPr>
                <w:sz w:val="15"/>
              </w:rPr>
              <w:t>280</w:t>
            </w:r>
          </w:p>
        </w:tc>
        <w:tc>
          <w:tcPr>
            <w:tcW w:type="dxa" w:w="1296"/>
            <w:shd w:val="clear" w:color="auto" w:fill="F2F4F8"/>
          </w:tcPr>
          <w:p>
            <w:pPr>
              <w:spacing w:after="0"/>
            </w:pPr>
            <w:r>
              <w:rPr>
                <w:sz w:val="15"/>
              </w:rPr>
            </w:r>
            <w:r>
              <w:rPr>
                <w:sz w:val="15"/>
              </w:rPr>
              <w:t>48 (17.14%) YES</w:t>
            </w:r>
          </w:p>
        </w:tc>
        <w:tc>
          <w:tcPr>
            <w:tcW w:type="dxa" w:w="1368"/>
            <w:shd w:val="clear" w:color="auto" w:fill="F2F4F8"/>
          </w:tcPr>
          <w:p>
            <w:pPr>
              <w:spacing w:after="0"/>
            </w:pPr>
            <w:r>
              <w:rPr>
                <w:sz w:val="15"/>
              </w:rPr>
            </w:r>
            <w:r>
              <w:rPr>
                <w:sz w:val="15"/>
              </w:rPr>
              <w:t>28 (10.00%) YES</w:t>
            </w:r>
          </w:p>
        </w:tc>
        <w:tc>
          <w:tcPr>
            <w:tcW w:type="dxa" w:w="1296"/>
            <w:shd w:val="clear" w:color="auto" w:fill="F2F4F8"/>
          </w:tcPr>
          <w:p>
            <w:pPr>
              <w:spacing w:after="0"/>
            </w:pPr>
            <w:r>
              <w:rPr>
                <w:sz w:val="15"/>
              </w:rPr>
            </w:r>
            <w:r>
              <w:rPr>
                <w:sz w:val="15"/>
              </w:rPr>
              <w:t>2 (0.71%) no</w:t>
            </w:r>
          </w:p>
        </w:tc>
        <w:tc>
          <w:tcPr>
            <w:tcW w:type="dxa" w:w="1440"/>
            <w:shd w:val="clear" w:color="auto" w:fill="F2F4F8"/>
          </w:tcPr>
          <w:p>
            <w:pPr>
              <w:spacing w:after="0"/>
            </w:pPr>
            <w:r>
              <w:rPr>
                <w:sz w:val="15"/>
              </w:rPr>
            </w:r>
            <w:r>
              <w:rPr>
                <w:sz w:val="15"/>
              </w:rPr>
              <w:t>English, Spanish, Polish</w:t>
            </w:r>
          </w:p>
        </w:tc>
        <w:tc>
          <w:tcPr>
            <w:tcW w:type="dxa" w:w="1440"/>
            <w:shd w:val="clear" w:color="auto" w:fill="F2F4F8"/>
          </w:tcPr>
          <w:p>
            <w:pPr>
              <w:spacing w:after="0"/>
            </w:pPr>
            <w:r>
              <w:rPr>
                <w:sz w:val="15"/>
              </w:rPr>
            </w:r>
            <w:r>
              <w:rPr>
                <w:sz w:val="15"/>
              </w:rPr>
              <w:t>English, Spanish, Polish</w:t>
            </w:r>
          </w:p>
        </w:tc>
      </w:tr>
      <w:tr>
        <w:tc>
          <w:tcPr>
            <w:tcW w:type="dxa" w:w="1944"/>
          </w:tcPr>
          <w:p>
            <w:pPr>
              <w:spacing w:after="0"/>
            </w:pPr>
            <w:r>
              <w:rPr>
                <w:sz w:val="15"/>
              </w:rPr>
            </w:r>
            <w:r>
              <w:rPr>
                <w:sz w:val="15"/>
              </w:rPr>
              <w:t>Schaumburg Dist. Hub</w:t>
            </w:r>
          </w:p>
        </w:tc>
        <w:tc>
          <w:tcPr>
            <w:tcW w:type="dxa" w:w="576"/>
          </w:tcPr>
          <w:p>
            <w:pPr>
              <w:spacing w:after="0"/>
            </w:pPr>
            <w:r>
              <w:rPr>
                <w:sz w:val="15"/>
              </w:rPr>
            </w:r>
            <w:r>
              <w:rPr>
                <w:sz w:val="15"/>
              </w:rPr>
              <w:t>245</w:t>
            </w:r>
          </w:p>
        </w:tc>
        <w:tc>
          <w:tcPr>
            <w:tcW w:type="dxa" w:w="1296"/>
          </w:tcPr>
          <w:p>
            <w:pPr>
              <w:spacing w:after="0"/>
            </w:pPr>
            <w:r>
              <w:rPr>
                <w:sz w:val="15"/>
              </w:rPr>
            </w:r>
            <w:r>
              <w:rPr>
                <w:sz w:val="15"/>
              </w:rPr>
              <w:t>41 (16.73%) YES</w:t>
            </w:r>
          </w:p>
        </w:tc>
        <w:tc>
          <w:tcPr>
            <w:tcW w:type="dxa" w:w="1368"/>
          </w:tcPr>
          <w:p>
            <w:pPr>
              <w:spacing w:after="0"/>
            </w:pPr>
            <w:r>
              <w:rPr>
                <w:sz w:val="15"/>
              </w:rPr>
            </w:r>
            <w:r>
              <w:rPr>
                <w:sz w:val="15"/>
              </w:rPr>
              <w:t>24 (9.80%) YES</w:t>
            </w:r>
          </w:p>
        </w:tc>
        <w:tc>
          <w:tcPr>
            <w:tcW w:type="dxa" w:w="1296"/>
          </w:tcPr>
          <w:p>
            <w:pPr>
              <w:spacing w:after="0"/>
            </w:pPr>
            <w:r>
              <w:rPr>
                <w:sz w:val="15"/>
              </w:rPr>
            </w:r>
            <w:r>
              <w:rPr>
                <w:sz w:val="15"/>
              </w:rPr>
              <w:t>1 (0.41%) no</w:t>
            </w:r>
          </w:p>
        </w:tc>
        <w:tc>
          <w:tcPr>
            <w:tcW w:type="dxa" w:w="1440"/>
          </w:tcPr>
          <w:p>
            <w:pPr>
              <w:spacing w:after="0"/>
            </w:pPr>
            <w:r>
              <w:rPr>
                <w:sz w:val="15"/>
              </w:rPr>
            </w:r>
            <w:r>
              <w:rPr>
                <w:sz w:val="15"/>
              </w:rPr>
              <w:t>English, Spanish, Polish</w:t>
            </w:r>
          </w:p>
        </w:tc>
        <w:tc>
          <w:tcPr>
            <w:tcW w:type="dxa" w:w="1440"/>
          </w:tcPr>
          <w:p>
            <w:pPr>
              <w:spacing w:after="0"/>
            </w:pPr>
            <w:r>
              <w:rPr>
                <w:sz w:val="15"/>
              </w:rPr>
            </w:r>
            <w:r>
              <w:rPr>
                <w:sz w:val="15"/>
              </w:rPr>
              <w:t>English, Spanish, Polish</w:t>
            </w:r>
          </w:p>
        </w:tc>
      </w:tr>
      <w:tr>
        <w:tc>
          <w:tcPr>
            <w:tcW w:type="dxa" w:w="1944"/>
            <w:shd w:val="clear" w:color="auto" w:fill="F2F4F8"/>
          </w:tcPr>
          <w:p>
            <w:pPr>
              <w:spacing w:after="0"/>
            </w:pPr>
            <w:r>
              <w:rPr>
                <w:sz w:val="15"/>
              </w:rPr>
            </w:r>
            <w:r>
              <w:rPr>
                <w:sz w:val="15"/>
              </w:rPr>
              <w:t>Waukegan Logistics Ctr. (Lake)</w:t>
            </w:r>
          </w:p>
        </w:tc>
        <w:tc>
          <w:tcPr>
            <w:tcW w:type="dxa" w:w="576"/>
            <w:shd w:val="clear" w:color="auto" w:fill="F2F4F8"/>
          </w:tcPr>
          <w:p>
            <w:pPr>
              <w:spacing w:after="0"/>
            </w:pPr>
            <w:r>
              <w:rPr>
                <w:sz w:val="15"/>
              </w:rPr>
            </w:r>
            <w:r>
              <w:rPr>
                <w:sz w:val="15"/>
              </w:rPr>
              <w:t>235</w:t>
            </w:r>
          </w:p>
        </w:tc>
        <w:tc>
          <w:tcPr>
            <w:tcW w:type="dxa" w:w="1296"/>
            <w:shd w:val="clear" w:color="auto" w:fill="F2F4F8"/>
          </w:tcPr>
          <w:p>
            <w:pPr>
              <w:spacing w:after="0"/>
            </w:pPr>
            <w:r>
              <w:rPr>
                <w:sz w:val="15"/>
              </w:rPr>
            </w:r>
            <w:r>
              <w:rPr>
                <w:sz w:val="15"/>
              </w:rPr>
              <w:t>47 (20.00%) YES</w:t>
            </w:r>
          </w:p>
        </w:tc>
        <w:tc>
          <w:tcPr>
            <w:tcW w:type="dxa" w:w="1368"/>
            <w:shd w:val="clear" w:color="auto" w:fill="F2F4F8"/>
          </w:tcPr>
          <w:p>
            <w:pPr>
              <w:spacing w:after="0"/>
            </w:pPr>
            <w:r>
              <w:rPr>
                <w:sz w:val="15"/>
              </w:rPr>
            </w:r>
            <w:r>
              <w:rPr>
                <w:sz w:val="15"/>
              </w:rPr>
              <w:t>11 (4.68%) no</w:t>
            </w:r>
          </w:p>
        </w:tc>
        <w:tc>
          <w:tcPr>
            <w:tcW w:type="dxa" w:w="1296"/>
            <w:shd w:val="clear" w:color="auto" w:fill="F2F4F8"/>
          </w:tcPr>
          <w:p>
            <w:pPr>
              <w:spacing w:after="0"/>
            </w:pPr>
            <w:r>
              <w:rPr>
                <w:sz w:val="15"/>
              </w:rPr>
            </w:r>
            <w:r>
              <w:rPr>
                <w:sz w:val="15"/>
              </w:rPr>
              <w:t>28 (11.91%) YES</w:t>
            </w:r>
          </w:p>
        </w:tc>
        <w:tc>
          <w:tcPr>
            <w:tcW w:type="dxa" w:w="1440"/>
            <w:shd w:val="clear" w:color="auto" w:fill="F2F4F8"/>
          </w:tcPr>
          <w:p>
            <w:pPr>
              <w:spacing w:after="0"/>
            </w:pPr>
            <w:r>
              <w:rPr>
                <w:sz w:val="15"/>
              </w:rPr>
            </w:r>
            <w:r>
              <w:rPr>
                <w:sz w:val="15"/>
              </w:rPr>
              <w:t>English, Spanish, Tagalog</w:t>
            </w:r>
          </w:p>
        </w:tc>
        <w:tc>
          <w:tcPr>
            <w:tcW w:type="dxa" w:w="1440"/>
            <w:shd w:val="clear" w:color="auto" w:fill="F2F4F8"/>
          </w:tcPr>
          <w:p>
            <w:pPr>
              <w:spacing w:after="0"/>
            </w:pPr>
            <w:r>
              <w:rPr>
                <w:sz w:val="15"/>
              </w:rPr>
            </w:r>
            <w:r>
              <w:rPr>
                <w:sz w:val="15"/>
              </w:rPr>
              <w:t>English, Spanish, Tagalog, Polish (recommended)</w:t>
            </w:r>
          </w:p>
        </w:tc>
      </w:tr>
      <w:tr>
        <w:tc>
          <w:tcPr>
            <w:tcW w:type="dxa" w:w="1944"/>
          </w:tcPr>
          <w:p>
            <w:pPr>
              <w:spacing w:after="0"/>
            </w:pPr>
            <w:r>
              <w:rPr>
                <w:sz w:val="15"/>
              </w:rPr>
            </w:r>
            <w:r>
              <w:rPr>
                <w:sz w:val="15"/>
              </w:rPr>
              <w:t>Mundelein Warehouse (Lake)</w:t>
            </w:r>
          </w:p>
        </w:tc>
        <w:tc>
          <w:tcPr>
            <w:tcW w:type="dxa" w:w="576"/>
          </w:tcPr>
          <w:p>
            <w:pPr>
              <w:spacing w:after="0"/>
            </w:pPr>
            <w:r>
              <w:rPr>
                <w:sz w:val="15"/>
              </w:rPr>
            </w:r>
            <w:r>
              <w:rPr>
                <w:sz w:val="15"/>
              </w:rPr>
              <w:t>195</w:t>
            </w:r>
          </w:p>
        </w:tc>
        <w:tc>
          <w:tcPr>
            <w:tcW w:type="dxa" w:w="1296"/>
          </w:tcPr>
          <w:p>
            <w:pPr>
              <w:spacing w:after="0"/>
            </w:pPr>
            <w:r>
              <w:rPr>
                <w:sz w:val="15"/>
              </w:rPr>
            </w:r>
            <w:r>
              <w:rPr>
                <w:sz w:val="15"/>
              </w:rPr>
              <w:t>32 (16.41%) YES</w:t>
            </w:r>
          </w:p>
        </w:tc>
        <w:tc>
          <w:tcPr>
            <w:tcW w:type="dxa" w:w="1368"/>
          </w:tcPr>
          <w:p>
            <w:pPr>
              <w:spacing w:after="0"/>
            </w:pPr>
            <w:r>
              <w:rPr>
                <w:sz w:val="15"/>
              </w:rPr>
            </w:r>
            <w:r>
              <w:rPr>
                <w:sz w:val="15"/>
              </w:rPr>
              <w:t>12 (6.15%) YES</w:t>
            </w:r>
          </w:p>
        </w:tc>
        <w:tc>
          <w:tcPr>
            <w:tcW w:type="dxa" w:w="1296"/>
          </w:tcPr>
          <w:p>
            <w:pPr>
              <w:spacing w:after="0"/>
            </w:pPr>
            <w:r>
              <w:rPr>
                <w:sz w:val="15"/>
              </w:rPr>
            </w:r>
            <w:r>
              <w:rPr>
                <w:sz w:val="15"/>
              </w:rPr>
              <w:t>4 (2.05%) no</w:t>
            </w:r>
          </w:p>
        </w:tc>
        <w:tc>
          <w:tcPr>
            <w:tcW w:type="dxa" w:w="1440"/>
          </w:tcPr>
          <w:p>
            <w:pPr>
              <w:spacing w:after="0"/>
            </w:pPr>
            <w:r>
              <w:rPr>
                <w:sz w:val="15"/>
              </w:rPr>
            </w:r>
            <w:r>
              <w:rPr>
                <w:sz w:val="15"/>
              </w:rPr>
              <w:t>English, Spanish, Polish</w:t>
            </w:r>
          </w:p>
        </w:tc>
        <w:tc>
          <w:tcPr>
            <w:tcW w:type="dxa" w:w="1440"/>
          </w:tcPr>
          <w:p>
            <w:pPr>
              <w:spacing w:after="0"/>
            </w:pPr>
            <w:r>
              <w:rPr>
                <w:sz w:val="15"/>
              </w:rPr>
            </w:r>
            <w:r>
              <w:rPr>
                <w:sz w:val="15"/>
              </w:rPr>
              <w:t>English, Spanish, Polish</w:t>
            </w:r>
          </w:p>
        </w:tc>
      </w:tr>
      <w:tr>
        <w:tc>
          <w:tcPr>
            <w:tcW w:type="dxa" w:w="1944"/>
            <w:shd w:val="clear" w:color="auto" w:fill="F2F4F8"/>
          </w:tcPr>
          <w:p>
            <w:pPr>
              <w:spacing w:after="0"/>
            </w:pPr>
            <w:r>
              <w:rPr>
                <w:sz w:val="15"/>
              </w:rPr>
            </w:r>
            <w:r>
              <w:rPr>
                <w:sz w:val="15"/>
              </w:rPr>
              <w:t>Rockford Dist. Ctr.</w:t>
            </w:r>
          </w:p>
        </w:tc>
        <w:tc>
          <w:tcPr>
            <w:tcW w:type="dxa" w:w="576"/>
            <w:shd w:val="clear" w:color="auto" w:fill="F2F4F8"/>
          </w:tcPr>
          <w:p>
            <w:pPr>
              <w:spacing w:after="0"/>
            </w:pPr>
            <w:r>
              <w:rPr>
                <w:sz w:val="15"/>
              </w:rPr>
            </w:r>
            <w:r>
              <w:rPr>
                <w:sz w:val="15"/>
              </w:rPr>
              <w:t>175</w:t>
            </w:r>
          </w:p>
        </w:tc>
        <w:tc>
          <w:tcPr>
            <w:tcW w:type="dxa" w:w="1296"/>
            <w:shd w:val="clear" w:color="auto" w:fill="F2F4F8"/>
          </w:tcPr>
          <w:p>
            <w:pPr>
              <w:spacing w:after="0"/>
            </w:pPr>
            <w:r>
              <w:rPr>
                <w:sz w:val="15"/>
              </w:rPr>
            </w:r>
            <w:r>
              <w:rPr>
                <w:sz w:val="15"/>
              </w:rPr>
              <w:t>24 (13.71%) YES</w:t>
            </w:r>
          </w:p>
        </w:tc>
        <w:tc>
          <w:tcPr>
            <w:tcW w:type="dxa" w:w="1368"/>
            <w:shd w:val="clear" w:color="auto" w:fill="F2F4F8"/>
          </w:tcPr>
          <w:p>
            <w:pPr>
              <w:spacing w:after="0"/>
            </w:pPr>
            <w:r>
              <w:rPr>
                <w:sz w:val="15"/>
              </w:rPr>
            </w:r>
            <w:r>
              <w:rPr>
                <w:sz w:val="15"/>
              </w:rPr>
              <w:t>10 (5.71%) YES</w:t>
            </w:r>
          </w:p>
        </w:tc>
        <w:tc>
          <w:tcPr>
            <w:tcW w:type="dxa" w:w="1296"/>
            <w:shd w:val="clear" w:color="auto" w:fill="F2F4F8"/>
          </w:tcPr>
          <w:p>
            <w:pPr>
              <w:spacing w:after="0"/>
            </w:pPr>
            <w:r>
              <w:rPr>
                <w:sz w:val="15"/>
              </w:rPr>
            </w:r>
            <w:r>
              <w:rPr>
                <w:sz w:val="15"/>
              </w:rPr>
              <w:t>0 (0.00%) no</w:t>
            </w:r>
          </w:p>
        </w:tc>
        <w:tc>
          <w:tcPr>
            <w:tcW w:type="dxa" w:w="1440"/>
            <w:shd w:val="clear" w:color="auto" w:fill="F2F4F8"/>
          </w:tcPr>
          <w:p>
            <w:pPr>
              <w:spacing w:after="0"/>
            </w:pPr>
            <w:r>
              <w:rPr>
                <w:sz w:val="15"/>
              </w:rPr>
            </w:r>
            <w:r>
              <w:rPr>
                <w:sz w:val="15"/>
              </w:rPr>
              <w:t>English, Spanish, Polish</w:t>
            </w:r>
          </w:p>
        </w:tc>
        <w:tc>
          <w:tcPr>
            <w:tcW w:type="dxa" w:w="1440"/>
            <w:shd w:val="clear" w:color="auto" w:fill="F2F4F8"/>
          </w:tcPr>
          <w:p>
            <w:pPr>
              <w:spacing w:after="0"/>
            </w:pPr>
            <w:r>
              <w:rPr>
                <w:sz w:val="15"/>
              </w:rPr>
            </w:r>
            <w:r>
              <w:rPr>
                <w:sz w:val="15"/>
              </w:rPr>
              <w:t>English, Spanish, Polish</w:t>
            </w:r>
          </w:p>
        </w:tc>
      </w:tr>
      <w:tr>
        <w:tc>
          <w:tcPr>
            <w:tcW w:type="dxa" w:w="1944"/>
          </w:tcPr>
          <w:p>
            <w:pPr>
              <w:spacing w:after="0"/>
            </w:pPr>
            <w:r>
              <w:rPr>
                <w:sz w:val="15"/>
              </w:rPr>
            </w:r>
            <w:r>
              <w:rPr>
                <w:sz w:val="15"/>
              </w:rPr>
              <w:t>Loves Park Warehouse</w:t>
            </w:r>
          </w:p>
        </w:tc>
        <w:tc>
          <w:tcPr>
            <w:tcW w:type="dxa" w:w="576"/>
          </w:tcPr>
          <w:p>
            <w:pPr>
              <w:spacing w:after="0"/>
            </w:pPr>
            <w:r>
              <w:rPr>
                <w:sz w:val="15"/>
              </w:rPr>
            </w:r>
            <w:r>
              <w:rPr>
                <w:sz w:val="15"/>
              </w:rPr>
              <w:t>138</w:t>
            </w:r>
          </w:p>
        </w:tc>
        <w:tc>
          <w:tcPr>
            <w:tcW w:type="dxa" w:w="1296"/>
          </w:tcPr>
          <w:p>
            <w:pPr>
              <w:spacing w:after="0"/>
            </w:pPr>
            <w:r>
              <w:rPr>
                <w:sz w:val="15"/>
              </w:rPr>
            </w:r>
            <w:r>
              <w:rPr>
                <w:sz w:val="15"/>
              </w:rPr>
              <w:t>17 (12.32%) YES</w:t>
            </w:r>
          </w:p>
        </w:tc>
        <w:tc>
          <w:tcPr>
            <w:tcW w:type="dxa" w:w="1368"/>
          </w:tcPr>
          <w:p>
            <w:pPr>
              <w:spacing w:after="0"/>
            </w:pPr>
            <w:r>
              <w:rPr>
                <w:sz w:val="15"/>
              </w:rPr>
            </w:r>
            <w:r>
              <w:rPr>
                <w:sz w:val="15"/>
              </w:rPr>
              <w:t>7 (5.07%) YES</w:t>
            </w:r>
          </w:p>
        </w:tc>
        <w:tc>
          <w:tcPr>
            <w:tcW w:type="dxa" w:w="1296"/>
          </w:tcPr>
          <w:p>
            <w:pPr>
              <w:spacing w:after="0"/>
            </w:pPr>
            <w:r>
              <w:rPr>
                <w:sz w:val="15"/>
              </w:rPr>
            </w:r>
            <w:r>
              <w:rPr>
                <w:sz w:val="15"/>
              </w:rPr>
              <w:t>0 (0.00%) no</w:t>
            </w:r>
          </w:p>
        </w:tc>
        <w:tc>
          <w:tcPr>
            <w:tcW w:type="dxa" w:w="1440"/>
          </w:tcPr>
          <w:p>
            <w:pPr>
              <w:spacing w:after="0"/>
            </w:pPr>
            <w:r>
              <w:rPr>
                <w:sz w:val="15"/>
              </w:rPr>
            </w:r>
            <w:r>
              <w:rPr>
                <w:sz w:val="15"/>
              </w:rPr>
              <w:t>English, Spanish, Polish</w:t>
            </w:r>
          </w:p>
        </w:tc>
        <w:tc>
          <w:tcPr>
            <w:tcW w:type="dxa" w:w="1440"/>
          </w:tcPr>
          <w:p>
            <w:pPr>
              <w:spacing w:after="0"/>
            </w:pPr>
            <w:r>
              <w:rPr>
                <w:sz w:val="15"/>
              </w:rPr>
            </w:r>
            <w:r>
              <w:rPr>
                <w:sz w:val="15"/>
              </w:rPr>
              <w:t>English, Spanish, Polish</w:t>
            </w:r>
          </w:p>
        </w:tc>
      </w:tr>
    </w:tbl>
    <w:p>
      <w:pPr>
        <w:spacing w:after="40"/>
      </w:pPr>
    </w:p>
    <w:p>
      <w:r>
        <w:rPr>
          <w:i/>
          <w:sz w:val="17"/>
        </w:rPr>
        <w:t>Source: HR Audit §III.B (Q1 2025 voluntary survey; 89.3% response; offered in English and Spanish only). Facility totals reconcile to 3,218, 640 Spanish, 185 Polish and 42 Tagalog speakers.</w:t>
      </w:r>
    </w:p>
    <w:p>
      <w:pPr>
        <w:pStyle w:val="Heading1"/>
      </w:pPr>
      <w:r>
        <w:t>Appendix B — Pay-Stub Field Crosswalk</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432"/>
            <w:shd w:val="clear" w:color="auto" w:fill="1F2A44"/>
          </w:tcPr>
          <w:p>
            <w:r/>
            <w:r>
              <w:rPr>
                <w:b/>
                <w:color w:val="FFFFFF"/>
                <w:sz w:val="16"/>
              </w:rPr>
              <w:t>#</w:t>
            </w:r>
          </w:p>
        </w:tc>
        <w:tc>
          <w:tcPr>
            <w:tcW w:type="dxa" w:w="2880"/>
            <w:shd w:val="clear" w:color="auto" w:fill="1F2A44"/>
          </w:tcPr>
          <w:p>
            <w:r/>
            <w:r>
              <w:rPr>
                <w:b/>
                <w:color w:val="FFFFFF"/>
                <w:sz w:val="16"/>
              </w:rPr>
              <w:t>Required field (Counsel Summary §II.A)</w:t>
            </w:r>
          </w:p>
        </w:tc>
        <w:tc>
          <w:tcPr>
            <w:tcW w:type="dxa" w:w="2160"/>
            <w:shd w:val="clear" w:color="auto" w:fill="1F2A44"/>
          </w:tcPr>
          <w:p>
            <w:r/>
            <w:r>
              <w:rPr>
                <w:b/>
                <w:color w:val="FFFFFF"/>
                <w:sz w:val="16"/>
              </w:rPr>
              <w:t>Current stub (HR Audit)</w:t>
            </w:r>
          </w:p>
        </w:tc>
        <w:tc>
          <w:tcPr>
            <w:tcW w:type="dxa" w:w="1728"/>
            <w:shd w:val="clear" w:color="auto" w:fill="1F2A44"/>
          </w:tcPr>
          <w:p>
            <w:r/>
            <w:r>
              <w:rPr>
                <w:b/>
                <w:color w:val="FFFFFF"/>
                <w:sz w:val="16"/>
              </w:rPr>
              <w:t>In Verdant prelim. scope?</w:t>
            </w:r>
          </w:p>
        </w:tc>
        <w:tc>
          <w:tcPr>
            <w:tcW w:type="dxa" w:w="2160"/>
            <w:shd w:val="clear" w:color="auto" w:fill="1F2A44"/>
          </w:tcPr>
          <w:p>
            <w:r/>
            <w:r>
              <w:rPr>
                <w:b/>
                <w:color w:val="FFFFFF"/>
                <w:sz w:val="16"/>
              </w:rPr>
              <w:t>Action</w:t>
            </w:r>
          </w:p>
        </w:tc>
      </w:tr>
      <w:tr>
        <w:tc>
          <w:tcPr>
            <w:tcW w:type="dxa" w:w="432"/>
          </w:tcPr>
          <w:p>
            <w:pPr>
              <w:spacing w:after="0"/>
            </w:pPr>
            <w:r>
              <w:rPr>
                <w:sz w:val="16"/>
              </w:rPr>
            </w:r>
            <w:r>
              <w:rPr>
                <w:sz w:val="16"/>
              </w:rPr>
              <w:t>1</w:t>
            </w:r>
          </w:p>
        </w:tc>
        <w:tc>
          <w:tcPr>
            <w:tcW w:type="dxa" w:w="2880"/>
          </w:tcPr>
          <w:p>
            <w:pPr>
              <w:spacing w:after="0"/>
            </w:pPr>
            <w:r>
              <w:rPr>
                <w:sz w:val="16"/>
              </w:rPr>
            </w:r>
            <w:r>
              <w:rPr>
                <w:sz w:val="16"/>
              </w:rPr>
              <w:t>Full legal name + last 4 of SSN or employee ID</w:t>
            </w:r>
          </w:p>
        </w:tc>
        <w:tc>
          <w:tcPr>
            <w:tcW w:type="dxa" w:w="2160"/>
          </w:tcPr>
          <w:p>
            <w:pPr>
              <w:spacing w:after="0"/>
            </w:pPr>
            <w:r>
              <w:rPr>
                <w:sz w:val="16"/>
              </w:rPr>
            </w:r>
            <w:r>
              <w:rPr>
                <w:sz w:val="16"/>
              </w:rPr>
              <w:t>Name only</w:t>
            </w:r>
          </w:p>
        </w:tc>
        <w:tc>
          <w:tcPr>
            <w:tcW w:type="dxa" w:w="1728"/>
          </w:tcPr>
          <w:p>
            <w:pPr>
              <w:spacing w:after="0"/>
            </w:pPr>
            <w:r>
              <w:rPr>
                <w:sz w:val="16"/>
              </w:rPr>
            </w:r>
            <w:r>
              <w:rPr>
                <w:sz w:val="16"/>
              </w:rPr>
              <w:t>No</w:t>
            </w:r>
          </w:p>
        </w:tc>
        <w:tc>
          <w:tcPr>
            <w:tcW w:type="dxa" w:w="2160"/>
          </w:tcPr>
          <w:p>
            <w:pPr>
              <w:spacing w:after="0"/>
            </w:pPr>
            <w:r>
              <w:rPr>
                <w:sz w:val="16"/>
              </w:rPr>
            </w:r>
            <w:r>
              <w:rPr>
                <w:b/>
                <w:sz w:val="16"/>
              </w:rPr>
              <w:t>Add to SOW</w:t>
            </w:r>
          </w:p>
        </w:tc>
      </w:tr>
      <w:tr>
        <w:tc>
          <w:tcPr>
            <w:tcW w:type="dxa" w:w="432"/>
            <w:shd w:val="clear" w:color="auto" w:fill="F2F4F8"/>
          </w:tcPr>
          <w:p>
            <w:pPr>
              <w:spacing w:after="0"/>
            </w:pPr>
            <w:r>
              <w:rPr>
                <w:sz w:val="16"/>
              </w:rPr>
            </w:r>
            <w:r>
              <w:rPr>
                <w:sz w:val="16"/>
              </w:rPr>
              <w:t>2</w:t>
            </w:r>
          </w:p>
        </w:tc>
        <w:tc>
          <w:tcPr>
            <w:tcW w:type="dxa" w:w="2880"/>
            <w:shd w:val="clear" w:color="auto" w:fill="F2F4F8"/>
          </w:tcPr>
          <w:p>
            <w:pPr>
              <w:spacing w:after="0"/>
            </w:pPr>
            <w:r>
              <w:rPr>
                <w:sz w:val="16"/>
              </w:rPr>
            </w:r>
            <w:r>
              <w:rPr>
                <w:sz w:val="16"/>
              </w:rPr>
              <w:t>Employer legal name (as registered with the Secretary of State)</w:t>
            </w:r>
          </w:p>
        </w:tc>
        <w:tc>
          <w:tcPr>
            <w:tcW w:type="dxa" w:w="2160"/>
            <w:shd w:val="clear" w:color="auto" w:fill="F2F4F8"/>
          </w:tcPr>
          <w:p>
            <w:pPr>
              <w:spacing w:after="0"/>
            </w:pPr>
            <w:r>
              <w:rPr>
                <w:sz w:val="16"/>
              </w:rPr>
            </w:r>
            <w:r>
              <w:rPr>
                <w:sz w:val="16"/>
              </w:rPr>
              <w:t>“Omnicron Logistics” (trade name)</w:t>
            </w:r>
          </w:p>
        </w:tc>
        <w:tc>
          <w:tcPr>
            <w:tcW w:type="dxa" w:w="1728"/>
            <w:shd w:val="clear" w:color="auto" w:fill="F2F4F8"/>
          </w:tcPr>
          <w:p>
            <w:pPr>
              <w:spacing w:after="0"/>
            </w:pPr>
            <w:r>
              <w:rPr>
                <w:sz w:val="16"/>
              </w:rPr>
            </w:r>
            <w:r>
              <w:rPr>
                <w:sz w:val="16"/>
              </w:rPr>
              <w:t>Yes</w:t>
            </w:r>
          </w:p>
        </w:tc>
        <w:tc>
          <w:tcPr>
            <w:tcW w:type="dxa" w:w="2160"/>
            <w:shd w:val="clear" w:color="auto" w:fill="F2F4F8"/>
          </w:tcPr>
          <w:p>
            <w:pPr>
              <w:spacing w:after="0"/>
            </w:pPr>
            <w:r>
              <w:rPr>
                <w:sz w:val="16"/>
              </w:rPr>
            </w:r>
            <w:r>
              <w:rPr>
                <w:sz w:val="16"/>
              </w:rPr>
              <w:t>Print “Omnicron Logistics, Inc.”</w:t>
            </w:r>
          </w:p>
        </w:tc>
      </w:tr>
      <w:tr>
        <w:tc>
          <w:tcPr>
            <w:tcW w:type="dxa" w:w="432"/>
          </w:tcPr>
          <w:p>
            <w:pPr>
              <w:spacing w:after="0"/>
            </w:pPr>
            <w:r>
              <w:rPr>
                <w:sz w:val="16"/>
              </w:rPr>
            </w:r>
            <w:r>
              <w:rPr>
                <w:sz w:val="16"/>
              </w:rPr>
              <w:t>3</w:t>
            </w:r>
          </w:p>
        </w:tc>
        <w:tc>
          <w:tcPr>
            <w:tcW w:type="dxa" w:w="2880"/>
          </w:tcPr>
          <w:p>
            <w:pPr>
              <w:spacing w:after="0"/>
            </w:pPr>
            <w:r>
              <w:rPr>
                <w:sz w:val="16"/>
              </w:rPr>
            </w:r>
            <w:r>
              <w:rPr>
                <w:sz w:val="16"/>
              </w:rPr>
              <w:t xml:space="preserve">Employer physical address and </w:t>
            </w:r>
            <w:r>
              <w:rPr>
                <w:b/>
                <w:sz w:val="16"/>
              </w:rPr>
              <w:t>telephone</w:t>
            </w:r>
          </w:p>
        </w:tc>
        <w:tc>
          <w:tcPr>
            <w:tcW w:type="dxa" w:w="2160"/>
          </w:tcPr>
          <w:p>
            <w:pPr>
              <w:spacing w:after="0"/>
            </w:pPr>
            <w:r>
              <w:rPr>
                <w:sz w:val="16"/>
              </w:rPr>
            </w:r>
            <w:r>
              <w:rPr>
                <w:sz w:val="16"/>
              </w:rPr>
              <w:t>Neither</w:t>
            </w:r>
          </w:p>
        </w:tc>
        <w:tc>
          <w:tcPr>
            <w:tcW w:type="dxa" w:w="1728"/>
          </w:tcPr>
          <w:p>
            <w:pPr>
              <w:spacing w:after="0"/>
            </w:pPr>
            <w:r>
              <w:rPr>
                <w:sz w:val="16"/>
              </w:rPr>
            </w:r>
            <w:r>
              <w:rPr>
                <w:sz w:val="16"/>
              </w:rPr>
              <w:t>Address yes; phone not stated</w:t>
            </w:r>
          </w:p>
        </w:tc>
        <w:tc>
          <w:tcPr>
            <w:tcW w:type="dxa" w:w="2160"/>
          </w:tcPr>
          <w:p>
            <w:pPr>
              <w:spacing w:after="0"/>
            </w:pPr>
            <w:r>
              <w:rPr>
                <w:sz w:val="16"/>
              </w:rPr>
            </w:r>
            <w:r>
              <w:rPr>
                <w:b/>
                <w:sz w:val="16"/>
              </w:rPr>
              <w:t>Add phone</w:t>
            </w:r>
          </w:p>
        </w:tc>
      </w:tr>
      <w:tr>
        <w:tc>
          <w:tcPr>
            <w:tcW w:type="dxa" w:w="432"/>
            <w:shd w:val="clear" w:color="auto" w:fill="F2F4F8"/>
          </w:tcPr>
          <w:p>
            <w:pPr>
              <w:spacing w:after="0"/>
            </w:pPr>
            <w:r>
              <w:rPr>
                <w:sz w:val="16"/>
              </w:rPr>
            </w:r>
            <w:r>
              <w:rPr>
                <w:sz w:val="16"/>
              </w:rPr>
              <w:t>4</w:t>
            </w:r>
          </w:p>
        </w:tc>
        <w:tc>
          <w:tcPr>
            <w:tcW w:type="dxa" w:w="2880"/>
            <w:shd w:val="clear" w:color="auto" w:fill="F2F4F8"/>
          </w:tcPr>
          <w:p>
            <w:pPr>
              <w:spacing w:after="0"/>
            </w:pPr>
            <w:r>
              <w:rPr>
                <w:sz w:val="16"/>
              </w:rPr>
            </w:r>
            <w:r>
              <w:rPr>
                <w:sz w:val="16"/>
              </w:rPr>
              <w:t>Pay period start/end</w:t>
            </w:r>
          </w:p>
        </w:tc>
        <w:tc>
          <w:tcPr>
            <w:tcW w:type="dxa" w:w="2160"/>
            <w:shd w:val="clear" w:color="auto" w:fill="F2F4F8"/>
          </w:tcPr>
          <w:p>
            <w:pPr>
              <w:spacing w:after="0"/>
            </w:pPr>
            <w:r>
              <w:rPr>
                <w:sz w:val="16"/>
              </w:rPr>
            </w:r>
            <w:r>
              <w:rPr>
                <w:sz w:val="16"/>
              </w:rPr>
              <w:t>Yes</w:t>
            </w:r>
          </w:p>
        </w:tc>
        <w:tc>
          <w:tcPr>
            <w:tcW w:type="dxa" w:w="1728"/>
            <w:shd w:val="clear" w:color="auto" w:fill="F2F4F8"/>
          </w:tcPr>
          <w:p>
            <w:pPr>
              <w:spacing w:after="0"/>
            </w:pPr>
            <w:r>
              <w:rPr>
                <w:sz w:val="16"/>
              </w:rPr>
            </w:r>
            <w:r>
              <w:rPr>
                <w:sz w:val="16"/>
              </w:rPr>
              <w:t>n/a</w:t>
            </w:r>
          </w:p>
        </w:tc>
        <w:tc>
          <w:tcPr>
            <w:tcW w:type="dxa" w:w="2160"/>
            <w:shd w:val="clear" w:color="auto" w:fill="F2F4F8"/>
          </w:tcPr>
          <w:p>
            <w:pPr>
              <w:spacing w:after="0"/>
            </w:pPr>
            <w:r>
              <w:rPr>
                <w:sz w:val="16"/>
              </w:rPr>
            </w:r>
            <w:r>
              <w:rPr>
                <w:sz w:val="16"/>
              </w:rPr>
              <w:t>—</w:t>
            </w:r>
          </w:p>
        </w:tc>
      </w:tr>
      <w:tr>
        <w:tc>
          <w:tcPr>
            <w:tcW w:type="dxa" w:w="432"/>
          </w:tcPr>
          <w:p>
            <w:pPr>
              <w:spacing w:after="0"/>
            </w:pPr>
            <w:r>
              <w:rPr>
                <w:sz w:val="16"/>
              </w:rPr>
            </w:r>
            <w:r>
              <w:rPr>
                <w:sz w:val="16"/>
              </w:rPr>
              <w:t>5</w:t>
            </w:r>
          </w:p>
        </w:tc>
        <w:tc>
          <w:tcPr>
            <w:tcW w:type="dxa" w:w="2880"/>
          </w:tcPr>
          <w:p>
            <w:pPr>
              <w:spacing w:after="0"/>
            </w:pPr>
            <w:r>
              <w:rPr>
                <w:sz w:val="16"/>
              </w:rPr>
            </w:r>
            <w:r>
              <w:rPr>
                <w:sz w:val="16"/>
              </w:rPr>
              <w:t>Date of payment</w:t>
            </w:r>
          </w:p>
        </w:tc>
        <w:tc>
          <w:tcPr>
            <w:tcW w:type="dxa" w:w="2160"/>
          </w:tcPr>
          <w:p>
            <w:pPr>
              <w:spacing w:after="0"/>
            </w:pPr>
            <w:r>
              <w:rPr>
                <w:sz w:val="16"/>
              </w:rPr>
            </w:r>
            <w:r>
              <w:rPr>
                <w:sz w:val="16"/>
              </w:rPr>
              <w:t>Not listed (check/deposit reference only)</w:t>
            </w:r>
          </w:p>
        </w:tc>
        <w:tc>
          <w:tcPr>
            <w:tcW w:type="dxa" w:w="1728"/>
          </w:tcPr>
          <w:p>
            <w:pPr>
              <w:spacing w:after="0"/>
            </w:pPr>
            <w:r>
              <w:rPr>
                <w:sz w:val="16"/>
              </w:rPr>
            </w:r>
            <w:r>
              <w:rPr>
                <w:sz w:val="16"/>
              </w:rPr>
              <w:t>No</w:t>
            </w:r>
          </w:p>
        </w:tc>
        <w:tc>
          <w:tcPr>
            <w:tcW w:type="dxa" w:w="2160"/>
          </w:tcPr>
          <w:p>
            <w:pPr>
              <w:spacing w:after="0"/>
            </w:pPr>
            <w:r>
              <w:rPr>
                <w:sz w:val="16"/>
              </w:rPr>
            </w:r>
            <w:r>
              <w:rPr>
                <w:b/>
                <w:sz w:val="16"/>
              </w:rPr>
              <w:t>Confirm / add</w:t>
            </w:r>
          </w:p>
        </w:tc>
      </w:tr>
      <w:tr>
        <w:tc>
          <w:tcPr>
            <w:tcW w:type="dxa" w:w="432"/>
            <w:shd w:val="clear" w:color="auto" w:fill="F2F4F8"/>
          </w:tcPr>
          <w:p>
            <w:pPr>
              <w:spacing w:after="0"/>
            </w:pPr>
            <w:r>
              <w:rPr>
                <w:sz w:val="16"/>
              </w:rPr>
            </w:r>
            <w:r>
              <w:rPr>
                <w:sz w:val="16"/>
              </w:rPr>
              <w:t>6</w:t>
            </w:r>
          </w:p>
        </w:tc>
        <w:tc>
          <w:tcPr>
            <w:tcW w:type="dxa" w:w="2880"/>
            <w:shd w:val="clear" w:color="auto" w:fill="F2F4F8"/>
          </w:tcPr>
          <w:p>
            <w:pPr>
              <w:spacing w:after="0"/>
            </w:pPr>
            <w:r>
              <w:rPr>
                <w:sz w:val="16"/>
              </w:rPr>
            </w:r>
            <w:r>
              <w:rPr>
                <w:sz w:val="16"/>
              </w:rPr>
              <w:t>Gross wages</w:t>
            </w:r>
          </w:p>
        </w:tc>
        <w:tc>
          <w:tcPr>
            <w:tcW w:type="dxa" w:w="2160"/>
            <w:shd w:val="clear" w:color="auto" w:fill="F2F4F8"/>
          </w:tcPr>
          <w:p>
            <w:pPr>
              <w:spacing w:after="0"/>
            </w:pPr>
            <w:r>
              <w:rPr>
                <w:sz w:val="16"/>
              </w:rPr>
            </w:r>
            <w:r>
              <w:rPr>
                <w:sz w:val="16"/>
              </w:rPr>
              <w:t>Yes</w:t>
            </w:r>
          </w:p>
        </w:tc>
        <w:tc>
          <w:tcPr>
            <w:tcW w:type="dxa" w:w="1728"/>
            <w:shd w:val="clear" w:color="auto" w:fill="F2F4F8"/>
          </w:tcPr>
          <w:p>
            <w:pPr>
              <w:spacing w:after="0"/>
            </w:pPr>
            <w:r>
              <w:rPr>
                <w:sz w:val="16"/>
              </w:rPr>
            </w:r>
            <w:r>
              <w:rPr>
                <w:sz w:val="16"/>
              </w:rPr>
              <w:t>n/a</w:t>
            </w:r>
          </w:p>
        </w:tc>
        <w:tc>
          <w:tcPr>
            <w:tcW w:type="dxa" w:w="2160"/>
            <w:shd w:val="clear" w:color="auto" w:fill="F2F4F8"/>
          </w:tcPr>
          <w:p>
            <w:pPr>
              <w:spacing w:after="0"/>
            </w:pPr>
            <w:r>
              <w:rPr>
                <w:sz w:val="16"/>
              </w:rPr>
            </w:r>
            <w:r>
              <w:rPr>
                <w:sz w:val="16"/>
              </w:rPr>
              <w:t>—</w:t>
            </w:r>
          </w:p>
        </w:tc>
      </w:tr>
      <w:tr>
        <w:tc>
          <w:tcPr>
            <w:tcW w:type="dxa" w:w="432"/>
          </w:tcPr>
          <w:p>
            <w:pPr>
              <w:spacing w:after="0"/>
            </w:pPr>
            <w:r>
              <w:rPr>
                <w:sz w:val="16"/>
              </w:rPr>
            </w:r>
            <w:r>
              <w:rPr>
                <w:sz w:val="16"/>
              </w:rPr>
              <w:t>7</w:t>
            </w:r>
          </w:p>
        </w:tc>
        <w:tc>
          <w:tcPr>
            <w:tcW w:type="dxa" w:w="2880"/>
          </w:tcPr>
          <w:p>
            <w:pPr>
              <w:spacing w:after="0"/>
            </w:pPr>
            <w:r>
              <w:rPr>
                <w:sz w:val="16"/>
              </w:rPr>
            </w:r>
            <w:r>
              <w:rPr>
                <w:sz w:val="16"/>
              </w:rPr>
              <w:t>Net wages</w:t>
            </w:r>
          </w:p>
        </w:tc>
        <w:tc>
          <w:tcPr>
            <w:tcW w:type="dxa" w:w="2160"/>
          </w:tcPr>
          <w:p>
            <w:pPr>
              <w:spacing w:after="0"/>
            </w:pPr>
            <w:r>
              <w:rPr>
                <w:sz w:val="16"/>
              </w:rPr>
            </w:r>
            <w:r>
              <w:rPr>
                <w:sz w:val="16"/>
              </w:rPr>
              <w:t>Yes</w:t>
            </w:r>
          </w:p>
        </w:tc>
        <w:tc>
          <w:tcPr>
            <w:tcW w:type="dxa" w:w="1728"/>
          </w:tcPr>
          <w:p>
            <w:pPr>
              <w:spacing w:after="0"/>
            </w:pPr>
            <w:r>
              <w:rPr>
                <w:sz w:val="16"/>
              </w:rPr>
            </w:r>
            <w:r>
              <w:rPr>
                <w:sz w:val="16"/>
              </w:rPr>
              <w:t>n/a</w:t>
            </w:r>
          </w:p>
        </w:tc>
        <w:tc>
          <w:tcPr>
            <w:tcW w:type="dxa" w:w="2160"/>
          </w:tcPr>
          <w:p>
            <w:pPr>
              <w:spacing w:after="0"/>
            </w:pPr>
            <w:r>
              <w:rPr>
                <w:sz w:val="16"/>
              </w:rPr>
            </w:r>
            <w:r>
              <w:rPr>
                <w:sz w:val="16"/>
              </w:rPr>
              <w:t>—</w:t>
            </w:r>
          </w:p>
        </w:tc>
      </w:tr>
      <w:tr>
        <w:tc>
          <w:tcPr>
            <w:tcW w:type="dxa" w:w="432"/>
            <w:shd w:val="clear" w:color="auto" w:fill="F2F4F8"/>
          </w:tcPr>
          <w:p>
            <w:pPr>
              <w:spacing w:after="0"/>
            </w:pPr>
            <w:r>
              <w:rPr>
                <w:sz w:val="16"/>
              </w:rPr>
            </w:r>
            <w:r>
              <w:rPr>
                <w:sz w:val="16"/>
              </w:rPr>
              <w:t>8</w:t>
            </w:r>
          </w:p>
        </w:tc>
        <w:tc>
          <w:tcPr>
            <w:tcW w:type="dxa" w:w="2880"/>
            <w:shd w:val="clear" w:color="auto" w:fill="F2F4F8"/>
          </w:tcPr>
          <w:p>
            <w:pPr>
              <w:spacing w:after="0"/>
            </w:pPr>
            <w:r>
              <w:rPr>
                <w:sz w:val="16"/>
              </w:rPr>
            </w:r>
            <w:r>
              <w:rPr>
                <w:sz w:val="16"/>
              </w:rPr>
              <w:t>All deductions itemized by category (taxes, insurance, garnishments, voluntary)</w:t>
            </w:r>
          </w:p>
        </w:tc>
        <w:tc>
          <w:tcPr>
            <w:tcW w:type="dxa" w:w="2160"/>
            <w:shd w:val="clear" w:color="auto" w:fill="F2F4F8"/>
          </w:tcPr>
          <w:p>
            <w:pPr>
              <w:spacing w:after="0"/>
            </w:pPr>
            <w:r>
              <w:rPr>
                <w:sz w:val="16"/>
              </w:rPr>
            </w:r>
            <w:r>
              <w:rPr>
                <w:sz w:val="16"/>
              </w:rPr>
              <w:t>Taxes and FICA only listed</w:t>
            </w:r>
          </w:p>
        </w:tc>
        <w:tc>
          <w:tcPr>
            <w:tcW w:type="dxa" w:w="1728"/>
            <w:shd w:val="clear" w:color="auto" w:fill="F2F4F8"/>
          </w:tcPr>
          <w:p>
            <w:pPr>
              <w:spacing w:after="0"/>
            </w:pPr>
            <w:r>
              <w:rPr>
                <w:sz w:val="16"/>
              </w:rPr>
            </w:r>
            <w:r>
              <w:rPr>
                <w:sz w:val="16"/>
              </w:rPr>
              <w:t>No</w:t>
            </w:r>
          </w:p>
        </w:tc>
        <w:tc>
          <w:tcPr>
            <w:tcW w:type="dxa" w:w="2160"/>
            <w:shd w:val="clear" w:color="auto" w:fill="F2F4F8"/>
          </w:tcPr>
          <w:p>
            <w:pPr>
              <w:spacing w:after="0"/>
            </w:pPr>
            <w:r>
              <w:rPr>
                <w:sz w:val="16"/>
              </w:rPr>
            </w:r>
            <w:r>
              <w:rPr>
                <w:b/>
                <w:sz w:val="16"/>
              </w:rPr>
              <w:t>Confirm benefit, garnishment and voluntary lines; add</w:t>
            </w:r>
          </w:p>
        </w:tc>
      </w:tr>
      <w:tr>
        <w:tc>
          <w:tcPr>
            <w:tcW w:type="dxa" w:w="432"/>
          </w:tcPr>
          <w:p>
            <w:pPr>
              <w:spacing w:after="0"/>
            </w:pPr>
            <w:r>
              <w:rPr>
                <w:sz w:val="16"/>
              </w:rPr>
            </w:r>
            <w:r>
              <w:rPr>
                <w:sz w:val="16"/>
              </w:rPr>
              <w:t>9</w:t>
            </w:r>
          </w:p>
        </w:tc>
        <w:tc>
          <w:tcPr>
            <w:tcW w:type="dxa" w:w="2880"/>
          </w:tcPr>
          <w:p>
            <w:pPr>
              <w:spacing w:after="0"/>
            </w:pPr>
            <w:r>
              <w:rPr>
                <w:sz w:val="16"/>
              </w:rPr>
            </w:r>
            <w:r>
              <w:rPr>
                <w:sz w:val="16"/>
              </w:rPr>
              <w:t>Total hours worked (non-exempt)</w:t>
            </w:r>
          </w:p>
        </w:tc>
        <w:tc>
          <w:tcPr>
            <w:tcW w:type="dxa" w:w="2160"/>
          </w:tcPr>
          <w:p>
            <w:pPr>
              <w:spacing w:after="0"/>
            </w:pPr>
            <w:r>
              <w:rPr>
                <w:sz w:val="16"/>
              </w:rPr>
            </w:r>
            <w:r>
              <w:rPr>
                <w:sz w:val="16"/>
              </w:rPr>
              <w:t>Audit text says aggregate shown; not in field list</w:t>
            </w:r>
          </w:p>
        </w:tc>
        <w:tc>
          <w:tcPr>
            <w:tcW w:type="dxa" w:w="1728"/>
          </w:tcPr>
          <w:p>
            <w:pPr>
              <w:spacing w:after="0"/>
            </w:pPr>
            <w:r>
              <w:rPr>
                <w:sz w:val="16"/>
              </w:rPr>
            </w:r>
            <w:r>
              <w:rPr>
                <w:sz w:val="16"/>
              </w:rPr>
              <w:t>No</w:t>
            </w:r>
          </w:p>
        </w:tc>
        <w:tc>
          <w:tcPr>
            <w:tcW w:type="dxa" w:w="2160"/>
          </w:tcPr>
          <w:p>
            <w:pPr>
              <w:spacing w:after="0"/>
            </w:pPr>
            <w:r>
              <w:rPr>
                <w:sz w:val="16"/>
              </w:rPr>
            </w:r>
            <w:r>
              <w:rPr>
                <w:sz w:val="16"/>
              </w:rPr>
              <w:t>Confirm</w:t>
            </w:r>
          </w:p>
        </w:tc>
      </w:tr>
      <w:tr>
        <w:tc>
          <w:tcPr>
            <w:tcW w:type="dxa" w:w="432"/>
            <w:shd w:val="clear" w:color="auto" w:fill="F2F4F8"/>
          </w:tcPr>
          <w:p>
            <w:pPr>
              <w:spacing w:after="0"/>
            </w:pPr>
            <w:r>
              <w:rPr>
                <w:sz w:val="16"/>
              </w:rPr>
            </w:r>
            <w:r>
              <w:rPr>
                <w:sz w:val="16"/>
              </w:rPr>
              <w:t>10</w:t>
            </w:r>
          </w:p>
        </w:tc>
        <w:tc>
          <w:tcPr>
            <w:tcW w:type="dxa" w:w="2880"/>
            <w:shd w:val="clear" w:color="auto" w:fill="F2F4F8"/>
          </w:tcPr>
          <w:p>
            <w:pPr>
              <w:spacing w:after="0"/>
            </w:pPr>
            <w:r>
              <w:rPr>
                <w:sz w:val="16"/>
              </w:rPr>
            </w:r>
            <w:r>
              <w:rPr>
                <w:sz w:val="16"/>
              </w:rPr>
              <w:t>Hours worked per day</w:t>
            </w:r>
          </w:p>
        </w:tc>
        <w:tc>
          <w:tcPr>
            <w:tcW w:type="dxa" w:w="2160"/>
            <w:shd w:val="clear" w:color="auto" w:fill="F2F4F8"/>
          </w:tcPr>
          <w:p>
            <w:pPr>
              <w:spacing w:after="0"/>
            </w:pPr>
            <w:r>
              <w:rPr>
                <w:sz w:val="16"/>
              </w:rPr>
            </w:r>
            <w:r>
              <w:rPr>
                <w:sz w:val="16"/>
              </w:rPr>
              <w:t>No</w:t>
            </w:r>
          </w:p>
        </w:tc>
        <w:tc>
          <w:tcPr>
            <w:tcW w:type="dxa" w:w="1728"/>
            <w:shd w:val="clear" w:color="auto" w:fill="F2F4F8"/>
          </w:tcPr>
          <w:p>
            <w:pPr>
              <w:spacing w:after="0"/>
            </w:pPr>
            <w:r>
              <w:rPr>
                <w:sz w:val="16"/>
              </w:rPr>
            </w:r>
            <w:r>
              <w:rPr>
                <w:sz w:val="16"/>
              </w:rPr>
              <w:t>Yes</w:t>
            </w:r>
          </w:p>
        </w:tc>
        <w:tc>
          <w:tcPr>
            <w:tcW w:type="dxa" w:w="2160"/>
            <w:shd w:val="clear" w:color="auto" w:fill="F2F4F8"/>
          </w:tcPr>
          <w:p>
            <w:pPr>
              <w:spacing w:after="0"/>
            </w:pPr>
            <w:r>
              <w:rPr>
                <w:sz w:val="16"/>
              </w:rPr>
            </w:r>
            <w:r>
              <w:rPr>
                <w:sz w:val="16"/>
              </w:rPr>
              <w:t>—</w:t>
            </w:r>
          </w:p>
        </w:tc>
      </w:tr>
      <w:tr>
        <w:tc>
          <w:tcPr>
            <w:tcW w:type="dxa" w:w="432"/>
          </w:tcPr>
          <w:p>
            <w:pPr>
              <w:spacing w:after="0"/>
            </w:pPr>
            <w:r>
              <w:rPr>
                <w:sz w:val="16"/>
              </w:rPr>
            </w:r>
            <w:r>
              <w:rPr>
                <w:sz w:val="16"/>
              </w:rPr>
              <w:t>11</w:t>
            </w:r>
          </w:p>
        </w:tc>
        <w:tc>
          <w:tcPr>
            <w:tcW w:type="dxa" w:w="2880"/>
          </w:tcPr>
          <w:p>
            <w:pPr>
              <w:spacing w:after="0"/>
            </w:pPr>
            <w:r>
              <w:rPr>
                <w:sz w:val="16"/>
              </w:rPr>
            </w:r>
            <w:r>
              <w:rPr>
                <w:sz w:val="16"/>
              </w:rPr>
              <w:t>Overtime hours separately itemized</w:t>
            </w:r>
          </w:p>
        </w:tc>
        <w:tc>
          <w:tcPr>
            <w:tcW w:type="dxa" w:w="2160"/>
          </w:tcPr>
          <w:p>
            <w:pPr>
              <w:spacing w:after="0"/>
            </w:pPr>
            <w:r>
              <w:rPr>
                <w:sz w:val="16"/>
              </w:rPr>
            </w:r>
            <w:r>
              <w:rPr>
                <w:sz w:val="16"/>
              </w:rPr>
              <w:t>No</w:t>
            </w:r>
          </w:p>
        </w:tc>
        <w:tc>
          <w:tcPr>
            <w:tcW w:type="dxa" w:w="1728"/>
          </w:tcPr>
          <w:p>
            <w:pPr>
              <w:spacing w:after="0"/>
            </w:pPr>
            <w:r>
              <w:rPr>
                <w:sz w:val="16"/>
              </w:rPr>
            </w:r>
            <w:r>
              <w:rPr>
                <w:sz w:val="16"/>
              </w:rPr>
              <w:t>Yes</w:t>
            </w:r>
          </w:p>
        </w:tc>
        <w:tc>
          <w:tcPr>
            <w:tcW w:type="dxa" w:w="2160"/>
          </w:tcPr>
          <w:p>
            <w:pPr>
              <w:spacing w:after="0"/>
            </w:pPr>
            <w:r>
              <w:rPr>
                <w:sz w:val="16"/>
              </w:rPr>
            </w:r>
            <w:r>
              <w:rPr>
                <w:sz w:val="16"/>
              </w:rPr>
              <w:t>—</w:t>
            </w:r>
          </w:p>
        </w:tc>
      </w:tr>
      <w:tr>
        <w:tc>
          <w:tcPr>
            <w:tcW w:type="dxa" w:w="432"/>
            <w:shd w:val="clear" w:color="auto" w:fill="F2F4F8"/>
          </w:tcPr>
          <w:p>
            <w:pPr>
              <w:spacing w:after="0"/>
            </w:pPr>
            <w:r>
              <w:rPr>
                <w:sz w:val="16"/>
              </w:rPr>
            </w:r>
            <w:r>
              <w:rPr>
                <w:sz w:val="16"/>
              </w:rPr>
              <w:t>12</w:t>
            </w:r>
          </w:p>
        </w:tc>
        <w:tc>
          <w:tcPr>
            <w:tcW w:type="dxa" w:w="2880"/>
            <w:shd w:val="clear" w:color="auto" w:fill="F2F4F8"/>
          </w:tcPr>
          <w:p>
            <w:pPr>
              <w:spacing w:after="0"/>
            </w:pPr>
            <w:r>
              <w:rPr>
                <w:sz w:val="16"/>
              </w:rPr>
            </w:r>
            <w:r>
              <w:rPr>
                <w:sz w:val="16"/>
              </w:rPr>
              <w:t>Regular rate(s) incl. differentials / piece rates</w:t>
            </w:r>
          </w:p>
        </w:tc>
        <w:tc>
          <w:tcPr>
            <w:tcW w:type="dxa" w:w="2160"/>
            <w:shd w:val="clear" w:color="auto" w:fill="F2F4F8"/>
          </w:tcPr>
          <w:p>
            <w:pPr>
              <w:spacing w:after="0"/>
            </w:pPr>
            <w:r>
              <w:rPr>
                <w:sz w:val="16"/>
              </w:rPr>
            </w:r>
            <w:r>
              <w:rPr>
                <w:sz w:val="16"/>
              </w:rPr>
              <w:t>No</w:t>
            </w:r>
          </w:p>
        </w:tc>
        <w:tc>
          <w:tcPr>
            <w:tcW w:type="dxa" w:w="1728"/>
            <w:shd w:val="clear" w:color="auto" w:fill="F2F4F8"/>
          </w:tcPr>
          <w:p>
            <w:pPr>
              <w:spacing w:after="0"/>
            </w:pPr>
            <w:r>
              <w:rPr>
                <w:sz w:val="16"/>
              </w:rPr>
            </w:r>
            <w:r>
              <w:rPr>
                <w:sz w:val="16"/>
              </w:rPr>
              <w:t>Yes (multi-rate)</w:t>
            </w:r>
          </w:p>
        </w:tc>
        <w:tc>
          <w:tcPr>
            <w:tcW w:type="dxa" w:w="2160"/>
            <w:shd w:val="clear" w:color="auto" w:fill="F2F4F8"/>
          </w:tcPr>
          <w:p>
            <w:pPr>
              <w:spacing w:after="0"/>
            </w:pPr>
            <w:r>
              <w:rPr>
                <w:sz w:val="16"/>
              </w:rPr>
            </w:r>
            <w:r>
              <w:rPr>
                <w:sz w:val="16"/>
              </w:rPr>
              <w:t>Test 680 differential employees</w:t>
            </w:r>
          </w:p>
        </w:tc>
      </w:tr>
      <w:tr>
        <w:tc>
          <w:tcPr>
            <w:tcW w:type="dxa" w:w="432"/>
          </w:tcPr>
          <w:p>
            <w:pPr>
              <w:spacing w:after="0"/>
            </w:pPr>
            <w:r>
              <w:rPr>
                <w:sz w:val="16"/>
              </w:rPr>
            </w:r>
            <w:r>
              <w:rPr>
                <w:sz w:val="16"/>
              </w:rPr>
              <w:t>13</w:t>
            </w:r>
          </w:p>
        </w:tc>
        <w:tc>
          <w:tcPr>
            <w:tcW w:type="dxa" w:w="2880"/>
          </w:tcPr>
          <w:p>
            <w:pPr>
              <w:spacing w:after="0"/>
            </w:pPr>
            <w:r>
              <w:rPr>
                <w:sz w:val="16"/>
              </w:rPr>
            </w:r>
            <w:r>
              <w:rPr>
                <w:sz w:val="16"/>
              </w:rPr>
              <w:t>Overtime rate(s)</w:t>
            </w:r>
          </w:p>
        </w:tc>
        <w:tc>
          <w:tcPr>
            <w:tcW w:type="dxa" w:w="2160"/>
          </w:tcPr>
          <w:p>
            <w:pPr>
              <w:spacing w:after="0"/>
            </w:pPr>
            <w:r>
              <w:rPr>
                <w:sz w:val="16"/>
              </w:rPr>
            </w:r>
            <w:r>
              <w:rPr>
                <w:sz w:val="16"/>
              </w:rPr>
              <w:t>No</w:t>
            </w:r>
          </w:p>
        </w:tc>
        <w:tc>
          <w:tcPr>
            <w:tcW w:type="dxa" w:w="1728"/>
          </w:tcPr>
          <w:p>
            <w:pPr>
              <w:spacing w:after="0"/>
            </w:pPr>
            <w:r>
              <w:rPr>
                <w:sz w:val="16"/>
              </w:rPr>
            </w:r>
            <w:r>
              <w:rPr>
                <w:sz w:val="16"/>
              </w:rPr>
              <w:t>Not explicit</w:t>
            </w:r>
          </w:p>
        </w:tc>
        <w:tc>
          <w:tcPr>
            <w:tcW w:type="dxa" w:w="2160"/>
          </w:tcPr>
          <w:p>
            <w:pPr>
              <w:spacing w:after="0"/>
            </w:pPr>
            <w:r>
              <w:rPr>
                <w:sz w:val="16"/>
              </w:rPr>
            </w:r>
            <w:r>
              <w:rPr>
                <w:b/>
                <w:sz w:val="16"/>
              </w:rPr>
              <w:t>Confirm in SOW</w:t>
            </w:r>
          </w:p>
        </w:tc>
      </w:tr>
      <w:tr>
        <w:tc>
          <w:tcPr>
            <w:tcW w:type="dxa" w:w="432"/>
            <w:shd w:val="clear" w:color="auto" w:fill="F2F4F8"/>
          </w:tcPr>
          <w:p>
            <w:pPr>
              <w:spacing w:after="0"/>
            </w:pPr>
            <w:r>
              <w:rPr>
                <w:sz w:val="16"/>
              </w:rPr>
            </w:r>
            <w:r>
              <w:rPr>
                <w:sz w:val="16"/>
              </w:rPr>
              <w:t>14</w:t>
            </w:r>
          </w:p>
        </w:tc>
        <w:tc>
          <w:tcPr>
            <w:tcW w:type="dxa" w:w="2880"/>
            <w:shd w:val="clear" w:color="auto" w:fill="F2F4F8"/>
          </w:tcPr>
          <w:p>
            <w:pPr>
              <w:spacing w:after="0"/>
            </w:pPr>
            <w:r>
              <w:rPr>
                <w:sz w:val="16"/>
              </w:rPr>
            </w:r>
            <w:r>
              <w:rPr>
                <w:sz w:val="16"/>
              </w:rPr>
              <w:t>Accrued paid-leave balances</w:t>
            </w:r>
          </w:p>
        </w:tc>
        <w:tc>
          <w:tcPr>
            <w:tcW w:type="dxa" w:w="2160"/>
            <w:shd w:val="clear" w:color="auto" w:fill="F2F4F8"/>
          </w:tcPr>
          <w:p>
            <w:pPr>
              <w:spacing w:after="0"/>
            </w:pPr>
            <w:r>
              <w:rPr>
                <w:sz w:val="16"/>
              </w:rPr>
            </w:r>
            <w:r>
              <w:rPr>
                <w:sz w:val="16"/>
              </w:rPr>
              <w:t>No</w:t>
            </w:r>
          </w:p>
        </w:tc>
        <w:tc>
          <w:tcPr>
            <w:tcW w:type="dxa" w:w="1728"/>
            <w:shd w:val="clear" w:color="auto" w:fill="F2F4F8"/>
          </w:tcPr>
          <w:p>
            <w:pPr>
              <w:spacing w:after="0"/>
            </w:pPr>
            <w:r>
              <w:rPr>
                <w:sz w:val="16"/>
              </w:rPr>
            </w:r>
            <w:r>
              <w:rPr>
                <w:sz w:val="16"/>
              </w:rPr>
              <w:t>Yes (Cascade dependency)</w:t>
            </w:r>
          </w:p>
        </w:tc>
        <w:tc>
          <w:tcPr>
            <w:tcW w:type="dxa" w:w="2160"/>
            <w:shd w:val="clear" w:color="auto" w:fill="F2F4F8"/>
          </w:tcPr>
          <w:p>
            <w:pPr>
              <w:spacing w:after="0"/>
            </w:pPr>
            <w:r>
              <w:rPr>
                <w:sz w:val="16"/>
              </w:rPr>
            </w:r>
            <w:r>
              <w:rPr>
                <w:sz w:val="16"/>
              </w:rPr>
              <w:t>Price the CSV fallback</w:t>
            </w:r>
          </w:p>
        </w:tc>
      </w:tr>
      <w:tr>
        <w:tc>
          <w:tcPr>
            <w:tcW w:type="dxa" w:w="432"/>
          </w:tcPr>
          <w:p>
            <w:pPr>
              <w:spacing w:after="0"/>
            </w:pPr>
            <w:r>
              <w:rPr>
                <w:sz w:val="16"/>
              </w:rPr>
            </w:r>
            <w:r>
              <w:rPr>
                <w:sz w:val="16"/>
              </w:rPr>
              <w:t>15</w:t>
            </w:r>
          </w:p>
        </w:tc>
        <w:tc>
          <w:tcPr>
            <w:tcW w:type="dxa" w:w="2880"/>
          </w:tcPr>
          <w:p>
            <w:pPr>
              <w:spacing w:after="0"/>
            </w:pPr>
            <w:r>
              <w:rPr>
                <w:sz w:val="16"/>
              </w:rPr>
            </w:r>
            <w:r>
              <w:rPr>
                <w:sz w:val="16"/>
              </w:rPr>
              <w:t>Exempt classification basis</w:t>
            </w:r>
          </w:p>
        </w:tc>
        <w:tc>
          <w:tcPr>
            <w:tcW w:type="dxa" w:w="2160"/>
          </w:tcPr>
          <w:p>
            <w:pPr>
              <w:spacing w:after="0"/>
            </w:pPr>
            <w:r>
              <w:rPr>
                <w:sz w:val="16"/>
              </w:rPr>
            </w:r>
            <w:r>
              <w:rPr>
                <w:sz w:val="16"/>
              </w:rPr>
              <w:t>No</w:t>
            </w:r>
          </w:p>
        </w:tc>
        <w:tc>
          <w:tcPr>
            <w:tcW w:type="dxa" w:w="1728"/>
          </w:tcPr>
          <w:p>
            <w:pPr>
              <w:spacing w:after="0"/>
            </w:pPr>
            <w:r>
              <w:rPr>
                <w:sz w:val="16"/>
              </w:rPr>
            </w:r>
            <w:r>
              <w:rPr>
                <w:sz w:val="16"/>
              </w:rPr>
              <w:t>Yes</w:t>
            </w:r>
          </w:p>
        </w:tc>
        <w:tc>
          <w:tcPr>
            <w:tcW w:type="dxa" w:w="2160"/>
          </w:tcPr>
          <w:p>
            <w:pPr>
              <w:spacing w:after="0"/>
            </w:pPr>
            <w:r>
              <w:rPr>
                <w:sz w:val="16"/>
              </w:rPr>
            </w:r>
            <w:r>
              <w:rPr>
                <w:sz w:val="16"/>
              </w:rPr>
              <w:t>Cascade data clean-up for 491 employees</w:t>
            </w:r>
          </w:p>
        </w:tc>
      </w:tr>
      <w:tr>
        <w:tc>
          <w:tcPr>
            <w:tcW w:type="dxa" w:w="432"/>
            <w:shd w:val="clear" w:color="auto" w:fill="F2F4F8"/>
          </w:tcPr>
          <w:p>
            <w:pPr>
              <w:spacing w:after="0"/>
            </w:pPr>
            <w:r>
              <w:rPr>
                <w:sz w:val="16"/>
              </w:rPr>
            </w:r>
            <w:r>
              <w:rPr>
                <w:sz w:val="16"/>
              </w:rPr>
              <w:t>16</w:t>
            </w:r>
          </w:p>
        </w:tc>
        <w:tc>
          <w:tcPr>
            <w:tcW w:type="dxa" w:w="2880"/>
            <w:shd w:val="clear" w:color="auto" w:fill="F2F4F8"/>
          </w:tcPr>
          <w:p>
            <w:pPr>
              <w:spacing w:after="0"/>
            </w:pPr>
            <w:r>
              <w:rPr>
                <w:sz w:val="16"/>
              </w:rPr>
            </w:r>
            <w:r>
              <w:rPr>
                <w:sz w:val="16"/>
              </w:rPr>
              <w:t>Applicable salary threshold</w:t>
            </w:r>
          </w:p>
        </w:tc>
        <w:tc>
          <w:tcPr>
            <w:tcW w:type="dxa" w:w="2160"/>
            <w:shd w:val="clear" w:color="auto" w:fill="F2F4F8"/>
          </w:tcPr>
          <w:p>
            <w:pPr>
              <w:spacing w:after="0"/>
            </w:pPr>
            <w:r>
              <w:rPr>
                <w:sz w:val="16"/>
              </w:rPr>
            </w:r>
            <w:r>
              <w:rPr>
                <w:sz w:val="16"/>
              </w:rPr>
              <w:t>No</w:t>
            </w:r>
          </w:p>
        </w:tc>
        <w:tc>
          <w:tcPr>
            <w:tcW w:type="dxa" w:w="1728"/>
            <w:shd w:val="clear" w:color="auto" w:fill="F2F4F8"/>
          </w:tcPr>
          <w:p>
            <w:pPr>
              <w:spacing w:after="0"/>
            </w:pPr>
            <w:r>
              <w:rPr>
                <w:sz w:val="16"/>
              </w:rPr>
            </w:r>
            <w:r>
              <w:rPr>
                <w:sz w:val="16"/>
              </w:rPr>
              <w:t>Yes</w:t>
            </w:r>
          </w:p>
        </w:tc>
        <w:tc>
          <w:tcPr>
            <w:tcW w:type="dxa" w:w="2160"/>
            <w:shd w:val="clear" w:color="auto" w:fill="F2F4F8"/>
          </w:tcPr>
          <w:p>
            <w:pPr>
              <w:spacing w:after="0"/>
            </w:pPr>
            <w:r>
              <w:rPr>
                <w:sz w:val="16"/>
              </w:rPr>
            </w:r>
            <w:r>
              <w:rPr>
                <w:sz w:val="16"/>
              </w:rPr>
              <w:t>Confirm the figure; keep configurable</w:t>
            </w:r>
          </w:p>
        </w:tc>
      </w:tr>
      <w:tr>
        <w:tc>
          <w:tcPr>
            <w:tcW w:type="dxa" w:w="432"/>
          </w:tcPr>
          <w:p>
            <w:pPr>
              <w:spacing w:after="0"/>
            </w:pPr>
            <w:r>
              <w:rPr>
                <w:sz w:val="16"/>
              </w:rPr>
            </w:r>
            <w:r>
              <w:rPr>
                <w:sz w:val="16"/>
              </w:rPr>
              <w:t>17</w:t>
            </w:r>
          </w:p>
        </w:tc>
        <w:tc>
          <w:tcPr>
            <w:tcW w:type="dxa" w:w="2880"/>
          </w:tcPr>
          <w:p>
            <w:pPr>
              <w:spacing w:after="0"/>
            </w:pPr>
            <w:r>
              <w:rPr>
                <w:sz w:val="16"/>
              </w:rPr>
            </w:r>
            <w:r>
              <w:rPr>
                <w:sz w:val="16"/>
              </w:rPr>
              <w:t>Regular salary per pay period (exempt)</w:t>
            </w:r>
          </w:p>
        </w:tc>
        <w:tc>
          <w:tcPr>
            <w:tcW w:type="dxa" w:w="2160"/>
          </w:tcPr>
          <w:p>
            <w:pPr>
              <w:spacing w:after="0"/>
            </w:pPr>
            <w:r>
              <w:rPr>
                <w:sz w:val="16"/>
              </w:rPr>
            </w:r>
            <w:r>
              <w:rPr>
                <w:sz w:val="16"/>
              </w:rPr>
              <w:t>Gross salary shown</w:t>
            </w:r>
          </w:p>
        </w:tc>
        <w:tc>
          <w:tcPr>
            <w:tcW w:type="dxa" w:w="1728"/>
          </w:tcPr>
          <w:p>
            <w:pPr>
              <w:spacing w:after="0"/>
            </w:pPr>
            <w:r>
              <w:rPr>
                <w:sz w:val="16"/>
              </w:rPr>
            </w:r>
            <w:r>
              <w:rPr>
                <w:sz w:val="16"/>
              </w:rPr>
              <w:t>n/a</w:t>
            </w:r>
          </w:p>
        </w:tc>
        <w:tc>
          <w:tcPr>
            <w:tcW w:type="dxa" w:w="2160"/>
          </w:tcPr>
          <w:p>
            <w:pPr>
              <w:spacing w:after="0"/>
            </w:pPr>
            <w:r>
              <w:rPr>
                <w:sz w:val="16"/>
              </w:rPr>
            </w:r>
            <w:r>
              <w:rPr>
                <w:sz w:val="16"/>
              </w:rPr>
              <w:t>Confirm labeling</w:t>
            </w:r>
          </w:p>
        </w:tc>
      </w:tr>
    </w:tbl>
    <w:p>
      <w:pPr>
        <w:spacing w:after="40"/>
      </w:pPr>
    </w:p>
    <w:p>
      <w:r>
        <w:rPr>
          <w:i/>
          <w:sz w:val="17"/>
        </w:rPr>
        <w:t>Note: Verdant also proposes printing the FEIN. The Counsel Summary does not require the FEIN on stubs (it is required in wage notices), but including it does no harm.</w:t>
      </w:r>
    </w:p>
    <w:p/>
    <w:p>
      <w:r>
        <w:rPr>
          <w:i/>
          <w:sz w:val="17"/>
        </w:rPr>
        <w:t>This memorandum reflects the documents identified in Section III, which are current through September 26, 2025. Dates and status should be refreshed before circulation if it is used after that date. Working positions are subject to outside counsel’s confirmation against the enrolled text of the Act.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Attorney-Client Communication / Attorney Work Product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1F2A44"/>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A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