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2"/>
        </w:rPr>
        <w:t>DATA PROCESSING AGREEMENT - COUNTERPARTY MARKUP DEVIATION REPORT</w:t>
      </w:r>
    </w:p>
    <w:p>
      <w:pPr>
        <w:jc w:val="center"/>
      </w:pPr>
      <w:r>
        <w:rPr>
          <w:b/>
          <w:i w:val="0"/>
          <w:sz w:val="24"/>
        </w:rPr>
        <w:t>Stratton Health Technologies, Inc. / CloudNest Infrastructure Services Ltd.</w:t>
      </w: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2592"/>
            <w:shd w:val="clear" w:color="auto" w:fill="1F3864"/>
          </w:tcPr>
          <w:p>
            <w:pPr>
              <w:spacing w:after="20" w:before="0"/>
            </w:pPr>
            <w:r/>
            <w:r>
              <w:rPr>
                <w:b/>
                <w:i w:val="0"/>
                <w:color w:val="FFFFFF"/>
                <w:sz w:val="17"/>
              </w:rPr>
              <w:t>Field</w:t>
            </w:r>
          </w:p>
        </w:tc>
        <w:tc>
          <w:tcPr>
            <w:tcW w:type="dxa" w:w="10944"/>
            <w:shd w:val="clear" w:color="auto" w:fill="1F3864"/>
          </w:tcPr>
          <w:p>
            <w:pPr>
              <w:spacing w:after="20" w:before="0"/>
            </w:pPr>
            <w:r/>
            <w:r>
              <w:rPr>
                <w:b/>
                <w:i w:val="0"/>
                <w:color w:val="FFFFFF"/>
                <w:sz w:val="17"/>
              </w:rPr>
              <w:t>Detail</w:t>
            </w:r>
          </w:p>
        </w:tc>
      </w:tr>
      <w:tr>
        <w:tc>
          <w:tcPr>
            <w:tcW w:type="dxa" w:w="2592"/>
          </w:tcPr>
          <w:p>
            <w:pPr>
              <w:spacing w:after="20" w:before="0"/>
            </w:pPr>
            <w:r/>
            <w:r>
              <w:rPr>
                <w:b w:val="0"/>
                <w:i w:val="0"/>
                <w:sz w:val="17"/>
              </w:rPr>
              <w:t>To</w:t>
            </w:r>
          </w:p>
        </w:tc>
        <w:tc>
          <w:tcPr>
            <w:tcW w:type="dxa" w:w="10944"/>
          </w:tcPr>
          <w:p>
            <w:pPr>
              <w:spacing w:after="20" w:before="0"/>
            </w:pPr>
            <w:r/>
            <w:r>
              <w:rPr>
                <w:b w:val="0"/>
                <w:i w:val="0"/>
                <w:sz w:val="17"/>
              </w:rPr>
              <w:t>Jonathan Pryce-Whitaker, General Counsel (Red/Yellow decision authority); Anisha Ramachandran, Chief Privacy Officer (Yellow decision authority; Red co-signatory)</w:t>
            </w:r>
          </w:p>
        </w:tc>
      </w:tr>
      <w:tr>
        <w:tc>
          <w:tcPr>
            <w:tcW w:type="dxa" w:w="2592"/>
          </w:tcPr>
          <w:p>
            <w:pPr>
              <w:spacing w:after="20" w:before="0"/>
            </w:pPr>
            <w:r/>
            <w:r>
              <w:rPr>
                <w:b w:val="0"/>
                <w:i w:val="0"/>
                <w:sz w:val="17"/>
              </w:rPr>
              <w:t>Cc</w:t>
            </w:r>
          </w:p>
        </w:tc>
        <w:tc>
          <w:tcPr>
            <w:tcW w:type="dxa" w:w="10944"/>
          </w:tcPr>
          <w:p>
            <w:pPr>
              <w:spacing w:after="20" w:before="0"/>
            </w:pPr>
            <w:r/>
            <w:r>
              <w:rPr>
                <w:b w:val="0"/>
                <w:i w:val="0"/>
                <w:sz w:val="17"/>
              </w:rPr>
              <w:t>Catherine Holloway, Partner, Whitfield &amp; Crane LLP (regulatory consultation)</w:t>
            </w:r>
          </w:p>
        </w:tc>
      </w:tr>
      <w:tr>
        <w:tc>
          <w:tcPr>
            <w:tcW w:type="dxa" w:w="2592"/>
          </w:tcPr>
          <w:p>
            <w:pPr>
              <w:spacing w:after="20" w:before="0"/>
            </w:pPr>
            <w:r/>
            <w:r>
              <w:rPr>
                <w:b w:val="0"/>
                <w:i w:val="0"/>
                <w:sz w:val="17"/>
              </w:rPr>
              <w:t>From</w:t>
            </w:r>
          </w:p>
        </w:tc>
        <w:tc>
          <w:tcPr>
            <w:tcW w:type="dxa" w:w="10944"/>
          </w:tcPr>
          <w:p>
            <w:pPr>
              <w:spacing w:after="20" w:before="0"/>
            </w:pPr>
            <w:r/>
            <w:r>
              <w:rPr>
                <w:b w:val="0"/>
                <w:i w:val="0"/>
                <w:sz w:val="17"/>
              </w:rPr>
              <w:t>Whitfield &amp; Crane LLP (prepared for David Ngata, Associate, as the playbook Step 1 / Step 4 deviation report)</w:t>
            </w:r>
          </w:p>
        </w:tc>
      </w:tr>
      <w:tr>
        <w:tc>
          <w:tcPr>
            <w:tcW w:type="dxa" w:w="2592"/>
          </w:tcPr>
          <w:p>
            <w:pPr>
              <w:spacing w:after="20" w:before="0"/>
            </w:pPr>
            <w:r/>
            <w:r>
              <w:rPr>
                <w:b w:val="0"/>
                <w:i w:val="0"/>
                <w:sz w:val="17"/>
              </w:rPr>
              <w:t>Documents reviewed (each in full)</w:t>
            </w:r>
          </w:p>
        </w:tc>
        <w:tc>
          <w:tcPr>
            <w:tcW w:type="dxa" w:w="10944"/>
          </w:tcPr>
          <w:p>
            <w:pPr>
              <w:spacing w:after="20" w:before="0"/>
            </w:pPr>
            <w:r/>
            <w:r>
              <w:rPr>
                <w:b w:val="0"/>
                <w:i w:val="0"/>
                <w:sz w:val="17"/>
              </w:rPr>
              <w:t>(1) Stratton Health DPA Template v3.2 (W&amp;C, March 10, 2025); (2) CloudNest redlined DPA returned by Barrington Reeves LLP on April 2, 2025 (cloudnest-redlined-dpa.docx); (3) DPA Negotiation Playbook v1.0 (March 7, 2025); (4) cover email from Priya Venkatesh (Barrington Reeves) to David Ngata dated April 2, 2025; (5) W&amp;C Summary of Key Commercial Terms of the executed MSA dated March 3, 2025</w:t>
            </w:r>
          </w:p>
        </w:tc>
      </w:tr>
      <w:tr>
        <w:tc>
          <w:tcPr>
            <w:tcW w:type="dxa" w:w="2592"/>
          </w:tcPr>
          <w:p>
            <w:pPr>
              <w:spacing w:after="20" w:before="0"/>
            </w:pPr>
            <w:r/>
            <w:r>
              <w:rPr>
                <w:b w:val="0"/>
                <w:i w:val="0"/>
                <w:sz w:val="17"/>
              </w:rPr>
              <w:t>Playbook timetable</w:t>
            </w:r>
          </w:p>
        </w:tc>
        <w:tc>
          <w:tcPr>
            <w:tcW w:type="dxa" w:w="10944"/>
          </w:tcPr>
          <w:p>
            <w:pPr>
              <w:spacing w:after="20" w:before="0"/>
            </w:pPr>
            <w:r/>
            <w:r>
              <w:rPr>
                <w:b w:val="0"/>
                <w:i w:val="0"/>
                <w:sz w:val="17"/>
              </w:rPr>
              <w:t>Markup received Wednesday April 2, 2025. Initial review due by Monday April 7 (3 business days); escalations processed by Wednesday April 9 (5 business days); complete report to GC by Friday April 11, 2025 (7 business days). GC review of Red items: 2 business days; CPO/GC review of Yellow items: 3 business days.</w:t>
            </w:r>
          </w:p>
        </w:tc>
      </w:tr>
      <w:tr>
        <w:tc>
          <w:tcPr>
            <w:tcW w:type="dxa" w:w="2592"/>
          </w:tcPr>
          <w:p>
            <w:pPr>
              <w:spacing w:after="20" w:before="0"/>
            </w:pPr>
            <w:r/>
            <w:r>
              <w:rPr>
                <w:b w:val="0"/>
                <w:i w:val="0"/>
                <w:sz w:val="17"/>
              </w:rPr>
              <w:t>Bottom line</w:t>
            </w:r>
          </w:p>
        </w:tc>
        <w:tc>
          <w:tcPr>
            <w:tcW w:type="dxa" w:w="10944"/>
          </w:tcPr>
          <w:p>
            <w:pPr>
              <w:spacing w:after="20" w:before="0"/>
            </w:pPr>
            <w:r/>
            <w:r>
              <w:rPr>
                <w:b w:val="0"/>
                <w:i w:val="0"/>
                <w:sz w:val="17"/>
              </w:rPr>
              <w:t xml:space="preserve">The markup is not acceptable as a basis for signature. It contains </w:t>
            </w:r>
            <w:r>
              <w:rPr>
                <w:b/>
                <w:i w:val="0"/>
                <w:sz w:val="17"/>
              </w:rPr>
              <w:t>35 Red, 3 Yellow and 4 Green tracked/marked deviations</w:t>
            </w:r>
            <w:r>
              <w:rPr>
                <w:b w:val="0"/>
                <w:i w:val="0"/>
                <w:sz w:val="17"/>
              </w:rPr>
              <w:t xml:space="preserve">, plus </w:t>
            </w:r>
            <w:r>
              <w:rPr>
                <w:b/>
                <w:i w:val="0"/>
                <w:sz w:val="17"/>
              </w:rPr>
              <w:t>28 further untracked divergences</w:t>
            </w:r>
            <w:r>
              <w:rPr>
                <w:b w:val="0"/>
                <w:i w:val="0"/>
                <w:sz w:val="17"/>
              </w:rPr>
              <w:t xml:space="preserve"> from Template v3.2 (most of them Red or Yellow). Red-level deviations arise under all 18 playbook topics (under Topic 17 only through the untracked survival change). Five changes put the DPA in direct conflict with the executed MSA (liability floor, indemnity, cyber insurance, co-terminus term, hosting locations). Recommended response: reject the Red items, restore the Template v3.2 language, and send our next turn as a W&amp;C redline on Template v3.2 itself, not on CloudNest’s document.</w:t>
            </w:r>
          </w:p>
        </w:tc>
      </w:tr>
    </w:tbl>
    <w:p>
      <w:pPr>
        <w:spacing w:after="40"/>
      </w:pPr>
    </w:p>
    <w:p>
      <w:pPr>
        <w:pStyle w:val="Heading1"/>
      </w:pPr>
      <w:r>
        <w:t>1. Executive Summary</w:t>
      </w:r>
    </w:p>
    <w:p>
      <w:pPr>
        <w:spacing w:after="80"/>
      </w:pPr>
      <w:r>
        <w:rPr>
          <w:b w:val="0"/>
          <w:i w:val="0"/>
          <w:sz w:val="21"/>
        </w:rPr>
        <w:t>CloudNest’s markup goes well beyond “standard processing terms”. Taken together, the changes would (i) cut CloudNest’s data protection liability by two-thirds, below the floor that CloudNest itself agreed in MSA §15.3; (ii) remove its indemnity for regulatory fines and ordinary negligence; (iii) delete the cyber insurance requirement that MSA §18.1(d) treats as a material obligation; and (iv) authorise transfers of Stratton Health data, including PHI-bearing logs, to an Indian sub-processor without consent, SCCs or a BAA chain. They would also weaken breach notification, security, audit, deletion and governing law protections in ways that run against HIPAA, GDPR/UK GDPR and CCPA/CPRA requirements as well as the playbook.</w:t>
      </w:r>
    </w:p>
    <w:p>
      <w:pPr>
        <w:spacing w:after="40"/>
      </w:pPr>
      <w:r>
        <w:rPr>
          <w:b/>
          <w:i w:val="0"/>
          <w:sz w:val="21"/>
        </w:rPr>
        <w:t>The ten most important issues (in priority order):</w:t>
      </w:r>
    </w:p>
    <w:p>
      <w:pPr>
        <w:pStyle w:val="ListNumber"/>
        <w:spacing w:after="40"/>
      </w:pPr>
      <w:r>
        <w:rPr>
          <w:b/>
          <w:i w:val="0"/>
          <w:sz w:val="21"/>
        </w:rPr>
        <w:t>Liability cap cut to 1× Annual Fee ($18.6M)</w:t>
      </w:r>
      <w:r>
        <w:rPr>
          <w:b w:val="0"/>
          <w:i w:val="0"/>
          <w:sz w:val="21"/>
        </w:rPr>
        <w:t xml:space="preserve"> (Red, Topic 6). The cap is mutual and carves out only Stratton’s confidentiality obligation (new §5.4) and IP. An untracked mutual exclusion of consequential damages (§13.1(c)) is added. This conflicts with MSA §15.3 (minimum DPA cap of 3× = $55.8M) and leaves a $37.2M shortfall against the contractual floor. That is about $8.02 of cover per data subject across ~2,320,200 individuals.</w:t>
      </w:r>
    </w:p>
    <w:p>
      <w:pPr>
        <w:pStyle w:val="ListNumber"/>
        <w:spacing w:after="40"/>
      </w:pPr>
      <w:r>
        <w:rPr>
          <w:b/>
          <w:i w:val="0"/>
          <w:sz w:val="21"/>
        </w:rPr>
        <w:t>Indemnity rewritten to mutual, gross negligence / wilful misconduct only, direct damages only, regulatory fines expressly excluded</w:t>
      </w:r>
      <w:r>
        <w:rPr>
          <w:b w:val="0"/>
          <w:i w:val="0"/>
          <w:sz w:val="21"/>
        </w:rPr>
        <w:t xml:space="preserve"> (Red, Topic 7). All four of the playbook’s protective elements fail. Because MSA §22.5 makes the DPA prevail on data protection matters, this language could be argued to cut back CloudNest’s uncapped MSA §16.3 indemnity for regulatory fines and third-party claims.</w:t>
      </w:r>
    </w:p>
    <w:p>
      <w:pPr>
        <w:pStyle w:val="ListNumber"/>
        <w:spacing w:after="40"/>
      </w:pPr>
      <w:r>
        <w:rPr>
          <w:b/>
          <w:i w:val="0"/>
          <w:sz w:val="21"/>
        </w:rPr>
        <w:t>Cyber insurance deleted and replaced with “as required under the MSA”</w:t>
      </w:r>
      <w:r>
        <w:rPr>
          <w:b w:val="0"/>
          <w:i w:val="0"/>
          <w:sz w:val="21"/>
        </w:rPr>
        <w:t xml:space="preserve"> (Red, Topic 14). MSA §18.1(d) delegates the cyber limits to the DPA, so the cross-reference is circular and leaves </w:t>
      </w:r>
      <w:r>
        <w:rPr>
          <w:b/>
          <w:i w:val="0"/>
          <w:sz w:val="21"/>
        </w:rPr>
        <w:t>no minimum cyber cover at all</w:t>
      </w:r>
      <w:r>
        <w:rPr>
          <w:b w:val="0"/>
          <w:i w:val="0"/>
          <w:sz w:val="21"/>
        </w:rPr>
        <w:t>. Read with item 1, the cap and insurance changes leave Stratton exposed at both levels of protection, so the playbook requires them to be assessed together.</w:t>
      </w:r>
    </w:p>
    <w:p>
      <w:pPr>
        <w:pStyle w:val="ListNumber"/>
        <w:spacing w:after="40"/>
      </w:pPr>
      <w:r>
        <w:rPr>
          <w:b/>
          <w:i w:val="0"/>
          <w:sz w:val="21"/>
        </w:rPr>
        <w:t>Sub-processing moved to general authorisation, with 15 days’ notice and no objection or termination right</w:t>
      </w:r>
      <w:r>
        <w:rPr>
          <w:b w:val="0"/>
          <w:i w:val="0"/>
          <w:sz w:val="21"/>
        </w:rPr>
        <w:t xml:space="preserve"> (Red, Topic 1). All three required elements fail. The replacement “raise reasonable concerns” mechanism arguably does not even meet GDPR Art. 28(2), which requires an opportunity to object under general authorisation.</w:t>
      </w:r>
    </w:p>
    <w:p>
      <w:pPr>
        <w:pStyle w:val="ListNumber"/>
        <w:spacing w:after="40"/>
      </w:pPr>
      <w:r>
        <w:rPr>
          <w:b/>
          <w:i w:val="0"/>
          <w:sz w:val="21"/>
        </w:rPr>
        <w:t>Mumbai, India added as an Approved Processing Location, and Peregrine Data Analytics Pvt. Ltd. pre-approved in Annex 3</w:t>
      </w:r>
      <w:r>
        <w:rPr>
          <w:b w:val="0"/>
          <w:i w:val="0"/>
          <w:sz w:val="21"/>
        </w:rPr>
        <w:t xml:space="preserve"> (Red, Topics 4, 1, 15). India has no adequacy decision. No SCCs/IDTA, transfer impact assessment, Controller approval or HIPAA subcontractor BAA is in place, and the Controller’s right to approve transfer mechanisms (§8.4) is deleted. The MSA Statement of Work authorises London and Frankfurt only.</w:t>
      </w:r>
    </w:p>
    <w:p>
      <w:pPr>
        <w:pStyle w:val="ListNumber"/>
        <w:spacing w:after="40"/>
      </w:pPr>
      <w:r>
        <w:rPr>
          <w:b/>
          <w:i w:val="0"/>
          <w:sz w:val="21"/>
        </w:rPr>
        <w:t>Breach notification moved to 72 hours from “confirming” a breach, with two of four content elements removed</w:t>
      </w:r>
      <w:r>
        <w:rPr>
          <w:b w:val="0"/>
          <w:i w:val="0"/>
          <w:sz w:val="21"/>
        </w:rPr>
        <w:t xml:space="preserve"> (Red, Topic 2). These are three independent Red triggers. The 72-hour clock could use up all of Stratton’s own GDPR Art. 33(1) window before Stratton is even told.</w:t>
      </w:r>
    </w:p>
    <w:p>
      <w:pPr>
        <w:pStyle w:val="ListNumber"/>
        <w:spacing w:after="40"/>
      </w:pPr>
      <w:r>
        <w:rPr>
          <w:b/>
          <w:i w:val="0"/>
          <w:sz w:val="21"/>
        </w:rPr>
        <w:t>Security obligations reduced to “commercially reasonable efforts”, with a safe harbour “deemed satisfied” by industry standards</w:t>
      </w:r>
      <w:r>
        <w:rPr>
          <w:b w:val="0"/>
          <w:i w:val="0"/>
          <w:sz w:val="21"/>
        </w:rPr>
        <w:t xml:space="preserve"> (Red, Topic 12). This is aggravated by untracked downgrades to Annex 2 (HSM key management, MFA scope, RPO/RTO, log retention) and the deletion of the HITRUST certification without any 12-month commitment (Red, Topic 8).</w:t>
      </w:r>
    </w:p>
    <w:p>
      <w:pPr>
        <w:pStyle w:val="ListNumber"/>
        <w:spacing w:after="40"/>
      </w:pPr>
      <w:r>
        <w:rPr>
          <w:b/>
          <w:i w:val="0"/>
          <w:sz w:val="21"/>
        </w:rPr>
        <w:t>New §14.3 gives CloudNest the right to anonymise and aggregate patient data for service improvement, benchmarking and R&amp;D, and to use it “without restriction as to time or purpose”</w:t>
      </w:r>
      <w:r>
        <w:rPr>
          <w:b w:val="0"/>
          <w:i w:val="0"/>
          <w:sz w:val="21"/>
        </w:rPr>
        <w:t xml:space="preserve"> (Red, Topics 11 and 16). None of the six playbook conditions is met. The new “Anonymized Data” definition actually describes pseudonymised data, which remains personal data under GDPR and is not HIPAA de-identification. The CCPA/CPRA service-provider section of the Template has also been silently omitted.</w:t>
      </w:r>
    </w:p>
    <w:p>
      <w:pPr>
        <w:pStyle w:val="ListNumber"/>
        <w:spacing w:after="40"/>
      </w:pPr>
      <w:r>
        <w:rPr>
          <w:b/>
          <w:i w:val="0"/>
          <w:sz w:val="21"/>
        </w:rPr>
        <w:t>Audit rights reduced to annual SOC 2 / ISO 27001 reports.</w:t>
      </w:r>
      <w:r>
        <w:rPr>
          <w:b w:val="0"/>
          <w:i w:val="0"/>
          <w:sz w:val="21"/>
        </w:rPr>
        <w:t xml:space="preserve"> On-site audits are allowed only after a material breach, on 30 business days’ notice, with CloudNest approving the auditors, and the no-substitution clause is deleted (Red, Topic 3).</w:t>
      </w:r>
    </w:p>
    <w:p>
      <w:pPr>
        <w:pStyle w:val="ListNumber"/>
        <w:spacing w:after="40"/>
      </w:pPr>
      <w:r>
        <w:rPr>
          <w:b/>
          <w:i w:val="0"/>
          <w:sz w:val="21"/>
        </w:rPr>
        <w:t>The DPA term is decoupled from the MSA</w:t>
      </w:r>
      <w:r>
        <w:rPr>
          <w:b w:val="0"/>
          <w:i w:val="0"/>
          <w:sz w:val="21"/>
        </w:rPr>
        <w:t xml:space="preserve"> through one-year auto-renewals, 180-day non-renewal notice and a 180-day termination-for-convenience right for either party (Red, Topic 13; conflicts with MSA §22.4). </w:t>
      </w:r>
      <w:r>
        <w:rPr>
          <w:b/>
          <w:i w:val="0"/>
          <w:sz w:val="21"/>
        </w:rPr>
        <w:t>English law and London courts replace Delaware</w:t>
      </w:r>
      <w:r>
        <w:rPr>
          <w:b w:val="0"/>
          <w:i w:val="0"/>
          <w:sz w:val="21"/>
        </w:rPr>
        <w:t xml:space="preserve"> (Red, Topic 10; contrary to the MSA §24.3 presumption). </w:t>
      </w:r>
      <w:r>
        <w:rPr>
          <w:b/>
          <w:i w:val="0"/>
          <w:sz w:val="21"/>
        </w:rPr>
        <w:t>Return and deletion are extended to 60/120 days and the officer’s certificate of destruction is removed</w:t>
      </w:r>
      <w:r>
        <w:rPr>
          <w:b w:val="0"/>
          <w:i w:val="0"/>
          <w:sz w:val="21"/>
        </w:rPr>
        <w:t xml:space="preserve"> (Red, Topic 5).</w:t>
      </w:r>
    </w:p>
    <w:p>
      <w:pPr>
        <w:spacing w:after="40"/>
      </w:pPr>
      <w:r>
        <w:rPr>
          <w:b/>
          <w:i w:val="0"/>
          <w:sz w:val="21"/>
        </w:rPr>
        <w:t>Threshold process issues that must be raised before substantive negotiation:</w:t>
      </w:r>
    </w:p>
    <w:p>
      <w:pPr>
        <w:pStyle w:val="ListBullet"/>
        <w:spacing w:after="40"/>
      </w:pPr>
      <w:r>
        <w:rPr>
          <w:b/>
          <w:i w:val="0"/>
          <w:sz w:val="21"/>
        </w:rPr>
        <w:t>The markup is not a redline of Template v3.2.</w:t>
      </w:r>
      <w:r>
        <w:rPr>
          <w:b w:val="0"/>
          <w:i w:val="0"/>
          <w:sz w:val="21"/>
        </w:rPr>
        <w:t xml:space="preserve"> The “original” text shown in CloudNest’s tracked deletions does not match the Template we sent on March 10, 2025. The structure is different (23 sections against 22, and different numbering). Template provisions that CloudNest did not want are simply missing without any tracked deletion: the CCPA/CPRA section, the transfer impact assessment and government-access clauses, the no-reduction-in-security clause, Controller’s early termination rights, the data-subject third-party beneficiary clause, insurance tail and additional-insured terms, and others (see Section 6). MSA §22.1 requires the DPA to be “substantially in the form of Stratton Health’s standard DPA template”. We should insist that the next turn is run against Template v3.2.</w:t>
      </w:r>
    </w:p>
    <w:p>
      <w:pPr>
        <w:pStyle w:val="ListBullet"/>
        <w:spacing w:after="40"/>
      </w:pPr>
      <w:r>
        <w:rPr>
          <w:b/>
          <w:i w:val="0"/>
          <w:sz w:val="21"/>
        </w:rPr>
        <w:t>The change count is wrong.</w:t>
      </w:r>
      <w:r>
        <w:rPr>
          <w:b w:val="0"/>
          <w:i w:val="0"/>
          <w:sz w:val="21"/>
        </w:rPr>
        <w:t xml:space="preserve"> The cover email and the document footer both say “37 tracked changes”. The file actually contains 66 revision marks forming </w:t>
      </w:r>
      <w:r>
        <w:rPr>
          <w:b/>
          <w:i w:val="0"/>
          <w:sz w:val="21"/>
        </w:rPr>
        <w:t>46 discrete tracked revisions</w:t>
      </w:r>
      <w:r>
        <w:rPr>
          <w:b w:val="0"/>
          <w:i w:val="0"/>
          <w:sz w:val="21"/>
        </w:rPr>
        <w:t xml:space="preserve">. At least </w:t>
      </w:r>
      <w:r>
        <w:rPr>
          <w:b/>
          <w:i w:val="0"/>
          <w:sz w:val="21"/>
        </w:rPr>
        <w:t>5 further substantive edits are shown only as bracketed “[DELETED: …]/[ADDED: …]” text, not as tracked changes</w:t>
      </w:r>
      <w:r>
        <w:rPr>
          <w:b w:val="0"/>
          <w:i w:val="0"/>
          <w:sz w:val="21"/>
        </w:rPr>
        <w:t>: the breach-notification content list, the HITRUST deletion, the suspension sub-clauses, the Annex 1 location table including Mumbai, and the Annex 3 Peregrine entry. All revisions are attributed to a generic “Author” with a placeholder date of January 1, 2024, so the revision metadata cannot be relied on. The 14 “margin comments” (PV-01 to PV-14) are inline body text, not Word comments, and must be stripped from any execution version.</w:t>
      </w:r>
    </w:p>
    <w:p>
      <w:pPr>
        <w:pStyle w:val="ListBullet"/>
        <w:spacing w:after="40"/>
      </w:pPr>
      <w:r>
        <w:rPr>
          <w:b/>
          <w:i w:val="0"/>
          <w:sz w:val="21"/>
        </w:rPr>
        <w:t>Several of the most significant changes have no PV comment rationale at all.</w:t>
      </w:r>
      <w:r>
        <w:rPr>
          <w:b w:val="0"/>
          <w:i w:val="0"/>
          <w:sz w:val="21"/>
        </w:rPr>
        <w:t xml:space="preserve"> These include the HITRUST deletion and certification reporting, return/deletion timelines and the certificate of destruction, the DPA auto-renewal, the insurance deletion, force majeure, the suspension right, governing law, and the deletion of §§8.4 and 11.4. This is despite the email’s statement that the comments explain “each of these changes”.</w:t>
      </w:r>
    </w:p>
    <w:p>
      <w:pPr>
        <w:pStyle w:val="ListBullet"/>
        <w:spacing w:after="40"/>
      </w:pPr>
      <w:r>
        <w:rPr>
          <w:b/>
          <w:i w:val="0"/>
          <w:sz w:val="21"/>
        </w:rPr>
        <w:t>No processing before signature.</w:t>
      </w:r>
      <w:r>
        <w:rPr>
          <w:b w:val="0"/>
          <w:i w:val="0"/>
          <w:sz w:val="21"/>
        </w:rPr>
        <w:t xml:space="preserve"> The email presses for migration planning to begin. HIPAA (45 CFR §164.502(e), §164.504(e)) requires a BAA before PHI is disclosed to a business associate, and GDPR/UK GDPR Art. 28(3) requires a binding Art. 28 contract. We recommend written confirmation from CloudNest that no Stratton Personal Data or PHI (including logs and telemetry) will be migrated to CloudNest or routed to Peregrine until the DPA is executed.</w:t>
      </w:r>
    </w:p>
    <w:p>
      <w:pPr>
        <w:pStyle w:val="Heading1"/>
      </w:pPr>
      <w:r>
        <w:t>2. Classification Overview and Escalation Routing</w:t>
      </w:r>
    </w:p>
    <w:p>
      <w:pPr>
        <w:spacing w:after="60"/>
      </w:pPr>
      <w:r>
        <w:rPr>
          <w:b w:val="0"/>
          <w:i w:val="0"/>
          <w:sz w:val="21"/>
        </w:rPr>
        <w:t>These classifications apply Playbook §2 (three-tier system), §2.3 (the most restrictive classification governs compound changes; positions the playbook does not address default to Yellow) and §5.1 (escalation workflow).</w:t>
      </w:r>
    </w:p>
    <w:tbl>
      <w:tblPr>
        <w:tblStyle w:val="TableGrid"/>
        <w:tblW w:type="auto" w:w="0"/>
        <w:jc w:val="center"/>
        <w:tblLayout w:type="fixed"/>
        <w:tblLook w:firstColumn="1" w:firstRow="1" w:lastColumn="0" w:lastRow="0" w:noHBand="0" w:noVBand="1" w:val="04A0"/>
      </w:tblPr>
      <w:tblGrid>
        <w:gridCol w:w="3420"/>
        <w:gridCol w:w="3420"/>
        <w:gridCol w:w="3420"/>
        <w:gridCol w:w="3420"/>
      </w:tblGrid>
      <w:tr>
        <w:trPr>
          <w:tblHeader w:val="true"/>
        </w:trPr>
        <w:tc>
          <w:tcPr>
            <w:tcW w:type="dxa" w:w="1584"/>
            <w:shd w:val="clear" w:color="auto" w:fill="1F3864"/>
          </w:tcPr>
          <w:p>
            <w:pPr>
              <w:spacing w:after="20" w:before="0"/>
            </w:pPr>
            <w:r/>
            <w:r>
              <w:rPr>
                <w:b/>
                <w:i w:val="0"/>
                <w:color w:val="FFFFFF"/>
                <w:sz w:val="17"/>
              </w:rPr>
              <w:t>Category</w:t>
            </w:r>
          </w:p>
        </w:tc>
        <w:tc>
          <w:tcPr>
            <w:tcW w:type="dxa" w:w="3168"/>
            <w:shd w:val="clear" w:color="auto" w:fill="1F3864"/>
          </w:tcPr>
          <w:p>
            <w:pPr>
              <w:spacing w:after="20" w:before="0"/>
            </w:pPr>
            <w:r/>
            <w:r>
              <w:rPr>
                <w:b/>
                <w:i w:val="0"/>
                <w:color w:val="FFFFFF"/>
                <w:sz w:val="17"/>
              </w:rPr>
              <w:t>Count</w:t>
            </w:r>
          </w:p>
        </w:tc>
        <w:tc>
          <w:tcPr>
            <w:tcW w:type="dxa" w:w="5184"/>
            <w:shd w:val="clear" w:color="auto" w:fill="1F3864"/>
          </w:tcPr>
          <w:p>
            <w:pPr>
              <w:spacing w:after="20" w:before="0"/>
            </w:pPr>
            <w:r/>
            <w:r>
              <w:rPr>
                <w:b/>
                <w:i w:val="0"/>
                <w:color w:val="FFFFFF"/>
                <w:sz w:val="17"/>
              </w:rPr>
              <w:t>Decision authority (Playbook §2.2)</w:t>
            </w:r>
          </w:p>
        </w:tc>
        <w:tc>
          <w:tcPr>
            <w:tcW w:type="dxa" w:w="3600"/>
            <w:shd w:val="clear" w:color="auto" w:fill="1F3864"/>
          </w:tcPr>
          <w:p>
            <w:pPr>
              <w:spacing w:after="20" w:before="0"/>
            </w:pPr>
            <w:r/>
            <w:r>
              <w:rPr>
                <w:b/>
                <w:i w:val="0"/>
                <w:color w:val="FFFFFF"/>
                <w:sz w:val="17"/>
              </w:rPr>
              <w:t>Required action</w:t>
            </w:r>
          </w:p>
        </w:tc>
      </w:tr>
      <w:tr>
        <w:tc>
          <w:tcPr>
            <w:tcW w:type="dxa" w:w="1584"/>
            <w:shd w:val="clear" w:color="auto" w:fill="F4C7C3"/>
          </w:tcPr>
          <w:p>
            <w:pPr>
              <w:spacing w:after="20" w:before="0"/>
            </w:pPr>
            <w:r/>
            <w:r>
              <w:rPr>
                <w:b w:val="0"/>
                <w:i w:val="0"/>
                <w:sz w:val="17"/>
              </w:rPr>
              <w:t>RED</w:t>
            </w:r>
          </w:p>
        </w:tc>
        <w:tc>
          <w:tcPr>
            <w:tcW w:type="dxa" w:w="3168"/>
          </w:tcPr>
          <w:p>
            <w:pPr>
              <w:spacing w:after="20" w:before="0"/>
            </w:pPr>
            <w:r/>
            <w:r>
              <w:rPr>
                <w:b w:val="0"/>
                <w:i w:val="0"/>
                <w:sz w:val="17"/>
              </w:rPr>
              <w:t>35 marked deviations (+17 untracked Red divergences)</w:t>
            </w:r>
          </w:p>
        </w:tc>
        <w:tc>
          <w:tcPr>
            <w:tcW w:type="dxa" w:w="5184"/>
          </w:tcPr>
          <w:p>
            <w:pPr>
              <w:spacing w:after="20" w:before="0"/>
            </w:pPr>
            <w:r/>
            <w:r>
              <w:rPr>
                <w:b w:val="0"/>
                <w:i w:val="0"/>
                <w:sz w:val="17"/>
              </w:rPr>
              <w:t>Jonathan Pryce-Whitaker (GC) within 2 business days; any override needs CEO (Dr. Miriam Osei-Kwame) approval and a risk acceptance memo co-signed by GC and CPO</w:t>
            </w:r>
          </w:p>
        </w:tc>
        <w:tc>
          <w:tcPr>
            <w:tcW w:type="dxa" w:w="3600"/>
          </w:tcPr>
          <w:p>
            <w:pPr>
              <w:spacing w:after="20" w:before="0"/>
            </w:pPr>
            <w:r/>
            <w:r>
              <w:rPr>
                <w:b w:val="0"/>
                <w:i w:val="0"/>
                <w:sz w:val="17"/>
              </w:rPr>
              <w:t>Reject and restore Template v3.2 language (counter-language in Section 4)</w:t>
            </w:r>
          </w:p>
        </w:tc>
      </w:tr>
      <w:tr>
        <w:tc>
          <w:tcPr>
            <w:tcW w:type="dxa" w:w="1584"/>
            <w:shd w:val="clear" w:color="auto" w:fill="FFF2CC"/>
          </w:tcPr>
          <w:p>
            <w:pPr>
              <w:spacing w:after="20" w:before="0"/>
            </w:pPr>
            <w:r/>
            <w:r>
              <w:rPr>
                <w:b w:val="0"/>
                <w:i w:val="0"/>
                <w:sz w:val="17"/>
              </w:rPr>
              <w:t>YELLOW</w:t>
            </w:r>
          </w:p>
        </w:tc>
        <w:tc>
          <w:tcPr>
            <w:tcW w:type="dxa" w:w="3168"/>
          </w:tcPr>
          <w:p>
            <w:pPr>
              <w:spacing w:after="20" w:before="0"/>
            </w:pPr>
            <w:r/>
            <w:r>
              <w:rPr>
                <w:b w:val="0"/>
                <w:i w:val="0"/>
                <w:sz w:val="17"/>
              </w:rPr>
              <w:t>3 marked deviations (+10 untracked Yellow divergences)</w:t>
            </w:r>
          </w:p>
        </w:tc>
        <w:tc>
          <w:tcPr>
            <w:tcW w:type="dxa" w:w="5184"/>
          </w:tcPr>
          <w:p>
            <w:pPr>
              <w:spacing w:after="20" w:before="0"/>
            </w:pPr>
            <w:r/>
            <w:r>
              <w:rPr>
                <w:b w:val="0"/>
                <w:i w:val="0"/>
                <w:sz w:val="17"/>
              </w:rPr>
              <w:t>Anisha Ramachandran (CPO) and/or GC, with written sign-off within 3 business days; consult Catherine Holloway where regulatory</w:t>
            </w:r>
          </w:p>
        </w:tc>
        <w:tc>
          <w:tcPr>
            <w:tcW w:type="dxa" w:w="3600"/>
          </w:tcPr>
          <w:p>
            <w:pPr>
              <w:spacing w:after="20" w:before="0"/>
            </w:pPr>
            <w:r/>
            <w:r>
              <w:rPr>
                <w:b w:val="0"/>
                <w:i w:val="0"/>
                <w:sz w:val="17"/>
              </w:rPr>
              <w:t>Accept with conditions, counter-propose, or move to Red (recommendations in Section 5)</w:t>
            </w:r>
          </w:p>
        </w:tc>
      </w:tr>
      <w:tr>
        <w:tc>
          <w:tcPr>
            <w:tcW w:type="dxa" w:w="1584"/>
            <w:shd w:val="clear" w:color="auto" w:fill="D9EAD3"/>
          </w:tcPr>
          <w:p>
            <w:pPr>
              <w:spacing w:after="20" w:before="0"/>
            </w:pPr>
            <w:r/>
            <w:r>
              <w:rPr>
                <w:b w:val="0"/>
                <w:i w:val="0"/>
                <w:sz w:val="17"/>
              </w:rPr>
              <w:t>GREEN</w:t>
            </w:r>
          </w:p>
        </w:tc>
        <w:tc>
          <w:tcPr>
            <w:tcW w:type="dxa" w:w="3168"/>
          </w:tcPr>
          <w:p>
            <w:pPr>
              <w:spacing w:after="20" w:before="0"/>
            </w:pPr>
            <w:r/>
            <w:r>
              <w:rPr>
                <w:b w:val="0"/>
                <w:i w:val="0"/>
                <w:sz w:val="17"/>
              </w:rPr>
              <w:t>4 marked deviations (+1 untracked)</w:t>
            </w:r>
          </w:p>
        </w:tc>
        <w:tc>
          <w:tcPr>
            <w:tcW w:type="dxa" w:w="5184"/>
          </w:tcPr>
          <w:p>
            <w:pPr>
              <w:spacing w:after="20" w:before="0"/>
            </w:pPr>
            <w:r/>
            <w:r>
              <w:rPr>
                <w:b w:val="0"/>
                <w:i w:val="0"/>
                <w:sz w:val="17"/>
              </w:rPr>
              <w:t>David Ngata</w:t>
            </w:r>
          </w:p>
        </w:tc>
        <w:tc>
          <w:tcPr>
            <w:tcW w:type="dxa" w:w="3600"/>
          </w:tcPr>
          <w:p>
            <w:pPr>
              <w:spacing w:after="20" w:before="0"/>
            </w:pPr>
            <w:r/>
            <w:r>
              <w:rPr>
                <w:b w:val="0"/>
                <w:i w:val="0"/>
                <w:sz w:val="17"/>
              </w:rPr>
              <w:t>Accept; record in the negotiation log</w:t>
            </w:r>
          </w:p>
        </w:tc>
      </w:tr>
    </w:tbl>
    <w:p>
      <w:pPr>
        <w:spacing w:after="40"/>
      </w:pPr>
    </w:p>
    <w:p>
      <w:pPr>
        <w:spacing w:after="80"/>
      </w:pPr>
      <w:r>
        <w:rPr>
          <w:b w:val="0"/>
          <w:i/>
          <w:sz w:val="19"/>
        </w:rPr>
        <w:t xml:space="preserve">Note on section references: the playbook’s DPA section citations (e.g., Topic 2 “§8”, Topic 3 “§9”, Topic 6 “§15”) do not match Template v3.2 numbering (breach §11, audit §10, liability §12) or CloudNest’s markup numbering (breach §10, audit §11, liability §13). This report cites the </w:t>
      </w:r>
      <w:r>
        <w:rPr>
          <w:b/>
          <w:i/>
          <w:sz w:val="19"/>
        </w:rPr>
        <w:t>redline section (“RL”)</w:t>
      </w:r>
      <w:r>
        <w:rPr>
          <w:b w:val="0"/>
          <w:i/>
          <w:sz w:val="19"/>
        </w:rPr>
        <w:t xml:space="preserve"> and the </w:t>
      </w:r>
      <w:r>
        <w:rPr>
          <w:b/>
          <w:i/>
          <w:sz w:val="19"/>
        </w:rPr>
        <w:t>Template v3.2 section (“T”)</w:t>
      </w:r>
      <w:r>
        <w:rPr>
          <w:b w:val="0"/>
          <w:i/>
          <w:sz w:val="19"/>
        </w:rPr>
        <w:t xml:space="preserve"> for each item, and maps each to its playbook topic number. Appendix A gives the full concordance.</w:t>
      </w:r>
    </w:p>
    <w:p>
      <w:pPr>
        <w:pStyle w:val="Heading1"/>
      </w:pPr>
      <w:r>
        <w:t>3. Prioritized Deviation Register (Tracked and Marked Changes)</w:t>
      </w:r>
    </w:p>
    <w:p>
      <w:pPr>
        <w:spacing w:after="60"/>
      </w:pPr>
      <w:r>
        <w:rPr>
          <w:b w:val="0"/>
          <w:i w:val="0"/>
          <w:sz w:val="21"/>
        </w:rPr>
        <w:t xml:space="preserve">This register covers all 42 deviations that CloudNest marked, either as Word tracked changes or as bracketed “[ADDED]/[DELETED]” text. Rank groups related changes into a single negotiation issue, in order of risk. Priority: </w:t>
      </w:r>
      <w:r>
        <w:rPr>
          <w:b/>
          <w:i w:val="0"/>
          <w:sz w:val="21"/>
        </w:rPr>
        <w:t>P1 Critical</w:t>
      </w:r>
      <w:r>
        <w:rPr>
          <w:b w:val="0"/>
          <w:i w:val="0"/>
          <w:sz w:val="21"/>
        </w:rPr>
        <w:t xml:space="preserve"> = deal-breaker or conflict with the MSA; </w:t>
      </w:r>
      <w:r>
        <w:rPr>
          <w:b/>
          <w:i w:val="0"/>
          <w:sz w:val="21"/>
        </w:rPr>
        <w:t>P2 High</w:t>
      </w:r>
      <w:r>
        <w:rPr>
          <w:b w:val="0"/>
          <w:i w:val="0"/>
          <w:sz w:val="21"/>
        </w:rPr>
        <w:t xml:space="preserve"> = material regulatory or operational exposure; </w:t>
      </w:r>
      <w:r>
        <w:rPr>
          <w:b/>
          <w:i w:val="0"/>
          <w:sz w:val="21"/>
        </w:rPr>
        <w:t>P3 Medium</w:t>
      </w:r>
      <w:r>
        <w:rPr>
          <w:b w:val="0"/>
          <w:i w:val="0"/>
          <w:sz w:val="21"/>
        </w:rPr>
        <w:t xml:space="preserve">; </w:t>
      </w:r>
      <w:r>
        <w:rPr>
          <w:b/>
          <w:i w:val="0"/>
          <w:sz w:val="21"/>
        </w:rPr>
        <w:t>P4 Low</w:t>
      </w:r>
      <w:r>
        <w:rPr>
          <w:b w:val="0"/>
          <w:i w:val="0"/>
          <w:sz w:val="21"/>
        </w:rPr>
        <w:t>.</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rPr>
          <w:tblHeader w:val="true"/>
        </w:trPr>
        <w:tc>
          <w:tcPr>
            <w:tcW w:type="dxa" w:w="576"/>
            <w:shd w:val="clear" w:color="auto" w:fill="1F3864"/>
          </w:tcPr>
          <w:p>
            <w:pPr>
              <w:spacing w:after="20" w:before="0"/>
            </w:pPr>
            <w:r/>
            <w:r>
              <w:rPr>
                <w:b/>
                <w:i w:val="0"/>
                <w:color w:val="FFFFFF"/>
                <w:sz w:val="15"/>
              </w:rPr>
              <w:t>Rank</w:t>
            </w:r>
          </w:p>
        </w:tc>
        <w:tc>
          <w:tcPr>
            <w:tcW w:type="dxa" w:w="720"/>
            <w:shd w:val="clear" w:color="auto" w:fill="1F3864"/>
          </w:tcPr>
          <w:p>
            <w:pPr>
              <w:spacing w:after="20" w:before="0"/>
            </w:pPr>
            <w:r/>
            <w:r>
              <w:rPr>
                <w:b/>
                <w:i w:val="0"/>
                <w:color w:val="FFFFFF"/>
                <w:sz w:val="15"/>
              </w:rPr>
              <w:t>ID</w:t>
            </w:r>
          </w:p>
        </w:tc>
        <w:tc>
          <w:tcPr>
            <w:tcW w:type="dxa" w:w="1440"/>
            <w:shd w:val="clear" w:color="auto" w:fill="1F3864"/>
          </w:tcPr>
          <w:p>
            <w:pPr>
              <w:spacing w:after="20" w:before="0"/>
            </w:pPr>
            <w:r/>
            <w:r>
              <w:rPr>
                <w:b/>
                <w:i w:val="0"/>
                <w:color w:val="FFFFFF"/>
                <w:sz w:val="15"/>
              </w:rPr>
              <w:t>Redline § / Template §</w:t>
            </w:r>
          </w:p>
        </w:tc>
        <w:tc>
          <w:tcPr>
            <w:tcW w:type="dxa" w:w="1296"/>
            <w:shd w:val="clear" w:color="auto" w:fill="1F3864"/>
          </w:tcPr>
          <w:p>
            <w:pPr>
              <w:spacing w:after="20" w:before="0"/>
            </w:pPr>
            <w:r/>
            <w:r>
              <w:rPr>
                <w:b/>
                <w:i w:val="0"/>
                <w:color w:val="FFFFFF"/>
                <w:sz w:val="15"/>
              </w:rPr>
              <w:t>Playbook topic</w:t>
            </w:r>
          </w:p>
        </w:tc>
        <w:tc>
          <w:tcPr>
            <w:tcW w:type="dxa" w:w="3744"/>
            <w:shd w:val="clear" w:color="auto" w:fill="1F3864"/>
          </w:tcPr>
          <w:p>
            <w:pPr>
              <w:spacing w:after="20" w:before="0"/>
            </w:pPr>
            <w:r/>
            <w:r>
              <w:rPr>
                <w:b/>
                <w:i w:val="0"/>
                <w:color w:val="FFFFFF"/>
                <w:sz w:val="15"/>
              </w:rPr>
              <w:t>CloudNest change</w:t>
            </w:r>
          </w:p>
        </w:tc>
        <w:tc>
          <w:tcPr>
            <w:tcW w:type="dxa" w:w="1080"/>
            <w:shd w:val="clear" w:color="auto" w:fill="1F3864"/>
          </w:tcPr>
          <w:p>
            <w:pPr>
              <w:spacing w:after="20" w:before="0"/>
            </w:pPr>
            <w:r/>
            <w:r>
              <w:rPr>
                <w:b/>
                <w:i w:val="0"/>
                <w:color w:val="FFFFFF"/>
                <w:sz w:val="15"/>
              </w:rPr>
              <w:t>Class</w:t>
            </w:r>
          </w:p>
        </w:tc>
        <w:tc>
          <w:tcPr>
            <w:tcW w:type="dxa" w:w="1008"/>
            <w:shd w:val="clear" w:color="auto" w:fill="1F3864"/>
          </w:tcPr>
          <w:p>
            <w:pPr>
              <w:spacing w:after="20" w:before="0"/>
            </w:pPr>
            <w:r/>
            <w:r>
              <w:rPr>
                <w:b/>
                <w:i w:val="0"/>
                <w:color w:val="FFFFFF"/>
                <w:sz w:val="15"/>
              </w:rPr>
              <w:t>Priority</w:t>
            </w:r>
          </w:p>
        </w:tc>
        <w:tc>
          <w:tcPr>
            <w:tcW w:type="dxa" w:w="3816"/>
            <w:shd w:val="clear" w:color="auto" w:fill="1F3864"/>
          </w:tcPr>
          <w:p>
            <w:pPr>
              <w:spacing w:after="20" w:before="0"/>
            </w:pPr>
            <w:r/>
            <w:r>
              <w:rPr>
                <w:b/>
                <w:i w:val="0"/>
                <w:color w:val="FFFFFF"/>
                <w:sz w:val="15"/>
              </w:rPr>
              <w:t>Recommendation</w:t>
            </w:r>
          </w:p>
        </w:tc>
      </w:tr>
      <w:tr>
        <w:tc>
          <w:tcPr>
            <w:tcW w:type="dxa" w:w="576"/>
          </w:tcPr>
          <w:p>
            <w:pPr>
              <w:spacing w:after="20" w:before="0"/>
            </w:pPr>
            <w:r/>
            <w:r>
              <w:rPr>
                <w:b w:val="0"/>
                <w:i w:val="0"/>
                <w:sz w:val="15"/>
              </w:rPr>
              <w:t>1</w:t>
            </w:r>
          </w:p>
        </w:tc>
        <w:tc>
          <w:tcPr>
            <w:tcW w:type="dxa" w:w="720"/>
          </w:tcPr>
          <w:p>
            <w:pPr>
              <w:spacing w:after="20" w:before="0"/>
            </w:pPr>
            <w:r/>
            <w:r>
              <w:rPr>
                <w:b w:val="0"/>
                <w:i w:val="0"/>
                <w:sz w:val="15"/>
              </w:rPr>
              <w:t>D-26</w:t>
            </w:r>
          </w:p>
        </w:tc>
        <w:tc>
          <w:tcPr>
            <w:tcW w:type="dxa" w:w="1440"/>
          </w:tcPr>
          <w:p>
            <w:pPr>
              <w:spacing w:after="20" w:before="0"/>
            </w:pPr>
            <w:r/>
            <w:r>
              <w:rPr>
                <w:b w:val="0"/>
                <w:i w:val="0"/>
                <w:sz w:val="15"/>
              </w:rPr>
              <w:t>RL 13.1(a) / T 12.1</w:t>
            </w:r>
          </w:p>
        </w:tc>
        <w:tc>
          <w:tcPr>
            <w:tcW w:type="dxa" w:w="1296"/>
          </w:tcPr>
          <w:p>
            <w:pPr>
              <w:spacing w:after="20" w:before="0"/>
            </w:pPr>
            <w:r/>
            <w:r>
              <w:rPr>
                <w:b w:val="0"/>
                <w:i w:val="0"/>
                <w:sz w:val="15"/>
              </w:rPr>
              <w:t>6 Liability Cap</w:t>
            </w:r>
          </w:p>
        </w:tc>
        <w:tc>
          <w:tcPr>
            <w:tcW w:type="dxa" w:w="3744"/>
          </w:tcPr>
          <w:p>
            <w:pPr>
              <w:spacing w:after="20" w:before="0"/>
            </w:pPr>
            <w:r/>
            <w:r>
              <w:rPr>
                <w:b w:val="0"/>
                <w:i w:val="0"/>
                <w:sz w:val="15"/>
              </w:rPr>
              <w:t>Uncapped liability (3× floor) replaced by a mutual cap of 1× annual fees ($18.6M). (PV-13)</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Restore T 12.1: data protection liability outside the MSA general cap, with a 3× floor of $55.8M (MSA §15.3).</w:t>
            </w:r>
          </w:p>
        </w:tc>
      </w:tr>
      <w:tr>
        <w:tc>
          <w:tcPr>
            <w:tcW w:type="dxa" w:w="576"/>
          </w:tcPr>
          <w:p>
            <w:pPr>
              <w:spacing w:after="20" w:before="0"/>
            </w:pPr>
            <w:r/>
            <w:r>
              <w:rPr>
                <w:b w:val="0"/>
                <w:i w:val="0"/>
                <w:sz w:val="15"/>
              </w:rPr>
              <w:t>1</w:t>
            </w:r>
          </w:p>
        </w:tc>
        <w:tc>
          <w:tcPr>
            <w:tcW w:type="dxa" w:w="720"/>
          </w:tcPr>
          <w:p>
            <w:pPr>
              <w:spacing w:after="20" w:before="0"/>
            </w:pPr>
            <w:r/>
            <w:r>
              <w:rPr>
                <w:b w:val="0"/>
                <w:i w:val="0"/>
                <w:sz w:val="15"/>
              </w:rPr>
              <w:t>D-27</w:t>
            </w:r>
          </w:p>
        </w:tc>
        <w:tc>
          <w:tcPr>
            <w:tcW w:type="dxa" w:w="1440"/>
          </w:tcPr>
          <w:p>
            <w:pPr>
              <w:spacing w:after="20" w:before="0"/>
            </w:pPr>
            <w:r/>
            <w:r>
              <w:rPr>
                <w:b w:val="0"/>
                <w:i w:val="0"/>
                <w:sz w:val="15"/>
              </w:rPr>
              <w:t>RL 13.1(b) / T 12.1, 12.3</w:t>
            </w:r>
          </w:p>
        </w:tc>
        <w:tc>
          <w:tcPr>
            <w:tcW w:type="dxa" w:w="1296"/>
          </w:tcPr>
          <w:p>
            <w:pPr>
              <w:spacing w:after="20" w:before="0"/>
            </w:pPr>
            <w:r/>
            <w:r>
              <w:rPr>
                <w:b w:val="0"/>
                <w:i w:val="0"/>
                <w:sz w:val="15"/>
              </w:rPr>
              <w:t>6 Liability Cap</w:t>
            </w:r>
          </w:p>
        </w:tc>
        <w:tc>
          <w:tcPr>
            <w:tcW w:type="dxa" w:w="3744"/>
          </w:tcPr>
          <w:p>
            <w:pPr>
              <w:spacing w:after="20" w:before="0"/>
            </w:pPr>
            <w:r/>
            <w:r>
              <w:rPr>
                <w:b w:val="0"/>
                <w:i w:val="0"/>
                <w:sz w:val="15"/>
              </w:rPr>
              <w:t>Cap exclusions limited to confidentiality under §5.4 (Stratton’s obligation only) and IP; no carve-out for data protection, indemnity, fraud or wilful misconduct.</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Carve out data protection breaches, Processor confidentiality, indemnities, fraud, wilful misconduct and gross negligence (T 12.3).</w:t>
            </w:r>
          </w:p>
        </w:tc>
      </w:tr>
      <w:tr>
        <w:tc>
          <w:tcPr>
            <w:tcW w:type="dxa" w:w="576"/>
          </w:tcPr>
          <w:p>
            <w:pPr>
              <w:spacing w:after="20" w:before="0"/>
            </w:pPr>
            <w:r/>
            <w:r>
              <w:rPr>
                <w:b w:val="0"/>
                <w:i w:val="0"/>
                <w:sz w:val="15"/>
              </w:rPr>
              <w:t>2</w:t>
            </w:r>
          </w:p>
        </w:tc>
        <w:tc>
          <w:tcPr>
            <w:tcW w:type="dxa" w:w="720"/>
          </w:tcPr>
          <w:p>
            <w:pPr>
              <w:spacing w:after="20" w:before="0"/>
            </w:pPr>
            <w:r/>
            <w:r>
              <w:rPr>
                <w:b w:val="0"/>
                <w:i w:val="0"/>
                <w:sz w:val="15"/>
              </w:rPr>
              <w:t>D-28</w:t>
            </w:r>
          </w:p>
        </w:tc>
        <w:tc>
          <w:tcPr>
            <w:tcW w:type="dxa" w:w="1440"/>
          </w:tcPr>
          <w:p>
            <w:pPr>
              <w:spacing w:after="20" w:before="0"/>
            </w:pPr>
            <w:r/>
            <w:r>
              <w:rPr>
                <w:b w:val="0"/>
                <w:i w:val="0"/>
                <w:sz w:val="15"/>
              </w:rPr>
              <w:t>RL 13.2 / T 12.2</w:t>
            </w:r>
          </w:p>
        </w:tc>
        <w:tc>
          <w:tcPr>
            <w:tcW w:type="dxa" w:w="1296"/>
          </w:tcPr>
          <w:p>
            <w:pPr>
              <w:spacing w:after="20" w:before="0"/>
            </w:pPr>
            <w:r/>
            <w:r>
              <w:rPr>
                <w:b w:val="0"/>
                <w:i w:val="0"/>
                <w:sz w:val="15"/>
              </w:rPr>
              <w:t>7 Indemnification</w:t>
            </w:r>
          </w:p>
        </w:tc>
        <w:tc>
          <w:tcPr>
            <w:tcW w:type="dxa" w:w="3744"/>
          </w:tcPr>
          <w:p>
            <w:pPr>
              <w:spacing w:after="20" w:before="0"/>
            </w:pPr>
            <w:r/>
            <w:r>
              <w:rPr>
                <w:b w:val="0"/>
                <w:i w:val="0"/>
                <w:sz w:val="15"/>
              </w:rPr>
              <w:t>Processor indemnity replaced by a mutual indemnity triggered only by gross negligence or wilful misconduct, limited to direct damages, with regulatory fines expressly excluded.</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Restore T 12.2(a)-(d). Procedural limbs RL 13.2(a)-(c) can be accepted (Green).</w:t>
            </w:r>
          </w:p>
        </w:tc>
      </w:tr>
      <w:tr>
        <w:tc>
          <w:tcPr>
            <w:tcW w:type="dxa" w:w="576"/>
          </w:tcPr>
          <w:p>
            <w:pPr>
              <w:spacing w:after="20" w:before="0"/>
            </w:pPr>
            <w:r/>
            <w:r>
              <w:rPr>
                <w:b w:val="0"/>
                <w:i w:val="0"/>
                <w:sz w:val="15"/>
              </w:rPr>
              <w:t>3</w:t>
            </w:r>
          </w:p>
        </w:tc>
        <w:tc>
          <w:tcPr>
            <w:tcW w:type="dxa" w:w="720"/>
          </w:tcPr>
          <w:p>
            <w:pPr>
              <w:spacing w:after="20" w:before="0"/>
            </w:pPr>
            <w:r/>
            <w:r>
              <w:rPr>
                <w:b w:val="0"/>
                <w:i w:val="0"/>
                <w:sz w:val="15"/>
              </w:rPr>
              <w:t>D-37</w:t>
            </w:r>
          </w:p>
        </w:tc>
        <w:tc>
          <w:tcPr>
            <w:tcW w:type="dxa" w:w="1440"/>
          </w:tcPr>
          <w:p>
            <w:pPr>
              <w:spacing w:after="20" w:before="0"/>
            </w:pPr>
            <w:r/>
            <w:r>
              <w:rPr>
                <w:b w:val="0"/>
                <w:i w:val="0"/>
                <w:sz w:val="15"/>
              </w:rPr>
              <w:t>RL 19.1 / T 15.1-15.2</w:t>
            </w:r>
          </w:p>
        </w:tc>
        <w:tc>
          <w:tcPr>
            <w:tcW w:type="dxa" w:w="1296"/>
          </w:tcPr>
          <w:p>
            <w:pPr>
              <w:spacing w:after="20" w:before="0"/>
            </w:pPr>
            <w:r/>
            <w:r>
              <w:rPr>
                <w:b w:val="0"/>
                <w:i w:val="0"/>
                <w:sz w:val="15"/>
              </w:rPr>
              <w:t>14 Cyber Insurance</w:t>
            </w:r>
          </w:p>
        </w:tc>
        <w:tc>
          <w:tcPr>
            <w:tcW w:type="dxa" w:w="3744"/>
          </w:tcPr>
          <w:p>
            <w:pPr>
              <w:spacing w:after="20" w:before="0"/>
            </w:pPr>
            <w:r/>
            <w:r>
              <w:rPr>
                <w:b w:val="0"/>
                <w:i w:val="0"/>
                <w:sz w:val="15"/>
              </w:rPr>
              <w:t>$50M per occurrence / $100M aggregate cyber cover deleted; replaced with “insurance coverage as required under the MSA” (circular, because MSA §18.1(d) defers to the DPA).</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Restore T 15.1-15.2 in full, including the 3-year tail, additional insured, A- rating and certificates.</w:t>
            </w:r>
          </w:p>
        </w:tc>
      </w:tr>
      <w:tr>
        <w:tc>
          <w:tcPr>
            <w:tcW w:type="dxa" w:w="576"/>
          </w:tcPr>
          <w:p>
            <w:pPr>
              <w:spacing w:after="20" w:before="0"/>
            </w:pPr>
            <w:r/>
            <w:r>
              <w:rPr>
                <w:b w:val="0"/>
                <w:i w:val="0"/>
                <w:sz w:val="15"/>
              </w:rPr>
              <w:t>4</w:t>
            </w:r>
          </w:p>
        </w:tc>
        <w:tc>
          <w:tcPr>
            <w:tcW w:type="dxa" w:w="720"/>
          </w:tcPr>
          <w:p>
            <w:pPr>
              <w:spacing w:after="20" w:before="0"/>
            </w:pPr>
            <w:r/>
            <w:r>
              <w:rPr>
                <w:b w:val="0"/>
                <w:i w:val="0"/>
                <w:sz w:val="15"/>
              </w:rPr>
              <w:t>D-11</w:t>
            </w:r>
          </w:p>
        </w:tc>
        <w:tc>
          <w:tcPr>
            <w:tcW w:type="dxa" w:w="1440"/>
          </w:tcPr>
          <w:p>
            <w:pPr>
              <w:spacing w:after="20" w:before="0"/>
            </w:pPr>
            <w:r/>
            <w:r>
              <w:rPr>
                <w:b w:val="0"/>
                <w:i w:val="0"/>
                <w:sz w:val="15"/>
              </w:rPr>
              <w:t>RL 7.1 / T 7.1</w:t>
            </w:r>
          </w:p>
        </w:tc>
        <w:tc>
          <w:tcPr>
            <w:tcW w:type="dxa" w:w="1296"/>
          </w:tcPr>
          <w:p>
            <w:pPr>
              <w:spacing w:after="20" w:before="0"/>
            </w:pPr>
            <w:r/>
            <w:r>
              <w:rPr>
                <w:b w:val="0"/>
                <w:i w:val="0"/>
                <w:sz w:val="15"/>
              </w:rPr>
              <w:t>1 Sub-Processing</w:t>
            </w:r>
          </w:p>
        </w:tc>
        <w:tc>
          <w:tcPr>
            <w:tcW w:type="dxa" w:w="3744"/>
          </w:tcPr>
          <w:p>
            <w:pPr>
              <w:spacing w:after="20" w:before="0"/>
            </w:pPr>
            <w:r/>
            <w:r>
              <w:rPr>
                <w:b w:val="0"/>
                <w:i w:val="0"/>
                <w:sz w:val="15"/>
              </w:rPr>
              <w:t>Prior specific written consent replaced by general written authorisation, with Processor maintaining its own list. (PV-07)</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Restore T 7.1.</w:t>
            </w:r>
          </w:p>
        </w:tc>
      </w:tr>
      <w:tr>
        <w:tc>
          <w:tcPr>
            <w:tcW w:type="dxa" w:w="576"/>
          </w:tcPr>
          <w:p>
            <w:pPr>
              <w:spacing w:after="20" w:before="0"/>
            </w:pPr>
            <w:r/>
            <w:r>
              <w:rPr>
                <w:b w:val="0"/>
                <w:i w:val="0"/>
                <w:sz w:val="15"/>
              </w:rPr>
              <w:t>4</w:t>
            </w:r>
          </w:p>
        </w:tc>
        <w:tc>
          <w:tcPr>
            <w:tcW w:type="dxa" w:w="720"/>
          </w:tcPr>
          <w:p>
            <w:pPr>
              <w:spacing w:after="20" w:before="0"/>
            </w:pPr>
            <w:r/>
            <w:r>
              <w:rPr>
                <w:b w:val="0"/>
                <w:i w:val="0"/>
                <w:sz w:val="15"/>
              </w:rPr>
              <w:t>D-12</w:t>
            </w:r>
          </w:p>
        </w:tc>
        <w:tc>
          <w:tcPr>
            <w:tcW w:type="dxa" w:w="1440"/>
          </w:tcPr>
          <w:p>
            <w:pPr>
              <w:spacing w:after="20" w:before="0"/>
            </w:pPr>
            <w:r/>
            <w:r>
              <w:rPr>
                <w:b w:val="0"/>
                <w:i w:val="0"/>
                <w:sz w:val="15"/>
              </w:rPr>
              <w:t>RL 7.2 / T 7.2</w:t>
            </w:r>
          </w:p>
        </w:tc>
        <w:tc>
          <w:tcPr>
            <w:tcW w:type="dxa" w:w="1296"/>
          </w:tcPr>
          <w:p>
            <w:pPr>
              <w:spacing w:after="20" w:before="0"/>
            </w:pPr>
            <w:r/>
            <w:r>
              <w:rPr>
                <w:b w:val="0"/>
                <w:i w:val="0"/>
                <w:sz w:val="15"/>
              </w:rPr>
              <w:t>1 Sub-Processing</w:t>
            </w:r>
          </w:p>
        </w:tc>
        <w:tc>
          <w:tcPr>
            <w:tcW w:type="dxa" w:w="3744"/>
          </w:tcPr>
          <w:p>
            <w:pPr>
              <w:spacing w:after="20" w:before="0"/>
            </w:pPr>
            <w:r/>
            <w:r>
              <w:rPr>
                <w:b w:val="0"/>
                <w:i w:val="0"/>
                <w:sz w:val="15"/>
              </w:rPr>
              <w:t>Advance notice cut from 30 to 15 days (below the 20-day Red floor).</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Restore 30 days (Yellow fallback: not less than 20 days, if the objection and termination rights stay intact).</w:t>
            </w:r>
          </w:p>
        </w:tc>
      </w:tr>
      <w:tr>
        <w:tc>
          <w:tcPr>
            <w:tcW w:type="dxa" w:w="576"/>
          </w:tcPr>
          <w:p>
            <w:pPr>
              <w:spacing w:after="20" w:before="0"/>
            </w:pPr>
            <w:r/>
            <w:r>
              <w:rPr>
                <w:b w:val="0"/>
                <w:i w:val="0"/>
                <w:sz w:val="15"/>
              </w:rPr>
              <w:t>4</w:t>
            </w:r>
          </w:p>
        </w:tc>
        <w:tc>
          <w:tcPr>
            <w:tcW w:type="dxa" w:w="720"/>
          </w:tcPr>
          <w:p>
            <w:pPr>
              <w:spacing w:after="20" w:before="0"/>
            </w:pPr>
            <w:r/>
            <w:r>
              <w:rPr>
                <w:b w:val="0"/>
                <w:i w:val="0"/>
                <w:sz w:val="15"/>
              </w:rPr>
              <w:t>D-13</w:t>
            </w:r>
          </w:p>
        </w:tc>
        <w:tc>
          <w:tcPr>
            <w:tcW w:type="dxa" w:w="1440"/>
          </w:tcPr>
          <w:p>
            <w:pPr>
              <w:spacing w:after="20" w:before="0"/>
            </w:pPr>
            <w:r/>
            <w:r>
              <w:rPr>
                <w:b w:val="0"/>
                <w:i w:val="0"/>
                <w:sz w:val="15"/>
              </w:rPr>
              <w:t>RL 7.3 / T 7.3</w:t>
            </w:r>
          </w:p>
        </w:tc>
        <w:tc>
          <w:tcPr>
            <w:tcW w:type="dxa" w:w="1296"/>
          </w:tcPr>
          <w:p>
            <w:pPr>
              <w:spacing w:after="20" w:before="0"/>
            </w:pPr>
            <w:r/>
            <w:r>
              <w:rPr>
                <w:b w:val="0"/>
                <w:i w:val="0"/>
                <w:sz w:val="15"/>
              </w:rPr>
              <w:t>1 Sub-Processing</w:t>
            </w:r>
          </w:p>
        </w:tc>
        <w:tc>
          <w:tcPr>
            <w:tcW w:type="dxa" w:w="3744"/>
          </w:tcPr>
          <w:p>
            <w:pPr>
              <w:spacing w:after="20" w:before="0"/>
            </w:pPr>
            <w:r/>
            <w:r>
              <w:rPr>
                <w:b w:val="0"/>
                <w:i w:val="0"/>
                <w:sz w:val="15"/>
              </w:rPr>
              <w:t>Right to object and penalty-free termination replaced with “may raise reasonable concerns … consider in good faith”.</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Restore T 7.3 and T 16.2(d).</w:t>
            </w:r>
          </w:p>
        </w:tc>
      </w:tr>
      <w:tr>
        <w:tc>
          <w:tcPr>
            <w:tcW w:type="dxa" w:w="576"/>
          </w:tcPr>
          <w:p>
            <w:pPr>
              <w:spacing w:after="20" w:before="0"/>
            </w:pPr>
            <w:r/>
            <w:r>
              <w:rPr>
                <w:b w:val="0"/>
                <w:i w:val="0"/>
                <w:sz w:val="15"/>
              </w:rPr>
              <w:t>5</w:t>
            </w:r>
          </w:p>
        </w:tc>
        <w:tc>
          <w:tcPr>
            <w:tcW w:type="dxa" w:w="720"/>
          </w:tcPr>
          <w:p>
            <w:pPr>
              <w:spacing w:after="20" w:before="0"/>
            </w:pPr>
            <w:r/>
            <w:r>
              <w:rPr>
                <w:b w:val="0"/>
                <w:i w:val="0"/>
                <w:sz w:val="15"/>
              </w:rPr>
              <w:t>D-14</w:t>
            </w:r>
          </w:p>
        </w:tc>
        <w:tc>
          <w:tcPr>
            <w:tcW w:type="dxa" w:w="1440"/>
          </w:tcPr>
          <w:p>
            <w:pPr>
              <w:spacing w:after="20" w:before="0"/>
            </w:pPr>
            <w:r/>
            <w:r>
              <w:rPr>
                <w:b w:val="0"/>
                <w:i w:val="0"/>
                <w:sz w:val="15"/>
              </w:rPr>
              <w:t>RL 8.1 / T 5.1-5.2</w:t>
            </w:r>
          </w:p>
        </w:tc>
        <w:tc>
          <w:tcPr>
            <w:tcW w:type="dxa" w:w="1296"/>
          </w:tcPr>
          <w:p>
            <w:pPr>
              <w:spacing w:after="20" w:before="0"/>
            </w:pPr>
            <w:r/>
            <w:r>
              <w:rPr>
                <w:b w:val="0"/>
                <w:i w:val="0"/>
                <w:sz w:val="15"/>
              </w:rPr>
              <w:t>4 Data Localization</w:t>
            </w:r>
          </w:p>
        </w:tc>
        <w:tc>
          <w:tcPr>
            <w:tcW w:type="dxa" w:w="3744"/>
          </w:tcPr>
          <w:p>
            <w:pPr>
              <w:spacing w:after="20" w:before="0"/>
            </w:pPr>
            <w:r/>
            <w:r>
              <w:rPr>
                <w:b w:val="0"/>
                <w:i w:val="0"/>
                <w:sz w:val="15"/>
              </w:rPr>
              <w:t xml:space="preserve">EEA/UK/US restriction deleted; Approved Processing Locations become London, Frankfurt and </w:t>
            </w:r>
            <w:r>
              <w:rPr>
                <w:b/>
                <w:i w:val="0"/>
                <w:sz w:val="15"/>
              </w:rPr>
              <w:t>Mumbai, India</w:t>
            </w:r>
            <w:r>
              <w:rPr>
                <w:b w:val="0"/>
                <w:i w:val="0"/>
                <w:sz w:val="15"/>
              </w:rPr>
              <w:t>. (PV-08)</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Restore T 5.1-5.2 (London and Frankfurt facilities only).</w:t>
            </w:r>
          </w:p>
        </w:tc>
      </w:tr>
      <w:tr>
        <w:tc>
          <w:tcPr>
            <w:tcW w:type="dxa" w:w="576"/>
          </w:tcPr>
          <w:p>
            <w:pPr>
              <w:spacing w:after="20" w:before="0"/>
            </w:pPr>
            <w:r/>
            <w:r>
              <w:rPr>
                <w:b w:val="0"/>
                <w:i w:val="0"/>
                <w:sz w:val="15"/>
              </w:rPr>
              <w:t>5</w:t>
            </w:r>
          </w:p>
        </w:tc>
        <w:tc>
          <w:tcPr>
            <w:tcW w:type="dxa" w:w="720"/>
          </w:tcPr>
          <w:p>
            <w:pPr>
              <w:spacing w:after="20" w:before="0"/>
            </w:pPr>
            <w:r/>
            <w:r>
              <w:rPr>
                <w:b w:val="0"/>
                <w:i w:val="0"/>
                <w:sz w:val="15"/>
              </w:rPr>
              <w:t>D-15</w:t>
            </w:r>
          </w:p>
        </w:tc>
        <w:tc>
          <w:tcPr>
            <w:tcW w:type="dxa" w:w="1440"/>
          </w:tcPr>
          <w:p>
            <w:pPr>
              <w:spacing w:after="20" w:before="0"/>
            </w:pPr>
            <w:r/>
            <w:r>
              <w:rPr>
                <w:b w:val="0"/>
                <w:i w:val="0"/>
                <w:sz w:val="15"/>
              </w:rPr>
              <w:t>RL 8.2 (new)</w:t>
            </w:r>
          </w:p>
        </w:tc>
        <w:tc>
          <w:tcPr>
            <w:tcW w:type="dxa" w:w="1296"/>
          </w:tcPr>
          <w:p>
            <w:pPr>
              <w:spacing w:after="20" w:before="0"/>
            </w:pPr>
            <w:r/>
            <w:r>
              <w:rPr>
                <w:b w:val="0"/>
                <w:i w:val="0"/>
                <w:sz w:val="15"/>
              </w:rPr>
              <w:t>4 Data Localization</w:t>
            </w:r>
          </w:p>
        </w:tc>
        <w:tc>
          <w:tcPr>
            <w:tcW w:type="dxa" w:w="3744"/>
          </w:tcPr>
          <w:p>
            <w:pPr>
              <w:spacing w:after="20" w:before="0"/>
            </w:pPr>
            <w:r/>
            <w:r>
              <w:rPr>
                <w:b w:val="0"/>
                <w:i w:val="0"/>
                <w:sz w:val="15"/>
              </w:rPr>
              <w:t>Processor alone to “ensure appropriate safeguards” for transfers outside the EEA/UK (Processor self-assessment).</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Restore T 5.2(a)-(d), 5.3 (TIA with Controller approval) and 5.4.</w:t>
            </w:r>
          </w:p>
        </w:tc>
      </w:tr>
      <w:tr>
        <w:tc>
          <w:tcPr>
            <w:tcW w:type="dxa" w:w="576"/>
          </w:tcPr>
          <w:p>
            <w:pPr>
              <w:spacing w:after="20" w:before="0"/>
            </w:pPr>
            <w:r/>
            <w:r>
              <w:rPr>
                <w:b w:val="0"/>
                <w:i w:val="0"/>
                <w:sz w:val="15"/>
              </w:rPr>
              <w:t>5</w:t>
            </w:r>
          </w:p>
        </w:tc>
        <w:tc>
          <w:tcPr>
            <w:tcW w:type="dxa" w:w="720"/>
          </w:tcPr>
          <w:p>
            <w:pPr>
              <w:spacing w:after="20" w:before="0"/>
            </w:pPr>
            <w:r/>
            <w:r>
              <w:rPr>
                <w:b w:val="0"/>
                <w:i w:val="0"/>
                <w:sz w:val="15"/>
              </w:rPr>
              <w:t>D-16</w:t>
            </w:r>
          </w:p>
        </w:tc>
        <w:tc>
          <w:tcPr>
            <w:tcW w:type="dxa" w:w="1440"/>
          </w:tcPr>
          <w:p>
            <w:pPr>
              <w:spacing w:after="20" w:before="0"/>
            </w:pPr>
            <w:r/>
            <w:r>
              <w:rPr>
                <w:b w:val="0"/>
                <w:i w:val="0"/>
                <w:sz w:val="15"/>
              </w:rPr>
              <w:t>RL 8.4 (deleted) / T 5.2(d), 5.3</w:t>
            </w:r>
          </w:p>
        </w:tc>
        <w:tc>
          <w:tcPr>
            <w:tcW w:type="dxa" w:w="1296"/>
          </w:tcPr>
          <w:p>
            <w:pPr>
              <w:spacing w:after="20" w:before="0"/>
            </w:pPr>
            <w:r/>
            <w:r>
              <w:rPr>
                <w:b w:val="0"/>
                <w:i w:val="0"/>
                <w:sz w:val="15"/>
              </w:rPr>
              <w:t>4 Data Localization</w:t>
            </w:r>
          </w:p>
        </w:tc>
        <w:tc>
          <w:tcPr>
            <w:tcW w:type="dxa" w:w="3744"/>
          </w:tcPr>
          <w:p>
            <w:pPr>
              <w:spacing w:after="20" w:before="0"/>
            </w:pPr>
            <w:r/>
            <w:r>
              <w:rPr>
                <w:b w:val="0"/>
                <w:i w:val="0"/>
                <w:sz w:val="15"/>
              </w:rPr>
              <w:t>Controller’s right to approve or reject any transfer mechanism deleted (no PV comment).</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Reinstate.</w:t>
            </w:r>
          </w:p>
        </w:tc>
      </w:tr>
      <w:tr>
        <w:tc>
          <w:tcPr>
            <w:tcW w:type="dxa" w:w="576"/>
          </w:tcPr>
          <w:p>
            <w:pPr>
              <w:spacing w:after="20" w:before="0"/>
            </w:pPr>
            <w:r/>
            <w:r>
              <w:rPr>
                <w:b w:val="0"/>
                <w:i w:val="0"/>
                <w:sz w:val="15"/>
              </w:rPr>
              <w:t>5</w:t>
            </w:r>
          </w:p>
        </w:tc>
        <w:tc>
          <w:tcPr>
            <w:tcW w:type="dxa" w:w="720"/>
          </w:tcPr>
          <w:p>
            <w:pPr>
              <w:spacing w:after="20" w:before="0"/>
            </w:pPr>
            <w:r/>
            <w:r>
              <w:rPr>
                <w:b w:val="0"/>
                <w:i w:val="0"/>
                <w:sz w:val="15"/>
              </w:rPr>
              <w:t>D-41</w:t>
            </w:r>
          </w:p>
        </w:tc>
        <w:tc>
          <w:tcPr>
            <w:tcW w:type="dxa" w:w="1440"/>
          </w:tcPr>
          <w:p>
            <w:pPr>
              <w:spacing w:after="20" w:before="0"/>
            </w:pPr>
            <w:r/>
            <w:r>
              <w:rPr>
                <w:b w:val="0"/>
                <w:i w:val="0"/>
                <w:sz w:val="15"/>
              </w:rPr>
              <w:t>RL Annex 1 §3 / T A1.5</w:t>
            </w:r>
          </w:p>
        </w:tc>
        <w:tc>
          <w:tcPr>
            <w:tcW w:type="dxa" w:w="1296"/>
          </w:tcPr>
          <w:p>
            <w:pPr>
              <w:spacing w:after="20" w:before="0"/>
            </w:pPr>
            <w:r/>
            <w:r>
              <w:rPr>
                <w:b w:val="0"/>
                <w:i w:val="0"/>
                <w:sz w:val="15"/>
              </w:rPr>
              <w:t>4 Data Localization</w:t>
            </w:r>
          </w:p>
        </w:tc>
        <w:tc>
          <w:tcPr>
            <w:tcW w:type="dxa" w:w="3744"/>
          </w:tcPr>
          <w:p>
            <w:pPr>
              <w:spacing w:after="20" w:before="0"/>
            </w:pPr>
            <w:r/>
            <w:r>
              <w:rPr>
                <w:b w:val="0"/>
                <w:i w:val="0"/>
                <w:sz w:val="15"/>
              </w:rPr>
              <w:t>EEA/UK/US list deleted; table adds Mumbai (Peregrine). Shown as untracked “[ADDED]” text.</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Restore T A1.5.</w:t>
            </w:r>
          </w:p>
        </w:tc>
      </w:tr>
      <w:tr>
        <w:tc>
          <w:tcPr>
            <w:tcW w:type="dxa" w:w="576"/>
          </w:tcPr>
          <w:p>
            <w:pPr>
              <w:spacing w:after="20" w:before="0"/>
            </w:pPr>
            <w:r/>
            <w:r>
              <w:rPr>
                <w:b w:val="0"/>
                <w:i w:val="0"/>
                <w:sz w:val="15"/>
              </w:rPr>
              <w:t>5</w:t>
            </w:r>
          </w:p>
        </w:tc>
        <w:tc>
          <w:tcPr>
            <w:tcW w:type="dxa" w:w="720"/>
          </w:tcPr>
          <w:p>
            <w:pPr>
              <w:spacing w:after="20" w:before="0"/>
            </w:pPr>
            <w:r/>
            <w:r>
              <w:rPr>
                <w:b w:val="0"/>
                <w:i w:val="0"/>
                <w:sz w:val="15"/>
              </w:rPr>
              <w:t>D-42</w:t>
            </w:r>
          </w:p>
        </w:tc>
        <w:tc>
          <w:tcPr>
            <w:tcW w:type="dxa" w:w="1440"/>
          </w:tcPr>
          <w:p>
            <w:pPr>
              <w:spacing w:after="20" w:before="0"/>
            </w:pPr>
            <w:r/>
            <w:r>
              <w:rPr>
                <w:b w:val="0"/>
                <w:i w:val="0"/>
                <w:sz w:val="15"/>
              </w:rPr>
              <w:t>RL Annex 3 / T 7.6, Annex 3</w:t>
            </w:r>
          </w:p>
        </w:tc>
        <w:tc>
          <w:tcPr>
            <w:tcW w:type="dxa" w:w="1296"/>
          </w:tcPr>
          <w:p>
            <w:pPr>
              <w:spacing w:after="20" w:before="0"/>
            </w:pPr>
            <w:r/>
            <w:r>
              <w:rPr>
                <w:b w:val="0"/>
                <w:i w:val="0"/>
                <w:sz w:val="15"/>
              </w:rPr>
              <w:t>1, 4, 15</w:t>
            </w:r>
          </w:p>
        </w:tc>
        <w:tc>
          <w:tcPr>
            <w:tcW w:type="dxa" w:w="3744"/>
          </w:tcPr>
          <w:p>
            <w:pPr>
              <w:spacing w:after="20" w:before="0"/>
            </w:pPr>
            <w:r/>
            <w:r>
              <w:rPr>
                <w:b w:val="0"/>
                <w:i w:val="0"/>
                <w:sz w:val="15"/>
              </w:rPr>
              <w:t>Peregrine Data Analytics Pvt. Ltd. (Mumbai) listed as an authorised Sub-Processor; T 7.6 states that none is approved. Shown as untracked “[ADDED]” text.</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Route Peregrine through the T 7.2 specific-consent process (see Section 4.5).</w:t>
            </w:r>
          </w:p>
        </w:tc>
      </w:tr>
      <w:tr>
        <w:tc>
          <w:tcPr>
            <w:tcW w:type="dxa" w:w="576"/>
          </w:tcPr>
          <w:p>
            <w:pPr>
              <w:spacing w:after="20" w:before="0"/>
            </w:pPr>
            <w:r/>
            <w:r>
              <w:rPr>
                <w:b w:val="0"/>
                <w:i w:val="0"/>
                <w:sz w:val="15"/>
              </w:rPr>
              <w:t>5</w:t>
            </w:r>
          </w:p>
        </w:tc>
        <w:tc>
          <w:tcPr>
            <w:tcW w:type="dxa" w:w="720"/>
          </w:tcPr>
          <w:p>
            <w:pPr>
              <w:spacing w:after="20" w:before="0"/>
            </w:pPr>
            <w:r/>
            <w:r>
              <w:rPr>
                <w:b w:val="0"/>
                <w:i w:val="0"/>
                <w:sz w:val="15"/>
              </w:rPr>
              <w:t>D-07</w:t>
            </w:r>
          </w:p>
        </w:tc>
        <w:tc>
          <w:tcPr>
            <w:tcW w:type="dxa" w:w="1440"/>
          </w:tcPr>
          <w:p>
            <w:pPr>
              <w:spacing w:after="20" w:before="0"/>
            </w:pPr>
            <w:r/>
            <w:r>
              <w:rPr>
                <w:b w:val="0"/>
                <w:i w:val="0"/>
                <w:sz w:val="15"/>
              </w:rPr>
              <w:t>RL 4.3 and Annex 1 §2 / T A1.2</w:t>
            </w:r>
          </w:p>
        </w:tc>
        <w:tc>
          <w:tcPr>
            <w:tcW w:type="dxa" w:w="1296"/>
          </w:tcPr>
          <w:p>
            <w:pPr>
              <w:spacing w:after="20" w:before="0"/>
            </w:pPr>
            <w:r/>
            <w:r>
              <w:rPr>
                <w:b w:val="0"/>
                <w:i w:val="0"/>
                <w:sz w:val="15"/>
              </w:rPr>
              <w:t>16 Purpose / 4</w:t>
            </w:r>
          </w:p>
        </w:tc>
        <w:tc>
          <w:tcPr>
            <w:tcW w:type="dxa" w:w="3744"/>
          </w:tcPr>
          <w:p>
            <w:pPr>
              <w:spacing w:after="20" w:before="0"/>
            </w:pPr>
            <w:r/>
            <w:r>
              <w:rPr>
                <w:b w:val="0"/>
                <w:i w:val="0"/>
                <w:sz w:val="15"/>
              </w:rPr>
              <w:t>“Log analytics and performance monitoring” added to the nature of processing, which supports the Peregrine flow.</w:t>
            </w:r>
          </w:p>
        </w:tc>
        <w:tc>
          <w:tcPr>
            <w:tcW w:type="dxa" w:w="1080"/>
            <w:shd w:val="clear" w:color="auto" w:fill="F4C7C3"/>
          </w:tcPr>
          <w:p>
            <w:pPr>
              <w:spacing w:after="20" w:before="0"/>
            </w:pPr>
            <w:r/>
            <w:r>
              <w:rPr>
                <w:b w:val="0"/>
                <w:i w:val="0"/>
                <w:sz w:val="15"/>
              </w:rPr>
              <w:t>RED (compound)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Accept the wording only if the activity is performed in London/Frankfurt or by a sub-processor specifically approved under T 7. Otherwise reject.</w:t>
            </w:r>
          </w:p>
        </w:tc>
      </w:tr>
      <w:tr>
        <w:tc>
          <w:tcPr>
            <w:tcW w:type="dxa" w:w="576"/>
          </w:tcPr>
          <w:p>
            <w:pPr>
              <w:spacing w:after="20" w:before="0"/>
            </w:pPr>
            <w:r/>
            <w:r>
              <w:rPr>
                <w:b w:val="0"/>
                <w:i w:val="0"/>
                <w:sz w:val="15"/>
              </w:rPr>
              <w:t>6</w:t>
            </w:r>
          </w:p>
        </w:tc>
        <w:tc>
          <w:tcPr>
            <w:tcW w:type="dxa" w:w="720"/>
          </w:tcPr>
          <w:p>
            <w:pPr>
              <w:spacing w:after="20" w:before="0"/>
            </w:pPr>
            <w:r/>
            <w:r>
              <w:rPr>
                <w:b w:val="0"/>
                <w:i w:val="0"/>
                <w:sz w:val="15"/>
              </w:rPr>
              <w:t>D-19</w:t>
            </w:r>
          </w:p>
        </w:tc>
        <w:tc>
          <w:tcPr>
            <w:tcW w:type="dxa" w:w="1440"/>
          </w:tcPr>
          <w:p>
            <w:pPr>
              <w:spacing w:after="20" w:before="0"/>
            </w:pPr>
            <w:r/>
            <w:r>
              <w:rPr>
                <w:b w:val="0"/>
                <w:i w:val="0"/>
                <w:sz w:val="15"/>
              </w:rPr>
              <w:t>RL 10.1 / T 11.1</w:t>
            </w:r>
          </w:p>
        </w:tc>
        <w:tc>
          <w:tcPr>
            <w:tcW w:type="dxa" w:w="1296"/>
          </w:tcPr>
          <w:p>
            <w:pPr>
              <w:spacing w:after="20" w:before="0"/>
            </w:pPr>
            <w:r/>
            <w:r>
              <w:rPr>
                <w:b w:val="0"/>
                <w:i w:val="0"/>
                <w:sz w:val="15"/>
              </w:rPr>
              <w:t>2 Breach Notification</w:t>
            </w:r>
          </w:p>
        </w:tc>
        <w:tc>
          <w:tcPr>
            <w:tcW w:type="dxa" w:w="3744"/>
          </w:tcPr>
          <w:p>
            <w:pPr>
              <w:spacing w:after="20" w:before="0"/>
            </w:pPr>
            <w:r/>
            <w:r>
              <w:rPr>
                <w:b w:val="0"/>
                <w:i w:val="0"/>
                <w:sz w:val="15"/>
              </w:rPr>
              <w:t>24 hours from “becoming aware” becomes 72 hours from “confirming” that an incident is a Personal Data Breach. (PV-10)</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Restore T 11.1 (Yellow fallback: up to 36 hours, keeping the awareness trigger).</w:t>
            </w:r>
          </w:p>
        </w:tc>
      </w:tr>
      <w:tr>
        <w:tc>
          <w:tcPr>
            <w:tcW w:type="dxa" w:w="576"/>
          </w:tcPr>
          <w:p>
            <w:pPr>
              <w:spacing w:after="20" w:before="0"/>
            </w:pPr>
            <w:r/>
            <w:r>
              <w:rPr>
                <w:b w:val="0"/>
                <w:i w:val="0"/>
                <w:sz w:val="15"/>
              </w:rPr>
              <w:t>6</w:t>
            </w:r>
          </w:p>
        </w:tc>
        <w:tc>
          <w:tcPr>
            <w:tcW w:type="dxa" w:w="720"/>
          </w:tcPr>
          <w:p>
            <w:pPr>
              <w:spacing w:after="20" w:before="0"/>
            </w:pPr>
            <w:r/>
            <w:r>
              <w:rPr>
                <w:b w:val="0"/>
                <w:i w:val="0"/>
                <w:sz w:val="15"/>
              </w:rPr>
              <w:t>D-20</w:t>
            </w:r>
          </w:p>
        </w:tc>
        <w:tc>
          <w:tcPr>
            <w:tcW w:type="dxa" w:w="1440"/>
          </w:tcPr>
          <w:p>
            <w:pPr>
              <w:spacing w:after="20" w:before="0"/>
            </w:pPr>
            <w:r/>
            <w:r>
              <w:rPr>
                <w:b w:val="0"/>
                <w:i w:val="0"/>
                <w:sz w:val="15"/>
              </w:rPr>
              <w:t>RL 10.2 / T 11.2</w:t>
            </w:r>
          </w:p>
        </w:tc>
        <w:tc>
          <w:tcPr>
            <w:tcW w:type="dxa" w:w="1296"/>
          </w:tcPr>
          <w:p>
            <w:pPr>
              <w:spacing w:after="20" w:before="0"/>
            </w:pPr>
            <w:r/>
            <w:r>
              <w:rPr>
                <w:b w:val="0"/>
                <w:i w:val="0"/>
                <w:sz w:val="15"/>
              </w:rPr>
              <w:t>2 Breach Notification</w:t>
            </w:r>
          </w:p>
        </w:tc>
        <w:tc>
          <w:tcPr>
            <w:tcW w:type="dxa" w:w="3744"/>
          </w:tcPr>
          <w:p>
            <w:pPr>
              <w:spacing w:after="20" w:before="0"/>
            </w:pPr>
            <w:r/>
            <w:r>
              <w:rPr>
                <w:b w:val="0"/>
                <w:i w:val="0"/>
                <w:sz w:val="15"/>
              </w:rPr>
              <w:t>Content elements cut: the approximate number of Data Subjects and the measures taken or proposed are removed; DPO contact added. Shown as untracked “[DELETED]/[ADDED]” text.</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Restore the four T 11.2 elements and 12-hour updates (the DPO contact can be added; Green).</w:t>
            </w:r>
          </w:p>
        </w:tc>
      </w:tr>
      <w:tr>
        <w:tc>
          <w:tcPr>
            <w:tcW w:type="dxa" w:w="576"/>
          </w:tcPr>
          <w:p>
            <w:pPr>
              <w:spacing w:after="20" w:before="0"/>
            </w:pPr>
            <w:r/>
            <w:r>
              <w:rPr>
                <w:b w:val="0"/>
                <w:i w:val="0"/>
                <w:sz w:val="15"/>
              </w:rPr>
              <w:t>7</w:t>
            </w:r>
          </w:p>
        </w:tc>
        <w:tc>
          <w:tcPr>
            <w:tcW w:type="dxa" w:w="720"/>
          </w:tcPr>
          <w:p>
            <w:pPr>
              <w:spacing w:after="20" w:before="0"/>
            </w:pPr>
            <w:r/>
            <w:r>
              <w:rPr>
                <w:b w:val="0"/>
                <w:i w:val="0"/>
                <w:sz w:val="15"/>
              </w:rPr>
              <w:t>D-09</w:t>
            </w:r>
          </w:p>
        </w:tc>
        <w:tc>
          <w:tcPr>
            <w:tcW w:type="dxa" w:w="1440"/>
          </w:tcPr>
          <w:p>
            <w:pPr>
              <w:spacing w:after="20" w:before="0"/>
            </w:pPr>
            <w:r/>
            <w:r>
              <w:rPr>
                <w:b w:val="0"/>
                <w:i w:val="0"/>
                <w:sz w:val="15"/>
              </w:rPr>
              <w:t>RL 6.1 / T 8.1</w:t>
            </w:r>
          </w:p>
        </w:tc>
        <w:tc>
          <w:tcPr>
            <w:tcW w:type="dxa" w:w="1296"/>
          </w:tcPr>
          <w:p>
            <w:pPr>
              <w:spacing w:after="20" w:before="0"/>
            </w:pPr>
            <w:r/>
            <w:r>
              <w:rPr>
                <w:b w:val="0"/>
                <w:i w:val="0"/>
                <w:sz w:val="15"/>
              </w:rPr>
              <w:t>12 Security Standard</w:t>
            </w:r>
          </w:p>
        </w:tc>
        <w:tc>
          <w:tcPr>
            <w:tcW w:type="dxa" w:w="3744"/>
          </w:tcPr>
          <w:p>
            <w:pPr>
              <w:spacing w:after="20" w:before="0"/>
            </w:pPr>
            <w:r/>
            <w:r>
              <w:rPr>
                <w:b w:val="0"/>
                <w:i w:val="0"/>
                <w:sz w:val="15"/>
              </w:rPr>
              <w:t>Absolute obligation to comply with Annex 2 becomes “commercially reasonable efforts to comply”. (PV-06)</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Restore absolute “shall” obligation.</w:t>
            </w:r>
          </w:p>
        </w:tc>
      </w:tr>
      <w:tr>
        <w:tc>
          <w:tcPr>
            <w:tcW w:type="dxa" w:w="576"/>
          </w:tcPr>
          <w:p>
            <w:pPr>
              <w:spacing w:after="20" w:before="0"/>
            </w:pPr>
            <w:r/>
            <w:r>
              <w:rPr>
                <w:b w:val="0"/>
                <w:i w:val="0"/>
                <w:sz w:val="15"/>
              </w:rPr>
              <w:t>7</w:t>
            </w:r>
          </w:p>
        </w:tc>
        <w:tc>
          <w:tcPr>
            <w:tcW w:type="dxa" w:w="720"/>
          </w:tcPr>
          <w:p>
            <w:pPr>
              <w:spacing w:after="20" w:before="0"/>
            </w:pPr>
            <w:r/>
            <w:r>
              <w:rPr>
                <w:b w:val="0"/>
                <w:i w:val="0"/>
                <w:sz w:val="15"/>
              </w:rPr>
              <w:t>D-10</w:t>
            </w:r>
          </w:p>
        </w:tc>
        <w:tc>
          <w:tcPr>
            <w:tcW w:type="dxa" w:w="1440"/>
          </w:tcPr>
          <w:p>
            <w:pPr>
              <w:spacing w:after="20" w:before="0"/>
            </w:pPr>
            <w:r/>
            <w:r>
              <w:rPr>
                <w:b w:val="0"/>
                <w:i w:val="0"/>
                <w:sz w:val="15"/>
              </w:rPr>
              <w:t>RL 6.2 (new)</w:t>
            </w:r>
          </w:p>
        </w:tc>
        <w:tc>
          <w:tcPr>
            <w:tcW w:type="dxa" w:w="1296"/>
          </w:tcPr>
          <w:p>
            <w:pPr>
              <w:spacing w:after="20" w:before="0"/>
            </w:pPr>
            <w:r/>
            <w:r>
              <w:rPr>
                <w:b w:val="0"/>
                <w:i w:val="0"/>
                <w:sz w:val="15"/>
              </w:rPr>
              <w:t>12 Security Standard</w:t>
            </w:r>
          </w:p>
        </w:tc>
        <w:tc>
          <w:tcPr>
            <w:tcW w:type="dxa" w:w="3744"/>
          </w:tcPr>
          <w:p>
            <w:pPr>
              <w:spacing w:after="20" w:before="0"/>
            </w:pPr>
            <w:r/>
            <w:r>
              <w:rPr>
                <w:b w:val="0"/>
                <w:i w:val="0"/>
                <w:sz w:val="15"/>
              </w:rPr>
              <w:t>Security obligations “deemed satisfied” if “substantially consistent with industry standards for … providers of similar size”.</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Delete.</w:t>
            </w:r>
          </w:p>
        </w:tc>
      </w:tr>
      <w:tr>
        <w:tc>
          <w:tcPr>
            <w:tcW w:type="dxa" w:w="576"/>
          </w:tcPr>
          <w:p>
            <w:pPr>
              <w:spacing w:after="20" w:before="0"/>
            </w:pPr>
            <w:r/>
            <w:r>
              <w:rPr>
                <w:b w:val="0"/>
                <w:i w:val="0"/>
                <w:sz w:val="15"/>
              </w:rPr>
              <w:t>8</w:t>
            </w:r>
          </w:p>
        </w:tc>
        <w:tc>
          <w:tcPr>
            <w:tcW w:type="dxa" w:w="720"/>
          </w:tcPr>
          <w:p>
            <w:pPr>
              <w:spacing w:after="20" w:before="0"/>
            </w:pPr>
            <w:r/>
            <w:r>
              <w:rPr>
                <w:b w:val="0"/>
                <w:i w:val="0"/>
                <w:sz w:val="15"/>
              </w:rPr>
              <w:t>D-04</w:t>
            </w:r>
          </w:p>
        </w:tc>
        <w:tc>
          <w:tcPr>
            <w:tcW w:type="dxa" w:w="1440"/>
          </w:tcPr>
          <w:p>
            <w:pPr>
              <w:spacing w:after="20" w:before="0"/>
            </w:pPr>
            <w:r/>
            <w:r>
              <w:rPr>
                <w:b w:val="0"/>
                <w:i w:val="0"/>
                <w:sz w:val="15"/>
              </w:rPr>
              <w:t>RL 1.1(n) (new)</w:t>
            </w:r>
          </w:p>
        </w:tc>
        <w:tc>
          <w:tcPr>
            <w:tcW w:type="dxa" w:w="1296"/>
          </w:tcPr>
          <w:p>
            <w:pPr>
              <w:spacing w:after="20" w:before="0"/>
            </w:pPr>
            <w:r/>
            <w:r>
              <w:rPr>
                <w:b w:val="0"/>
                <w:i w:val="0"/>
                <w:sz w:val="15"/>
              </w:rPr>
              <w:t>11 Anonymization</w:t>
            </w:r>
          </w:p>
        </w:tc>
        <w:tc>
          <w:tcPr>
            <w:tcW w:type="dxa" w:w="3744"/>
          </w:tcPr>
          <w:p>
            <w:pPr>
              <w:spacing w:after="20" w:before="0"/>
            </w:pPr>
            <w:r/>
            <w:r>
              <w:rPr>
                <w:b w:val="0"/>
                <w:i w:val="0"/>
                <w:sz w:val="15"/>
              </w:rPr>
              <w:t>“Anonymized Data” defined using the GDPR pseudonymisation test (re-identifiable with separately kept information). (PV-03)</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Delete (falls with §14.3).</w:t>
            </w:r>
          </w:p>
        </w:tc>
      </w:tr>
      <w:tr>
        <w:tc>
          <w:tcPr>
            <w:tcW w:type="dxa" w:w="576"/>
          </w:tcPr>
          <w:p>
            <w:pPr>
              <w:spacing w:after="20" w:before="0"/>
            </w:pPr>
            <w:r/>
            <w:r>
              <w:rPr>
                <w:b w:val="0"/>
                <w:i w:val="0"/>
                <w:sz w:val="15"/>
              </w:rPr>
              <w:t>8</w:t>
            </w:r>
          </w:p>
        </w:tc>
        <w:tc>
          <w:tcPr>
            <w:tcW w:type="dxa" w:w="720"/>
          </w:tcPr>
          <w:p>
            <w:pPr>
              <w:spacing w:after="20" w:before="0"/>
            </w:pPr>
            <w:r/>
            <w:r>
              <w:rPr>
                <w:b w:val="0"/>
                <w:i w:val="0"/>
                <w:sz w:val="15"/>
              </w:rPr>
              <w:t>D-29</w:t>
            </w:r>
          </w:p>
        </w:tc>
        <w:tc>
          <w:tcPr>
            <w:tcW w:type="dxa" w:w="1440"/>
          </w:tcPr>
          <w:p>
            <w:pPr>
              <w:spacing w:after="20" w:before="0"/>
            </w:pPr>
            <w:r/>
            <w:r>
              <w:rPr>
                <w:b w:val="0"/>
                <w:i w:val="0"/>
                <w:sz w:val="15"/>
              </w:rPr>
              <w:t>RL 14.3 (new) / T 14.1, 2.3</w:t>
            </w:r>
          </w:p>
        </w:tc>
        <w:tc>
          <w:tcPr>
            <w:tcW w:type="dxa" w:w="1296"/>
          </w:tcPr>
          <w:p>
            <w:pPr>
              <w:spacing w:after="20" w:before="0"/>
            </w:pPr>
            <w:r/>
            <w:r>
              <w:rPr>
                <w:b w:val="0"/>
                <w:i w:val="0"/>
                <w:sz w:val="15"/>
              </w:rPr>
              <w:t>11, 16</w:t>
            </w:r>
          </w:p>
        </w:tc>
        <w:tc>
          <w:tcPr>
            <w:tcW w:type="dxa" w:w="3744"/>
          </w:tcPr>
          <w:p>
            <w:pPr>
              <w:spacing w:after="20" w:before="0"/>
            </w:pPr>
            <w:r/>
            <w:r>
              <w:rPr>
                <w:b w:val="0"/>
                <w:i w:val="0"/>
                <w:sz w:val="15"/>
              </w:rPr>
              <w:t>Processor may anonymise and aggregate Personal Data for service improvement, benchmarking and R&amp;D; the outputs are not Personal Data and can be used “without restriction as to time or purpose”. (PV-14)</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Delete and restore T 14.1 (including the ML/AI training prohibition) and T 18 (CCPA/CPRA).</w:t>
            </w:r>
          </w:p>
        </w:tc>
      </w:tr>
      <w:tr>
        <w:tc>
          <w:tcPr>
            <w:tcW w:type="dxa" w:w="576"/>
          </w:tcPr>
          <w:p>
            <w:pPr>
              <w:spacing w:after="20" w:before="0"/>
            </w:pPr>
            <w:r/>
            <w:r>
              <w:rPr>
                <w:b w:val="0"/>
                <w:i w:val="0"/>
                <w:sz w:val="15"/>
              </w:rPr>
              <w:t>9</w:t>
            </w:r>
          </w:p>
        </w:tc>
        <w:tc>
          <w:tcPr>
            <w:tcW w:type="dxa" w:w="720"/>
          </w:tcPr>
          <w:p>
            <w:pPr>
              <w:spacing w:after="20" w:before="0"/>
            </w:pPr>
            <w:r/>
            <w:r>
              <w:rPr>
                <w:b w:val="0"/>
                <w:i w:val="0"/>
                <w:sz w:val="15"/>
              </w:rPr>
              <w:t>D-22</w:t>
            </w:r>
          </w:p>
        </w:tc>
        <w:tc>
          <w:tcPr>
            <w:tcW w:type="dxa" w:w="1440"/>
          </w:tcPr>
          <w:p>
            <w:pPr>
              <w:spacing w:after="20" w:before="0"/>
            </w:pPr>
            <w:r/>
            <w:r>
              <w:rPr>
                <w:b w:val="0"/>
                <w:i w:val="0"/>
                <w:sz w:val="15"/>
              </w:rPr>
              <w:t>RL 11.1 / T 10.1-10.2</w:t>
            </w:r>
          </w:p>
        </w:tc>
        <w:tc>
          <w:tcPr>
            <w:tcW w:type="dxa" w:w="1296"/>
          </w:tcPr>
          <w:p>
            <w:pPr>
              <w:spacing w:after="20" w:before="0"/>
            </w:pPr>
            <w:r/>
            <w:r>
              <w:rPr>
                <w:b w:val="0"/>
                <w:i w:val="0"/>
                <w:sz w:val="15"/>
              </w:rPr>
              <w:t>3 Audit Rights</w:t>
            </w:r>
          </w:p>
        </w:tc>
        <w:tc>
          <w:tcPr>
            <w:tcW w:type="dxa" w:w="3744"/>
          </w:tcPr>
          <w:p>
            <w:pPr>
              <w:spacing w:after="20" w:before="0"/>
            </w:pPr>
            <w:r/>
            <w:r>
              <w:rPr>
                <w:b w:val="0"/>
                <w:i w:val="0"/>
                <w:sz w:val="15"/>
              </w:rPr>
              <w:t>On-site audit right replaced with annual SOC 2 Type II / ISO 27001 reports from Thornfield Audit Partners LLP plus written questions. (PV-12)</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Restore T 10.1-10.4.</w:t>
            </w:r>
          </w:p>
        </w:tc>
      </w:tr>
      <w:tr>
        <w:tc>
          <w:tcPr>
            <w:tcW w:type="dxa" w:w="576"/>
          </w:tcPr>
          <w:p>
            <w:pPr>
              <w:spacing w:after="20" w:before="0"/>
            </w:pPr>
            <w:r/>
            <w:r>
              <w:rPr>
                <w:b w:val="0"/>
                <w:i w:val="0"/>
                <w:sz w:val="15"/>
              </w:rPr>
              <w:t>9</w:t>
            </w:r>
          </w:p>
        </w:tc>
        <w:tc>
          <w:tcPr>
            <w:tcW w:type="dxa" w:w="720"/>
          </w:tcPr>
          <w:p>
            <w:pPr>
              <w:spacing w:after="20" w:before="0"/>
            </w:pPr>
            <w:r/>
            <w:r>
              <w:rPr>
                <w:b w:val="0"/>
                <w:i w:val="0"/>
                <w:sz w:val="15"/>
              </w:rPr>
              <w:t>D-23</w:t>
            </w:r>
          </w:p>
        </w:tc>
        <w:tc>
          <w:tcPr>
            <w:tcW w:type="dxa" w:w="1440"/>
          </w:tcPr>
          <w:p>
            <w:pPr>
              <w:spacing w:after="20" w:before="0"/>
            </w:pPr>
            <w:r/>
            <w:r>
              <w:rPr>
                <w:b w:val="0"/>
                <w:i w:val="0"/>
                <w:sz w:val="15"/>
              </w:rPr>
              <w:t>RL 11.2 (new)</w:t>
            </w:r>
          </w:p>
        </w:tc>
        <w:tc>
          <w:tcPr>
            <w:tcW w:type="dxa" w:w="1296"/>
          </w:tcPr>
          <w:p>
            <w:pPr>
              <w:spacing w:after="20" w:before="0"/>
            </w:pPr>
            <w:r/>
            <w:r>
              <w:rPr>
                <w:b w:val="0"/>
                <w:i w:val="0"/>
                <w:sz w:val="15"/>
              </w:rPr>
              <w:t>3 Audit Rights</w:t>
            </w:r>
          </w:p>
        </w:tc>
        <w:tc>
          <w:tcPr>
            <w:tcW w:type="dxa" w:w="3744"/>
          </w:tcPr>
          <w:p>
            <w:pPr>
              <w:spacing w:after="20" w:before="0"/>
            </w:pPr>
            <w:r/>
            <w:r>
              <w:rPr>
                <w:b w:val="0"/>
                <w:i w:val="0"/>
                <w:sz w:val="15"/>
              </w:rPr>
              <w:t>On-site audit only after a material breach and if the reports are “insufficient”, on 30 business days’ notice.</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(Yellow fallback: reports first, on-site retained, notice no more than 20 business days, 1× a year plus triggers.)</w:t>
            </w:r>
          </w:p>
        </w:tc>
      </w:tr>
      <w:tr>
        <w:tc>
          <w:tcPr>
            <w:tcW w:type="dxa" w:w="576"/>
          </w:tcPr>
          <w:p>
            <w:pPr>
              <w:spacing w:after="20" w:before="0"/>
            </w:pPr>
            <w:r/>
            <w:r>
              <w:rPr>
                <w:b w:val="0"/>
                <w:i w:val="0"/>
                <w:sz w:val="15"/>
              </w:rPr>
              <w:t>9</w:t>
            </w:r>
          </w:p>
        </w:tc>
        <w:tc>
          <w:tcPr>
            <w:tcW w:type="dxa" w:w="720"/>
          </w:tcPr>
          <w:p>
            <w:pPr>
              <w:spacing w:after="20" w:before="0"/>
            </w:pPr>
            <w:r/>
            <w:r>
              <w:rPr>
                <w:b w:val="0"/>
                <w:i w:val="0"/>
                <w:sz w:val="15"/>
              </w:rPr>
              <w:t>D-24</w:t>
            </w:r>
          </w:p>
        </w:tc>
        <w:tc>
          <w:tcPr>
            <w:tcW w:type="dxa" w:w="1440"/>
          </w:tcPr>
          <w:p>
            <w:pPr>
              <w:spacing w:after="20" w:before="0"/>
            </w:pPr>
            <w:r/>
            <w:r>
              <w:rPr>
                <w:b w:val="0"/>
                <w:i w:val="0"/>
                <w:sz w:val="15"/>
              </w:rPr>
              <w:t>RL 11.3 (new)</w:t>
            </w:r>
          </w:p>
        </w:tc>
        <w:tc>
          <w:tcPr>
            <w:tcW w:type="dxa" w:w="1296"/>
          </w:tcPr>
          <w:p>
            <w:pPr>
              <w:spacing w:after="20" w:before="0"/>
            </w:pPr>
            <w:r/>
            <w:r>
              <w:rPr>
                <w:b w:val="0"/>
                <w:i w:val="0"/>
                <w:sz w:val="15"/>
              </w:rPr>
              <w:t>3 Audit Rights</w:t>
            </w:r>
          </w:p>
        </w:tc>
        <w:tc>
          <w:tcPr>
            <w:tcW w:type="dxa" w:w="3744"/>
          </w:tcPr>
          <w:p>
            <w:pPr>
              <w:spacing w:after="20" w:before="0"/>
            </w:pPr>
            <w:r/>
            <w:r>
              <w:rPr>
                <w:b w:val="0"/>
                <w:i w:val="0"/>
                <w:sz w:val="15"/>
              </w:rPr>
              <w:t>Auditor identities to be given 15 business days in advance “for Processor’s reasonable approval”; auditor confidentiality.</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the approval right (Processor would have a right to refuse or delay). The auditor NDA element can be accepted (Green).</w:t>
            </w:r>
          </w:p>
        </w:tc>
      </w:tr>
      <w:tr>
        <w:tc>
          <w:tcPr>
            <w:tcW w:type="dxa" w:w="576"/>
          </w:tcPr>
          <w:p>
            <w:pPr>
              <w:spacing w:after="20" w:before="0"/>
            </w:pPr>
            <w:r/>
            <w:r>
              <w:rPr>
                <w:b w:val="0"/>
                <w:i w:val="0"/>
                <w:sz w:val="15"/>
              </w:rPr>
              <w:t>9</w:t>
            </w:r>
          </w:p>
        </w:tc>
        <w:tc>
          <w:tcPr>
            <w:tcW w:type="dxa" w:w="720"/>
          </w:tcPr>
          <w:p>
            <w:pPr>
              <w:spacing w:after="20" w:before="0"/>
            </w:pPr>
            <w:r/>
            <w:r>
              <w:rPr>
                <w:b w:val="0"/>
                <w:i w:val="0"/>
                <w:sz w:val="15"/>
              </w:rPr>
              <w:t>D-25</w:t>
            </w:r>
          </w:p>
        </w:tc>
        <w:tc>
          <w:tcPr>
            <w:tcW w:type="dxa" w:w="1440"/>
          </w:tcPr>
          <w:p>
            <w:pPr>
              <w:spacing w:after="20" w:before="0"/>
            </w:pPr>
            <w:r/>
            <w:r>
              <w:rPr>
                <w:b w:val="0"/>
                <w:i w:val="0"/>
                <w:sz w:val="15"/>
              </w:rPr>
              <w:t>RL 11.4 (deleted) / T 10.4</w:t>
            </w:r>
          </w:p>
        </w:tc>
        <w:tc>
          <w:tcPr>
            <w:tcW w:type="dxa" w:w="1296"/>
          </w:tcPr>
          <w:p>
            <w:pPr>
              <w:spacing w:after="20" w:before="0"/>
            </w:pPr>
            <w:r/>
            <w:r>
              <w:rPr>
                <w:b w:val="0"/>
                <w:i w:val="0"/>
                <w:sz w:val="15"/>
              </w:rPr>
              <w:t>3 Audit Rights</w:t>
            </w:r>
          </w:p>
        </w:tc>
        <w:tc>
          <w:tcPr>
            <w:tcW w:type="dxa" w:w="3744"/>
          </w:tcPr>
          <w:p>
            <w:pPr>
              <w:spacing w:after="20" w:before="0"/>
            </w:pPr>
            <w:r/>
            <w:r>
              <w:rPr>
                <w:b w:val="0"/>
                <w:i w:val="0"/>
                <w:sz w:val="15"/>
              </w:rPr>
              <w:t>No-substitution clause (reports do not replace on-site audits) deleted (no PV comment).</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Reinstate.</w:t>
            </w:r>
          </w:p>
        </w:tc>
      </w:tr>
      <w:tr>
        <w:tc>
          <w:tcPr>
            <w:tcW w:type="dxa" w:w="576"/>
          </w:tcPr>
          <w:p>
            <w:pPr>
              <w:spacing w:after="20" w:before="0"/>
            </w:pPr>
            <w:r/>
            <w:r>
              <w:rPr>
                <w:b w:val="0"/>
                <w:i w:val="0"/>
                <w:sz w:val="15"/>
              </w:rPr>
              <w:t>10</w:t>
            </w:r>
          </w:p>
        </w:tc>
        <w:tc>
          <w:tcPr>
            <w:tcW w:type="dxa" w:w="720"/>
          </w:tcPr>
          <w:p>
            <w:pPr>
              <w:spacing w:after="20" w:before="0"/>
            </w:pPr>
            <w:r/>
            <w:r>
              <w:rPr>
                <w:b w:val="0"/>
                <w:i w:val="0"/>
                <w:sz w:val="15"/>
              </w:rPr>
              <w:t>D-06</w:t>
            </w:r>
          </w:p>
        </w:tc>
        <w:tc>
          <w:tcPr>
            <w:tcW w:type="dxa" w:w="1440"/>
          </w:tcPr>
          <w:p>
            <w:pPr>
              <w:spacing w:after="20" w:before="0"/>
            </w:pPr>
            <w:r/>
            <w:r>
              <w:rPr>
                <w:b w:val="0"/>
                <w:i w:val="0"/>
                <w:sz w:val="15"/>
              </w:rPr>
              <w:t>RL 4.2 / T A1.1</w:t>
            </w:r>
          </w:p>
        </w:tc>
        <w:tc>
          <w:tcPr>
            <w:tcW w:type="dxa" w:w="1296"/>
          </w:tcPr>
          <w:p>
            <w:pPr>
              <w:spacing w:after="20" w:before="0"/>
            </w:pPr>
            <w:r/>
            <w:r>
              <w:rPr>
                <w:b w:val="0"/>
                <w:i w:val="0"/>
                <w:sz w:val="15"/>
              </w:rPr>
              <w:t>13 DPA Term</w:t>
            </w:r>
          </w:p>
        </w:tc>
        <w:tc>
          <w:tcPr>
            <w:tcW w:type="dxa" w:w="3744"/>
          </w:tcPr>
          <w:p>
            <w:pPr>
              <w:spacing w:after="20" w:before="0"/>
            </w:pPr>
            <w:r/>
            <w:r>
              <w:rPr>
                <w:b w:val="0"/>
                <w:i w:val="0"/>
                <w:sz w:val="15"/>
              </w:rPr>
              <w:t>Duration changed from “co-terminus with the MSA” to “as set forth in Section 18”.</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Restore co-terminus language.</w:t>
            </w:r>
          </w:p>
        </w:tc>
      </w:tr>
      <w:tr>
        <w:tc>
          <w:tcPr>
            <w:tcW w:type="dxa" w:w="576"/>
          </w:tcPr>
          <w:p>
            <w:pPr>
              <w:spacing w:after="20" w:before="0"/>
            </w:pPr>
            <w:r/>
            <w:r>
              <w:rPr>
                <w:b w:val="0"/>
                <w:i w:val="0"/>
                <w:sz w:val="15"/>
              </w:rPr>
              <w:t>10</w:t>
            </w:r>
          </w:p>
        </w:tc>
        <w:tc>
          <w:tcPr>
            <w:tcW w:type="dxa" w:w="720"/>
          </w:tcPr>
          <w:p>
            <w:pPr>
              <w:spacing w:after="20" w:before="0"/>
            </w:pPr>
            <w:r/>
            <w:r>
              <w:rPr>
                <w:b w:val="0"/>
                <w:i w:val="0"/>
                <w:sz w:val="15"/>
              </w:rPr>
              <w:t>D-36</w:t>
            </w:r>
          </w:p>
        </w:tc>
        <w:tc>
          <w:tcPr>
            <w:tcW w:type="dxa" w:w="1440"/>
          </w:tcPr>
          <w:p>
            <w:pPr>
              <w:spacing w:after="20" w:before="0"/>
            </w:pPr>
            <w:r/>
            <w:r>
              <w:rPr>
                <w:b w:val="0"/>
                <w:i w:val="0"/>
                <w:sz w:val="15"/>
              </w:rPr>
              <w:t>RL 18.1 / T 16.1</w:t>
            </w:r>
          </w:p>
        </w:tc>
        <w:tc>
          <w:tcPr>
            <w:tcW w:type="dxa" w:w="1296"/>
          </w:tcPr>
          <w:p>
            <w:pPr>
              <w:spacing w:after="20" w:before="0"/>
            </w:pPr>
            <w:r/>
            <w:r>
              <w:rPr>
                <w:b w:val="0"/>
                <w:i w:val="0"/>
                <w:sz w:val="15"/>
              </w:rPr>
              <w:t>13 DPA Term</w:t>
            </w:r>
          </w:p>
        </w:tc>
        <w:tc>
          <w:tcPr>
            <w:tcW w:type="dxa" w:w="3744"/>
          </w:tcPr>
          <w:p>
            <w:pPr>
              <w:spacing w:after="20" w:before="0"/>
            </w:pPr>
            <w:r/>
            <w:r>
              <w:rPr>
                <w:b w:val="0"/>
                <w:i w:val="0"/>
                <w:sz w:val="15"/>
              </w:rPr>
              <w:t>One-year auto-renewals after the MSA term; 180-day non-renewal notice; either party may terminate the DPA on 180 days’ notice (no PV comment).</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Restore T 16.1 (co-terminus; automatic termination with the MSA; MSA §22.4).</w:t>
            </w:r>
          </w:p>
        </w:tc>
      </w:tr>
      <w:tr>
        <w:tc>
          <w:tcPr>
            <w:tcW w:type="dxa" w:w="576"/>
          </w:tcPr>
          <w:p>
            <w:pPr>
              <w:spacing w:after="20" w:before="0"/>
            </w:pPr>
            <w:r/>
            <w:r>
              <w:rPr>
                <w:b w:val="0"/>
                <w:i w:val="0"/>
                <w:sz w:val="15"/>
              </w:rPr>
              <w:t>11</w:t>
            </w:r>
          </w:p>
        </w:tc>
        <w:tc>
          <w:tcPr>
            <w:tcW w:type="dxa" w:w="720"/>
          </w:tcPr>
          <w:p>
            <w:pPr>
              <w:spacing w:after="20" w:before="0"/>
            </w:pPr>
            <w:r/>
            <w:r>
              <w:rPr>
                <w:b w:val="0"/>
                <w:i w:val="0"/>
                <w:sz w:val="15"/>
              </w:rPr>
              <w:t>D-40</w:t>
            </w:r>
          </w:p>
        </w:tc>
        <w:tc>
          <w:tcPr>
            <w:tcW w:type="dxa" w:w="1440"/>
          </w:tcPr>
          <w:p>
            <w:pPr>
              <w:spacing w:after="20" w:before="0"/>
            </w:pPr>
            <w:r/>
            <w:r>
              <w:rPr>
                <w:b w:val="0"/>
                <w:i w:val="0"/>
                <w:sz w:val="15"/>
              </w:rPr>
              <w:t>RL 22.1 / T 20.1-20.2</w:t>
            </w:r>
          </w:p>
        </w:tc>
        <w:tc>
          <w:tcPr>
            <w:tcW w:type="dxa" w:w="1296"/>
          </w:tcPr>
          <w:p>
            <w:pPr>
              <w:spacing w:after="20" w:before="0"/>
            </w:pPr>
            <w:r/>
            <w:r>
              <w:rPr>
                <w:b w:val="0"/>
                <w:i w:val="0"/>
                <w:sz w:val="15"/>
              </w:rPr>
              <w:t>10 Governing Law</w:t>
            </w:r>
          </w:p>
        </w:tc>
        <w:tc>
          <w:tcPr>
            <w:tcW w:type="dxa" w:w="3744"/>
          </w:tcPr>
          <w:p>
            <w:pPr>
              <w:spacing w:after="20" w:before="0"/>
            </w:pPr>
            <w:r/>
            <w:r>
              <w:rPr>
                <w:b w:val="0"/>
                <w:i w:val="0"/>
                <w:sz w:val="15"/>
              </w:rPr>
              <w:t>Delaware law and courts replaced by the law of England and Wales and the London courts (no PV comment).</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P1 Critical</w:t>
            </w:r>
          </w:p>
        </w:tc>
        <w:tc>
          <w:tcPr>
            <w:tcW w:type="dxa" w:w="3816"/>
          </w:tcPr>
          <w:p>
            <w:pPr>
              <w:spacing w:after="20" w:before="0"/>
            </w:pPr>
            <w:r/>
            <w:r>
              <w:rPr>
                <w:b w:val="0"/>
                <w:i w:val="0"/>
                <w:sz w:val="15"/>
              </w:rPr>
              <w:t>Reject. Restore Delaware (Yellow fallback with GC approval: another US state or US-seated arbitration).</w:t>
            </w:r>
          </w:p>
        </w:tc>
      </w:tr>
      <w:tr>
        <w:tc>
          <w:tcPr>
            <w:tcW w:type="dxa" w:w="576"/>
          </w:tcPr>
          <w:p>
            <w:pPr>
              <w:spacing w:after="20" w:before="0"/>
            </w:pPr>
            <w:r/>
            <w:r>
              <w:rPr>
                <w:b w:val="0"/>
                <w:i w:val="0"/>
                <w:sz w:val="15"/>
              </w:rPr>
              <w:t>12</w:t>
            </w:r>
          </w:p>
        </w:tc>
        <w:tc>
          <w:tcPr>
            <w:tcW w:type="dxa" w:w="720"/>
          </w:tcPr>
          <w:p>
            <w:pPr>
              <w:spacing w:after="20" w:before="0"/>
            </w:pPr>
            <w:r/>
            <w:r>
              <w:rPr>
                <w:b w:val="0"/>
                <w:i w:val="0"/>
                <w:sz w:val="15"/>
              </w:rPr>
              <w:t>D-32</w:t>
            </w:r>
          </w:p>
        </w:tc>
        <w:tc>
          <w:tcPr>
            <w:tcW w:type="dxa" w:w="1440"/>
          </w:tcPr>
          <w:p>
            <w:pPr>
              <w:spacing w:after="20" w:before="0"/>
            </w:pPr>
            <w:r/>
            <w:r>
              <w:rPr>
                <w:b w:val="0"/>
                <w:i w:val="0"/>
                <w:sz w:val="15"/>
              </w:rPr>
              <w:t>RL 17.1(a) / T 13.1</w:t>
            </w:r>
          </w:p>
        </w:tc>
        <w:tc>
          <w:tcPr>
            <w:tcW w:type="dxa" w:w="1296"/>
          </w:tcPr>
          <w:p>
            <w:pPr>
              <w:spacing w:after="20" w:before="0"/>
            </w:pPr>
            <w:r/>
            <w:r>
              <w:rPr>
                <w:b w:val="0"/>
                <w:i w:val="0"/>
                <w:sz w:val="15"/>
              </w:rPr>
              <w:t>5 Return/Deletion</w:t>
            </w:r>
          </w:p>
        </w:tc>
        <w:tc>
          <w:tcPr>
            <w:tcW w:type="dxa" w:w="3744"/>
          </w:tcPr>
          <w:p>
            <w:pPr>
              <w:spacing w:after="20" w:before="0"/>
            </w:pPr>
            <w:r/>
            <w:r>
              <w:rPr>
                <w:b w:val="0"/>
                <w:i w:val="0"/>
                <w:sz w:val="15"/>
              </w:rPr>
              <w:t>Return period extended from 30 to 60 days (Red above 45).</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P2 High</w:t>
            </w:r>
          </w:p>
        </w:tc>
        <w:tc>
          <w:tcPr>
            <w:tcW w:type="dxa" w:w="3816"/>
          </w:tcPr>
          <w:p>
            <w:pPr>
              <w:spacing w:after="20" w:before="0"/>
            </w:pPr>
            <w:r/>
            <w:r>
              <w:rPr>
                <w:b w:val="0"/>
                <w:i w:val="0"/>
                <w:sz w:val="15"/>
              </w:rPr>
              <w:t>Reject. Restore 30 days (Yellow fallback: 45 days).</w:t>
            </w:r>
          </w:p>
        </w:tc>
      </w:tr>
      <w:tr>
        <w:tc>
          <w:tcPr>
            <w:tcW w:type="dxa" w:w="576"/>
          </w:tcPr>
          <w:p>
            <w:pPr>
              <w:spacing w:after="20" w:before="0"/>
            </w:pPr>
            <w:r/>
            <w:r>
              <w:rPr>
                <w:b w:val="0"/>
                <w:i w:val="0"/>
                <w:sz w:val="15"/>
              </w:rPr>
              <w:t>12</w:t>
            </w:r>
          </w:p>
        </w:tc>
        <w:tc>
          <w:tcPr>
            <w:tcW w:type="dxa" w:w="720"/>
          </w:tcPr>
          <w:p>
            <w:pPr>
              <w:spacing w:after="20" w:before="0"/>
            </w:pPr>
            <w:r/>
            <w:r>
              <w:rPr>
                <w:b w:val="0"/>
                <w:i w:val="0"/>
                <w:sz w:val="15"/>
              </w:rPr>
              <w:t>D-33</w:t>
            </w:r>
          </w:p>
        </w:tc>
        <w:tc>
          <w:tcPr>
            <w:tcW w:type="dxa" w:w="1440"/>
          </w:tcPr>
          <w:p>
            <w:pPr>
              <w:spacing w:after="20" w:before="0"/>
            </w:pPr>
            <w:r/>
            <w:r>
              <w:rPr>
                <w:b w:val="0"/>
                <w:i w:val="0"/>
                <w:sz w:val="15"/>
              </w:rPr>
              <w:t>RL 17.1(b) / T 13.2</w:t>
            </w:r>
          </w:p>
        </w:tc>
        <w:tc>
          <w:tcPr>
            <w:tcW w:type="dxa" w:w="1296"/>
          </w:tcPr>
          <w:p>
            <w:pPr>
              <w:spacing w:after="20" w:before="0"/>
            </w:pPr>
            <w:r/>
            <w:r>
              <w:rPr>
                <w:b w:val="0"/>
                <w:i w:val="0"/>
                <w:sz w:val="15"/>
              </w:rPr>
              <w:t>5 Return/Deletion</w:t>
            </w:r>
          </w:p>
        </w:tc>
        <w:tc>
          <w:tcPr>
            <w:tcW w:type="dxa" w:w="3744"/>
          </w:tcPr>
          <w:p>
            <w:pPr>
              <w:spacing w:after="20" w:before="0"/>
            </w:pPr>
            <w:r/>
            <w:r>
              <w:rPr>
                <w:b w:val="0"/>
                <w:i w:val="0"/>
                <w:sz w:val="15"/>
              </w:rPr>
              <w:t>Deletion period extended from 45 to 120 days (Red above 90).</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P2 High</w:t>
            </w:r>
          </w:p>
        </w:tc>
        <w:tc>
          <w:tcPr>
            <w:tcW w:type="dxa" w:w="3816"/>
          </w:tcPr>
          <w:p>
            <w:pPr>
              <w:spacing w:after="20" w:before="0"/>
            </w:pPr>
            <w:r/>
            <w:r>
              <w:rPr>
                <w:b w:val="0"/>
                <w:i w:val="0"/>
                <w:sz w:val="15"/>
              </w:rPr>
              <w:t>Reject. Restore 45 days (Yellow fallback: 90 days).</w:t>
            </w:r>
          </w:p>
        </w:tc>
      </w:tr>
      <w:tr>
        <w:tc>
          <w:tcPr>
            <w:tcW w:type="dxa" w:w="576"/>
          </w:tcPr>
          <w:p>
            <w:pPr>
              <w:spacing w:after="20" w:before="0"/>
            </w:pPr>
            <w:r/>
            <w:r>
              <w:rPr>
                <w:b w:val="0"/>
                <w:i w:val="0"/>
                <w:sz w:val="15"/>
              </w:rPr>
              <w:t>12</w:t>
            </w:r>
          </w:p>
        </w:tc>
        <w:tc>
          <w:tcPr>
            <w:tcW w:type="dxa" w:w="720"/>
          </w:tcPr>
          <w:p>
            <w:pPr>
              <w:spacing w:after="20" w:before="0"/>
            </w:pPr>
            <w:r/>
            <w:r>
              <w:rPr>
                <w:b w:val="0"/>
                <w:i w:val="0"/>
                <w:sz w:val="15"/>
              </w:rPr>
              <w:t>D-34</w:t>
            </w:r>
          </w:p>
        </w:tc>
        <w:tc>
          <w:tcPr>
            <w:tcW w:type="dxa" w:w="1440"/>
          </w:tcPr>
          <w:p>
            <w:pPr>
              <w:spacing w:after="20" w:before="0"/>
            </w:pPr>
            <w:r/>
            <w:r>
              <w:rPr>
                <w:b w:val="0"/>
                <w:i w:val="0"/>
                <w:sz w:val="15"/>
              </w:rPr>
              <w:t>RL 17.1(b) / T 13.2</w:t>
            </w:r>
          </w:p>
        </w:tc>
        <w:tc>
          <w:tcPr>
            <w:tcW w:type="dxa" w:w="1296"/>
          </w:tcPr>
          <w:p>
            <w:pPr>
              <w:spacing w:after="20" w:before="0"/>
            </w:pPr>
            <w:r/>
            <w:r>
              <w:rPr>
                <w:b w:val="0"/>
                <w:i w:val="0"/>
                <w:sz w:val="15"/>
              </w:rPr>
              <w:t>5, 15</w:t>
            </w:r>
          </w:p>
        </w:tc>
        <w:tc>
          <w:tcPr>
            <w:tcW w:type="dxa" w:w="3744"/>
          </w:tcPr>
          <w:p>
            <w:pPr>
              <w:spacing w:after="20" w:before="0"/>
            </w:pPr>
            <w:r/>
            <w:r>
              <w:rPr>
                <w:b w:val="0"/>
                <w:i w:val="0"/>
                <w:sz w:val="15"/>
              </w:rPr>
              <w:t>Deletion standard changed from “methods that render the data irretrievable” to “commercially appropriate methods”.</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P2 High</w:t>
            </w:r>
          </w:p>
        </w:tc>
        <w:tc>
          <w:tcPr>
            <w:tcW w:type="dxa" w:w="3816"/>
          </w:tcPr>
          <w:p>
            <w:pPr>
              <w:spacing w:after="20" w:before="0"/>
            </w:pPr>
            <w:r/>
            <w:r>
              <w:rPr>
                <w:b w:val="0"/>
                <w:i w:val="0"/>
                <w:sz w:val="15"/>
              </w:rPr>
              <w:t>Reject. Restore irretrievable deletion to the NIST SP 800-88 Rev. 1 standard.</w:t>
            </w:r>
          </w:p>
        </w:tc>
      </w:tr>
      <w:tr>
        <w:tc>
          <w:tcPr>
            <w:tcW w:type="dxa" w:w="576"/>
          </w:tcPr>
          <w:p>
            <w:pPr>
              <w:spacing w:after="20" w:before="0"/>
            </w:pPr>
            <w:r/>
            <w:r>
              <w:rPr>
                <w:b w:val="0"/>
                <w:i w:val="0"/>
                <w:sz w:val="15"/>
              </w:rPr>
              <w:t>12</w:t>
            </w:r>
          </w:p>
        </w:tc>
        <w:tc>
          <w:tcPr>
            <w:tcW w:type="dxa" w:w="720"/>
          </w:tcPr>
          <w:p>
            <w:pPr>
              <w:spacing w:after="20" w:before="0"/>
            </w:pPr>
            <w:r/>
            <w:r>
              <w:rPr>
                <w:b w:val="0"/>
                <w:i w:val="0"/>
                <w:sz w:val="15"/>
              </w:rPr>
              <w:t>D-35</w:t>
            </w:r>
          </w:p>
        </w:tc>
        <w:tc>
          <w:tcPr>
            <w:tcW w:type="dxa" w:w="1440"/>
          </w:tcPr>
          <w:p>
            <w:pPr>
              <w:spacing w:after="20" w:before="0"/>
            </w:pPr>
            <w:r/>
            <w:r>
              <w:rPr>
                <w:b w:val="0"/>
                <w:i w:val="0"/>
                <w:sz w:val="15"/>
              </w:rPr>
              <w:t>RL 17.2 / T 13.3</w:t>
            </w:r>
          </w:p>
        </w:tc>
        <w:tc>
          <w:tcPr>
            <w:tcW w:type="dxa" w:w="1296"/>
          </w:tcPr>
          <w:p>
            <w:pPr>
              <w:spacing w:after="20" w:before="0"/>
            </w:pPr>
            <w:r/>
            <w:r>
              <w:rPr>
                <w:b w:val="0"/>
                <w:i w:val="0"/>
                <w:sz w:val="15"/>
              </w:rPr>
              <w:t>5 Return/Deletion</w:t>
            </w:r>
          </w:p>
        </w:tc>
        <w:tc>
          <w:tcPr>
            <w:tcW w:type="dxa" w:w="3744"/>
          </w:tcPr>
          <w:p>
            <w:pPr>
              <w:spacing w:after="20" w:before="0"/>
            </w:pPr>
            <w:r/>
            <w:r>
              <w:rPr>
                <w:b w:val="0"/>
                <w:i w:val="0"/>
                <w:sz w:val="15"/>
              </w:rPr>
              <w:t>Officer-signed certificate of destruction replaced with “confirm deletion … upon reasonable request” (no PV comment).</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P2 High</w:t>
            </w:r>
          </w:p>
        </w:tc>
        <w:tc>
          <w:tcPr>
            <w:tcW w:type="dxa" w:w="3816"/>
          </w:tcPr>
          <w:p>
            <w:pPr>
              <w:spacing w:after="20" w:before="0"/>
            </w:pPr>
            <w:r/>
            <w:r>
              <w:rPr>
                <w:b w:val="0"/>
                <w:i w:val="0"/>
                <w:sz w:val="15"/>
              </w:rPr>
              <w:t>Reject. Restore T 13.3 (Yellow fallback: electronic certificate signed by an authorised officer).</w:t>
            </w:r>
          </w:p>
        </w:tc>
      </w:tr>
      <w:tr>
        <w:tc>
          <w:tcPr>
            <w:tcW w:type="dxa" w:w="576"/>
          </w:tcPr>
          <w:p>
            <w:pPr>
              <w:spacing w:after="20" w:before="0"/>
            </w:pPr>
            <w:r/>
            <w:r>
              <w:rPr>
                <w:b w:val="0"/>
                <w:i w:val="0"/>
                <w:sz w:val="15"/>
              </w:rPr>
              <w:t>13</w:t>
            </w:r>
          </w:p>
        </w:tc>
        <w:tc>
          <w:tcPr>
            <w:tcW w:type="dxa" w:w="720"/>
          </w:tcPr>
          <w:p>
            <w:pPr>
              <w:spacing w:after="20" w:before="0"/>
            </w:pPr>
            <w:r/>
            <w:r>
              <w:rPr>
                <w:b w:val="0"/>
                <w:i w:val="0"/>
                <w:sz w:val="15"/>
              </w:rPr>
              <w:t>D-30</w:t>
            </w:r>
          </w:p>
        </w:tc>
        <w:tc>
          <w:tcPr>
            <w:tcW w:type="dxa" w:w="1440"/>
          </w:tcPr>
          <w:p>
            <w:pPr>
              <w:spacing w:after="20" w:before="0"/>
            </w:pPr>
            <w:r/>
            <w:r>
              <w:rPr>
                <w:b w:val="0"/>
                <w:i w:val="0"/>
                <w:sz w:val="15"/>
              </w:rPr>
              <w:t>RL 15.1(c) / T 8.2(c)</w:t>
            </w:r>
          </w:p>
        </w:tc>
        <w:tc>
          <w:tcPr>
            <w:tcW w:type="dxa" w:w="1296"/>
          </w:tcPr>
          <w:p>
            <w:pPr>
              <w:spacing w:after="20" w:before="0"/>
            </w:pPr>
            <w:r/>
            <w:r>
              <w:rPr>
                <w:b w:val="0"/>
                <w:i w:val="0"/>
                <w:sz w:val="15"/>
              </w:rPr>
              <w:t>8 Security Certs</w:t>
            </w:r>
          </w:p>
        </w:tc>
        <w:tc>
          <w:tcPr>
            <w:tcW w:type="dxa" w:w="3744"/>
          </w:tcPr>
          <w:p>
            <w:pPr>
              <w:spacing w:after="20" w:before="0"/>
            </w:pPr>
            <w:r/>
            <w:r>
              <w:rPr>
                <w:b w:val="0"/>
                <w:i w:val="0"/>
                <w:sz w:val="15"/>
              </w:rPr>
              <w:t>HITRUST CSF certification deleted with no 12-month commitment. Shown as untracked “[DELETED]” text (no PV comment).</w:t>
            </w:r>
          </w:p>
        </w:tc>
        <w:tc>
          <w:tcPr>
            <w:tcW w:type="dxa" w:w="1080"/>
            <w:shd w:val="clear" w:color="auto" w:fill="F4C7C3"/>
          </w:tcPr>
          <w:p>
            <w:pPr>
              <w:spacing w:after="20" w:before="0"/>
            </w:pPr>
            <w:r/>
            <w:r>
              <w:rPr>
                <w:b w:val="0"/>
                <w:i w:val="0"/>
                <w:sz w:val="15"/>
              </w:rPr>
              <w:t>RED (compound)</w:t>
            </w:r>
          </w:p>
        </w:tc>
        <w:tc>
          <w:tcPr>
            <w:tcW w:type="dxa" w:w="1008"/>
          </w:tcPr>
          <w:p>
            <w:pPr>
              <w:spacing w:after="20" w:before="0"/>
            </w:pPr>
            <w:r/>
            <w:r>
              <w:rPr>
                <w:b w:val="0"/>
                <w:i w:val="0"/>
                <w:sz w:val="15"/>
              </w:rPr>
              <w:t>P2 High</w:t>
            </w:r>
          </w:p>
        </w:tc>
        <w:tc>
          <w:tcPr>
            <w:tcW w:type="dxa" w:w="3816"/>
          </w:tcPr>
          <w:p>
            <w:pPr>
              <w:spacing w:after="20" w:before="0"/>
            </w:pPr>
            <w:r/>
            <w:r>
              <w:rPr>
                <w:b w:val="0"/>
                <w:i w:val="0"/>
                <w:sz w:val="15"/>
              </w:rPr>
              <w:t>Reject. Restore HITRUST (Yellow fallback: certification within 12 months, ISO and SOC 2 maintained).</w:t>
            </w:r>
          </w:p>
        </w:tc>
      </w:tr>
      <w:tr>
        <w:tc>
          <w:tcPr>
            <w:tcW w:type="dxa" w:w="576"/>
          </w:tcPr>
          <w:p>
            <w:pPr>
              <w:spacing w:after="20" w:before="0"/>
            </w:pPr>
            <w:r/>
            <w:r>
              <w:rPr>
                <w:b w:val="0"/>
                <w:i w:val="0"/>
                <w:sz w:val="15"/>
              </w:rPr>
              <w:t>13</w:t>
            </w:r>
          </w:p>
        </w:tc>
        <w:tc>
          <w:tcPr>
            <w:tcW w:type="dxa" w:w="720"/>
          </w:tcPr>
          <w:p>
            <w:pPr>
              <w:spacing w:after="20" w:before="0"/>
            </w:pPr>
            <w:r/>
            <w:r>
              <w:rPr>
                <w:b w:val="0"/>
                <w:i w:val="0"/>
                <w:sz w:val="15"/>
              </w:rPr>
              <w:t>D-31</w:t>
            </w:r>
          </w:p>
        </w:tc>
        <w:tc>
          <w:tcPr>
            <w:tcW w:type="dxa" w:w="1440"/>
          </w:tcPr>
          <w:p>
            <w:pPr>
              <w:spacing w:after="20" w:before="0"/>
            </w:pPr>
            <w:r/>
            <w:r>
              <w:rPr>
                <w:b w:val="0"/>
                <w:i w:val="0"/>
                <w:sz w:val="15"/>
              </w:rPr>
              <w:t>RL 15.1 / T 8.2</w:t>
            </w:r>
          </w:p>
        </w:tc>
        <w:tc>
          <w:tcPr>
            <w:tcW w:type="dxa" w:w="1296"/>
          </w:tcPr>
          <w:p>
            <w:pPr>
              <w:spacing w:after="20" w:before="0"/>
            </w:pPr>
            <w:r/>
            <w:r>
              <w:rPr>
                <w:b w:val="0"/>
                <w:i w:val="0"/>
                <w:sz w:val="15"/>
              </w:rPr>
              <w:t>8 Security Certs</w:t>
            </w:r>
          </w:p>
        </w:tc>
        <w:tc>
          <w:tcPr>
            <w:tcW w:type="dxa" w:w="3744"/>
          </w:tcPr>
          <w:p>
            <w:pPr>
              <w:spacing w:after="20" w:before="0"/>
            </w:pPr>
            <w:r/>
            <w:r>
              <w:rPr>
                <w:b w:val="0"/>
                <w:i w:val="0"/>
                <w:sz w:val="15"/>
              </w:rPr>
              <w:t>Annual delivery of certification reports, and delivery on any change in status, becomes “upon reasonable request” with no response deadline.</w:t>
            </w:r>
          </w:p>
        </w:tc>
        <w:tc>
          <w:tcPr>
            <w:tcW w:type="dxa" w:w="1080"/>
            <w:shd w:val="clear" w:color="auto" w:fill="F4C7C3"/>
          </w:tcPr>
          <w:p>
            <w:pPr>
              <w:spacing w:after="20" w:before="0"/>
            </w:pPr>
            <w:r/>
            <w:r>
              <w:rPr>
                <w:b w:val="0"/>
                <w:i w:val="0"/>
                <w:sz w:val="15"/>
              </w:rPr>
              <w:t>RED (compound)</w:t>
            </w:r>
          </w:p>
        </w:tc>
        <w:tc>
          <w:tcPr>
            <w:tcW w:type="dxa" w:w="1008"/>
          </w:tcPr>
          <w:p>
            <w:pPr>
              <w:spacing w:after="20" w:before="0"/>
            </w:pPr>
            <w:r/>
            <w:r>
              <w:rPr>
                <w:b w:val="0"/>
                <w:i w:val="0"/>
                <w:sz w:val="15"/>
              </w:rPr>
              <w:t>P2 High</w:t>
            </w:r>
          </w:p>
        </w:tc>
        <w:tc>
          <w:tcPr>
            <w:tcW w:type="dxa" w:w="3816"/>
          </w:tcPr>
          <w:p>
            <w:pPr>
              <w:spacing w:after="20" w:before="0"/>
            </w:pPr>
            <w:r/>
            <w:r>
              <w:rPr>
                <w:b w:val="0"/>
                <w:i w:val="0"/>
                <w:sz w:val="15"/>
              </w:rPr>
              <w:t>Reject. Restore annual delivery within 30 days of issuance (Yellow fallback: on request at any time, with a 15 business day response).</w:t>
            </w:r>
          </w:p>
        </w:tc>
      </w:tr>
      <w:tr>
        <w:tc>
          <w:tcPr>
            <w:tcW w:type="dxa" w:w="576"/>
          </w:tcPr>
          <w:p>
            <w:pPr>
              <w:spacing w:after="20" w:before="0"/>
            </w:pPr>
            <w:r/>
            <w:r>
              <w:rPr>
                <w:b w:val="0"/>
                <w:i w:val="0"/>
                <w:sz w:val="15"/>
              </w:rPr>
              <w:t>14</w:t>
            </w:r>
          </w:p>
        </w:tc>
        <w:tc>
          <w:tcPr>
            <w:tcW w:type="dxa" w:w="720"/>
          </w:tcPr>
          <w:p>
            <w:pPr>
              <w:spacing w:after="20" w:before="0"/>
            </w:pPr>
            <w:r/>
            <w:r>
              <w:rPr>
                <w:b w:val="0"/>
                <w:i w:val="0"/>
                <w:sz w:val="15"/>
              </w:rPr>
              <w:t>D-17</w:t>
            </w:r>
          </w:p>
        </w:tc>
        <w:tc>
          <w:tcPr>
            <w:tcW w:type="dxa" w:w="1440"/>
          </w:tcPr>
          <w:p>
            <w:pPr>
              <w:spacing w:after="20" w:before="0"/>
            </w:pPr>
            <w:r/>
            <w:r>
              <w:rPr>
                <w:b w:val="0"/>
                <w:i w:val="0"/>
                <w:sz w:val="15"/>
              </w:rPr>
              <w:t>RL 9.2 / T 9.2</w:t>
            </w:r>
          </w:p>
        </w:tc>
        <w:tc>
          <w:tcPr>
            <w:tcW w:type="dxa" w:w="1296"/>
          </w:tcPr>
          <w:p>
            <w:pPr>
              <w:spacing w:after="20" w:before="0"/>
            </w:pPr>
            <w:r/>
            <w:r>
              <w:rPr>
                <w:b w:val="0"/>
                <w:i w:val="0"/>
                <w:sz w:val="15"/>
              </w:rPr>
              <w:t>9 DSR Assistance</w:t>
            </w:r>
          </w:p>
        </w:tc>
        <w:tc>
          <w:tcPr>
            <w:tcW w:type="dxa" w:w="3744"/>
          </w:tcPr>
          <w:p>
            <w:pPr>
              <w:spacing w:after="20" w:before="0"/>
            </w:pPr>
            <w:r/>
            <w:r>
              <w:rPr>
                <w:b w:val="0"/>
                <w:i w:val="0"/>
                <w:sz w:val="15"/>
              </w:rPr>
              <w:t>Assistance period extended from 5 to 15 business days (Red above 10). (PV-09)</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P2 High</w:t>
            </w:r>
          </w:p>
        </w:tc>
        <w:tc>
          <w:tcPr>
            <w:tcW w:type="dxa" w:w="3816"/>
          </w:tcPr>
          <w:p>
            <w:pPr>
              <w:spacing w:after="20" w:before="0"/>
            </w:pPr>
            <w:r/>
            <w:r>
              <w:rPr>
                <w:b w:val="0"/>
                <w:i w:val="0"/>
                <w:sz w:val="15"/>
              </w:rPr>
              <w:t>Reject. Restore 5 business days (Yellow fallback: 10).</w:t>
            </w:r>
          </w:p>
        </w:tc>
      </w:tr>
      <w:tr>
        <w:tc>
          <w:tcPr>
            <w:tcW w:type="dxa" w:w="576"/>
          </w:tcPr>
          <w:p>
            <w:pPr>
              <w:spacing w:after="20" w:before="0"/>
            </w:pPr>
            <w:r/>
            <w:r>
              <w:rPr>
                <w:b w:val="0"/>
                <w:i w:val="0"/>
                <w:sz w:val="15"/>
              </w:rPr>
              <w:t>14</w:t>
            </w:r>
          </w:p>
        </w:tc>
        <w:tc>
          <w:tcPr>
            <w:tcW w:type="dxa" w:w="720"/>
          </w:tcPr>
          <w:p>
            <w:pPr>
              <w:spacing w:after="20" w:before="0"/>
            </w:pPr>
            <w:r/>
            <w:r>
              <w:rPr>
                <w:b w:val="0"/>
                <w:i w:val="0"/>
                <w:sz w:val="15"/>
              </w:rPr>
              <w:t>D-18</w:t>
            </w:r>
          </w:p>
        </w:tc>
        <w:tc>
          <w:tcPr>
            <w:tcW w:type="dxa" w:w="1440"/>
          </w:tcPr>
          <w:p>
            <w:pPr>
              <w:spacing w:after="20" w:before="0"/>
            </w:pPr>
            <w:r/>
            <w:r>
              <w:rPr>
                <w:b w:val="0"/>
                <w:i w:val="0"/>
                <w:sz w:val="15"/>
              </w:rPr>
              <w:t>RL 9.3 (new) / T 9.3</w:t>
            </w:r>
          </w:p>
        </w:tc>
        <w:tc>
          <w:tcPr>
            <w:tcW w:type="dxa" w:w="1296"/>
          </w:tcPr>
          <w:p>
            <w:pPr>
              <w:spacing w:after="20" w:before="0"/>
            </w:pPr>
            <w:r/>
            <w:r>
              <w:rPr>
                <w:b w:val="0"/>
                <w:i w:val="0"/>
                <w:sz w:val="15"/>
              </w:rPr>
              <w:t>9 DSR Assistance</w:t>
            </w:r>
          </w:p>
        </w:tc>
        <w:tc>
          <w:tcPr>
            <w:tcW w:type="dxa" w:w="3744"/>
          </w:tcPr>
          <w:p>
            <w:pPr>
              <w:spacing w:after="20" w:before="0"/>
            </w:pPr>
            <w:r/>
            <w:r>
              <w:rPr>
                <w:b w:val="0"/>
                <w:i w:val="0"/>
                <w:sz w:val="15"/>
              </w:rPr>
              <w:t>Controller to reimburse costs for requests above 10 per month.</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P2 High</w:t>
            </w:r>
          </w:p>
        </w:tc>
        <w:tc>
          <w:tcPr>
            <w:tcW w:type="dxa" w:w="3816"/>
          </w:tcPr>
          <w:p>
            <w:pPr>
              <w:spacing w:after="20" w:before="0"/>
            </w:pPr>
            <w:r/>
            <w:r>
              <w:rPr>
                <w:b w:val="0"/>
                <w:i w:val="0"/>
                <w:sz w:val="15"/>
              </w:rPr>
              <w:t>Reject. Restore T 9.3 (no fee). Any fee only for genuinely exceptional volumes, with CPO sign-off.</w:t>
            </w:r>
          </w:p>
        </w:tc>
      </w:tr>
      <w:tr>
        <w:tc>
          <w:tcPr>
            <w:tcW w:type="dxa" w:w="576"/>
          </w:tcPr>
          <w:p>
            <w:pPr>
              <w:spacing w:after="20" w:before="0"/>
            </w:pPr>
            <w:r/>
            <w:r>
              <w:rPr>
                <w:b w:val="0"/>
                <w:i w:val="0"/>
                <w:sz w:val="15"/>
              </w:rPr>
              <w:t>15</w:t>
            </w:r>
          </w:p>
        </w:tc>
        <w:tc>
          <w:tcPr>
            <w:tcW w:type="dxa" w:w="720"/>
          </w:tcPr>
          <w:p>
            <w:pPr>
              <w:spacing w:after="20" w:before="0"/>
            </w:pPr>
            <w:r/>
            <w:r>
              <w:rPr>
                <w:b w:val="0"/>
                <w:i w:val="0"/>
                <w:sz w:val="15"/>
              </w:rPr>
              <w:t>D-38</w:t>
            </w:r>
          </w:p>
        </w:tc>
        <w:tc>
          <w:tcPr>
            <w:tcW w:type="dxa" w:w="1440"/>
          </w:tcPr>
          <w:p>
            <w:pPr>
              <w:spacing w:after="20" w:before="0"/>
            </w:pPr>
            <w:r/>
            <w:r>
              <w:rPr>
                <w:b w:val="0"/>
                <w:i w:val="0"/>
                <w:sz w:val="15"/>
              </w:rPr>
              <w:t>RL 20 (new)</w:t>
            </w:r>
          </w:p>
        </w:tc>
        <w:tc>
          <w:tcPr>
            <w:tcW w:type="dxa" w:w="1296"/>
          </w:tcPr>
          <w:p>
            <w:pPr>
              <w:spacing w:after="20" w:before="0"/>
            </w:pPr>
            <w:r/>
            <w:r>
              <w:rPr>
                <w:b w:val="0"/>
                <w:i w:val="0"/>
                <w:sz w:val="15"/>
              </w:rPr>
              <w:t>18 Force Majeure</w:t>
            </w:r>
          </w:p>
        </w:tc>
        <w:tc>
          <w:tcPr>
            <w:tcW w:type="dxa" w:w="3744"/>
          </w:tcPr>
          <w:p>
            <w:pPr>
              <w:spacing w:after="20" w:before="0"/>
            </w:pPr>
            <w:r/>
            <w:r>
              <w:rPr>
                <w:b w:val="0"/>
                <w:i w:val="0"/>
                <w:sz w:val="15"/>
              </w:rPr>
              <w:t>Force majeure clause carves out breach notification only, not security or data protection obligations; “cyberattacks on critical national infrastructure” is a listed event; 90-day termination right.</w:t>
            </w:r>
          </w:p>
        </w:tc>
        <w:tc>
          <w:tcPr>
            <w:tcW w:type="dxa" w:w="1080"/>
            <w:shd w:val="clear" w:color="auto" w:fill="F4C7C3"/>
          </w:tcPr>
          <w:p>
            <w:pPr>
              <w:spacing w:after="20" w:before="0"/>
            </w:pPr>
            <w:r/>
            <w:r>
              <w:rPr>
                <w:b w:val="0"/>
                <w:i w:val="0"/>
                <w:sz w:val="15"/>
              </w:rPr>
              <w:t>RED</w:t>
            </w:r>
          </w:p>
        </w:tc>
        <w:tc>
          <w:tcPr>
            <w:tcW w:type="dxa" w:w="1008"/>
          </w:tcPr>
          <w:p>
            <w:pPr>
              <w:spacing w:after="20" w:before="0"/>
            </w:pPr>
            <w:r/>
            <w:r>
              <w:rPr>
                <w:b w:val="0"/>
                <w:i w:val="0"/>
                <w:sz w:val="15"/>
              </w:rPr>
              <w:t>P2 High</w:t>
            </w:r>
          </w:p>
        </w:tc>
        <w:tc>
          <w:tcPr>
            <w:tcW w:type="dxa" w:w="3816"/>
          </w:tcPr>
          <w:p>
            <w:pPr>
              <w:spacing w:after="20" w:before="0"/>
            </w:pPr>
            <w:r/>
            <w:r>
              <w:rPr>
                <w:b w:val="0"/>
                <w:i w:val="0"/>
                <w:sz w:val="15"/>
              </w:rPr>
              <w:t>Counter-propose. Keep RL 20.2 and add carve-outs for security, BCP/DR and all data protection obligations; delete the cyberattack trigger; no Processor termination right.</w:t>
            </w:r>
          </w:p>
        </w:tc>
      </w:tr>
      <w:tr>
        <w:tc>
          <w:tcPr>
            <w:tcW w:type="dxa" w:w="576"/>
          </w:tcPr>
          <w:p>
            <w:pPr>
              <w:spacing w:after="20" w:before="0"/>
            </w:pPr>
            <w:r/>
            <w:r>
              <w:rPr>
                <w:b w:val="0"/>
                <w:i w:val="0"/>
                <w:sz w:val="15"/>
              </w:rPr>
              <w:t>16</w:t>
            </w:r>
          </w:p>
        </w:tc>
        <w:tc>
          <w:tcPr>
            <w:tcW w:type="dxa" w:w="720"/>
          </w:tcPr>
          <w:p>
            <w:pPr>
              <w:spacing w:after="20" w:before="0"/>
            </w:pPr>
            <w:r/>
            <w:r>
              <w:rPr>
                <w:b w:val="0"/>
                <w:i w:val="0"/>
                <w:sz w:val="15"/>
              </w:rPr>
              <w:t>D-39</w:t>
            </w:r>
          </w:p>
        </w:tc>
        <w:tc>
          <w:tcPr>
            <w:tcW w:type="dxa" w:w="1440"/>
          </w:tcPr>
          <w:p>
            <w:pPr>
              <w:spacing w:after="20" w:before="0"/>
            </w:pPr>
            <w:r/>
            <w:r>
              <w:rPr>
                <w:b w:val="0"/>
                <w:i w:val="0"/>
                <w:sz w:val="15"/>
              </w:rPr>
              <w:t>RL 21 (new)</w:t>
            </w:r>
          </w:p>
        </w:tc>
        <w:tc>
          <w:tcPr>
            <w:tcW w:type="dxa" w:w="1296"/>
          </w:tcPr>
          <w:p>
            <w:pPr>
              <w:spacing w:after="20" w:before="0"/>
            </w:pPr>
            <w:r/>
            <w:r>
              <w:rPr>
                <w:b w:val="0"/>
                <w:i w:val="0"/>
                <w:sz w:val="15"/>
              </w:rPr>
              <w:t>Unaddressed (default Yellow)</w:t>
            </w:r>
          </w:p>
        </w:tc>
        <w:tc>
          <w:tcPr>
            <w:tcW w:type="dxa" w:w="3744"/>
          </w:tcPr>
          <w:p>
            <w:pPr>
              <w:spacing w:after="20" w:before="0"/>
            </w:pPr>
            <w:r/>
            <w:r>
              <w:rPr>
                <w:b w:val="0"/>
                <w:i w:val="0"/>
                <w:sz w:val="15"/>
              </w:rPr>
              <w:t>Processor may suspend Processing after 60 days’ non-payment, on 30 days’ notice.</w:t>
            </w:r>
          </w:p>
        </w:tc>
        <w:tc>
          <w:tcPr>
            <w:tcW w:type="dxa" w:w="1080"/>
            <w:shd w:val="clear" w:color="auto" w:fill="FFF2CC"/>
          </w:tcPr>
          <w:p>
            <w:pPr>
              <w:spacing w:after="20" w:before="0"/>
            </w:pPr>
            <w:r/>
            <w:r>
              <w:rPr>
                <w:b w:val="0"/>
                <w:i w:val="0"/>
                <w:sz w:val="15"/>
              </w:rPr>
              <w:t>YELLOW</w:t>
            </w:r>
          </w:p>
        </w:tc>
        <w:tc>
          <w:tcPr>
            <w:tcW w:type="dxa" w:w="1008"/>
          </w:tcPr>
          <w:p>
            <w:pPr>
              <w:spacing w:after="20" w:before="0"/>
            </w:pPr>
            <w:r/>
            <w:r>
              <w:rPr>
                <w:b w:val="0"/>
                <w:i w:val="0"/>
                <w:sz w:val="15"/>
              </w:rPr>
              <w:t>P2 High</w:t>
            </w:r>
          </w:p>
        </w:tc>
        <w:tc>
          <w:tcPr>
            <w:tcW w:type="dxa" w:w="3816"/>
          </w:tcPr>
          <w:p>
            <w:pPr>
              <w:spacing w:after="20" w:before="0"/>
            </w:pPr>
            <w:r/>
            <w:r>
              <w:rPr>
                <w:b w:val="0"/>
                <w:i w:val="0"/>
                <w:sz w:val="15"/>
              </w:rPr>
              <w:t>Recommend rejection (CPO decision; consult C. Holloway). Payment remedies belong in the MSA (1.5% monthly interest).</w:t>
            </w:r>
          </w:p>
        </w:tc>
      </w:tr>
      <w:tr>
        <w:tc>
          <w:tcPr>
            <w:tcW w:type="dxa" w:w="576"/>
          </w:tcPr>
          <w:p>
            <w:pPr>
              <w:spacing w:after="20" w:before="0"/>
            </w:pPr>
            <w:r/>
            <w:r>
              <w:rPr>
                <w:b w:val="0"/>
                <w:i w:val="0"/>
                <w:sz w:val="15"/>
              </w:rPr>
              <w:t>17</w:t>
            </w:r>
          </w:p>
        </w:tc>
        <w:tc>
          <w:tcPr>
            <w:tcW w:type="dxa" w:w="720"/>
          </w:tcPr>
          <w:p>
            <w:pPr>
              <w:spacing w:after="20" w:before="0"/>
            </w:pPr>
            <w:r/>
            <w:r>
              <w:rPr>
                <w:b w:val="0"/>
                <w:i w:val="0"/>
                <w:sz w:val="15"/>
              </w:rPr>
              <w:t>D-21</w:t>
            </w:r>
          </w:p>
        </w:tc>
        <w:tc>
          <w:tcPr>
            <w:tcW w:type="dxa" w:w="1440"/>
          </w:tcPr>
          <w:p>
            <w:pPr>
              <w:spacing w:after="20" w:before="0"/>
            </w:pPr>
            <w:r/>
            <w:r>
              <w:rPr>
                <w:b w:val="0"/>
                <w:i w:val="0"/>
                <w:sz w:val="15"/>
              </w:rPr>
              <w:t>RL 10.5 (new)</w:t>
            </w:r>
          </w:p>
        </w:tc>
        <w:tc>
          <w:tcPr>
            <w:tcW w:type="dxa" w:w="1296"/>
          </w:tcPr>
          <w:p>
            <w:pPr>
              <w:spacing w:after="20" w:before="0"/>
            </w:pPr>
            <w:r/>
            <w:r>
              <w:rPr>
                <w:b w:val="0"/>
                <w:i w:val="0"/>
                <w:sz w:val="15"/>
              </w:rPr>
              <w:t>2, 15</w:t>
            </w:r>
          </w:p>
        </w:tc>
        <w:tc>
          <w:tcPr>
            <w:tcW w:type="dxa" w:w="3744"/>
          </w:tcPr>
          <w:p>
            <w:pPr>
              <w:spacing w:after="20" w:before="0"/>
            </w:pPr>
            <w:r/>
            <w:r>
              <w:rPr>
                <w:b w:val="0"/>
                <w:i w:val="0"/>
                <w:sz w:val="15"/>
              </w:rPr>
              <w:t xml:space="preserve">Unsuccessful security incidents (pings, port scans, failed log-ins, </w:t>
            </w:r>
            <w:r>
              <w:rPr>
                <w:b/>
                <w:i w:val="0"/>
                <w:sz w:val="15"/>
              </w:rPr>
              <w:t>denial-of-service attacks</w:t>
            </w:r>
            <w:r>
              <w:rPr>
                <w:b w:val="0"/>
                <w:i w:val="0"/>
                <w:sz w:val="15"/>
              </w:rPr>
              <w:t>) are not Personal Data Breaches. (PV-11)</w:t>
            </w:r>
          </w:p>
        </w:tc>
        <w:tc>
          <w:tcPr>
            <w:tcW w:type="dxa" w:w="1080"/>
            <w:shd w:val="clear" w:color="auto" w:fill="FFF2CC"/>
          </w:tcPr>
          <w:p>
            <w:pPr>
              <w:spacing w:after="20" w:before="0"/>
            </w:pPr>
            <w:r/>
            <w:r>
              <w:rPr>
                <w:b w:val="0"/>
                <w:i w:val="0"/>
                <w:sz w:val="15"/>
              </w:rPr>
              <w:t>YELLOW</w:t>
            </w:r>
          </w:p>
        </w:tc>
        <w:tc>
          <w:tcPr>
            <w:tcW w:type="dxa" w:w="1008"/>
          </w:tcPr>
          <w:p>
            <w:pPr>
              <w:spacing w:after="20" w:before="0"/>
            </w:pPr>
            <w:r/>
            <w:r>
              <w:rPr>
                <w:b w:val="0"/>
                <w:i w:val="0"/>
                <w:sz w:val="15"/>
              </w:rPr>
              <w:t>P3 Medium</w:t>
            </w:r>
          </w:p>
        </w:tc>
        <w:tc>
          <w:tcPr>
            <w:tcW w:type="dxa" w:w="3816"/>
          </w:tcPr>
          <w:p>
            <w:pPr>
              <w:spacing w:after="20" w:before="0"/>
            </w:pPr>
            <w:r/>
            <w:r>
              <w:rPr>
                <w:b w:val="0"/>
                <w:i w:val="0"/>
                <w:sz w:val="15"/>
              </w:rPr>
              <w:t>Accept with conditions: delete denial-of-service attacks; add a HIPAA standing notice of unsuccessful Security Incidents; any incident affecting availability is a breach.</w:t>
            </w:r>
          </w:p>
        </w:tc>
      </w:tr>
      <w:tr>
        <w:tc>
          <w:tcPr>
            <w:tcW w:type="dxa" w:w="576"/>
          </w:tcPr>
          <w:p>
            <w:pPr>
              <w:spacing w:after="20" w:before="0"/>
            </w:pPr>
            <w:r/>
            <w:r>
              <w:rPr>
                <w:b w:val="0"/>
                <w:i w:val="0"/>
                <w:sz w:val="15"/>
              </w:rPr>
              <w:t>18</w:t>
            </w:r>
          </w:p>
        </w:tc>
        <w:tc>
          <w:tcPr>
            <w:tcW w:type="dxa" w:w="720"/>
          </w:tcPr>
          <w:p>
            <w:pPr>
              <w:spacing w:after="20" w:before="0"/>
            </w:pPr>
            <w:r/>
            <w:r>
              <w:rPr>
                <w:b w:val="0"/>
                <w:i w:val="0"/>
                <w:sz w:val="15"/>
              </w:rPr>
              <w:t>D-02</w:t>
            </w:r>
          </w:p>
        </w:tc>
        <w:tc>
          <w:tcPr>
            <w:tcW w:type="dxa" w:w="1440"/>
          </w:tcPr>
          <w:p>
            <w:pPr>
              <w:spacing w:after="20" w:before="0"/>
            </w:pPr>
            <w:r/>
            <w:r>
              <w:rPr>
                <w:b w:val="0"/>
                <w:i w:val="0"/>
                <w:sz w:val="15"/>
              </w:rPr>
              <w:t>RL Recitals (new)</w:t>
            </w:r>
          </w:p>
        </w:tc>
        <w:tc>
          <w:tcPr>
            <w:tcW w:type="dxa" w:w="1296"/>
          </w:tcPr>
          <w:p>
            <w:pPr>
              <w:spacing w:after="20" w:before="0"/>
            </w:pPr>
            <w:r/>
            <w:r>
              <w:rPr>
                <w:b w:val="0"/>
                <w:i w:val="0"/>
                <w:sz w:val="15"/>
              </w:rPr>
              <w:t>Unaddressed (default Yellow)</w:t>
            </w:r>
          </w:p>
        </w:tc>
        <w:tc>
          <w:tcPr>
            <w:tcW w:type="dxa" w:w="3744"/>
          </w:tcPr>
          <w:p>
            <w:pPr>
              <w:spacing w:after="20" w:before="0"/>
            </w:pPr>
            <w:r/>
            <w:r>
              <w:rPr>
                <w:b w:val="0"/>
                <w:i w:val="0"/>
                <w:sz w:val="15"/>
              </w:rPr>
              <w:t>Recital that CloudNest “maintains robust … certifications, including ISO 27001 and SOC 2 Type II”. (PV-01)</w:t>
            </w:r>
          </w:p>
        </w:tc>
        <w:tc>
          <w:tcPr>
            <w:tcW w:type="dxa" w:w="1080"/>
            <w:shd w:val="clear" w:color="auto" w:fill="FFF2CC"/>
          </w:tcPr>
          <w:p>
            <w:pPr>
              <w:spacing w:after="20" w:before="0"/>
            </w:pPr>
            <w:r/>
            <w:r>
              <w:rPr>
                <w:b w:val="0"/>
                <w:i w:val="0"/>
                <w:sz w:val="15"/>
              </w:rPr>
              <w:t>YELLOW</w:t>
            </w:r>
          </w:p>
        </w:tc>
        <w:tc>
          <w:tcPr>
            <w:tcW w:type="dxa" w:w="1008"/>
          </w:tcPr>
          <w:p>
            <w:pPr>
              <w:spacing w:after="20" w:before="0"/>
            </w:pPr>
            <w:r/>
            <w:r>
              <w:rPr>
                <w:b w:val="0"/>
                <w:i w:val="0"/>
                <w:sz w:val="15"/>
              </w:rPr>
              <w:t>P3 Medium</w:t>
            </w:r>
          </w:p>
        </w:tc>
        <w:tc>
          <w:tcPr>
            <w:tcW w:type="dxa" w:w="3816"/>
          </w:tcPr>
          <w:p>
            <w:pPr>
              <w:spacing w:after="20" w:before="0"/>
            </w:pPr>
            <w:r/>
            <w:r>
              <w:rPr>
                <w:b w:val="0"/>
                <w:i w:val="0"/>
                <w:sz w:val="15"/>
              </w:rPr>
              <w:t>Delete, or convert into a Processor warranty that also covers HITRUST. Do not accept as a neutral recital.</w:t>
            </w:r>
          </w:p>
        </w:tc>
      </w:tr>
      <w:tr>
        <w:tc>
          <w:tcPr>
            <w:tcW w:type="dxa" w:w="576"/>
          </w:tcPr>
          <w:p>
            <w:pPr>
              <w:spacing w:after="20" w:before="0"/>
            </w:pPr>
            <w:r/>
            <w:r>
              <w:rPr>
                <w:b w:val="0"/>
                <w:i w:val="0"/>
                <w:sz w:val="15"/>
              </w:rPr>
              <w:t>19</w:t>
            </w:r>
          </w:p>
        </w:tc>
        <w:tc>
          <w:tcPr>
            <w:tcW w:type="dxa" w:w="720"/>
          </w:tcPr>
          <w:p>
            <w:pPr>
              <w:spacing w:after="20" w:before="0"/>
            </w:pPr>
            <w:r/>
            <w:r>
              <w:rPr>
                <w:b w:val="0"/>
                <w:i w:val="0"/>
                <w:sz w:val="15"/>
              </w:rPr>
              <w:t>D-08</w:t>
            </w:r>
          </w:p>
        </w:tc>
        <w:tc>
          <w:tcPr>
            <w:tcW w:type="dxa" w:w="1440"/>
          </w:tcPr>
          <w:p>
            <w:pPr>
              <w:spacing w:after="20" w:before="0"/>
            </w:pPr>
            <w:r/>
            <w:r>
              <w:rPr>
                <w:b w:val="0"/>
                <w:i w:val="0"/>
                <w:sz w:val="15"/>
              </w:rPr>
              <w:t>RL 5.4 (new)</w:t>
            </w:r>
          </w:p>
        </w:tc>
        <w:tc>
          <w:tcPr>
            <w:tcW w:type="dxa" w:w="1296"/>
          </w:tcPr>
          <w:p>
            <w:pPr>
              <w:spacing w:after="20" w:before="0"/>
            </w:pPr>
            <w:r/>
            <w:r>
              <w:rPr>
                <w:b w:val="0"/>
                <w:i w:val="0"/>
                <w:sz w:val="15"/>
              </w:rPr>
              <w:t>17 Confidentiality</w:t>
            </w:r>
          </w:p>
        </w:tc>
        <w:tc>
          <w:tcPr>
            <w:tcW w:type="dxa" w:w="3744"/>
          </w:tcPr>
          <w:p>
            <w:pPr>
              <w:spacing w:after="20" w:before="0"/>
            </w:pPr>
            <w:r/>
            <w:r>
              <w:rPr>
                <w:b w:val="0"/>
                <w:i w:val="0"/>
                <w:sz w:val="15"/>
              </w:rPr>
              <w:t>Controller to keep Processor’s security architecture information confidential. (PV-05)</w:t>
            </w:r>
          </w:p>
        </w:tc>
        <w:tc>
          <w:tcPr>
            <w:tcW w:type="dxa" w:w="1080"/>
            <w:shd w:val="clear" w:color="auto" w:fill="D9EAD3"/>
          </w:tcPr>
          <w:p>
            <w:pPr>
              <w:spacing w:after="20" w:before="0"/>
            </w:pPr>
            <w:r/>
            <w:r>
              <w:rPr>
                <w:b w:val="0"/>
                <w:i w:val="0"/>
                <w:sz w:val="15"/>
              </w:rPr>
              <w:t>GREEN</w:t>
            </w:r>
          </w:p>
        </w:tc>
        <w:tc>
          <w:tcPr>
            <w:tcW w:type="dxa" w:w="1008"/>
          </w:tcPr>
          <w:p>
            <w:pPr>
              <w:spacing w:after="20" w:before="0"/>
            </w:pPr>
            <w:r/>
            <w:r>
              <w:rPr>
                <w:b w:val="0"/>
                <w:i w:val="0"/>
                <w:sz w:val="15"/>
              </w:rPr>
              <w:t>P4 Low</w:t>
            </w:r>
          </w:p>
        </w:tc>
        <w:tc>
          <w:tcPr>
            <w:tcW w:type="dxa" w:w="3816"/>
          </w:tcPr>
          <w:p>
            <w:pPr>
              <w:spacing w:after="20" w:before="0"/>
            </w:pPr>
            <w:r/>
            <w:r>
              <w:rPr>
                <w:b w:val="0"/>
                <w:i w:val="0"/>
                <w:sz w:val="15"/>
              </w:rPr>
              <w:t xml:space="preserve">Accept (Topic 17 Green). Clarify that disclosure to regulators, auditors, advisers and insurers is allowed. </w:t>
            </w:r>
            <w:r>
              <w:rPr>
                <w:b/>
                <w:i w:val="0"/>
                <w:sz w:val="15"/>
              </w:rPr>
              <w:t>The linked cap carve-out (D-27) remains Red.</w:t>
            </w:r>
          </w:p>
        </w:tc>
      </w:tr>
      <w:tr>
        <w:tc>
          <w:tcPr>
            <w:tcW w:type="dxa" w:w="576"/>
          </w:tcPr>
          <w:p>
            <w:pPr>
              <w:spacing w:after="20" w:before="0"/>
            </w:pPr>
            <w:r/>
            <w:r>
              <w:rPr>
                <w:b w:val="0"/>
                <w:i w:val="0"/>
                <w:sz w:val="15"/>
              </w:rPr>
              <w:t>20</w:t>
            </w:r>
          </w:p>
        </w:tc>
        <w:tc>
          <w:tcPr>
            <w:tcW w:type="dxa" w:w="720"/>
          </w:tcPr>
          <w:p>
            <w:pPr>
              <w:spacing w:after="20" w:before="0"/>
            </w:pPr>
            <w:r/>
            <w:r>
              <w:rPr>
                <w:b w:val="0"/>
                <w:i w:val="0"/>
                <w:sz w:val="15"/>
              </w:rPr>
              <w:t>D-03</w:t>
            </w:r>
          </w:p>
        </w:tc>
        <w:tc>
          <w:tcPr>
            <w:tcW w:type="dxa" w:w="1440"/>
          </w:tcPr>
          <w:p>
            <w:pPr>
              <w:spacing w:after="20" w:before="0"/>
            </w:pPr>
            <w:r/>
            <w:r>
              <w:rPr>
                <w:b w:val="0"/>
                <w:i w:val="0"/>
                <w:sz w:val="15"/>
              </w:rPr>
              <w:t>RL 1.1(g)</w:t>
            </w:r>
          </w:p>
        </w:tc>
        <w:tc>
          <w:tcPr>
            <w:tcW w:type="dxa" w:w="1296"/>
          </w:tcPr>
          <w:p>
            <w:pPr>
              <w:spacing w:after="20" w:before="0"/>
            </w:pPr>
            <w:r/>
            <w:r>
              <w:rPr>
                <w:b w:val="0"/>
                <w:i w:val="0"/>
                <w:sz w:val="15"/>
              </w:rPr>
              <w:t>16 / 4 (protective)</w:t>
            </w:r>
          </w:p>
        </w:tc>
        <w:tc>
          <w:tcPr>
            <w:tcW w:type="dxa" w:w="3744"/>
          </w:tcPr>
          <w:p>
            <w:pPr>
              <w:spacing w:after="20" w:before="0"/>
            </w:pPr>
            <w:r/>
            <w:r>
              <w:rPr>
                <w:b w:val="0"/>
                <w:i w:val="0"/>
                <w:sz w:val="15"/>
              </w:rPr>
              <w:t>Personal Data definition broadened to include pseudonymised data and combinable metadata. (PV-02)</w:t>
            </w:r>
          </w:p>
        </w:tc>
        <w:tc>
          <w:tcPr>
            <w:tcW w:type="dxa" w:w="1080"/>
            <w:shd w:val="clear" w:color="auto" w:fill="D9EAD3"/>
          </w:tcPr>
          <w:p>
            <w:pPr>
              <w:spacing w:after="20" w:before="0"/>
            </w:pPr>
            <w:r/>
            <w:r>
              <w:rPr>
                <w:b w:val="0"/>
                <w:i w:val="0"/>
                <w:sz w:val="15"/>
              </w:rPr>
              <w:t>GREEN</w:t>
            </w:r>
          </w:p>
        </w:tc>
        <w:tc>
          <w:tcPr>
            <w:tcW w:type="dxa" w:w="1008"/>
          </w:tcPr>
          <w:p>
            <w:pPr>
              <w:spacing w:after="20" w:before="0"/>
            </w:pPr>
            <w:r/>
            <w:r>
              <w:rPr>
                <w:b w:val="0"/>
                <w:i w:val="0"/>
                <w:sz w:val="15"/>
              </w:rPr>
              <w:t>P4 Low</w:t>
            </w:r>
          </w:p>
        </w:tc>
        <w:tc>
          <w:tcPr>
            <w:tcW w:type="dxa" w:w="3816"/>
          </w:tcPr>
          <w:p>
            <w:pPr>
              <w:spacing w:after="20" w:before="0"/>
            </w:pPr>
            <w:r/>
            <w:r>
              <w:rPr>
                <w:b w:val="0"/>
                <w:i w:val="0"/>
                <w:sz w:val="15"/>
              </w:rPr>
              <w:t>Accept. It is protective and confirms that Peregrine log and metadata processing is Personal Data processing.</w:t>
            </w:r>
          </w:p>
        </w:tc>
      </w:tr>
      <w:tr>
        <w:tc>
          <w:tcPr>
            <w:tcW w:type="dxa" w:w="576"/>
          </w:tcPr>
          <w:p>
            <w:pPr>
              <w:spacing w:after="20" w:before="0"/>
            </w:pPr>
            <w:r/>
            <w:r>
              <w:rPr>
                <w:b w:val="0"/>
                <w:i w:val="0"/>
                <w:sz w:val="15"/>
              </w:rPr>
              <w:t>21</w:t>
            </w:r>
          </w:p>
        </w:tc>
        <w:tc>
          <w:tcPr>
            <w:tcW w:type="dxa" w:w="720"/>
          </w:tcPr>
          <w:p>
            <w:pPr>
              <w:spacing w:after="20" w:before="0"/>
            </w:pPr>
            <w:r/>
            <w:r>
              <w:rPr>
                <w:b w:val="0"/>
                <w:i w:val="0"/>
                <w:sz w:val="15"/>
              </w:rPr>
              <w:t>D-05</w:t>
            </w:r>
          </w:p>
        </w:tc>
        <w:tc>
          <w:tcPr>
            <w:tcW w:type="dxa" w:w="1440"/>
          </w:tcPr>
          <w:p>
            <w:pPr>
              <w:spacing w:after="20" w:before="0"/>
            </w:pPr>
            <w:r/>
            <w:r>
              <w:rPr>
                <w:b w:val="0"/>
                <w:i w:val="0"/>
                <w:sz w:val="15"/>
              </w:rPr>
              <w:t>RL 3.2 / T 4.1</w:t>
            </w:r>
          </w:p>
        </w:tc>
        <w:tc>
          <w:tcPr>
            <w:tcW w:type="dxa" w:w="1296"/>
          </w:tcPr>
          <w:p>
            <w:pPr>
              <w:spacing w:after="20" w:before="0"/>
            </w:pPr>
            <w:r/>
            <w:r>
              <w:rPr>
                <w:b w:val="0"/>
                <w:i w:val="0"/>
                <w:sz w:val="15"/>
              </w:rPr>
              <w:t>16 Purpose</w:t>
            </w:r>
          </w:p>
        </w:tc>
        <w:tc>
          <w:tcPr>
            <w:tcW w:type="dxa" w:w="3744"/>
          </w:tcPr>
          <w:p>
            <w:pPr>
              <w:spacing w:after="20" w:before="0"/>
            </w:pPr>
            <w:r/>
            <w:r>
              <w:rPr>
                <w:b w:val="0"/>
                <w:i w:val="0"/>
                <w:sz w:val="15"/>
              </w:rPr>
              <w:t>Legal-requirement carve-out under GDPR Art. 28(3)(a). (PV-04)</w:t>
            </w:r>
          </w:p>
        </w:tc>
        <w:tc>
          <w:tcPr>
            <w:tcW w:type="dxa" w:w="1080"/>
            <w:shd w:val="clear" w:color="auto" w:fill="D9EAD3"/>
          </w:tcPr>
          <w:p>
            <w:pPr>
              <w:spacing w:after="20" w:before="0"/>
            </w:pPr>
            <w:r/>
            <w:r>
              <w:rPr>
                <w:b w:val="0"/>
                <w:i w:val="0"/>
                <w:sz w:val="15"/>
              </w:rPr>
              <w:t>GREEN</w:t>
            </w:r>
          </w:p>
        </w:tc>
        <w:tc>
          <w:tcPr>
            <w:tcW w:type="dxa" w:w="1008"/>
          </w:tcPr>
          <w:p>
            <w:pPr>
              <w:spacing w:after="20" w:before="0"/>
            </w:pPr>
            <w:r/>
            <w:r>
              <w:rPr>
                <w:b w:val="0"/>
                <w:i w:val="0"/>
                <w:sz w:val="15"/>
              </w:rPr>
              <w:t>P4 Low</w:t>
            </w:r>
          </w:p>
        </w:tc>
        <w:tc>
          <w:tcPr>
            <w:tcW w:type="dxa" w:w="3816"/>
          </w:tcPr>
          <w:p>
            <w:pPr>
              <w:spacing w:after="20" w:before="0"/>
            </w:pPr>
            <w:r/>
            <w:r>
              <w:rPr>
                <w:b w:val="0"/>
                <w:i w:val="0"/>
                <w:sz w:val="15"/>
              </w:rPr>
              <w:t>Accept. It mirrors T 4.1. Optionally add “subject to Section 5.4 (government access)”.</w:t>
            </w:r>
          </w:p>
        </w:tc>
      </w:tr>
      <w:tr>
        <w:tc>
          <w:tcPr>
            <w:tcW w:type="dxa" w:w="576"/>
          </w:tcPr>
          <w:p>
            <w:pPr>
              <w:spacing w:after="20" w:before="0"/>
            </w:pPr>
            <w:r/>
            <w:r>
              <w:rPr>
                <w:b w:val="0"/>
                <w:i w:val="0"/>
                <w:sz w:val="15"/>
              </w:rPr>
              <w:t>22</w:t>
            </w:r>
          </w:p>
        </w:tc>
        <w:tc>
          <w:tcPr>
            <w:tcW w:type="dxa" w:w="720"/>
          </w:tcPr>
          <w:p>
            <w:pPr>
              <w:spacing w:after="20" w:before="0"/>
            </w:pPr>
            <w:r/>
            <w:r>
              <w:rPr>
                <w:b w:val="0"/>
                <w:i w:val="0"/>
                <w:sz w:val="15"/>
              </w:rPr>
              <w:t>D-01</w:t>
            </w:r>
          </w:p>
        </w:tc>
        <w:tc>
          <w:tcPr>
            <w:tcW w:type="dxa" w:w="1440"/>
          </w:tcPr>
          <w:p>
            <w:pPr>
              <w:spacing w:after="20" w:before="0"/>
            </w:pPr>
            <w:r/>
            <w:r>
              <w:rPr>
                <w:b w:val="0"/>
                <w:i w:val="0"/>
                <w:sz w:val="15"/>
              </w:rPr>
              <w:t>RL preamble</w:t>
            </w:r>
          </w:p>
        </w:tc>
        <w:tc>
          <w:tcPr>
            <w:tcW w:type="dxa" w:w="1296"/>
          </w:tcPr>
          <w:p>
            <w:pPr>
              <w:spacing w:after="20" w:before="0"/>
            </w:pPr>
            <w:r/>
            <w:r>
              <w:rPr>
                <w:b w:val="0"/>
                <w:i w:val="0"/>
                <w:sz w:val="15"/>
              </w:rPr>
              <w:t>Editorial</w:t>
            </w:r>
          </w:p>
        </w:tc>
        <w:tc>
          <w:tcPr>
            <w:tcW w:type="dxa" w:w="3744"/>
          </w:tcPr>
          <w:p>
            <w:pPr>
              <w:spacing w:after="20" w:before="0"/>
            </w:pPr>
            <w:r/>
            <w:r>
              <w:rPr>
                <w:b w:val="0"/>
                <w:i w:val="0"/>
                <w:sz w:val="15"/>
              </w:rPr>
              <w:t>“Each a Party and together the Parties” added.</w:t>
            </w:r>
          </w:p>
        </w:tc>
        <w:tc>
          <w:tcPr>
            <w:tcW w:type="dxa" w:w="1080"/>
            <w:shd w:val="clear" w:color="auto" w:fill="D9EAD3"/>
          </w:tcPr>
          <w:p>
            <w:pPr>
              <w:spacing w:after="20" w:before="0"/>
            </w:pPr>
            <w:r/>
            <w:r>
              <w:rPr>
                <w:b w:val="0"/>
                <w:i w:val="0"/>
                <w:sz w:val="15"/>
              </w:rPr>
              <w:t>GREEN</w:t>
            </w:r>
          </w:p>
        </w:tc>
        <w:tc>
          <w:tcPr>
            <w:tcW w:type="dxa" w:w="1008"/>
          </w:tcPr>
          <w:p>
            <w:pPr>
              <w:spacing w:after="20" w:before="0"/>
            </w:pPr>
            <w:r/>
            <w:r>
              <w:rPr>
                <w:b w:val="0"/>
                <w:i w:val="0"/>
                <w:sz w:val="15"/>
              </w:rPr>
              <w:t>P4 Low</w:t>
            </w:r>
          </w:p>
        </w:tc>
        <w:tc>
          <w:tcPr>
            <w:tcW w:type="dxa" w:w="3816"/>
          </w:tcPr>
          <w:p>
            <w:pPr>
              <w:spacing w:after="20" w:before="0"/>
            </w:pPr>
            <w:r/>
            <w:r>
              <w:rPr>
                <w:b w:val="0"/>
                <w:i w:val="0"/>
                <w:sz w:val="15"/>
              </w:rPr>
              <w:t>Accept (matches the Template).</w:t>
            </w:r>
          </w:p>
        </w:tc>
      </w:tr>
    </w:tbl>
    <w:p>
      <w:pPr>
        <w:spacing w:after="40"/>
      </w:pPr>
    </w:p>
    <w:p>
      <w:pPr>
        <w:pStyle w:val="Heading1"/>
      </w:pPr>
      <w:r>
        <w:t>4. Red Deviations - Detailed Analysis and Recommended Counter-Language (Playbook §5.1 Step 4)</w:t>
      </w:r>
    </w:p>
    <w:p>
      <w:pPr>
        <w:spacing w:after="80"/>
      </w:pPr>
      <w:r>
        <w:rPr>
          <w:b w:val="0"/>
          <w:i w:val="0"/>
          <w:sz w:val="21"/>
        </w:rPr>
        <w:t>Each Red cluster below sets out the items Step 4 requires: (a) CloudNest’s language; (b) the Template v3.2 language; (c) the playbook topic and classification; (d) legal risk analysis; and (e) recommended counter-language. Each also notes the MSA interplay and any fallback the playbook allows. The default response to every Red item is rejection and restoration of Template v3.2. A GC override requires CEO approval and a co-signed risk acceptance memo.</w:t>
      </w:r>
    </w:p>
    <w:p>
      <w:pPr>
        <w:pStyle w:val="Heading2"/>
      </w:pPr>
      <w:r>
        <w:t>4.1 Liability Cap (D-26, D-27, U-11) - Topic 6 - RED - P1</w:t>
      </w: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2304"/>
            <w:shd w:val="clear" w:color="auto" w:fill="1F3864"/>
          </w:tcPr>
          <w:p>
            <w:pPr>
              <w:spacing w:after="20" w:before="0"/>
            </w:pPr>
            <w:r/>
            <w:r>
              <w:rPr>
                <w:b/>
                <w:i w:val="0"/>
                <w:color w:val="FFFFFF"/>
                <w:sz w:val="17"/>
              </w:rPr>
              <w:t>Element</w:t>
            </w:r>
          </w:p>
        </w:tc>
        <w:tc>
          <w:tcPr>
            <w:tcW w:type="dxa" w:w="11232"/>
            <w:shd w:val="clear" w:color="auto" w:fill="1F3864"/>
          </w:tcPr>
          <w:p>
            <w:pPr>
              <w:spacing w:after="20" w:before="0"/>
            </w:pPr>
            <w:r/>
            <w:r>
              <w:rPr>
                <w:b/>
                <w:i w:val="0"/>
                <w:color w:val="FFFFFF"/>
                <w:sz w:val="17"/>
              </w:rPr>
              <w:t>Analysis</w:t>
            </w:r>
          </w:p>
        </w:tc>
      </w:tr>
      <w:tr>
        <w:tc>
          <w:tcPr>
            <w:tcW w:type="dxa" w:w="2304"/>
            <w:shd w:val="clear" w:color="auto" w:fill="EDEDED"/>
          </w:tcPr>
          <w:p>
            <w:pPr>
              <w:spacing w:after="20" w:before="0"/>
            </w:pPr>
            <w:r/>
            <w:r>
              <w:rPr>
                <w:b w:val="0"/>
                <w:i w:val="0"/>
                <w:sz w:val="17"/>
              </w:rPr>
              <w:t>CloudNest language</w:t>
            </w:r>
          </w:p>
        </w:tc>
        <w:tc>
          <w:tcPr>
            <w:tcW w:type="dxa" w:w="11232"/>
          </w:tcPr>
          <w:p>
            <w:pPr>
              <w:spacing w:after="20" w:before="0"/>
            </w:pPr>
            <w:r/>
            <w:r>
              <w:rPr>
                <w:b w:val="0"/>
                <w:i w:val="0"/>
                <w:sz w:val="17"/>
              </w:rPr>
              <w:t>RL 13.1(a): “… the aggregate liability of each Party arising out of or in connection with this DPA … shall not exceed an amount equal to one (1) times the annual fees payable under the MSA, currently equal to $18,600,000.”</w:t>
            </w:r>
          </w:p>
          <w:p>
            <w:pPr>
              <w:spacing w:after="20" w:before="0"/>
            </w:pPr>
            <w:r>
              <w:rPr>
                <w:b w:val="0"/>
                <w:i w:val="0"/>
                <w:sz w:val="17"/>
              </w:rPr>
              <w:t>RL 13.1(b): the cap does not apply to “(i) either Party’s breach of its confidentiality obligations under Section 5.4; or (ii) … infringement of the other Party’s intellectual property rights.”</w:t>
            </w:r>
          </w:p>
          <w:p>
            <w:pPr>
              <w:spacing w:after="20" w:before="0"/>
            </w:pPr>
            <w:r>
              <w:rPr>
                <w:b w:val="0"/>
                <w:i w:val="0"/>
                <w:sz w:val="17"/>
              </w:rPr>
              <w:t>RL 13.1(c) (</w:t>
            </w:r>
            <w:r>
              <w:rPr>
                <w:b/>
                <w:i w:val="0"/>
                <w:sz w:val="17"/>
              </w:rPr>
              <w:t>untracked</w:t>
            </w:r>
            <w:r>
              <w:rPr>
                <w:b w:val="0"/>
                <w:i w:val="0"/>
                <w:sz w:val="17"/>
              </w:rPr>
              <w:t>): mutual exclusion of “indirect, incidental, consequential, special, or punitive damages, including … loss of data”.</w:t>
            </w:r>
          </w:p>
        </w:tc>
      </w:tr>
      <w:tr>
        <w:tc>
          <w:tcPr>
            <w:tcW w:type="dxa" w:w="2304"/>
            <w:shd w:val="clear" w:color="auto" w:fill="EDEDED"/>
          </w:tcPr>
          <w:p>
            <w:pPr>
              <w:spacing w:after="20" w:before="0"/>
            </w:pPr>
            <w:r/>
            <w:r>
              <w:rPr>
                <w:b w:val="0"/>
                <w:i w:val="0"/>
                <w:sz w:val="17"/>
              </w:rPr>
              <w:t>Template v3.2</w:t>
            </w:r>
          </w:p>
        </w:tc>
        <w:tc>
          <w:tcPr>
            <w:tcW w:type="dxa" w:w="11232"/>
          </w:tcPr>
          <w:p>
            <w:pPr>
              <w:spacing w:after="20" w:before="0"/>
            </w:pPr>
            <w:r/>
            <w:r>
              <w:rPr>
                <w:b w:val="0"/>
                <w:i w:val="0"/>
                <w:sz w:val="17"/>
              </w:rPr>
              <w:t xml:space="preserve">T 12.1: data protection liability “shall not be subject to any general limitation of liability provision in the MSA”, with a minimum aggregate cap of 3 × $18,600,000 = </w:t>
            </w:r>
            <w:r>
              <w:rPr>
                <w:b/>
                <w:i w:val="0"/>
                <w:sz w:val="17"/>
              </w:rPr>
              <w:t>$55,800,000</w:t>
            </w:r>
            <w:r>
              <w:rPr>
                <w:b w:val="0"/>
                <w:i w:val="0"/>
                <w:sz w:val="17"/>
              </w:rPr>
              <w:t>, which “represents a floor, not a ceiling”. T 12.3: no limitation for fraud, wilful misconduct, gross negligence, or death and personal injury.</w:t>
            </w:r>
          </w:p>
        </w:tc>
      </w:tr>
      <w:tr>
        <w:tc>
          <w:tcPr>
            <w:tcW w:type="dxa" w:w="2304"/>
            <w:shd w:val="clear" w:color="auto" w:fill="EDEDED"/>
          </w:tcPr>
          <w:p>
            <w:pPr>
              <w:spacing w:after="20" w:before="0"/>
            </w:pPr>
            <w:r/>
            <w:r>
              <w:rPr>
                <w:b w:val="0"/>
                <w:i w:val="0"/>
                <w:sz w:val="17"/>
              </w:rPr>
              <w:t>Playbook</w:t>
            </w:r>
          </w:p>
        </w:tc>
        <w:tc>
          <w:tcPr>
            <w:tcW w:type="dxa" w:w="11232"/>
          </w:tcPr>
          <w:p>
            <w:pPr>
              <w:spacing w:after="20" w:before="0"/>
            </w:pPr>
            <w:r/>
            <w:r>
              <w:rPr>
                <w:b w:val="0"/>
                <w:i w:val="0"/>
                <w:sz w:val="17"/>
              </w:rPr>
              <w:t>Red: a cap at 1× annual fees ($18.6M) is Red “regardless of carve-outs”; it is also below 2× ($37.2M) and has no data protection carve-out. Three independent Red triggers.</w:t>
            </w:r>
          </w:p>
        </w:tc>
      </w:tr>
      <w:tr>
        <w:tc>
          <w:tcPr>
            <w:tcW w:type="dxa" w:w="2304"/>
            <w:shd w:val="clear" w:color="auto" w:fill="EDEDED"/>
          </w:tcPr>
          <w:p>
            <w:pPr>
              <w:spacing w:after="20" w:before="0"/>
            </w:pPr>
            <w:r/>
            <w:r>
              <w:rPr>
                <w:b w:val="0"/>
                <w:i w:val="0"/>
                <w:sz w:val="17"/>
              </w:rPr>
              <w:t>Risk analysis</w:t>
            </w:r>
          </w:p>
        </w:tc>
        <w:tc>
          <w:tcPr>
            <w:tcW w:type="dxa" w:w="11232"/>
          </w:tcPr>
          <w:p>
            <w:pPr>
              <w:spacing w:after="20" w:before="0"/>
            </w:pPr>
            <w:r/>
            <w:r>
              <w:rPr>
                <w:b w:val="0"/>
                <w:i w:val="0"/>
                <w:sz w:val="17"/>
              </w:rPr>
              <w:t xml:space="preserve">• </w:t>
            </w:r>
            <w:r>
              <w:rPr>
                <w:b/>
                <w:i w:val="0"/>
                <w:sz w:val="17"/>
              </w:rPr>
              <w:t>Cap shortfall:</w:t>
            </w:r>
            <w:r>
              <w:rPr>
                <w:b w:val="0"/>
                <w:i w:val="0"/>
                <w:sz w:val="17"/>
              </w:rPr>
              <w:t xml:space="preserve"> $55.8M − $18.6M = </w:t>
            </w:r>
            <w:r>
              <w:rPr>
                <w:b/>
                <w:i w:val="0"/>
                <w:sz w:val="17"/>
              </w:rPr>
              <w:t>$37.2M (−66.7%)</w:t>
            </w:r>
            <w:r>
              <w:rPr>
                <w:b w:val="0"/>
                <w:i w:val="0"/>
                <w:sz w:val="17"/>
              </w:rPr>
              <w:t>. That is about $8.02 per data subject for ~2,320,200 data subjects whose records include SSNs, clinical records, voice-print biometrics and PCI-scope card data.</w:t>
            </w:r>
          </w:p>
          <w:p>
            <w:pPr>
              <w:spacing w:after="20" w:before="0"/>
            </w:pPr>
            <w:r>
              <w:rPr>
                <w:b w:val="0"/>
                <w:i w:val="0"/>
                <w:sz w:val="17"/>
              </w:rPr>
              <w:t xml:space="preserve">• </w:t>
            </w:r>
            <w:r>
              <w:rPr>
                <w:b/>
                <w:i w:val="0"/>
                <w:sz w:val="17"/>
              </w:rPr>
              <w:t>The carve-out is one-sided.</w:t>
            </w:r>
            <w:r>
              <w:rPr>
                <w:b w:val="0"/>
                <w:i w:val="0"/>
                <w:sz w:val="17"/>
              </w:rPr>
              <w:t xml:space="preserve"> Section 5.4 binds only the Controller, so the only uncapped confidentiality exposure is Stratton’s. CloudNest’s own confidentiality obligations (RL 5.1-5.2) stay capped.</w:t>
            </w:r>
          </w:p>
          <w:p>
            <w:pPr>
              <w:spacing w:after="20" w:before="0"/>
            </w:pPr>
            <w:r>
              <w:rPr>
                <w:b w:val="0"/>
                <w:i w:val="0"/>
                <w:sz w:val="17"/>
              </w:rPr>
              <w:t xml:space="preserve">• </w:t>
            </w:r>
            <w:r>
              <w:rPr>
                <w:b/>
                <w:i w:val="0"/>
                <w:sz w:val="17"/>
              </w:rPr>
              <w:t>Untracked consequential damages exclusion (13.1(c)).</w:t>
            </w:r>
            <w:r>
              <w:rPr>
                <w:b w:val="0"/>
                <w:i w:val="0"/>
                <w:sz w:val="17"/>
              </w:rPr>
              <w:t xml:space="preserve"> It is not shown as a change, yet it would arguably exclude the typical breach losses: notification and credit-monitoring costs, forensic costs, regulatory penalties, “loss of data” and business interruption. Combined with direct-damages-only indemnity, Stratton’s practical recovery for a breach could approach zero.</w:t>
            </w:r>
          </w:p>
          <w:p>
            <w:pPr>
              <w:spacing w:after="20" w:before="0"/>
            </w:pPr>
            <w:r>
              <w:rPr>
                <w:b w:val="0"/>
                <w:i w:val="0"/>
                <w:sz w:val="17"/>
              </w:rPr>
              <w:t xml:space="preserve">• </w:t>
            </w:r>
            <w:r>
              <w:rPr>
                <w:b/>
                <w:i w:val="0"/>
                <w:sz w:val="17"/>
              </w:rPr>
              <w:t>Fraud, wilful misconduct and gross negligence are no longer excluded from the cap</w:t>
            </w:r>
            <w:r>
              <w:rPr>
                <w:b w:val="0"/>
                <w:i w:val="0"/>
                <w:sz w:val="17"/>
              </w:rPr>
              <w:t xml:space="preserve"> (T 12.3 omitted).</w:t>
            </w:r>
          </w:p>
          <w:p>
            <w:pPr>
              <w:spacing w:after="20" w:before="0"/>
            </w:pPr>
            <w:r>
              <w:rPr>
                <w:b w:val="0"/>
                <w:i w:val="0"/>
                <w:sz w:val="17"/>
              </w:rPr>
              <w:t>• Exposure context (Playbook Topic 6): HIPAA civil money penalties of up to ~$2M per violation category per year, GDPR fines of up to 4% of turnover or €20M, and class actions across 2.3M US patients.</w:t>
            </w:r>
          </w:p>
        </w:tc>
      </w:tr>
      <w:tr>
        <w:tc>
          <w:tcPr>
            <w:tcW w:type="dxa" w:w="2304"/>
            <w:shd w:val="clear" w:color="auto" w:fill="EDEDED"/>
          </w:tcPr>
          <w:p>
            <w:pPr>
              <w:spacing w:after="20" w:before="0"/>
            </w:pPr>
            <w:r/>
            <w:r>
              <w:rPr>
                <w:b w:val="0"/>
                <w:i w:val="0"/>
                <w:sz w:val="17"/>
              </w:rPr>
              <w:t>MSA interplay</w:t>
            </w:r>
          </w:p>
        </w:tc>
        <w:tc>
          <w:tcPr>
            <w:tcW w:type="dxa" w:w="11232"/>
          </w:tcPr>
          <w:p>
            <w:pPr>
              <w:spacing w:after="20" w:before="0"/>
            </w:pPr>
            <w:r/>
            <w:r>
              <w:rPr>
                <w:b w:val="0"/>
                <w:i w:val="0"/>
                <w:sz w:val="17"/>
              </w:rPr>
              <w:t xml:space="preserve">MSA §15.3: the DPA cap “in no event shall … be lower than three (3) times the Annual Fee” = $55,800,000. MSA §15.2 classes DPA breaches as Enhanced Cap Obligations (3×). MSA §15.4 excludes fraud and wilful misconduct from all caps. The 1× proposal is </w:t>
            </w:r>
            <w:r>
              <w:rPr>
                <w:b/>
                <w:i w:val="0"/>
                <w:sz w:val="17"/>
              </w:rPr>
              <w:t>below even the MSA general 2× cap ($37.2M)</w:t>
            </w:r>
            <w:r>
              <w:rPr>
                <w:b w:val="0"/>
                <w:i w:val="0"/>
                <w:sz w:val="17"/>
              </w:rPr>
              <w:t>. MSA reference amount: base Annual Fee of $18.6M without the escalator. CloudNest’s counsel (Barrington Reeves) negotiated MSA §15.3, so PV-13’s “market norms” argument carries no weight against an executed floor. Because MSA §22.5 makes the DPA prevail on data protection matters, accepting RL 13.1 could be argued to override the MSA floor. It must not be accepted.</w:t>
            </w:r>
          </w:p>
        </w:tc>
      </w:tr>
      <w:tr>
        <w:tc>
          <w:tcPr>
            <w:tcW w:type="dxa" w:w="2304"/>
            <w:shd w:val="clear" w:color="auto" w:fill="EDEDED"/>
          </w:tcPr>
          <w:p>
            <w:pPr>
              <w:spacing w:after="20" w:before="0"/>
            </w:pPr>
            <w:r/>
            <w:r>
              <w:rPr>
                <w:b w:val="0"/>
                <w:i w:val="0"/>
                <w:sz w:val="17"/>
              </w:rPr>
              <w:t>Recommended response / counter-language</w:t>
            </w:r>
          </w:p>
        </w:tc>
        <w:tc>
          <w:tcPr>
            <w:tcW w:type="dxa" w:w="11232"/>
          </w:tcPr>
          <w:p>
            <w:pPr>
              <w:spacing w:after="20" w:before="0"/>
            </w:pPr>
            <w:r/>
            <w:r>
              <w:rPr>
                <w:b w:val="0"/>
                <w:i w:val="0"/>
                <w:sz w:val="17"/>
              </w:rPr>
              <w:t>Reject and restore T 12.1 and T 12.3. Delete RL 13.1(c), or add: “Section 13.1(c) shall not apply to (i) Processor’s breach of its data protection, security, confidentiality or breach-notification obligations, (ii) costs of breach investigation, notification, credit monitoring and remediation, (iii) regulatory fines and penalties to the extent indemnifiable, or (iv) Processor’s indemnification obligations.” If a numeric cap is conceded in place of uncapped liability (Green under the playbook): “Processor’s aggregate liability for breaches of its data protection obligations shall not be less than three (3) times the Annual Fee ($55,800,000), shall be separate from and in addition to any other cap under the MSA, and shall not apply to Processor’s indemnification obligations, fraud, wilful misconduct or gross negligence.”</w:t>
            </w:r>
          </w:p>
        </w:tc>
      </w:tr>
      <w:tr>
        <w:tc>
          <w:tcPr>
            <w:tcW w:type="dxa" w:w="2304"/>
            <w:shd w:val="clear" w:color="auto" w:fill="EDEDED"/>
          </w:tcPr>
          <w:p>
            <w:pPr>
              <w:spacing w:after="20" w:before="0"/>
            </w:pPr>
            <w:r/>
            <w:r>
              <w:rPr>
                <w:b w:val="0"/>
                <w:i w:val="0"/>
                <w:sz w:val="17"/>
              </w:rPr>
              <w:t>Fallback / authority</w:t>
            </w:r>
          </w:p>
        </w:tc>
        <w:tc>
          <w:tcPr>
            <w:tcW w:type="dxa" w:w="11232"/>
          </w:tcPr>
          <w:p>
            <w:pPr>
              <w:spacing w:after="20" w:before="0"/>
            </w:pPr>
            <w:r/>
            <w:r>
              <w:rPr>
                <w:b w:val="0"/>
                <w:i w:val="0"/>
                <w:sz w:val="17"/>
              </w:rPr>
              <w:t xml:space="preserve">Green: a cap of 3× or more ($55.8M+) with data protection, confidentiality and indemnity carve-outs. Yellow (GC): 2×-3× only with data protection carved out to a higher super-cap. Note that any figure below 3× would also breach MSA §15.3 and would need an MSA amendment. </w:t>
            </w:r>
            <w:r>
              <w:rPr>
                <w:b/>
                <w:i w:val="0"/>
                <w:sz w:val="17"/>
              </w:rPr>
              <w:t>No fallback below $55.8M is recommended.</w:t>
            </w:r>
          </w:p>
        </w:tc>
      </w:tr>
    </w:tbl>
    <w:p>
      <w:pPr>
        <w:spacing w:after="40"/>
      </w:pPr>
    </w:p>
    <w:p>
      <w:pPr>
        <w:pStyle w:val="Heading2"/>
      </w:pPr>
      <w:r>
        <w:t>4.2 Indemnification (D-28, U-12) - Topic 7 - RED - P1</w:t>
      </w: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2304"/>
            <w:shd w:val="clear" w:color="auto" w:fill="1F3864"/>
          </w:tcPr>
          <w:p>
            <w:pPr>
              <w:spacing w:after="20" w:before="0"/>
            </w:pPr>
            <w:r/>
            <w:r>
              <w:rPr>
                <w:b/>
                <w:i w:val="0"/>
                <w:color w:val="FFFFFF"/>
                <w:sz w:val="17"/>
              </w:rPr>
              <w:t>Element</w:t>
            </w:r>
          </w:p>
        </w:tc>
        <w:tc>
          <w:tcPr>
            <w:tcW w:type="dxa" w:w="11232"/>
            <w:shd w:val="clear" w:color="auto" w:fill="1F3864"/>
          </w:tcPr>
          <w:p>
            <w:pPr>
              <w:spacing w:after="20" w:before="0"/>
            </w:pPr>
            <w:r/>
            <w:r>
              <w:rPr>
                <w:b/>
                <w:i w:val="0"/>
                <w:color w:val="FFFFFF"/>
                <w:sz w:val="17"/>
              </w:rPr>
              <w:t>Analysis</w:t>
            </w:r>
          </w:p>
        </w:tc>
      </w:tr>
      <w:tr>
        <w:tc>
          <w:tcPr>
            <w:tcW w:type="dxa" w:w="2304"/>
            <w:shd w:val="clear" w:color="auto" w:fill="EDEDED"/>
          </w:tcPr>
          <w:p>
            <w:pPr>
              <w:spacing w:after="20" w:before="0"/>
            </w:pPr>
            <w:r/>
            <w:r>
              <w:rPr>
                <w:b w:val="0"/>
                <w:i w:val="0"/>
                <w:sz w:val="17"/>
              </w:rPr>
              <w:t>CloudNest language</w:t>
            </w:r>
          </w:p>
        </w:tc>
        <w:tc>
          <w:tcPr>
            <w:tcW w:type="dxa" w:w="11232"/>
          </w:tcPr>
          <w:p>
            <w:pPr>
              <w:spacing w:after="20" w:before="0"/>
            </w:pPr>
            <w:r/>
            <w:r>
              <w:rPr>
                <w:b w:val="0"/>
                <w:i w:val="0"/>
                <w:sz w:val="17"/>
              </w:rPr>
              <w:t>RL 13.2: “Each Party … shall … indemnify … from and against third-party claims … and direct losses arising out of … the Indemnifying Party’s gross negligence or willful misconduct … (i) … limited to direct damages … and (ii) regulatory fines, penalties, or administrative sanctions … are expressly excluded.”</w:t>
            </w:r>
          </w:p>
        </w:tc>
      </w:tr>
      <w:tr>
        <w:tc>
          <w:tcPr>
            <w:tcW w:type="dxa" w:w="2304"/>
            <w:shd w:val="clear" w:color="auto" w:fill="EDEDED"/>
          </w:tcPr>
          <w:p>
            <w:pPr>
              <w:spacing w:after="20" w:before="0"/>
            </w:pPr>
            <w:r/>
            <w:r>
              <w:rPr>
                <w:b w:val="0"/>
                <w:i w:val="0"/>
                <w:sz w:val="17"/>
              </w:rPr>
              <w:t>Template v3.2</w:t>
            </w:r>
          </w:p>
        </w:tc>
        <w:tc>
          <w:tcPr>
            <w:tcW w:type="dxa" w:w="11232"/>
          </w:tcPr>
          <w:p>
            <w:pPr>
              <w:spacing w:after="20" w:before="0"/>
            </w:pPr>
            <w:r/>
            <w:r>
              <w:rPr>
                <w:b w:val="0"/>
                <w:i w:val="0"/>
                <w:sz w:val="17"/>
              </w:rPr>
              <w:t>T 12.2: Processor indemnifies the “Controller Indemnified Parties” (expressly including Stratton Health UK Ltd.) against “any and all losses” arising from (a) any breach of the DPA by Processor or its Sub-Processors; (b) third-party claims; (c) regulatory fines and penalties where legally permissible; and (d) unauthorised processing. The base text in CloudNest’s document (the deleted language) was already narrower than T 12.2 (third-party claims only, no Stratton UK, no limb (d)). This is an untracked divergence.</w:t>
            </w:r>
          </w:p>
        </w:tc>
      </w:tr>
      <w:tr>
        <w:tc>
          <w:tcPr>
            <w:tcW w:type="dxa" w:w="2304"/>
            <w:shd w:val="clear" w:color="auto" w:fill="EDEDED"/>
          </w:tcPr>
          <w:p>
            <w:pPr>
              <w:spacing w:after="20" w:before="0"/>
            </w:pPr>
            <w:r/>
            <w:r>
              <w:rPr>
                <w:b w:val="0"/>
                <w:i w:val="0"/>
                <w:sz w:val="17"/>
              </w:rPr>
              <w:t>Playbook</w:t>
            </w:r>
          </w:p>
        </w:tc>
        <w:tc>
          <w:tcPr>
            <w:tcW w:type="dxa" w:w="11232"/>
          </w:tcPr>
          <w:p>
            <w:pPr>
              <w:spacing w:after="20" w:before="0"/>
            </w:pPr>
            <w:r/>
            <w:r>
              <w:rPr>
                <w:b w:val="0"/>
                <w:i w:val="0"/>
                <w:sz w:val="17"/>
              </w:rPr>
              <w:t>Red on every element: the trigger is gross negligence or wilful misconduct (Red), the scope is direct damages only (Red), fines are expressly excluded (Red), and the indemnity is mutual (Yellow). Compound rule = Red.</w:t>
            </w:r>
          </w:p>
        </w:tc>
      </w:tr>
      <w:tr>
        <w:tc>
          <w:tcPr>
            <w:tcW w:type="dxa" w:w="2304"/>
            <w:shd w:val="clear" w:color="auto" w:fill="EDEDED"/>
          </w:tcPr>
          <w:p>
            <w:pPr>
              <w:spacing w:after="20" w:before="0"/>
            </w:pPr>
            <w:r/>
            <w:r>
              <w:rPr>
                <w:b w:val="0"/>
                <w:i w:val="0"/>
                <w:sz w:val="17"/>
              </w:rPr>
              <w:t>Risk analysis</w:t>
            </w:r>
          </w:p>
        </w:tc>
        <w:tc>
          <w:tcPr>
            <w:tcW w:type="dxa" w:w="11232"/>
          </w:tcPr>
          <w:p>
            <w:pPr>
              <w:spacing w:after="20" w:before="0"/>
            </w:pPr>
            <w:r/>
            <w:r>
              <w:rPr>
                <w:b w:val="0"/>
                <w:i w:val="0"/>
                <w:sz w:val="17"/>
              </w:rPr>
              <w:t>Ordinary negligent breaches, such as misconfiguration or delayed patching (the most common causes of cloud breaches), would fall outside the indemnity. Regulatory exposure from HHS OCR, ICO/EU supervisory authorities, state attorneys general and CCPA/CPRA enforcement would sit entirely with Stratton. The mutual indemnity also creates new Stratton exposure to CloudNest.</w:t>
            </w:r>
          </w:p>
        </w:tc>
      </w:tr>
      <w:tr>
        <w:tc>
          <w:tcPr>
            <w:tcW w:type="dxa" w:w="2304"/>
            <w:shd w:val="clear" w:color="auto" w:fill="EDEDED"/>
          </w:tcPr>
          <w:p>
            <w:pPr>
              <w:spacing w:after="20" w:before="0"/>
            </w:pPr>
            <w:r/>
            <w:r>
              <w:rPr>
                <w:b w:val="0"/>
                <w:i w:val="0"/>
                <w:sz w:val="17"/>
              </w:rPr>
              <w:t>MSA interplay</w:t>
            </w:r>
          </w:p>
        </w:tc>
        <w:tc>
          <w:tcPr>
            <w:tcW w:type="dxa" w:w="11232"/>
          </w:tcPr>
          <w:p>
            <w:pPr>
              <w:spacing w:after="20" w:before="0"/>
            </w:pPr>
            <w:r/>
            <w:r>
              <w:rPr>
                <w:b w:val="0"/>
                <w:i w:val="0"/>
                <w:sz w:val="17"/>
              </w:rPr>
              <w:t xml:space="preserve">MSA §16.3: CloudNest indemnifies for third-party claims arising from breach of the DPA and for “regulatory fines, penalties, and enforcement actions … to the fullest extent permitted by applicable law”, on a </w:t>
            </w:r>
            <w:r>
              <w:rPr>
                <w:b/>
                <w:i w:val="0"/>
                <w:sz w:val="17"/>
              </w:rPr>
              <w:t>breach (not fault) standard</w:t>
            </w:r>
            <w:r>
              <w:rPr>
                <w:b w:val="0"/>
                <w:i w:val="0"/>
                <w:sz w:val="17"/>
              </w:rPr>
              <w:t xml:space="preserve">, and </w:t>
            </w:r>
            <w:r>
              <w:rPr>
                <w:b/>
                <w:i w:val="0"/>
                <w:sz w:val="17"/>
              </w:rPr>
              <w:t>uncapped</w:t>
            </w:r>
            <w:r>
              <w:rPr>
                <w:b w:val="0"/>
                <w:i w:val="0"/>
                <w:sz w:val="17"/>
              </w:rPr>
              <w:t xml:space="preserve"> (MSA §15.4 / §16). MSA §16.5: the DPA indemnities “supplement, and [are] not limited by” the MSA. </w:t>
            </w:r>
            <w:r>
              <w:rPr>
                <w:b/>
                <w:i w:val="0"/>
                <w:sz w:val="17"/>
              </w:rPr>
              <w:t>Risk:</w:t>
            </w:r>
            <w:r>
              <w:rPr>
                <w:b w:val="0"/>
                <w:i w:val="0"/>
                <w:sz w:val="17"/>
              </w:rPr>
              <w:t xml:space="preserve"> MSA §22.5 (DPA prevails on data protection matters) gives CloudNest an argument that RL 13.2(ii)’s express exclusion of fines displaces MSA §16.3(b). The DPA must not contain any indemnity narrower than the MSA.</w:t>
            </w:r>
          </w:p>
        </w:tc>
      </w:tr>
      <w:tr>
        <w:tc>
          <w:tcPr>
            <w:tcW w:type="dxa" w:w="2304"/>
            <w:shd w:val="clear" w:color="auto" w:fill="EDEDED"/>
          </w:tcPr>
          <w:p>
            <w:pPr>
              <w:spacing w:after="20" w:before="0"/>
            </w:pPr>
            <w:r/>
            <w:r>
              <w:rPr>
                <w:b w:val="0"/>
                <w:i w:val="0"/>
                <w:sz w:val="17"/>
              </w:rPr>
              <w:t>Recommended response / counter-language</w:t>
            </w:r>
          </w:p>
        </w:tc>
        <w:tc>
          <w:tcPr>
            <w:tcW w:type="dxa" w:w="11232"/>
          </w:tcPr>
          <w:p>
            <w:pPr>
              <w:spacing w:after="20" w:before="0"/>
            </w:pPr>
            <w:r/>
            <w:r>
              <w:rPr>
                <w:b w:val="0"/>
                <w:i w:val="0"/>
                <w:sz w:val="17"/>
              </w:rPr>
              <w:t>Reject and restore T 12.2(a)-(d) in full. Add: “Nothing in this Agreement shall limit or reduce Processor’s indemnification obligations under Section 16 of the MSA, which are supplemented by this Section.” Accept the RL 13.2(a)-(c) procedural mechanics (Green: notice, control of defence and consent to settlement), provided Controller keeps control of communications with regulators and Data Subjects.</w:t>
            </w:r>
          </w:p>
        </w:tc>
      </w:tr>
      <w:tr>
        <w:tc>
          <w:tcPr>
            <w:tcW w:type="dxa" w:w="2304"/>
            <w:shd w:val="clear" w:color="auto" w:fill="EDEDED"/>
          </w:tcPr>
          <w:p>
            <w:pPr>
              <w:spacing w:after="20" w:before="0"/>
            </w:pPr>
            <w:r/>
            <w:r>
              <w:rPr>
                <w:b w:val="0"/>
                <w:i w:val="0"/>
                <w:sz w:val="17"/>
              </w:rPr>
              <w:t>Fallback / authority</w:t>
            </w:r>
          </w:p>
        </w:tc>
        <w:tc>
          <w:tcPr>
            <w:tcW w:type="dxa" w:w="11232"/>
          </w:tcPr>
          <w:p>
            <w:pPr>
              <w:spacing w:after="20" w:before="0"/>
            </w:pPr>
            <w:r/>
            <w:r>
              <w:rPr>
                <w:b w:val="0"/>
                <w:i w:val="0"/>
                <w:sz w:val="17"/>
              </w:rPr>
              <w:t>Yellow (CPO/GC): a mutual indemnity only if CloudNest’s indemnity keeps the breach trigger, covers all losses and includes fines. A “material breach” qualifier is acceptable only if every data protection violation is defined as material.</w:t>
            </w:r>
          </w:p>
        </w:tc>
      </w:tr>
    </w:tbl>
    <w:p>
      <w:pPr>
        <w:spacing w:after="40"/>
      </w:pPr>
    </w:p>
    <w:p>
      <w:pPr>
        <w:pStyle w:val="Heading2"/>
      </w:pPr>
      <w:r>
        <w:t>4.3 Cyber Insurance (D-37, U-16) - Topic 14 - RED - P1 (integrated with 4.1)</w:t>
      </w: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2304"/>
            <w:shd w:val="clear" w:color="auto" w:fill="1F3864"/>
          </w:tcPr>
          <w:p>
            <w:pPr>
              <w:spacing w:after="20" w:before="0"/>
            </w:pPr>
            <w:r/>
            <w:r>
              <w:rPr>
                <w:b/>
                <w:i w:val="0"/>
                <w:color w:val="FFFFFF"/>
                <w:sz w:val="17"/>
              </w:rPr>
              <w:t>Element</w:t>
            </w:r>
          </w:p>
        </w:tc>
        <w:tc>
          <w:tcPr>
            <w:tcW w:type="dxa" w:w="11232"/>
            <w:shd w:val="clear" w:color="auto" w:fill="1F3864"/>
          </w:tcPr>
          <w:p>
            <w:pPr>
              <w:spacing w:after="20" w:before="0"/>
            </w:pPr>
            <w:r/>
            <w:r>
              <w:rPr>
                <w:b/>
                <w:i w:val="0"/>
                <w:color w:val="FFFFFF"/>
                <w:sz w:val="17"/>
              </w:rPr>
              <w:t>Analysis</w:t>
            </w:r>
          </w:p>
        </w:tc>
      </w:tr>
      <w:tr>
        <w:tc>
          <w:tcPr>
            <w:tcW w:type="dxa" w:w="2304"/>
            <w:shd w:val="clear" w:color="auto" w:fill="EDEDED"/>
          </w:tcPr>
          <w:p>
            <w:pPr>
              <w:spacing w:after="20" w:before="0"/>
            </w:pPr>
            <w:r/>
            <w:r>
              <w:rPr>
                <w:b w:val="0"/>
                <w:i w:val="0"/>
                <w:sz w:val="17"/>
              </w:rPr>
              <w:t>CloudNest language</w:t>
            </w:r>
          </w:p>
        </w:tc>
        <w:tc>
          <w:tcPr>
            <w:tcW w:type="dxa" w:w="11232"/>
          </w:tcPr>
          <w:p>
            <w:pPr>
              <w:spacing w:after="20" w:before="0"/>
            </w:pPr>
            <w:r/>
            <w:r>
              <w:rPr>
                <w:b w:val="0"/>
                <w:i w:val="0"/>
                <w:sz w:val="17"/>
              </w:rPr>
              <w:t>RL 19.1: “Processor shall maintain insurance coverage as required under the MSA.” (no PV comment)</w:t>
            </w:r>
          </w:p>
        </w:tc>
      </w:tr>
      <w:tr>
        <w:tc>
          <w:tcPr>
            <w:tcW w:type="dxa" w:w="2304"/>
            <w:shd w:val="clear" w:color="auto" w:fill="EDEDED"/>
          </w:tcPr>
          <w:p>
            <w:pPr>
              <w:spacing w:after="20" w:before="0"/>
            </w:pPr>
            <w:r/>
            <w:r>
              <w:rPr>
                <w:b w:val="0"/>
                <w:i w:val="0"/>
                <w:sz w:val="17"/>
              </w:rPr>
              <w:t>Template v3.2</w:t>
            </w:r>
          </w:p>
        </w:tc>
        <w:tc>
          <w:tcPr>
            <w:tcW w:type="dxa" w:w="11232"/>
          </w:tcPr>
          <w:p>
            <w:pPr>
              <w:spacing w:after="20" w:before="0"/>
            </w:pPr>
            <w:r/>
            <w:r>
              <w:rPr>
                <w:b w:val="0"/>
                <w:i w:val="0"/>
                <w:sz w:val="17"/>
              </w:rPr>
              <w:t>T 15.1: cyber and technology E&amp;O cover of $50,000,000 per occurrence and $100,000,000 aggregate, with seven named coverages; Controller and its affiliates as additional insureds; insurer rated A- or better by AM Best (Calloway National Insurance Group, rated “A”); certificate within 30 days and annually; 3-year tail. T 15.2: 60 days’ notice of any reduction, with a Controller termination right.</w:t>
            </w:r>
          </w:p>
        </w:tc>
      </w:tr>
      <w:tr>
        <w:tc>
          <w:tcPr>
            <w:tcW w:type="dxa" w:w="2304"/>
            <w:shd w:val="clear" w:color="auto" w:fill="EDEDED"/>
          </w:tcPr>
          <w:p>
            <w:pPr>
              <w:spacing w:after="20" w:before="0"/>
            </w:pPr>
            <w:r/>
            <w:r>
              <w:rPr>
                <w:b w:val="0"/>
                <w:i w:val="0"/>
                <w:sz w:val="17"/>
              </w:rPr>
              <w:t>Playbook</w:t>
            </w:r>
          </w:p>
        </w:tc>
        <w:tc>
          <w:tcPr>
            <w:tcW w:type="dxa" w:w="11232"/>
          </w:tcPr>
          <w:p>
            <w:pPr>
              <w:spacing w:after="20" w:before="0"/>
            </w:pPr>
            <w:r/>
            <w:r>
              <w:rPr>
                <w:b w:val="0"/>
                <w:i w:val="0"/>
                <w:sz w:val="17"/>
              </w:rPr>
              <w:t>Red: deletion of the insurance requirement entirely and removal of the annual certificate. Under the Topic 14 cross-reference, this change must be assessed together with Topic 6.</w:t>
            </w:r>
          </w:p>
        </w:tc>
      </w:tr>
      <w:tr>
        <w:tc>
          <w:tcPr>
            <w:tcW w:type="dxa" w:w="2304"/>
            <w:shd w:val="clear" w:color="auto" w:fill="EDEDED"/>
          </w:tcPr>
          <w:p>
            <w:pPr>
              <w:spacing w:after="20" w:before="0"/>
            </w:pPr>
            <w:r/>
            <w:r>
              <w:rPr>
                <w:b w:val="0"/>
                <w:i w:val="0"/>
                <w:sz w:val="17"/>
              </w:rPr>
              <w:t>Risk analysis</w:t>
            </w:r>
          </w:p>
        </w:tc>
        <w:tc>
          <w:tcPr>
            <w:tcW w:type="dxa" w:w="11232"/>
          </w:tcPr>
          <w:p>
            <w:pPr>
              <w:spacing w:after="20" w:before="0"/>
            </w:pPr>
            <w:r/>
            <w:r>
              <w:rPr>
                <w:b w:val="0"/>
                <w:i w:val="0"/>
                <w:sz w:val="17"/>
              </w:rPr>
              <w:t xml:space="preserve">The cross-reference is </w:t>
            </w:r>
            <w:r>
              <w:rPr>
                <w:b/>
                <w:i w:val="0"/>
                <w:sz w:val="17"/>
              </w:rPr>
              <w:t>circular</w:t>
            </w:r>
            <w:r>
              <w:rPr>
                <w:b w:val="0"/>
                <w:i w:val="0"/>
                <w:sz w:val="17"/>
              </w:rPr>
              <w:t>. MSA §18.1(d) requires cyber cover “with minimum coverage limits as set forth in the Data Processing Agreement”, so if the DPA defers back to the MSA, no minimum cyber limit exists anywhere. A 1× cap with no insurance leaves Stratton with no assured source of recovery for a catastrophic breach affecting ~2.32M data subjects and 4.2-8 PB of data.</w:t>
            </w:r>
          </w:p>
        </w:tc>
      </w:tr>
      <w:tr>
        <w:tc>
          <w:tcPr>
            <w:tcW w:type="dxa" w:w="2304"/>
            <w:shd w:val="clear" w:color="auto" w:fill="EDEDED"/>
          </w:tcPr>
          <w:p>
            <w:pPr>
              <w:spacing w:after="20" w:before="0"/>
            </w:pPr>
            <w:r/>
            <w:r>
              <w:rPr>
                <w:b w:val="0"/>
                <w:i w:val="0"/>
                <w:sz w:val="17"/>
              </w:rPr>
              <w:t>MSA interplay</w:t>
            </w:r>
          </w:p>
        </w:tc>
        <w:tc>
          <w:tcPr>
            <w:tcW w:type="dxa" w:w="11232"/>
          </w:tcPr>
          <w:p>
            <w:pPr>
              <w:spacing w:after="20" w:before="0"/>
            </w:pPr>
            <w:r/>
            <w:r>
              <w:rPr>
                <w:b w:val="0"/>
                <w:i w:val="0"/>
                <w:sz w:val="17"/>
              </w:rPr>
              <w:t>MSA §18.1(d) states that appropriate cyber insurance “is a material requirement of this engagement”. MSA §18 also requires additional-insured status, a 3-year tail and 30 days’ notice of changes. MSA §22.3(l) requires the DPA to address insurance. Deleting the requirement places CloudNest out of line with the MSA.</w:t>
            </w:r>
          </w:p>
        </w:tc>
      </w:tr>
      <w:tr>
        <w:tc>
          <w:tcPr>
            <w:tcW w:type="dxa" w:w="2304"/>
            <w:shd w:val="clear" w:color="auto" w:fill="EDEDED"/>
          </w:tcPr>
          <w:p>
            <w:pPr>
              <w:spacing w:after="20" w:before="0"/>
            </w:pPr>
            <w:r/>
            <w:r>
              <w:rPr>
                <w:b w:val="0"/>
                <w:i w:val="0"/>
                <w:sz w:val="17"/>
              </w:rPr>
              <w:t>Recommended response / counter-language</w:t>
            </w:r>
          </w:p>
        </w:tc>
        <w:tc>
          <w:tcPr>
            <w:tcW w:type="dxa" w:w="11232"/>
          </w:tcPr>
          <w:p>
            <w:pPr>
              <w:spacing w:after="20" w:before="0"/>
            </w:pPr>
            <w:r/>
            <w:r>
              <w:rPr>
                <w:b w:val="0"/>
                <w:i w:val="0"/>
                <w:sz w:val="17"/>
              </w:rPr>
              <w:t>Reject. Restore T 15.1-15.2 verbatim, including the tail and additional-insured status (which MSA §18 also requires). Request a current certificate from Calloway National Insurance Group before signing.</w:t>
            </w:r>
          </w:p>
        </w:tc>
      </w:tr>
      <w:tr>
        <w:tc>
          <w:tcPr>
            <w:tcW w:type="dxa" w:w="2304"/>
            <w:shd w:val="clear" w:color="auto" w:fill="EDEDED"/>
          </w:tcPr>
          <w:p>
            <w:pPr>
              <w:spacing w:after="20" w:before="0"/>
            </w:pPr>
            <w:r/>
            <w:r>
              <w:rPr>
                <w:b w:val="0"/>
                <w:i w:val="0"/>
                <w:sz w:val="17"/>
              </w:rPr>
              <w:t>Fallback / authority</w:t>
            </w:r>
          </w:p>
        </w:tc>
        <w:tc>
          <w:tcPr>
            <w:tcW w:type="dxa" w:w="11232"/>
          </w:tcPr>
          <w:p>
            <w:pPr>
              <w:spacing w:after="20" w:before="0"/>
            </w:pPr>
            <w:r/>
            <w:r>
              <w:rPr>
                <w:b w:val="0"/>
                <w:i w:val="0"/>
                <w:sz w:val="17"/>
              </w:rPr>
              <w:t>Yellow (GC, after reviewing Stratton’s own cover): aggregate of no less than $75M with per-occurrence cover kept at $50M. Nothing lower.</w:t>
            </w:r>
          </w:p>
        </w:tc>
      </w:tr>
    </w:tbl>
    <w:p>
      <w:pPr>
        <w:spacing w:after="40"/>
      </w:pPr>
    </w:p>
    <w:p>
      <w:pPr>
        <w:pStyle w:val="Heading2"/>
      </w:pPr>
      <w:r>
        <w:t>4.4 Sub-Processing (D-11, D-12, D-13, U-05, U-25) - Topic 1 - RED - P1</w:t>
      </w: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2304"/>
            <w:shd w:val="clear" w:color="auto" w:fill="1F3864"/>
          </w:tcPr>
          <w:p>
            <w:pPr>
              <w:spacing w:after="20" w:before="0"/>
            </w:pPr>
            <w:r/>
            <w:r>
              <w:rPr>
                <w:b/>
                <w:i w:val="0"/>
                <w:color w:val="FFFFFF"/>
                <w:sz w:val="17"/>
              </w:rPr>
              <w:t>Element</w:t>
            </w:r>
          </w:p>
        </w:tc>
        <w:tc>
          <w:tcPr>
            <w:tcW w:type="dxa" w:w="11232"/>
            <w:shd w:val="clear" w:color="auto" w:fill="1F3864"/>
          </w:tcPr>
          <w:p>
            <w:pPr>
              <w:spacing w:after="20" w:before="0"/>
            </w:pPr>
            <w:r/>
            <w:r>
              <w:rPr>
                <w:b/>
                <w:i w:val="0"/>
                <w:color w:val="FFFFFF"/>
                <w:sz w:val="17"/>
              </w:rPr>
              <w:t>Analysis</w:t>
            </w:r>
          </w:p>
        </w:tc>
      </w:tr>
      <w:tr>
        <w:tc>
          <w:tcPr>
            <w:tcW w:type="dxa" w:w="2304"/>
            <w:shd w:val="clear" w:color="auto" w:fill="EDEDED"/>
          </w:tcPr>
          <w:p>
            <w:pPr>
              <w:spacing w:after="20" w:before="0"/>
            </w:pPr>
            <w:r/>
            <w:r>
              <w:rPr>
                <w:b w:val="0"/>
                <w:i w:val="0"/>
                <w:sz w:val="17"/>
              </w:rPr>
              <w:t>CloudNest language</w:t>
            </w:r>
          </w:p>
        </w:tc>
        <w:tc>
          <w:tcPr>
            <w:tcW w:type="dxa" w:w="11232"/>
          </w:tcPr>
          <w:p>
            <w:pPr>
              <w:spacing w:after="20" w:before="0"/>
            </w:pPr>
            <w:r/>
            <w:r>
              <w:rPr>
                <w:b w:val="0"/>
                <w:i w:val="0"/>
                <w:sz w:val="17"/>
              </w:rPr>
              <w:t>RL 7.1: “Controller hereby provides general written authorization …”; RL 7.2: “at least fifteen (15) days”; RL 7.3: “Controller may raise reasonable concerns … and Processor shall consider such concerns in good faith.”</w:t>
            </w:r>
          </w:p>
        </w:tc>
      </w:tr>
      <w:tr>
        <w:tc>
          <w:tcPr>
            <w:tcW w:type="dxa" w:w="2304"/>
            <w:shd w:val="clear" w:color="auto" w:fill="EDEDED"/>
          </w:tcPr>
          <w:p>
            <w:pPr>
              <w:spacing w:after="20" w:before="0"/>
            </w:pPr>
            <w:r/>
            <w:r>
              <w:rPr>
                <w:b w:val="0"/>
                <w:i w:val="0"/>
                <w:sz w:val="17"/>
              </w:rPr>
              <w:t>Template v3.2</w:t>
            </w:r>
          </w:p>
        </w:tc>
        <w:tc>
          <w:tcPr>
            <w:tcW w:type="dxa" w:w="11232"/>
          </w:tcPr>
          <w:p>
            <w:pPr>
              <w:spacing w:after="20" w:before="0"/>
            </w:pPr>
            <w:r/>
            <w:r>
              <w:rPr>
                <w:b w:val="0"/>
                <w:i w:val="0"/>
                <w:sz w:val="17"/>
              </w:rPr>
              <w:t xml:space="preserve">T 7.1: prior </w:t>
            </w:r>
            <w:r>
              <w:rPr>
                <w:b/>
                <w:i w:val="0"/>
                <w:sz w:val="17"/>
              </w:rPr>
              <w:t>specific</w:t>
            </w:r>
            <w:r>
              <w:rPr>
                <w:b w:val="0"/>
                <w:i w:val="0"/>
                <w:sz w:val="17"/>
              </w:rPr>
              <w:t xml:space="preserve"> written consent for each Sub-Processor (“general written authorization is not sufficient”). T 7.2: 30 calendar days’ notice with detailed information (a)-(e), including security measures and a copy of the sub-processing agreement. T 7.3: objection within the notice period, a 15-day resolution window, then penalty-free termination of the DPA and the affected MSA services. T 7.4: flow-down including Controller audit rights and the HIPAA subcontractor BAA. T 7.6 and Annex 3: </w:t>
            </w:r>
            <w:r>
              <w:rPr>
                <w:b/>
                <w:i w:val="0"/>
                <w:sz w:val="17"/>
              </w:rPr>
              <w:t>no Sub-Processors approved</w:t>
            </w:r>
            <w:r>
              <w:rPr>
                <w:b w:val="0"/>
                <w:i w:val="0"/>
                <w:sz w:val="17"/>
              </w:rPr>
              <w:t>. Annex 4: SCC Clause 9(a) Option 1 (specific authorisation).</w:t>
            </w:r>
          </w:p>
        </w:tc>
      </w:tr>
      <w:tr>
        <w:tc>
          <w:tcPr>
            <w:tcW w:type="dxa" w:w="2304"/>
            <w:shd w:val="clear" w:color="auto" w:fill="EDEDED"/>
          </w:tcPr>
          <w:p>
            <w:pPr>
              <w:spacing w:after="20" w:before="0"/>
            </w:pPr>
            <w:r/>
            <w:r>
              <w:rPr>
                <w:b w:val="0"/>
                <w:i w:val="0"/>
                <w:sz w:val="17"/>
              </w:rPr>
              <w:t>Playbook</w:t>
            </w:r>
          </w:p>
        </w:tc>
        <w:tc>
          <w:tcPr>
            <w:tcW w:type="dxa" w:w="11232"/>
          </w:tcPr>
          <w:p>
            <w:pPr>
              <w:spacing w:after="20" w:before="0"/>
            </w:pPr>
            <w:r/>
            <w:r>
              <w:rPr>
                <w:b w:val="0"/>
                <w:i w:val="0"/>
                <w:sz w:val="17"/>
              </w:rPr>
              <w:t>Red on all three required elements: the consent model (general authorisation), the notice period (15 days, below the 20-day floor) and the objection/termination right (removed). Failing any one of the three is Red.</w:t>
            </w:r>
          </w:p>
        </w:tc>
      </w:tr>
      <w:tr>
        <w:tc>
          <w:tcPr>
            <w:tcW w:type="dxa" w:w="2304"/>
            <w:shd w:val="clear" w:color="auto" w:fill="EDEDED"/>
          </w:tcPr>
          <w:p>
            <w:pPr>
              <w:spacing w:after="20" w:before="0"/>
            </w:pPr>
            <w:r/>
            <w:r>
              <w:rPr>
                <w:b w:val="0"/>
                <w:i w:val="0"/>
                <w:sz w:val="17"/>
              </w:rPr>
              <w:t>Risk analysis</w:t>
            </w:r>
          </w:p>
        </w:tc>
        <w:tc>
          <w:tcPr>
            <w:tcW w:type="dxa" w:w="11232"/>
          </w:tcPr>
          <w:p>
            <w:pPr>
              <w:spacing w:after="20" w:before="0"/>
            </w:pPr>
            <w:r/>
            <w:r>
              <w:rPr>
                <w:b w:val="0"/>
                <w:i w:val="0"/>
                <w:sz w:val="17"/>
              </w:rPr>
              <w:t xml:space="preserve">• Under general authorisation, GDPR Art. 28(2) still requires that the controller be given “the opportunity to object”. RL 7.3’s “raise concerns … consider in good faith” gives no right to object and no remedy, so </w:t>
            </w:r>
            <w:r>
              <w:rPr>
                <w:b/>
                <w:i w:val="0"/>
                <w:sz w:val="17"/>
              </w:rPr>
              <w:t>the markup arguably fails Art. 28(2) itself</w:t>
            </w:r>
            <w:r>
              <w:rPr>
                <w:b w:val="0"/>
                <w:i w:val="0"/>
                <w:sz w:val="17"/>
              </w:rPr>
              <w:t>, contrary to the email’s claim that it is “consistent with” Art. 28(2).</w:t>
            </w:r>
          </w:p>
          <w:p>
            <w:pPr>
              <w:spacing w:after="20" w:before="0"/>
            </w:pPr>
            <w:r>
              <w:rPr>
                <w:b w:val="0"/>
                <w:i w:val="0"/>
                <w:sz w:val="17"/>
              </w:rPr>
              <w:t>• HIPAA 45 CFR §164.502(e)(1)(ii) and §164.504(e)(2)(ii)(D) require the subcontractor chain. Without consent, Stratton cannot verify that any sub-processor handling PHI is under a BAA.</w:t>
            </w:r>
          </w:p>
          <w:p>
            <w:pPr>
              <w:spacing w:after="20" w:before="0"/>
            </w:pPr>
            <w:r>
              <w:rPr>
                <w:b w:val="0"/>
                <w:i w:val="0"/>
                <w:sz w:val="17"/>
              </w:rPr>
              <w:t>• The untracked divergences remove Controller audit flow-down and the detailed information requirements, and leave the SCC Clause 9 option unselected (U-25).</w:t>
            </w:r>
          </w:p>
        </w:tc>
      </w:tr>
      <w:tr>
        <w:tc>
          <w:tcPr>
            <w:tcW w:type="dxa" w:w="2304"/>
            <w:shd w:val="clear" w:color="auto" w:fill="EDEDED"/>
          </w:tcPr>
          <w:p>
            <w:pPr>
              <w:spacing w:after="20" w:before="0"/>
            </w:pPr>
            <w:r/>
            <w:r>
              <w:rPr>
                <w:b w:val="0"/>
                <w:i w:val="0"/>
                <w:sz w:val="17"/>
              </w:rPr>
              <w:t>MSA interplay</w:t>
            </w:r>
          </w:p>
        </w:tc>
        <w:tc>
          <w:tcPr>
            <w:tcW w:type="dxa" w:w="11232"/>
          </w:tcPr>
          <w:p>
            <w:pPr>
              <w:spacing w:after="20" w:before="0"/>
            </w:pPr>
            <w:r/>
            <w:r>
              <w:rPr>
                <w:b w:val="0"/>
                <w:i w:val="0"/>
                <w:sz w:val="17"/>
              </w:rPr>
              <w:t>MSA §22.3(d) requires the DPA to address sub-processing arrangements. The MSA summary records that Peregrine was “disclosed”. Disclosure is not consent.</w:t>
            </w:r>
          </w:p>
        </w:tc>
      </w:tr>
      <w:tr>
        <w:tc>
          <w:tcPr>
            <w:tcW w:type="dxa" w:w="2304"/>
            <w:shd w:val="clear" w:color="auto" w:fill="EDEDED"/>
          </w:tcPr>
          <w:p>
            <w:pPr>
              <w:spacing w:after="20" w:before="0"/>
            </w:pPr>
            <w:r/>
            <w:r>
              <w:rPr>
                <w:b w:val="0"/>
                <w:i w:val="0"/>
                <w:sz w:val="17"/>
              </w:rPr>
              <w:t>Recommended response / counter-language</w:t>
            </w:r>
          </w:p>
        </w:tc>
        <w:tc>
          <w:tcPr>
            <w:tcW w:type="dxa" w:w="11232"/>
          </w:tcPr>
          <w:p>
            <w:pPr>
              <w:spacing w:after="20" w:before="0"/>
            </w:pPr>
            <w:r/>
            <w:r>
              <w:rPr>
                <w:b w:val="0"/>
                <w:i w:val="0"/>
                <w:sz w:val="17"/>
              </w:rPr>
              <w:t>Reject. Restore T 7.1-7.6 and Annex 4 Clause 9(a) Option 1. Green: we may accept the addition of sub-processor evaluation criteria (security posture, location, certifications).</w:t>
            </w:r>
          </w:p>
        </w:tc>
      </w:tr>
      <w:tr>
        <w:tc>
          <w:tcPr>
            <w:tcW w:type="dxa" w:w="2304"/>
            <w:shd w:val="clear" w:color="auto" w:fill="EDEDED"/>
          </w:tcPr>
          <w:p>
            <w:pPr>
              <w:spacing w:after="20" w:before="0"/>
            </w:pPr>
            <w:r/>
            <w:r>
              <w:rPr>
                <w:b w:val="0"/>
                <w:i w:val="0"/>
                <w:sz w:val="17"/>
              </w:rPr>
              <w:t>Fallback / authority</w:t>
            </w:r>
          </w:p>
        </w:tc>
        <w:tc>
          <w:tcPr>
            <w:tcW w:type="dxa" w:w="11232"/>
          </w:tcPr>
          <w:p>
            <w:pPr>
              <w:spacing w:after="20" w:before="0"/>
            </w:pPr>
            <w:r/>
            <w:r>
              <w:rPr>
                <w:b w:val="0"/>
                <w:i w:val="0"/>
                <w:sz w:val="17"/>
              </w:rPr>
              <w:t>Yellow (CPO): notice of no less than 20 days; a “reasonable grounds” qualifier on objections only if defined to include data protection, security and jurisdictional concerns. The consent model and the termination right are not negotiable without a CEO override.</w:t>
            </w:r>
          </w:p>
        </w:tc>
      </w:tr>
    </w:tbl>
    <w:p>
      <w:pPr>
        <w:spacing w:after="40"/>
      </w:pPr>
    </w:p>
    <w:p>
      <w:pPr>
        <w:pStyle w:val="Heading2"/>
      </w:pPr>
      <w:r>
        <w:t>4.5 International Transfers, Mumbai and Peregrine (D-14, D-15, D-16, D-41, D-42, D-07, U-04) - Topics 4, 1, 15, 16 - RED - P1</w:t>
      </w: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2304"/>
            <w:shd w:val="clear" w:color="auto" w:fill="1F3864"/>
          </w:tcPr>
          <w:p>
            <w:pPr>
              <w:spacing w:after="20" w:before="0"/>
            </w:pPr>
            <w:r/>
            <w:r>
              <w:rPr>
                <w:b/>
                <w:i w:val="0"/>
                <w:color w:val="FFFFFF"/>
                <w:sz w:val="17"/>
              </w:rPr>
              <w:t>Element</w:t>
            </w:r>
          </w:p>
        </w:tc>
        <w:tc>
          <w:tcPr>
            <w:tcW w:type="dxa" w:w="11232"/>
            <w:shd w:val="clear" w:color="auto" w:fill="1F3864"/>
          </w:tcPr>
          <w:p>
            <w:pPr>
              <w:spacing w:after="20" w:before="0"/>
            </w:pPr>
            <w:r/>
            <w:r>
              <w:rPr>
                <w:b/>
                <w:i w:val="0"/>
                <w:color w:val="FFFFFF"/>
                <w:sz w:val="17"/>
              </w:rPr>
              <w:t>Analysis</w:t>
            </w:r>
          </w:p>
        </w:tc>
      </w:tr>
      <w:tr>
        <w:tc>
          <w:tcPr>
            <w:tcW w:type="dxa" w:w="2304"/>
            <w:shd w:val="clear" w:color="auto" w:fill="EDEDED"/>
          </w:tcPr>
          <w:p>
            <w:pPr>
              <w:spacing w:after="20" w:before="0"/>
            </w:pPr>
            <w:r/>
            <w:r>
              <w:rPr>
                <w:b w:val="0"/>
                <w:i w:val="0"/>
                <w:sz w:val="17"/>
              </w:rPr>
              <w:t>CloudNest language</w:t>
            </w:r>
          </w:p>
        </w:tc>
        <w:tc>
          <w:tcPr>
            <w:tcW w:type="dxa" w:w="11232"/>
          </w:tcPr>
          <w:p>
            <w:pPr>
              <w:spacing w:after="20" w:before="0"/>
            </w:pPr>
            <w:r/>
            <w:r>
              <w:rPr>
                <w:b w:val="0"/>
                <w:i w:val="0"/>
                <w:sz w:val="17"/>
              </w:rPr>
              <w:t>RL 8.1: Approved Processing Locations are “London, United Kingdom; Frankfurt, Germany; and Mumbai, India”. RL 8.2: “Processor shall ensure that appropriate safeguards are in place”. RL 8.4 deleted. Annex 1 §3 table adds “Mumbai, India - Peregrine Data Analytics Pvt. Ltd., Bandra-Kurla Tech Park”. Annex 3 lists Peregrine for “Log analytics and performance monitoring”. PV-08: the processing is “limited to technical operational data”.</w:t>
            </w:r>
          </w:p>
        </w:tc>
      </w:tr>
      <w:tr>
        <w:tc>
          <w:tcPr>
            <w:tcW w:type="dxa" w:w="2304"/>
            <w:shd w:val="clear" w:color="auto" w:fill="EDEDED"/>
          </w:tcPr>
          <w:p>
            <w:pPr>
              <w:spacing w:after="20" w:before="0"/>
            </w:pPr>
            <w:r/>
            <w:r>
              <w:rPr>
                <w:b w:val="0"/>
                <w:i w:val="0"/>
                <w:sz w:val="17"/>
              </w:rPr>
              <w:t>Template v3.2</w:t>
            </w:r>
          </w:p>
        </w:tc>
        <w:tc>
          <w:tcPr>
            <w:tcW w:type="dxa" w:w="11232"/>
          </w:tcPr>
          <w:p>
            <w:pPr>
              <w:spacing w:after="20" w:before="0"/>
            </w:pPr>
            <w:r/>
            <w:r>
              <w:rPr>
                <w:b w:val="0"/>
                <w:i w:val="0"/>
                <w:sz w:val="17"/>
              </w:rPr>
              <w:t xml:space="preserve">T 5.1: processing only in the EEA, UK or US, and only at the London Docklands and Frankfurt-Rödelheim facilities. T 5.2: no transfers outside those locations without Controller’s prior written consent </w:t>
            </w:r>
            <w:r>
              <w:rPr>
                <w:b/>
                <w:i w:val="0"/>
                <w:sz w:val="17"/>
              </w:rPr>
              <w:t>and</w:t>
            </w:r>
            <w:r>
              <w:rPr>
                <w:b w:val="0"/>
                <w:i w:val="0"/>
                <w:sz w:val="17"/>
              </w:rPr>
              <w:t xml:space="preserve"> an Art. 45/46/47 mechanism; no reliance on Art. 49 derogations for recurring transfers. T 5.3: transfer impact assessment (EDPB Recs 01/2020) for Controller approval. T 5.4: government access requests. A2.8(b): backups only in Permitted Processing Locations.</w:t>
            </w:r>
          </w:p>
        </w:tc>
      </w:tr>
      <w:tr>
        <w:tc>
          <w:tcPr>
            <w:tcW w:type="dxa" w:w="2304"/>
            <w:shd w:val="clear" w:color="auto" w:fill="EDEDED"/>
          </w:tcPr>
          <w:p>
            <w:pPr>
              <w:spacing w:after="20" w:before="0"/>
            </w:pPr>
            <w:r/>
            <w:r>
              <w:rPr>
                <w:b w:val="0"/>
                <w:i w:val="0"/>
                <w:sz w:val="17"/>
              </w:rPr>
              <w:t>Playbook</w:t>
            </w:r>
          </w:p>
        </w:tc>
        <w:tc>
          <w:tcPr>
            <w:tcW w:type="dxa" w:w="11232"/>
          </w:tcPr>
          <w:p>
            <w:pPr>
              <w:spacing w:after="20" w:before="0"/>
            </w:pPr>
            <w:r/>
            <w:r>
              <w:rPr>
                <w:b w:val="0"/>
                <w:i w:val="0"/>
                <w:sz w:val="17"/>
              </w:rPr>
              <w:t>Red: “Addition of processing locations in countries without an EU adequacy decision (e.g., India …) without referencing an approved transfer mechanism”, Processor self-assessment of safeguards, and removal of Controller’s prior approval. All three are present. Topic 1 (Peregrine is pre-approved without specific consent) and Topic 15 (no evidence of a BAA flow-down for PHI in logs) are also Red. Compound = Red.</w:t>
            </w:r>
          </w:p>
        </w:tc>
      </w:tr>
      <w:tr>
        <w:tc>
          <w:tcPr>
            <w:tcW w:type="dxa" w:w="2304"/>
            <w:shd w:val="clear" w:color="auto" w:fill="EDEDED"/>
          </w:tcPr>
          <w:p>
            <w:pPr>
              <w:spacing w:after="20" w:before="0"/>
            </w:pPr>
            <w:r/>
            <w:r>
              <w:rPr>
                <w:b w:val="0"/>
                <w:i w:val="0"/>
                <w:sz w:val="17"/>
              </w:rPr>
              <w:t>Risk analysis</w:t>
            </w:r>
          </w:p>
        </w:tc>
        <w:tc>
          <w:tcPr>
            <w:tcW w:type="dxa" w:w="11232"/>
          </w:tcPr>
          <w:p>
            <w:pPr>
              <w:spacing w:after="20" w:before="0"/>
            </w:pPr>
            <w:r/>
            <w:r>
              <w:rPr>
                <w:b w:val="0"/>
                <w:i w:val="0"/>
                <w:sz w:val="17"/>
              </w:rPr>
              <w:t>• India has no EU or UK adequacy decision, so a transfer of EU/UK patient data (~14,000 data subjects via Stratton Health UK Ltd.) without SCCs/IDTA and a TIA breaches GDPR/UK GDPR Chapter V.</w:t>
            </w:r>
          </w:p>
          <w:p>
            <w:pPr>
              <w:spacing w:after="20" w:before="0"/>
            </w:pPr>
            <w:r>
              <w:rPr>
                <w:b w:val="0"/>
                <w:i w:val="0"/>
                <w:sz w:val="17"/>
              </w:rPr>
              <w:t xml:space="preserve">• </w:t>
            </w:r>
            <w:r>
              <w:rPr>
                <w:b/>
                <w:i w:val="0"/>
                <w:sz w:val="17"/>
              </w:rPr>
              <w:t>PV-08’s “technical operational data” claim is contradicted by CloudNest’s own markup.</w:t>
            </w:r>
            <w:r>
              <w:rPr>
                <w:b w:val="0"/>
                <w:i w:val="0"/>
                <w:sz w:val="17"/>
              </w:rPr>
              <w:t xml:space="preserve"> RL 1.1(g) (PV-02) widens Personal Data to include “metadata that could directly or indirectly identify a natural person”, and Annex 1 lists IP addresses and session logs as Personal Data. Telemedicine platform logs can also contain patient identifiers, session IDs linked to clinical events and error payloads with PHI (Playbook Topic 4 rationale).</w:t>
            </w:r>
          </w:p>
          <w:p>
            <w:pPr>
              <w:spacing w:after="20" w:before="0"/>
            </w:pPr>
            <w:r>
              <w:rPr>
                <w:b w:val="0"/>
                <w:i w:val="0"/>
                <w:sz w:val="17"/>
              </w:rPr>
              <w:t>• HIPAA: offshore processing of PHI by a subcontractor without a BAA chain breaches 45 CFR §164.502(e)/§164.504(e). Enforcement against an Indian entity is impractical.</w:t>
            </w:r>
          </w:p>
          <w:p>
            <w:pPr>
              <w:spacing w:after="20" w:before="0"/>
            </w:pPr>
            <w:r>
              <w:rPr>
                <w:b w:val="0"/>
                <w:i w:val="0"/>
                <w:sz w:val="17"/>
              </w:rPr>
              <w:t>• Payment card data under PCI DSS v4.0 must not reach log pipelines outside the assessed environment.</w:t>
            </w:r>
          </w:p>
          <w:p>
            <w:pPr>
              <w:spacing w:after="20" w:before="0"/>
            </w:pPr>
            <w:r>
              <w:rPr>
                <w:b w:val="0"/>
                <w:i w:val="0"/>
                <w:sz w:val="17"/>
              </w:rPr>
              <w:t>• The email describes the arrangement as “routine” and “well-established”, which suggests that Peregrine may already monitor CloudNest’s shared infrastructure.</w:t>
            </w:r>
          </w:p>
        </w:tc>
      </w:tr>
      <w:tr>
        <w:tc>
          <w:tcPr>
            <w:tcW w:type="dxa" w:w="2304"/>
            <w:shd w:val="clear" w:color="auto" w:fill="EDEDED"/>
          </w:tcPr>
          <w:p>
            <w:pPr>
              <w:spacing w:after="20" w:before="0"/>
            </w:pPr>
            <w:r/>
            <w:r>
              <w:rPr>
                <w:b w:val="0"/>
                <w:i w:val="0"/>
                <w:sz w:val="17"/>
              </w:rPr>
              <w:t>MSA interplay</w:t>
            </w:r>
          </w:p>
        </w:tc>
        <w:tc>
          <w:tcPr>
            <w:tcW w:type="dxa" w:w="11232"/>
          </w:tcPr>
          <w:p>
            <w:pPr>
              <w:spacing w:after="20" w:before="0"/>
            </w:pPr>
            <w:r/>
            <w:r>
              <w:rPr>
                <w:b w:val="0"/>
                <w:i w:val="0"/>
                <w:sz w:val="17"/>
              </w:rPr>
              <w:t xml:space="preserve">The MSA Statement of Work (Exhibit A) designates </w:t>
            </w:r>
            <w:r>
              <w:rPr>
                <w:b/>
                <w:i w:val="0"/>
                <w:sz w:val="17"/>
              </w:rPr>
              <w:t>only London and Frankfurt</w:t>
            </w:r>
            <w:r>
              <w:rPr>
                <w:b w:val="0"/>
                <w:i w:val="0"/>
                <w:sz w:val="17"/>
              </w:rPr>
              <w:t xml:space="preserve"> as authorised hosting locations. Adding Mumbai in the DPA would amend the SOW by the back door (MSA §22.5 precedence). MSA §22.3(g) requires data localisation terms.</w:t>
            </w:r>
          </w:p>
        </w:tc>
      </w:tr>
      <w:tr>
        <w:tc>
          <w:tcPr>
            <w:tcW w:type="dxa" w:w="2304"/>
            <w:shd w:val="clear" w:color="auto" w:fill="EDEDED"/>
          </w:tcPr>
          <w:p>
            <w:pPr>
              <w:spacing w:after="20" w:before="0"/>
            </w:pPr>
            <w:r/>
            <w:r>
              <w:rPr>
                <w:b w:val="0"/>
                <w:i w:val="0"/>
                <w:sz w:val="17"/>
              </w:rPr>
              <w:t>Recommended response / counter-language</w:t>
            </w:r>
          </w:p>
        </w:tc>
        <w:tc>
          <w:tcPr>
            <w:tcW w:type="dxa" w:w="11232"/>
          </w:tcPr>
          <w:p>
            <w:pPr>
              <w:spacing w:after="20" w:before="0"/>
            </w:pPr>
            <w:r/>
            <w:r>
              <w:rPr>
                <w:b w:val="0"/>
                <w:i w:val="0"/>
                <w:sz w:val="17"/>
              </w:rPr>
              <w:t>Reject RL 8.1, 8.2, the deletion of 8.4, the Annex 1 §3 table and the Annex 3 entry. Restore T 5.1-5.4, T 7.6 and T A1.5. Ask CloudNest to: (1) confirm in writing that no Stratton data, logs or telemetry has been or will be routed to Peregrine or any non-EEA/UK/US location pending consent; (2) say whether Peregrine’s log analytics can be confined to London/Frankfurt or performed on scrubbed, non-identifying telemetry; (3) if CloudNest wants Peregrine approved, submit a full T 7.2 notice (legal entity, facility, data flows and fields, security certifications, draft sub-processing agreement) together with SCCs Module 3 plus the UK Addendum, a TIA under T 5.3, and a HIPAA subcontractor BAA. Note that RL 4.3’s “log analytics and performance monitoring” wording (D-07) is harmless only if it is performed in Permitted Processing Locations.</w:t>
            </w:r>
          </w:p>
        </w:tc>
      </w:tr>
      <w:tr>
        <w:tc>
          <w:tcPr>
            <w:tcW w:type="dxa" w:w="2304"/>
            <w:shd w:val="clear" w:color="auto" w:fill="EDEDED"/>
          </w:tcPr>
          <w:p>
            <w:pPr>
              <w:spacing w:after="20" w:before="0"/>
            </w:pPr>
            <w:r/>
            <w:r>
              <w:rPr>
                <w:b w:val="0"/>
                <w:i w:val="0"/>
                <w:sz w:val="17"/>
              </w:rPr>
              <w:t>Fallback / authority</w:t>
            </w:r>
          </w:p>
        </w:tc>
        <w:tc>
          <w:tcPr>
            <w:tcW w:type="dxa" w:w="11232"/>
          </w:tcPr>
          <w:p>
            <w:pPr>
              <w:spacing w:after="20" w:before="0"/>
            </w:pPr>
            <w:r/>
            <w:r>
              <w:rPr>
                <w:b w:val="0"/>
                <w:i w:val="0"/>
                <w:sz w:val="17"/>
              </w:rPr>
              <w:t>No playbook fallback allows a non-adequate location without approved Art. 46 safeguards (a “firm Red”). Any Peregrine approval is a specific-consent decision for the CPO and GC, to be taken after the TIA and with Catherine Holloway consulted (HIPAA offshore risk).</w:t>
            </w:r>
          </w:p>
        </w:tc>
      </w:tr>
    </w:tbl>
    <w:p>
      <w:pPr>
        <w:spacing w:after="40"/>
      </w:pPr>
    </w:p>
    <w:p>
      <w:pPr>
        <w:pStyle w:val="Heading2"/>
      </w:pPr>
      <w:r>
        <w:t>4.6 Breach Notification (D-19, D-20, U-02, U-03; D-21 Yellow) - Topics 2, 15 - RED - P1</w:t>
      </w: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2304"/>
            <w:shd w:val="clear" w:color="auto" w:fill="1F3864"/>
          </w:tcPr>
          <w:p>
            <w:pPr>
              <w:spacing w:after="20" w:before="0"/>
            </w:pPr>
            <w:r/>
            <w:r>
              <w:rPr>
                <w:b/>
                <w:i w:val="0"/>
                <w:color w:val="FFFFFF"/>
                <w:sz w:val="17"/>
              </w:rPr>
              <w:t>Element</w:t>
            </w:r>
          </w:p>
        </w:tc>
        <w:tc>
          <w:tcPr>
            <w:tcW w:type="dxa" w:w="11232"/>
            <w:shd w:val="clear" w:color="auto" w:fill="1F3864"/>
          </w:tcPr>
          <w:p>
            <w:pPr>
              <w:spacing w:after="20" w:before="0"/>
            </w:pPr>
            <w:r/>
            <w:r>
              <w:rPr>
                <w:b/>
                <w:i w:val="0"/>
                <w:color w:val="FFFFFF"/>
                <w:sz w:val="17"/>
              </w:rPr>
              <w:t>Analysis</w:t>
            </w:r>
          </w:p>
        </w:tc>
      </w:tr>
      <w:tr>
        <w:tc>
          <w:tcPr>
            <w:tcW w:type="dxa" w:w="2304"/>
            <w:shd w:val="clear" w:color="auto" w:fill="EDEDED"/>
          </w:tcPr>
          <w:p>
            <w:pPr>
              <w:spacing w:after="20" w:before="0"/>
            </w:pPr>
            <w:r/>
            <w:r>
              <w:rPr>
                <w:b w:val="0"/>
                <w:i w:val="0"/>
                <w:sz w:val="17"/>
              </w:rPr>
              <w:t>CloudNest language</w:t>
            </w:r>
          </w:p>
        </w:tc>
        <w:tc>
          <w:tcPr>
            <w:tcW w:type="dxa" w:w="11232"/>
          </w:tcPr>
          <w:p>
            <w:pPr>
              <w:spacing w:after="20" w:before="0"/>
            </w:pPr>
            <w:r/>
            <w:r>
              <w:rPr>
                <w:b w:val="0"/>
                <w:i w:val="0"/>
                <w:sz w:val="17"/>
              </w:rPr>
              <w:t xml:space="preserve">RL 10.1: “within seventy-two (72) hours of </w:t>
            </w:r>
            <w:r>
              <w:rPr>
                <w:b/>
                <w:i w:val="0"/>
                <w:sz w:val="17"/>
              </w:rPr>
              <w:t>confirming</w:t>
            </w:r>
            <w:r>
              <w:rPr>
                <w:b w:val="0"/>
                <w:i w:val="0"/>
                <w:sz w:val="17"/>
              </w:rPr>
              <w:t xml:space="preserve"> that a security incident constitutes a Personal Data Breach”. RL 10.2 (bracketed, untracked): (i) nature, “where possible” categories of Data Subjects; (ii) likely consequences; (iii) DPO contact. RL 10.5: unsuccessful incidents excluded.</w:t>
            </w:r>
          </w:p>
        </w:tc>
      </w:tr>
      <w:tr>
        <w:tc>
          <w:tcPr>
            <w:tcW w:type="dxa" w:w="2304"/>
            <w:shd w:val="clear" w:color="auto" w:fill="EDEDED"/>
          </w:tcPr>
          <w:p>
            <w:pPr>
              <w:spacing w:after="20" w:before="0"/>
            </w:pPr>
            <w:r/>
            <w:r>
              <w:rPr>
                <w:b w:val="0"/>
                <w:i w:val="0"/>
                <w:sz w:val="17"/>
              </w:rPr>
              <w:t>Template v3.2</w:t>
            </w:r>
          </w:p>
        </w:tc>
        <w:tc>
          <w:tcPr>
            <w:tcW w:type="dxa" w:w="11232"/>
          </w:tcPr>
          <w:p>
            <w:pPr>
              <w:spacing w:after="20" w:before="0"/>
            </w:pPr>
            <w:r/>
            <w:r>
              <w:rPr>
                <w:b w:val="0"/>
                <w:i w:val="0"/>
                <w:sz w:val="17"/>
              </w:rPr>
              <w:t xml:space="preserve">T 11.1: 24 hours from becoming aware; awareness is deemed to arise when any employee, officer, agent or Sub-Processor has a reasonable basis to believe a breach has occurred, whether or not confirmed; notice to the CPO and GC by email </w:t>
            </w:r>
            <w:r>
              <w:rPr>
                <w:b/>
                <w:i w:val="0"/>
                <w:sz w:val="17"/>
              </w:rPr>
              <w:t>and</w:t>
            </w:r>
            <w:r>
              <w:rPr>
                <w:b w:val="0"/>
                <w:i w:val="0"/>
                <w:sz w:val="17"/>
              </w:rPr>
              <w:t xml:space="preserve"> telephone. T 11.2: four elements, with updates every 12 hours. T 11.3: cooperation, including updates at least every 24 hours. T 11.4: HIPAA §164.410 content, including identification of each affected individual. T 1.1: Personal Data Breach includes a HIPAA “Breach of Unsecured PHI” (§164.402) and a “Security Incident” (§164.304).</w:t>
            </w:r>
          </w:p>
        </w:tc>
      </w:tr>
      <w:tr>
        <w:tc>
          <w:tcPr>
            <w:tcW w:type="dxa" w:w="2304"/>
            <w:shd w:val="clear" w:color="auto" w:fill="EDEDED"/>
          </w:tcPr>
          <w:p>
            <w:pPr>
              <w:spacing w:after="20" w:before="0"/>
            </w:pPr>
            <w:r/>
            <w:r>
              <w:rPr>
                <w:b w:val="0"/>
                <w:i w:val="0"/>
                <w:sz w:val="17"/>
              </w:rPr>
              <w:t>Playbook</w:t>
            </w:r>
          </w:p>
        </w:tc>
        <w:tc>
          <w:tcPr>
            <w:tcW w:type="dxa" w:w="11232"/>
          </w:tcPr>
          <w:p>
            <w:pPr>
              <w:spacing w:after="20" w:before="0"/>
            </w:pPr>
            <w:r/>
            <w:r>
              <w:rPr>
                <w:b w:val="0"/>
                <w:i w:val="0"/>
                <w:sz w:val="17"/>
              </w:rPr>
              <w:t>Red: a window beyond 36 hours (72 hours), a trigger change to “confirmation” (named expressly as Red), and removal of two or more content elements (the approximate number of Data Subjects and the measures taken or proposed). Each is independently Red.</w:t>
            </w:r>
          </w:p>
        </w:tc>
      </w:tr>
      <w:tr>
        <w:tc>
          <w:tcPr>
            <w:tcW w:type="dxa" w:w="2304"/>
            <w:shd w:val="clear" w:color="auto" w:fill="EDEDED"/>
          </w:tcPr>
          <w:p>
            <w:pPr>
              <w:spacing w:after="20" w:before="0"/>
            </w:pPr>
            <w:r/>
            <w:r>
              <w:rPr>
                <w:b w:val="0"/>
                <w:i w:val="0"/>
                <w:sz w:val="17"/>
              </w:rPr>
              <w:t>Risk analysis</w:t>
            </w:r>
          </w:p>
        </w:tc>
        <w:tc>
          <w:tcPr>
            <w:tcW w:type="dxa" w:w="11232"/>
          </w:tcPr>
          <w:p>
            <w:pPr>
              <w:spacing w:after="20" w:before="0"/>
            </w:pPr>
            <w:r/>
            <w:r>
              <w:rPr>
                <w:b w:val="0"/>
                <w:i w:val="0"/>
                <w:sz w:val="17"/>
              </w:rPr>
              <w:t xml:space="preserve">• </w:t>
            </w:r>
            <w:r>
              <w:rPr>
                <w:b/>
                <w:i w:val="0"/>
                <w:sz w:val="17"/>
              </w:rPr>
              <w:t>GDPR timing:</w:t>
            </w:r>
            <w:r>
              <w:rPr>
                <w:b w:val="0"/>
                <w:i w:val="0"/>
                <w:sz w:val="17"/>
              </w:rPr>
              <w:t xml:space="preserve"> Art. 33(1)’s 72 hours is the </w:t>
            </w:r>
            <w:r>
              <w:rPr>
                <w:b/>
                <w:i w:val="0"/>
                <w:sz w:val="17"/>
              </w:rPr>
              <w:t>controller’s</w:t>
            </w:r>
            <w:r>
              <w:rPr>
                <w:b w:val="0"/>
                <w:i w:val="0"/>
                <w:sz w:val="17"/>
              </w:rPr>
              <w:t xml:space="preserve"> deadline to notify the supervisory authority. Art. 33(2) requires the processor to notify “without undue delay”. Giving CloudNest 72 hours from a self-determined “confirmation” could use up or exceed Stratton’s entire window, and the confirmation gate has no outer limit.</w:t>
            </w:r>
          </w:p>
          <w:p>
            <w:pPr>
              <w:spacing w:after="20" w:before="0"/>
            </w:pPr>
            <w:r>
              <w:rPr>
                <w:b w:val="0"/>
                <w:i w:val="0"/>
                <w:sz w:val="17"/>
              </w:rPr>
              <w:t xml:space="preserve">• </w:t>
            </w:r>
            <w:r>
              <w:rPr>
                <w:b/>
                <w:i w:val="0"/>
                <w:sz w:val="17"/>
              </w:rPr>
              <w:t>HIPAA:</w:t>
            </w:r>
            <w:r>
              <w:rPr>
                <w:b w:val="0"/>
                <w:i w:val="0"/>
                <w:sz w:val="17"/>
              </w:rPr>
              <w:t xml:space="preserve"> the BA must report breaches of unsecured PHI (§164.410), including the identity of individuals (§164.410(c)), and security incidents (§164.314(a)(2)(i)(C)). The redline’s definition (GDPR Art. 4(12) only) and RL 16.4 drop Security Incident reporting, which is a required BAA term (U-02).</w:t>
            </w:r>
          </w:p>
          <w:p>
            <w:pPr>
              <w:spacing w:after="20" w:before="0"/>
            </w:pPr>
            <w:r>
              <w:rPr>
                <w:b w:val="0"/>
                <w:i w:val="0"/>
                <w:sz w:val="17"/>
              </w:rPr>
              <w:t>• Removing the approximate number of data subjects and the mitigation measures prevents Stratton from scoping its own regulator, patient, state-AG and media notifications.</w:t>
            </w:r>
          </w:p>
        </w:tc>
      </w:tr>
      <w:tr>
        <w:tc>
          <w:tcPr>
            <w:tcW w:type="dxa" w:w="2304"/>
            <w:shd w:val="clear" w:color="auto" w:fill="EDEDED"/>
          </w:tcPr>
          <w:p>
            <w:pPr>
              <w:spacing w:after="20" w:before="0"/>
            </w:pPr>
            <w:r/>
            <w:r>
              <w:rPr>
                <w:b w:val="0"/>
                <w:i w:val="0"/>
                <w:sz w:val="17"/>
              </w:rPr>
              <w:t>MSA interplay</w:t>
            </w:r>
          </w:p>
        </w:tc>
        <w:tc>
          <w:tcPr>
            <w:tcW w:type="dxa" w:w="11232"/>
          </w:tcPr>
          <w:p>
            <w:pPr>
              <w:spacing w:after="20" w:before="0"/>
            </w:pPr>
            <w:r/>
            <w:r>
              <w:rPr>
                <w:b w:val="0"/>
                <w:i w:val="0"/>
                <w:sz w:val="17"/>
              </w:rPr>
              <w:t>MSA §22.3(e) requires breach notification terms. MSA §22.2 confirms CloudNest’s status as a Business Associate.</w:t>
            </w:r>
          </w:p>
        </w:tc>
      </w:tr>
      <w:tr>
        <w:tc>
          <w:tcPr>
            <w:tcW w:type="dxa" w:w="2304"/>
            <w:shd w:val="clear" w:color="auto" w:fill="EDEDED"/>
          </w:tcPr>
          <w:p>
            <w:pPr>
              <w:spacing w:after="20" w:before="0"/>
            </w:pPr>
            <w:r/>
            <w:r>
              <w:rPr>
                <w:b w:val="0"/>
                <w:i w:val="0"/>
                <w:sz w:val="17"/>
              </w:rPr>
              <w:t>Recommended response / counter-language</w:t>
            </w:r>
          </w:p>
        </w:tc>
        <w:tc>
          <w:tcPr>
            <w:tcW w:type="dxa" w:w="11232"/>
          </w:tcPr>
          <w:p>
            <w:pPr>
              <w:spacing w:after="20" w:before="0"/>
            </w:pPr>
            <w:r/>
            <w:r>
              <w:rPr>
                <w:b w:val="0"/>
                <w:i w:val="0"/>
                <w:sz w:val="17"/>
              </w:rPr>
              <w:t>Reject and restore T 1.1 (definition), T 11.1-11.5 and T 17.3. Accept the addition of the DPO contact point to the content list (Green, consistent with GDPR Art. 33(3)(b)). For RL 10.5 see Section 5 (Yellow).</w:t>
            </w:r>
          </w:p>
        </w:tc>
      </w:tr>
      <w:tr>
        <w:tc>
          <w:tcPr>
            <w:tcW w:type="dxa" w:w="2304"/>
            <w:shd w:val="clear" w:color="auto" w:fill="EDEDED"/>
          </w:tcPr>
          <w:p>
            <w:pPr>
              <w:spacing w:after="20" w:before="0"/>
            </w:pPr>
            <w:r/>
            <w:r>
              <w:rPr>
                <w:b w:val="0"/>
                <w:i w:val="0"/>
                <w:sz w:val="17"/>
              </w:rPr>
              <w:t>Fallback / authority</w:t>
            </w:r>
          </w:p>
        </w:tc>
        <w:tc>
          <w:tcPr>
            <w:tcW w:type="dxa" w:w="11232"/>
          </w:tcPr>
          <w:p>
            <w:pPr>
              <w:spacing w:after="20" w:before="0"/>
            </w:pPr>
            <w:r/>
            <w:r>
              <w:rPr>
                <w:b w:val="0"/>
                <w:i w:val="0"/>
                <w:sz w:val="17"/>
              </w:rPr>
              <w:t>Yellow (CPO/GC): up to 36 hours from awareness (trigger unchanged); removal of only one content element (nature, number and measures must stay); a “to the extent known, with supplements” qualifier. A Green clarification of “becoming aware” (senior officer awareness) is possible only if it does not delay the trigger.</w:t>
            </w:r>
          </w:p>
        </w:tc>
      </w:tr>
    </w:tbl>
    <w:p>
      <w:pPr>
        <w:spacing w:after="40"/>
      </w:pPr>
    </w:p>
    <w:p>
      <w:pPr>
        <w:pStyle w:val="Heading2"/>
      </w:pPr>
      <w:r>
        <w:t>4.7 Security Standard and Annex 2 (D-09, D-10, U-06, U-07) - Topic 12 - RED - P1</w:t>
      </w: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2304"/>
            <w:shd w:val="clear" w:color="auto" w:fill="1F3864"/>
          </w:tcPr>
          <w:p>
            <w:pPr>
              <w:spacing w:after="20" w:before="0"/>
            </w:pPr>
            <w:r/>
            <w:r>
              <w:rPr>
                <w:b/>
                <w:i w:val="0"/>
                <w:color w:val="FFFFFF"/>
                <w:sz w:val="17"/>
              </w:rPr>
              <w:t>Element</w:t>
            </w:r>
          </w:p>
        </w:tc>
        <w:tc>
          <w:tcPr>
            <w:tcW w:type="dxa" w:w="11232"/>
            <w:shd w:val="clear" w:color="auto" w:fill="1F3864"/>
          </w:tcPr>
          <w:p>
            <w:pPr>
              <w:spacing w:after="20" w:before="0"/>
            </w:pPr>
            <w:r/>
            <w:r>
              <w:rPr>
                <w:b/>
                <w:i w:val="0"/>
                <w:color w:val="FFFFFF"/>
                <w:sz w:val="17"/>
              </w:rPr>
              <w:t>Analysis</w:t>
            </w:r>
          </w:p>
        </w:tc>
      </w:tr>
      <w:tr>
        <w:tc>
          <w:tcPr>
            <w:tcW w:type="dxa" w:w="2304"/>
            <w:shd w:val="clear" w:color="auto" w:fill="EDEDED"/>
          </w:tcPr>
          <w:p>
            <w:pPr>
              <w:spacing w:after="20" w:before="0"/>
            </w:pPr>
            <w:r/>
            <w:r>
              <w:rPr>
                <w:b w:val="0"/>
                <w:i w:val="0"/>
                <w:sz w:val="17"/>
              </w:rPr>
              <w:t>CloudNest language</w:t>
            </w:r>
          </w:p>
        </w:tc>
        <w:tc>
          <w:tcPr>
            <w:tcW w:type="dxa" w:w="11232"/>
          </w:tcPr>
          <w:p>
            <w:pPr>
              <w:spacing w:after="20" w:before="0"/>
            </w:pPr>
            <w:r/>
            <w:r>
              <w:rPr>
                <w:b w:val="0"/>
                <w:i w:val="0"/>
                <w:sz w:val="17"/>
              </w:rPr>
              <w:t xml:space="preserve">RL 6.1: “Processor shall use </w:t>
            </w:r>
            <w:r>
              <w:rPr>
                <w:b/>
                <w:i w:val="0"/>
                <w:sz w:val="17"/>
              </w:rPr>
              <w:t>commercially reasonable efforts</w:t>
            </w:r>
            <w:r>
              <w:rPr>
                <w:b w:val="0"/>
                <w:i w:val="0"/>
                <w:sz w:val="17"/>
              </w:rPr>
              <w:t xml:space="preserve"> to comply with the security requirements specified in Annex 2”. RL 6.2: obligations “shall be deemed satisfied where Processor has implemented security measures substantially consistent with industry standards for cloud infrastructure providers of similar size and scope.”</w:t>
            </w:r>
          </w:p>
        </w:tc>
      </w:tr>
      <w:tr>
        <w:tc>
          <w:tcPr>
            <w:tcW w:type="dxa" w:w="2304"/>
            <w:shd w:val="clear" w:color="auto" w:fill="EDEDED"/>
          </w:tcPr>
          <w:p>
            <w:pPr>
              <w:spacing w:after="20" w:before="0"/>
            </w:pPr>
            <w:r/>
            <w:r>
              <w:rPr>
                <w:b w:val="0"/>
                <w:i w:val="0"/>
                <w:sz w:val="17"/>
              </w:rPr>
              <w:t>Template v3.2</w:t>
            </w:r>
          </w:p>
        </w:tc>
        <w:tc>
          <w:tcPr>
            <w:tcW w:type="dxa" w:w="11232"/>
          </w:tcPr>
          <w:p>
            <w:pPr>
              <w:spacing w:after="20" w:before="0"/>
            </w:pPr>
            <w:r/>
            <w:r>
              <w:rPr>
                <w:b w:val="0"/>
                <w:i w:val="0"/>
                <w:sz w:val="17"/>
              </w:rPr>
              <w:t>T 8.1: Processor “</w:t>
            </w:r>
            <w:r>
              <w:rPr>
                <w:b/>
                <w:i w:val="0"/>
                <w:sz w:val="17"/>
              </w:rPr>
              <w:t>shall</w:t>
            </w:r>
            <w:r>
              <w:rPr>
                <w:b w:val="0"/>
                <w:i w:val="0"/>
                <w:sz w:val="17"/>
              </w:rPr>
              <w:t xml:space="preserve"> implement and maintain” Annex 2; Annex 2 is the minimum. T 8.3: HIPAA Security Rule, including a §164.308(a)(1)(ii)(A) risk analysis. T 8.4: PCI DSS AoC/RoC by a QSA annually. T 8.5: no reduction in security without consent, with 60 days’ advance submission and a Controller veto.</w:t>
            </w:r>
          </w:p>
        </w:tc>
      </w:tr>
      <w:tr>
        <w:tc>
          <w:tcPr>
            <w:tcW w:type="dxa" w:w="2304"/>
            <w:shd w:val="clear" w:color="auto" w:fill="EDEDED"/>
          </w:tcPr>
          <w:p>
            <w:pPr>
              <w:spacing w:after="20" w:before="0"/>
            </w:pPr>
            <w:r/>
            <w:r>
              <w:rPr>
                <w:b w:val="0"/>
                <w:i w:val="0"/>
                <w:sz w:val="17"/>
              </w:rPr>
              <w:t>Playbook</w:t>
            </w:r>
          </w:p>
        </w:tc>
        <w:tc>
          <w:tcPr>
            <w:tcW w:type="dxa" w:w="11232"/>
          </w:tcPr>
          <w:p>
            <w:pPr>
              <w:spacing w:after="20" w:before="0"/>
            </w:pPr>
            <w:r/>
            <w:r>
              <w:rPr>
                <w:b w:val="0"/>
                <w:i w:val="0"/>
                <w:sz w:val="17"/>
              </w:rPr>
              <w:t>Red: “commercially reasonable efforts” is named expressly; RL 6.2 is a safe harbour based on a generalised industry standard and Processor’s subjective assessment. Both are express Red triggers.</w:t>
            </w:r>
          </w:p>
        </w:tc>
      </w:tr>
      <w:tr>
        <w:tc>
          <w:tcPr>
            <w:tcW w:type="dxa" w:w="2304"/>
            <w:shd w:val="clear" w:color="auto" w:fill="EDEDED"/>
          </w:tcPr>
          <w:p>
            <w:pPr>
              <w:spacing w:after="20" w:before="0"/>
            </w:pPr>
            <w:r/>
            <w:r>
              <w:rPr>
                <w:b w:val="0"/>
                <w:i w:val="0"/>
                <w:sz w:val="17"/>
              </w:rPr>
              <w:t>Risk analysis</w:t>
            </w:r>
          </w:p>
        </w:tc>
        <w:tc>
          <w:tcPr>
            <w:tcW w:type="dxa" w:w="11232"/>
          </w:tcPr>
          <w:p>
            <w:pPr>
              <w:spacing w:after="20" w:before="0"/>
            </w:pPr>
            <w:r/>
            <w:r>
              <w:rPr>
                <w:b w:val="0"/>
                <w:i w:val="0"/>
                <w:sz w:val="17"/>
              </w:rPr>
              <w:t xml:space="preserve">An efforts-based standard may not give the “satisfactory assurances” HIPAA requires (45 CFR §164.502(e)(1)(i)) and dilutes GDPR Art. 32 and PCI DSS v4.0 obligations. Together, RL 6.1 and 6.2 turn every Annex 2 control into a target rather than a requirement. </w:t>
            </w:r>
            <w:r>
              <w:rPr>
                <w:b/>
                <w:i w:val="0"/>
                <w:sz w:val="17"/>
              </w:rPr>
              <w:t>Untracked Annex 2 downgrades (U-07)</w:t>
            </w:r>
            <w:r>
              <w:rPr>
                <w:b w:val="0"/>
                <w:i w:val="0"/>
                <w:sz w:val="17"/>
              </w:rPr>
              <w:t xml:space="preserve"> compound this. Key management drops from FIPS 140-2 Level 3 HSMs with annual rotation to “industry best practices”; MFA is reduced from all personnel to admin and privileged access only; access and audit log retention falls from 24 to 12 months; RPO and RTO rise from 1h/4h to 4h/8h; 24-hour deprovisioning, 24-hour critical patching and the 7-day high-severity patching requirements are deleted; DR test results and pentest results are no longer shared automatically; backups are no longer restricted to Permitted Processing Locations; and the 30-day vulnerability fix can be replaced with “mitigating controls”.</w:t>
            </w:r>
          </w:p>
        </w:tc>
      </w:tr>
      <w:tr>
        <w:tc>
          <w:tcPr>
            <w:tcW w:type="dxa" w:w="2304"/>
            <w:shd w:val="clear" w:color="auto" w:fill="EDEDED"/>
          </w:tcPr>
          <w:p>
            <w:pPr>
              <w:spacing w:after="20" w:before="0"/>
            </w:pPr>
            <w:r/>
            <w:r>
              <w:rPr>
                <w:b w:val="0"/>
                <w:i w:val="0"/>
                <w:sz w:val="17"/>
              </w:rPr>
              <w:t>MSA interplay</w:t>
            </w:r>
          </w:p>
        </w:tc>
        <w:tc>
          <w:tcPr>
            <w:tcW w:type="dxa" w:w="11232"/>
          </w:tcPr>
          <w:p>
            <w:pPr>
              <w:spacing w:after="20" w:before="0"/>
            </w:pPr>
            <w:r/>
            <w:r>
              <w:rPr>
                <w:b w:val="0"/>
                <w:i w:val="0"/>
                <w:sz w:val="17"/>
              </w:rPr>
              <w:t>MSA §22.3(j) requires security standards and certifications in the DPA.</w:t>
            </w:r>
          </w:p>
        </w:tc>
      </w:tr>
      <w:tr>
        <w:tc>
          <w:tcPr>
            <w:tcW w:type="dxa" w:w="2304"/>
            <w:shd w:val="clear" w:color="auto" w:fill="EDEDED"/>
          </w:tcPr>
          <w:p>
            <w:pPr>
              <w:spacing w:after="20" w:before="0"/>
            </w:pPr>
            <w:r/>
            <w:r>
              <w:rPr>
                <w:b w:val="0"/>
                <w:i w:val="0"/>
                <w:sz w:val="17"/>
              </w:rPr>
              <w:t>Recommended response / counter-language</w:t>
            </w:r>
          </w:p>
        </w:tc>
        <w:tc>
          <w:tcPr>
            <w:tcW w:type="dxa" w:w="11232"/>
          </w:tcPr>
          <w:p>
            <w:pPr>
              <w:spacing w:after="20" w:before="0"/>
            </w:pPr>
            <w:r/>
            <w:r>
              <w:rPr>
                <w:b w:val="0"/>
                <w:i w:val="0"/>
                <w:sz w:val="17"/>
              </w:rPr>
              <w:t>Reject RL 6.1’s change and RL 6.2 in full. Restore T 8.1-8.5 and Template Annex 2 (A2.1-A2.10) verbatim. Green: we can accept more detail in Annex 2 or an annual review commitment.</w:t>
            </w:r>
          </w:p>
        </w:tc>
      </w:tr>
      <w:tr>
        <w:tc>
          <w:tcPr>
            <w:tcW w:type="dxa" w:w="2304"/>
            <w:shd w:val="clear" w:color="auto" w:fill="EDEDED"/>
          </w:tcPr>
          <w:p>
            <w:pPr>
              <w:spacing w:after="20" w:before="0"/>
            </w:pPr>
            <w:r/>
            <w:r>
              <w:rPr>
                <w:b w:val="0"/>
                <w:i w:val="0"/>
                <w:sz w:val="17"/>
              </w:rPr>
              <w:t>Fallback / authority</w:t>
            </w:r>
          </w:p>
        </w:tc>
        <w:tc>
          <w:tcPr>
            <w:tcW w:type="dxa" w:w="11232"/>
          </w:tcPr>
          <w:p>
            <w:pPr>
              <w:spacing w:after="20" w:before="0"/>
            </w:pPr>
            <w:r/>
            <w:r>
              <w:rPr>
                <w:b w:val="0"/>
                <w:i w:val="0"/>
                <w:sz w:val="17"/>
              </w:rPr>
              <w:t>Yellow (CPO): substitution of specific Annex 2 measures with equivalent or superior measures, with Controller’s prior written approval. Any efforts-based or industry-standard formulation remains Red.</w:t>
            </w:r>
          </w:p>
        </w:tc>
      </w:tr>
    </w:tbl>
    <w:p>
      <w:pPr>
        <w:spacing w:after="40"/>
      </w:pPr>
    </w:p>
    <w:p>
      <w:pPr>
        <w:pStyle w:val="Heading2"/>
      </w:pPr>
      <w:r>
        <w:t>4.8 Anonymisation, Purpose Limitation and CCPA/CPRA (D-04, D-29, U-13, U-14) - Topics 11, 16 - RED - P1</w:t>
      </w: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2304"/>
            <w:shd w:val="clear" w:color="auto" w:fill="1F3864"/>
          </w:tcPr>
          <w:p>
            <w:pPr>
              <w:spacing w:after="20" w:before="0"/>
            </w:pPr>
            <w:r/>
            <w:r>
              <w:rPr>
                <w:b/>
                <w:i w:val="0"/>
                <w:color w:val="FFFFFF"/>
                <w:sz w:val="17"/>
              </w:rPr>
              <w:t>Element</w:t>
            </w:r>
          </w:p>
        </w:tc>
        <w:tc>
          <w:tcPr>
            <w:tcW w:type="dxa" w:w="11232"/>
            <w:shd w:val="clear" w:color="auto" w:fill="1F3864"/>
          </w:tcPr>
          <w:p>
            <w:pPr>
              <w:spacing w:after="20" w:before="0"/>
            </w:pPr>
            <w:r/>
            <w:r>
              <w:rPr>
                <w:b/>
                <w:i w:val="0"/>
                <w:color w:val="FFFFFF"/>
                <w:sz w:val="17"/>
              </w:rPr>
              <w:t>Analysis</w:t>
            </w:r>
          </w:p>
        </w:tc>
      </w:tr>
      <w:tr>
        <w:tc>
          <w:tcPr>
            <w:tcW w:type="dxa" w:w="2304"/>
            <w:shd w:val="clear" w:color="auto" w:fill="EDEDED"/>
          </w:tcPr>
          <w:p>
            <w:pPr>
              <w:spacing w:after="20" w:before="0"/>
            </w:pPr>
            <w:r/>
            <w:r>
              <w:rPr>
                <w:b w:val="0"/>
                <w:i w:val="0"/>
                <w:sz w:val="17"/>
              </w:rPr>
              <w:t>CloudNest language</w:t>
            </w:r>
          </w:p>
        </w:tc>
        <w:tc>
          <w:tcPr>
            <w:tcW w:type="dxa" w:w="11232"/>
          </w:tcPr>
          <w:p>
            <w:pPr>
              <w:spacing w:after="20" w:before="0"/>
            </w:pPr>
            <w:r/>
            <w:r>
              <w:rPr>
                <w:b w:val="0"/>
                <w:i w:val="0"/>
                <w:sz w:val="17"/>
              </w:rPr>
              <w:t xml:space="preserve">RL 1.1(n): Anonymized Data is data that “can no longer be attributed to a specific Data Subject </w:t>
            </w:r>
            <w:r>
              <w:rPr>
                <w:b/>
                <w:i w:val="0"/>
                <w:sz w:val="17"/>
              </w:rPr>
              <w:t>without the use of additional information, provided that such additional information is kept separately</w:t>
            </w:r>
            <w:r>
              <w:rPr>
                <w:b w:val="0"/>
                <w:i w:val="0"/>
                <w:sz w:val="17"/>
              </w:rPr>
              <w:t xml:space="preserve">.” RL 14.3: “Notwithstanding Sections 14.1 and 14.2, Processor may anonymize and aggregate Personal Data for the purpose of improving Processor’s services, infrastructure performance benchmarking, and research and development … [and] may retain and use such Anonymized Data </w:t>
            </w:r>
            <w:r>
              <w:rPr>
                <w:b/>
                <w:i w:val="0"/>
                <w:sz w:val="17"/>
              </w:rPr>
              <w:t>without restriction as to time or purpose</w:t>
            </w:r>
            <w:r>
              <w:rPr>
                <w:b w:val="0"/>
                <w:i w:val="0"/>
                <w:sz w:val="17"/>
              </w:rPr>
              <w:t>.”</w:t>
            </w:r>
          </w:p>
        </w:tc>
      </w:tr>
      <w:tr>
        <w:tc>
          <w:tcPr>
            <w:tcW w:type="dxa" w:w="2304"/>
            <w:shd w:val="clear" w:color="auto" w:fill="EDEDED"/>
          </w:tcPr>
          <w:p>
            <w:pPr>
              <w:spacing w:after="20" w:before="0"/>
            </w:pPr>
            <w:r/>
            <w:r>
              <w:rPr>
                <w:b w:val="0"/>
                <w:i w:val="0"/>
                <w:sz w:val="17"/>
              </w:rPr>
              <w:t>Template v3.2</w:t>
            </w:r>
          </w:p>
        </w:tc>
        <w:tc>
          <w:tcPr>
            <w:tcW w:type="dxa" w:w="11232"/>
          </w:tcPr>
          <w:p>
            <w:pPr>
              <w:spacing w:after="20" w:before="0"/>
            </w:pPr>
            <w:r/>
            <w:r>
              <w:rPr>
                <w:b w:val="0"/>
                <w:i w:val="0"/>
                <w:sz w:val="17"/>
              </w:rPr>
              <w:t xml:space="preserve">T 2.3 and T 14.1: no processing for Processor’s own purposes, including product development, analytics, benchmarking, research, service improvement or </w:t>
            </w:r>
            <w:r>
              <w:rPr>
                <w:b/>
                <w:i w:val="0"/>
                <w:sz w:val="17"/>
              </w:rPr>
              <w:t>ML/AI model training</w:t>
            </w:r>
            <w:r>
              <w:rPr>
                <w:b w:val="0"/>
                <w:i w:val="0"/>
                <w:sz w:val="17"/>
              </w:rPr>
              <w:t>. T 18: the CCPA/CPRA Service Provider restrictions and certification (Cal. Civ. Code §1798.140(ag)). Any de-identification only at Controller’s written direction, to the HIPAA Safe Harbor or Expert Determination standard (45 CFR §164.514(b)).</w:t>
            </w:r>
          </w:p>
        </w:tc>
      </w:tr>
      <w:tr>
        <w:tc>
          <w:tcPr>
            <w:tcW w:type="dxa" w:w="2304"/>
            <w:shd w:val="clear" w:color="auto" w:fill="EDEDED"/>
          </w:tcPr>
          <w:p>
            <w:pPr>
              <w:spacing w:after="20" w:before="0"/>
            </w:pPr>
            <w:r/>
            <w:r>
              <w:rPr>
                <w:b w:val="0"/>
                <w:i w:val="0"/>
                <w:sz w:val="17"/>
              </w:rPr>
              <w:t>Playbook</w:t>
            </w:r>
          </w:p>
        </w:tc>
        <w:tc>
          <w:tcPr>
            <w:tcW w:type="dxa" w:w="11232"/>
          </w:tcPr>
          <w:p>
            <w:pPr>
              <w:spacing w:after="20" w:before="0"/>
            </w:pPr>
            <w:r/>
            <w:r>
              <w:rPr>
                <w:b w:val="0"/>
                <w:i w:val="0"/>
                <w:sz w:val="17"/>
              </w:rPr>
              <w:t>Red on all of the following triggers: no Controller consent; no HIPAA standard; no retention limit; no re-identification prohibition; benchmarking and R&amp;D purposes; no distinction between the HIPAA and GDPR standards. It also fails Topic 16 (Processor’s own purposes). None of the six Yellow conditions is met.</w:t>
            </w:r>
          </w:p>
        </w:tc>
      </w:tr>
      <w:tr>
        <w:tc>
          <w:tcPr>
            <w:tcW w:type="dxa" w:w="2304"/>
            <w:shd w:val="clear" w:color="auto" w:fill="EDEDED"/>
          </w:tcPr>
          <w:p>
            <w:pPr>
              <w:spacing w:after="20" w:before="0"/>
            </w:pPr>
            <w:r/>
            <w:r>
              <w:rPr>
                <w:b w:val="0"/>
                <w:i w:val="0"/>
                <w:sz w:val="17"/>
              </w:rPr>
              <w:t>Risk analysis</w:t>
            </w:r>
          </w:p>
        </w:tc>
        <w:tc>
          <w:tcPr>
            <w:tcW w:type="dxa" w:w="11232"/>
          </w:tcPr>
          <w:p>
            <w:pPr>
              <w:spacing w:after="20" w:before="0"/>
            </w:pPr>
            <w:r/>
            <w:r>
              <w:rPr>
                <w:b w:val="0"/>
                <w:i w:val="0"/>
                <w:sz w:val="17"/>
              </w:rPr>
              <w:t xml:space="preserve">• </w:t>
            </w:r>
            <w:r>
              <w:rPr>
                <w:b/>
                <w:i w:val="0"/>
                <w:sz w:val="17"/>
              </w:rPr>
              <w:t>The definition describes pseudonymisation, not anonymisation.</w:t>
            </w:r>
            <w:r>
              <w:rPr>
                <w:b w:val="0"/>
                <w:i w:val="0"/>
                <w:sz w:val="17"/>
              </w:rPr>
              <w:t xml:space="preserve"> The test in RL 1.1(n) mirrors GDPR Art. 4(5). Pseudonymised data remains personal data (Recital 26), so CloudNest would be processing EU/UK health and biometric data for its own purposes without a lawful basis. CloudNest would also arguably become an independent controller.</w:t>
            </w:r>
          </w:p>
          <w:p>
            <w:pPr>
              <w:spacing w:after="20" w:before="0"/>
            </w:pPr>
            <w:r>
              <w:rPr>
                <w:b w:val="0"/>
                <w:i w:val="0"/>
                <w:sz w:val="17"/>
              </w:rPr>
              <w:t>• It is inconsistent with CloudNest’s own PV-02 broadening, which expressly treats pseudonymised data as Personal Data.</w:t>
            </w:r>
          </w:p>
          <w:p>
            <w:pPr>
              <w:spacing w:after="20" w:before="0"/>
            </w:pPr>
            <w:r>
              <w:rPr>
                <w:b w:val="0"/>
                <w:i w:val="0"/>
                <w:sz w:val="17"/>
              </w:rPr>
              <w:t xml:space="preserve">• </w:t>
            </w:r>
            <w:r>
              <w:rPr>
                <w:b/>
                <w:i w:val="0"/>
                <w:sz w:val="17"/>
              </w:rPr>
              <w:t>HIPAA:</w:t>
            </w:r>
            <w:r>
              <w:rPr>
                <w:b w:val="0"/>
                <w:i w:val="0"/>
                <w:sz w:val="17"/>
              </w:rPr>
              <w:t xml:space="preserve"> data that is not de-identified under §164.514(b) remains PHI. Using it for CloudNest’s R&amp;D is an impermissible use by a BA (§164.504(e)(2)(i)).</w:t>
            </w:r>
          </w:p>
          <w:p>
            <w:pPr>
              <w:spacing w:after="20" w:before="0"/>
            </w:pPr>
            <w:r>
              <w:rPr>
                <w:b w:val="0"/>
                <w:i w:val="0"/>
                <w:sz w:val="17"/>
              </w:rPr>
              <w:t xml:space="preserve">• </w:t>
            </w:r>
            <w:r>
              <w:rPr>
                <w:b/>
                <w:i w:val="0"/>
                <w:sz w:val="17"/>
              </w:rPr>
              <w:t>CCPA/CPRA:</w:t>
            </w:r>
            <w:r>
              <w:rPr>
                <w:b w:val="0"/>
                <w:i w:val="0"/>
                <w:sz w:val="17"/>
              </w:rPr>
              <w:t xml:space="preserve"> use for the service provider’s own commercial purposes risks treating the disclosure as a “sale” and loses service-provider status. The untracked omission of the whole T 18 section (U-14) and the “except as expressly permitted by this DPA” gateway added to RL 14.1 (U-13) remove the safeguards.</w:t>
            </w:r>
          </w:p>
          <w:p>
            <w:pPr>
              <w:spacing w:after="20" w:before="0"/>
            </w:pPr>
            <w:r>
              <w:rPr>
                <w:b w:val="0"/>
                <w:i w:val="0"/>
                <w:sz w:val="17"/>
              </w:rPr>
              <w:t>• Re-identification risk is high for clinical, voice-print and behavioural data.</w:t>
            </w:r>
          </w:p>
          <w:p>
            <w:pPr>
              <w:spacing w:after="20" w:before="0"/>
            </w:pPr>
            <w:r>
              <w:rPr>
                <w:b w:val="0"/>
                <w:i w:val="0"/>
                <w:sz w:val="17"/>
              </w:rPr>
              <w:t>• The email’s assurance that datasets are “not shared with third parties” does not appear in the text, which permits use “without restriction as to time or purpose”. Dr. Lindqvist is CloudNest’s own DPO; his review is not an independent HIPAA Expert Determination.</w:t>
            </w:r>
          </w:p>
        </w:tc>
      </w:tr>
      <w:tr>
        <w:tc>
          <w:tcPr>
            <w:tcW w:type="dxa" w:w="2304"/>
            <w:shd w:val="clear" w:color="auto" w:fill="EDEDED"/>
          </w:tcPr>
          <w:p>
            <w:pPr>
              <w:spacing w:after="20" w:before="0"/>
            </w:pPr>
            <w:r/>
            <w:r>
              <w:rPr>
                <w:b w:val="0"/>
                <w:i w:val="0"/>
                <w:sz w:val="17"/>
              </w:rPr>
              <w:t>MSA interplay</w:t>
            </w:r>
          </w:p>
        </w:tc>
        <w:tc>
          <w:tcPr>
            <w:tcW w:type="dxa" w:w="11232"/>
          </w:tcPr>
          <w:p>
            <w:pPr>
              <w:spacing w:after="20" w:before="0"/>
            </w:pPr>
            <w:r/>
            <w:r>
              <w:rPr>
                <w:b w:val="0"/>
                <w:i w:val="0"/>
                <w:sz w:val="17"/>
              </w:rPr>
              <w:t>MSA §22.2: CloudNest acts only as Processor and Business Associate. Own-purpose use is inconsistent with that role.</w:t>
            </w:r>
          </w:p>
        </w:tc>
      </w:tr>
      <w:tr>
        <w:tc>
          <w:tcPr>
            <w:tcW w:type="dxa" w:w="2304"/>
            <w:shd w:val="clear" w:color="auto" w:fill="EDEDED"/>
          </w:tcPr>
          <w:p>
            <w:pPr>
              <w:spacing w:after="20" w:before="0"/>
            </w:pPr>
            <w:r/>
            <w:r>
              <w:rPr>
                <w:b w:val="0"/>
                <w:i w:val="0"/>
                <w:sz w:val="17"/>
              </w:rPr>
              <w:t>Recommended response / counter-language</w:t>
            </w:r>
          </w:p>
        </w:tc>
        <w:tc>
          <w:tcPr>
            <w:tcW w:type="dxa" w:w="11232"/>
          </w:tcPr>
          <w:p>
            <w:pPr>
              <w:spacing w:after="20" w:before="0"/>
            </w:pPr>
            <w:r/>
            <w:r>
              <w:rPr>
                <w:b w:val="0"/>
                <w:i w:val="0"/>
                <w:sz w:val="17"/>
              </w:rPr>
              <w:t>Reject. Delete RL 1.1(n) and RL 14.3, remove “except as expressly permitted by this DPA” from RL 14.1, and restore T 2.3, T 14.1-14.2 and T 18.1-18.4 in full.</w:t>
            </w:r>
          </w:p>
        </w:tc>
      </w:tr>
      <w:tr>
        <w:tc>
          <w:tcPr>
            <w:tcW w:type="dxa" w:w="2304"/>
            <w:shd w:val="clear" w:color="auto" w:fill="EDEDED"/>
          </w:tcPr>
          <w:p>
            <w:pPr>
              <w:spacing w:after="20" w:before="0"/>
            </w:pPr>
            <w:r/>
            <w:r>
              <w:rPr>
                <w:b w:val="0"/>
                <w:i w:val="0"/>
                <w:sz w:val="17"/>
              </w:rPr>
              <w:t>Fallback / authority</w:t>
            </w:r>
          </w:p>
        </w:tc>
        <w:tc>
          <w:tcPr>
            <w:tcW w:type="dxa" w:w="11232"/>
          </w:tcPr>
          <w:p>
            <w:pPr>
              <w:spacing w:after="20" w:before="0"/>
            </w:pPr>
            <w:r/>
            <w:r>
              <w:rPr>
                <w:b w:val="0"/>
                <w:i w:val="0"/>
                <w:sz w:val="17"/>
              </w:rPr>
              <w:t>Green: aggregated data de-identified to the HIPAA Safe Harbor or Expert Determination standard, used for capacity planning only, with prior written consent and no retention beyond need. Yellow (CPO): internal service improvement only if all six conditions are met (HIPAA standard; GDPR Recital 26 standard; per-use-case consent; 12-month retention; no third-party transfer; ban on re-identification). Benchmarking and R&amp;D remain Red.</w:t>
            </w:r>
          </w:p>
        </w:tc>
      </w:tr>
    </w:tbl>
    <w:p>
      <w:pPr>
        <w:spacing w:after="40"/>
      </w:pPr>
    </w:p>
    <w:p>
      <w:pPr>
        <w:pStyle w:val="Heading2"/>
      </w:pPr>
      <w:r>
        <w:t>4.9 Audit Rights (D-22, D-23, D-24, D-25, U-10) - Topic 3 - RED - P1</w:t>
      </w: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2304"/>
            <w:shd w:val="clear" w:color="auto" w:fill="1F3864"/>
          </w:tcPr>
          <w:p>
            <w:pPr>
              <w:spacing w:after="20" w:before="0"/>
            </w:pPr>
            <w:r/>
            <w:r>
              <w:rPr>
                <w:b/>
                <w:i w:val="0"/>
                <w:color w:val="FFFFFF"/>
                <w:sz w:val="17"/>
              </w:rPr>
              <w:t>Element</w:t>
            </w:r>
          </w:p>
        </w:tc>
        <w:tc>
          <w:tcPr>
            <w:tcW w:type="dxa" w:w="11232"/>
            <w:shd w:val="clear" w:color="auto" w:fill="1F3864"/>
          </w:tcPr>
          <w:p>
            <w:pPr>
              <w:spacing w:after="20" w:before="0"/>
            </w:pPr>
            <w:r/>
            <w:r>
              <w:rPr>
                <w:b/>
                <w:i w:val="0"/>
                <w:color w:val="FFFFFF"/>
                <w:sz w:val="17"/>
              </w:rPr>
              <w:t>Analysis</w:t>
            </w:r>
          </w:p>
        </w:tc>
      </w:tr>
      <w:tr>
        <w:tc>
          <w:tcPr>
            <w:tcW w:type="dxa" w:w="2304"/>
            <w:shd w:val="clear" w:color="auto" w:fill="EDEDED"/>
          </w:tcPr>
          <w:p>
            <w:pPr>
              <w:spacing w:after="20" w:before="0"/>
            </w:pPr>
            <w:r/>
            <w:r>
              <w:rPr>
                <w:b w:val="0"/>
                <w:i w:val="0"/>
                <w:sz w:val="17"/>
              </w:rPr>
              <w:t>CloudNest language</w:t>
            </w:r>
          </w:p>
        </w:tc>
        <w:tc>
          <w:tcPr>
            <w:tcW w:type="dxa" w:w="11232"/>
          </w:tcPr>
          <w:p>
            <w:pPr>
              <w:spacing w:after="20" w:before="0"/>
            </w:pPr>
            <w:r/>
            <w:r>
              <w:rPr>
                <w:b w:val="0"/>
                <w:i w:val="0"/>
                <w:sz w:val="17"/>
              </w:rPr>
              <w:t xml:space="preserve">RL 11.1: annual SOC 2 Type II and ISO 27001 reports (Thornfield Audit Partners LLP) plus written questions answered “within a reasonable time”. RL 11.2: on-site audits “only where a material Personal Data Breach … has occurred and Controller has reasonable grounds to believe that the audit report mechanism … is insufficient”, on </w:t>
            </w:r>
            <w:r>
              <w:rPr>
                <w:b/>
                <w:i w:val="0"/>
                <w:sz w:val="17"/>
              </w:rPr>
              <w:t>30 business days’</w:t>
            </w:r>
            <w:r>
              <w:rPr>
                <w:b w:val="0"/>
                <w:i w:val="0"/>
                <w:sz w:val="17"/>
              </w:rPr>
              <w:t xml:space="preserve"> notice. RL 11.3: auditors subject to “Processor’s reasonable approval”. RL 11.4 (no substitution) deleted.</w:t>
            </w:r>
          </w:p>
        </w:tc>
      </w:tr>
      <w:tr>
        <w:tc>
          <w:tcPr>
            <w:tcW w:type="dxa" w:w="2304"/>
            <w:shd w:val="clear" w:color="auto" w:fill="EDEDED"/>
          </w:tcPr>
          <w:p>
            <w:pPr>
              <w:spacing w:after="20" w:before="0"/>
            </w:pPr>
            <w:r/>
            <w:r>
              <w:rPr>
                <w:b w:val="0"/>
                <w:i w:val="0"/>
                <w:sz w:val="17"/>
              </w:rPr>
              <w:t>Template v3.2</w:t>
            </w:r>
          </w:p>
        </w:tc>
        <w:tc>
          <w:tcPr>
            <w:tcW w:type="dxa" w:w="11232"/>
          </w:tcPr>
          <w:p>
            <w:pPr>
              <w:spacing w:after="20" w:before="0"/>
            </w:pPr>
            <w:r/>
            <w:r>
              <w:rPr>
                <w:b w:val="0"/>
                <w:i w:val="0"/>
                <w:sz w:val="17"/>
              </w:rPr>
              <w:t xml:space="preserve">T 10.1: on-site inspections of data centres and premises. T 10.2: at least annually. T 10.3: 15 business days’ notice, and </w:t>
            </w:r>
            <w:r>
              <w:rPr>
                <w:b/>
                <w:i w:val="0"/>
                <w:sz w:val="17"/>
              </w:rPr>
              <w:t>no notice</w:t>
            </w:r>
            <w:r>
              <w:rPr>
                <w:b w:val="0"/>
                <w:i w:val="0"/>
                <w:sz w:val="17"/>
              </w:rPr>
              <w:t xml:space="preserve"> where there is a suspected breach, material breach or regulator request. T 10.4: third-party reports supplement but do not substitute for audits, delivered within 10 business days. T 10.5: remediation at Processor’s cost, with evidence within 30 days. T 10.6: cooperation with HHS OCR, the ICO and EU authorities.</w:t>
            </w:r>
          </w:p>
        </w:tc>
      </w:tr>
      <w:tr>
        <w:tc>
          <w:tcPr>
            <w:tcW w:type="dxa" w:w="2304"/>
            <w:shd w:val="clear" w:color="auto" w:fill="EDEDED"/>
          </w:tcPr>
          <w:p>
            <w:pPr>
              <w:spacing w:after="20" w:before="0"/>
            </w:pPr>
            <w:r/>
            <w:r>
              <w:rPr>
                <w:b w:val="0"/>
                <w:i w:val="0"/>
                <w:sz w:val="17"/>
              </w:rPr>
              <w:t>Playbook</w:t>
            </w:r>
          </w:p>
        </w:tc>
        <w:tc>
          <w:tcPr>
            <w:tcW w:type="dxa" w:w="11232"/>
          </w:tcPr>
          <w:p>
            <w:pPr>
              <w:spacing w:after="20" w:before="0"/>
            </w:pPr>
            <w:r/>
            <w:r>
              <w:rPr>
                <w:b w:val="0"/>
                <w:i w:val="0"/>
                <w:sz w:val="17"/>
              </w:rPr>
              <w:t>Red: reports only, or on-site audits restricted to post-breach scenarios; notice above 20 business days; a Processor right to refuse or delay (auditor approval); deletion of the no-substitution clause.</w:t>
            </w:r>
          </w:p>
        </w:tc>
      </w:tr>
      <w:tr>
        <w:tc>
          <w:tcPr>
            <w:tcW w:type="dxa" w:w="2304"/>
            <w:shd w:val="clear" w:color="auto" w:fill="EDEDED"/>
          </w:tcPr>
          <w:p>
            <w:pPr>
              <w:spacing w:after="20" w:before="0"/>
            </w:pPr>
            <w:r/>
            <w:r>
              <w:rPr>
                <w:b w:val="0"/>
                <w:i w:val="0"/>
                <w:sz w:val="17"/>
              </w:rPr>
              <w:t>Risk analysis</w:t>
            </w:r>
          </w:p>
        </w:tc>
        <w:tc>
          <w:tcPr>
            <w:tcW w:type="dxa" w:w="11232"/>
          </w:tcPr>
          <w:p>
            <w:pPr>
              <w:spacing w:after="20" w:before="0"/>
            </w:pPr>
            <w:r/>
            <w:r>
              <w:rPr>
                <w:b w:val="0"/>
                <w:i w:val="0"/>
                <w:sz w:val="17"/>
              </w:rPr>
              <w:t xml:space="preserve">GDPR Art. 28(3)(h) requires the processor to “allow for and contribute to audits, including inspections”. Reports alone do not satisfy it. A double gate (a material breach </w:t>
            </w:r>
            <w:r>
              <w:rPr>
                <w:b/>
                <w:i w:val="0"/>
                <w:sz w:val="17"/>
              </w:rPr>
              <w:t>and</w:t>
            </w:r>
            <w:r>
              <w:rPr>
                <w:b w:val="0"/>
                <w:i w:val="0"/>
                <w:sz w:val="17"/>
              </w:rPr>
              <w:t xml:space="preserve"> “insufficient” reports) plus 30 business days’ notice (about six weeks) means evidence could be gone before any inspection. The auditor-approval right gives CloudNest a veto over Stratton’s choice of auditor. SOC 2 and ISO reports do not test Stratton-specific controls such as Annex 2 RPO/RTO, segmentation or HSM key management, nor HIPAA-specific safeguards (especially since HITRUST has been removed).</w:t>
            </w:r>
          </w:p>
        </w:tc>
      </w:tr>
      <w:tr>
        <w:tc>
          <w:tcPr>
            <w:tcW w:type="dxa" w:w="2304"/>
            <w:shd w:val="clear" w:color="auto" w:fill="EDEDED"/>
          </w:tcPr>
          <w:p>
            <w:pPr>
              <w:spacing w:after="20" w:before="0"/>
            </w:pPr>
            <w:r/>
            <w:r>
              <w:rPr>
                <w:b w:val="0"/>
                <w:i w:val="0"/>
                <w:sz w:val="17"/>
              </w:rPr>
              <w:t>MSA interplay</w:t>
            </w:r>
          </w:p>
        </w:tc>
        <w:tc>
          <w:tcPr>
            <w:tcW w:type="dxa" w:w="11232"/>
          </w:tcPr>
          <w:p>
            <w:pPr>
              <w:spacing w:after="20" w:before="0"/>
            </w:pPr>
            <w:r/>
            <w:r>
              <w:rPr>
                <w:b w:val="0"/>
                <w:i w:val="0"/>
                <w:sz w:val="17"/>
              </w:rPr>
              <w:t>MSA §22.3(f) requires audit rights.</w:t>
            </w:r>
          </w:p>
        </w:tc>
      </w:tr>
      <w:tr>
        <w:tc>
          <w:tcPr>
            <w:tcW w:type="dxa" w:w="2304"/>
            <w:shd w:val="clear" w:color="auto" w:fill="EDEDED"/>
          </w:tcPr>
          <w:p>
            <w:pPr>
              <w:spacing w:after="20" w:before="0"/>
            </w:pPr>
            <w:r/>
            <w:r>
              <w:rPr>
                <w:b w:val="0"/>
                <w:i w:val="0"/>
                <w:sz w:val="17"/>
              </w:rPr>
              <w:t>Recommended response / counter-language</w:t>
            </w:r>
          </w:p>
        </w:tc>
        <w:tc>
          <w:tcPr>
            <w:tcW w:type="dxa" w:w="11232"/>
          </w:tcPr>
          <w:p>
            <w:pPr>
              <w:spacing w:after="20" w:before="0"/>
            </w:pPr>
            <w:r/>
            <w:r>
              <w:rPr>
                <w:b w:val="0"/>
                <w:i w:val="0"/>
                <w:sz w:val="17"/>
              </w:rPr>
              <w:t>Reject. Restore T 10.1-10.6. Green: we can offer auditor NDAs, confidentiality of findings, reasonable efforts to minimise disruption, and one routine audit per 12 months, with additional audits after a breach, regulatory inquiry or material incident. RL 5.4 (accepted) already protects CloudNest’s security architecture information.</w:t>
            </w:r>
          </w:p>
        </w:tc>
      </w:tr>
      <w:tr>
        <w:tc>
          <w:tcPr>
            <w:tcW w:type="dxa" w:w="2304"/>
            <w:shd w:val="clear" w:color="auto" w:fill="EDEDED"/>
          </w:tcPr>
          <w:p>
            <w:pPr>
              <w:spacing w:after="20" w:before="0"/>
            </w:pPr>
            <w:r/>
            <w:r>
              <w:rPr>
                <w:b w:val="0"/>
                <w:i w:val="0"/>
                <w:sz w:val="17"/>
              </w:rPr>
              <w:t>Fallback / authority</w:t>
            </w:r>
          </w:p>
        </w:tc>
        <w:tc>
          <w:tcPr>
            <w:tcW w:type="dxa" w:w="11232"/>
          </w:tcPr>
          <w:p>
            <w:pPr>
              <w:spacing w:after="20" w:before="0"/>
            </w:pPr>
            <w:r/>
            <w:r>
              <w:rPr>
                <w:b w:val="0"/>
                <w:i w:val="0"/>
                <w:sz w:val="17"/>
              </w:rPr>
              <w:t>Yellow (CPO/GC): reports as a first step, with on-site audits kept if reports are insufficient, raise concerns or do not cover the relevant systems and data centres; notice of up to 20 business days; one audit per year plus unlimited triggered audits.</w:t>
            </w:r>
          </w:p>
        </w:tc>
      </w:tr>
    </w:tbl>
    <w:p>
      <w:pPr>
        <w:spacing w:after="40"/>
      </w:pPr>
    </w:p>
    <w:p>
      <w:pPr>
        <w:pStyle w:val="Heading2"/>
      </w:pPr>
      <w:r>
        <w:t>4.10 DPA Term and Termination (D-06, D-36, U-17, U-18) - Topic 13 - RED - P1</w:t>
      </w: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2304"/>
            <w:shd w:val="clear" w:color="auto" w:fill="1F3864"/>
          </w:tcPr>
          <w:p>
            <w:pPr>
              <w:spacing w:after="20" w:before="0"/>
            </w:pPr>
            <w:r/>
            <w:r>
              <w:rPr>
                <w:b/>
                <w:i w:val="0"/>
                <w:color w:val="FFFFFF"/>
                <w:sz w:val="17"/>
              </w:rPr>
              <w:t>Element</w:t>
            </w:r>
          </w:p>
        </w:tc>
        <w:tc>
          <w:tcPr>
            <w:tcW w:type="dxa" w:w="11232"/>
            <w:shd w:val="clear" w:color="auto" w:fill="1F3864"/>
          </w:tcPr>
          <w:p>
            <w:pPr>
              <w:spacing w:after="20" w:before="0"/>
            </w:pPr>
            <w:r/>
            <w:r>
              <w:rPr>
                <w:b/>
                <w:i w:val="0"/>
                <w:color w:val="FFFFFF"/>
                <w:sz w:val="17"/>
              </w:rPr>
              <w:t>Analysis</w:t>
            </w:r>
          </w:p>
        </w:tc>
      </w:tr>
      <w:tr>
        <w:tc>
          <w:tcPr>
            <w:tcW w:type="dxa" w:w="2304"/>
            <w:shd w:val="clear" w:color="auto" w:fill="EDEDED"/>
          </w:tcPr>
          <w:p>
            <w:pPr>
              <w:spacing w:after="20" w:before="0"/>
            </w:pPr>
            <w:r/>
            <w:r>
              <w:rPr>
                <w:b w:val="0"/>
                <w:i w:val="0"/>
                <w:sz w:val="17"/>
              </w:rPr>
              <w:t>CloudNest language</w:t>
            </w:r>
          </w:p>
        </w:tc>
        <w:tc>
          <w:tcPr>
            <w:tcW w:type="dxa" w:w="11232"/>
          </w:tcPr>
          <w:p>
            <w:pPr>
              <w:spacing w:after="20" w:before="0"/>
            </w:pPr>
            <w:r/>
            <w:r>
              <w:rPr>
                <w:b w:val="0"/>
                <w:i w:val="0"/>
                <w:sz w:val="17"/>
              </w:rPr>
              <w:t>RL 4.2: duration “as set forth in Section 18”. RL 18.1: initial term co-terminus with the MSA, then automatic one-year renewals unless 180 days’ non-renewal notice is given; “Either Party may terminate this DPA at any time by providing … one hundred and eighty (180) calendar days’ prior written notice.” RL 18.2: mutual termination for uncured material breach.</w:t>
            </w:r>
          </w:p>
        </w:tc>
      </w:tr>
      <w:tr>
        <w:tc>
          <w:tcPr>
            <w:tcW w:type="dxa" w:w="2304"/>
            <w:shd w:val="clear" w:color="auto" w:fill="EDEDED"/>
          </w:tcPr>
          <w:p>
            <w:pPr>
              <w:spacing w:after="20" w:before="0"/>
            </w:pPr>
            <w:r/>
            <w:r>
              <w:rPr>
                <w:b w:val="0"/>
                <w:i w:val="0"/>
                <w:sz w:val="17"/>
              </w:rPr>
              <w:t>Template v3.2</w:t>
            </w:r>
          </w:p>
        </w:tc>
        <w:tc>
          <w:tcPr>
            <w:tcW w:type="dxa" w:w="11232"/>
          </w:tcPr>
          <w:p>
            <w:pPr>
              <w:spacing w:after="20" w:before="0"/>
            </w:pPr>
            <w:r/>
            <w:r>
              <w:rPr>
                <w:b w:val="0"/>
                <w:i w:val="0"/>
                <w:sz w:val="17"/>
              </w:rPr>
              <w:t>T 16.1: co-terminus; automatic termination with the MSA; renewals of the MSA extend the DPA. T 16.2: Controller-only early termination for data protection breach, change of control, sub-processor objection or insolvency. T 16.4: survival includes Processor confidentiality (§6) and the insurance tail.</w:t>
            </w:r>
          </w:p>
        </w:tc>
      </w:tr>
      <w:tr>
        <w:tc>
          <w:tcPr>
            <w:tcW w:type="dxa" w:w="2304"/>
            <w:shd w:val="clear" w:color="auto" w:fill="EDEDED"/>
          </w:tcPr>
          <w:p>
            <w:pPr>
              <w:spacing w:after="20" w:before="0"/>
            </w:pPr>
            <w:r/>
            <w:r>
              <w:rPr>
                <w:b w:val="0"/>
                <w:i w:val="0"/>
                <w:sz w:val="17"/>
              </w:rPr>
              <w:t>Playbook</w:t>
            </w:r>
          </w:p>
        </w:tc>
        <w:tc>
          <w:tcPr>
            <w:tcW w:type="dxa" w:w="11232"/>
          </w:tcPr>
          <w:p>
            <w:pPr>
              <w:spacing w:after="20" w:before="0"/>
            </w:pPr>
            <w:r/>
            <w:r>
              <w:rPr>
                <w:b w:val="0"/>
                <w:i w:val="0"/>
                <w:sz w:val="17"/>
              </w:rPr>
              <w:t>Red: decoupling (auto-renewal independent of the MSA) and a 180-day notice period, both named expressly.</w:t>
            </w:r>
          </w:p>
        </w:tc>
      </w:tr>
      <w:tr>
        <w:tc>
          <w:tcPr>
            <w:tcW w:type="dxa" w:w="2304"/>
            <w:shd w:val="clear" w:color="auto" w:fill="EDEDED"/>
          </w:tcPr>
          <w:p>
            <w:pPr>
              <w:spacing w:after="20" w:before="0"/>
            </w:pPr>
            <w:r/>
            <w:r>
              <w:rPr>
                <w:b w:val="0"/>
                <w:i w:val="0"/>
                <w:sz w:val="17"/>
              </w:rPr>
              <w:t>Risk analysis</w:t>
            </w:r>
          </w:p>
        </w:tc>
        <w:tc>
          <w:tcPr>
            <w:tcW w:type="dxa" w:w="11232"/>
          </w:tcPr>
          <w:p>
            <w:pPr>
              <w:spacing w:after="20" w:before="0"/>
            </w:pPr>
            <w:r/>
            <w:r>
              <w:rPr>
                <w:b w:val="0"/>
                <w:i w:val="0"/>
                <w:sz w:val="17"/>
              </w:rPr>
              <w:t xml:space="preserve">• </w:t>
            </w:r>
            <w:r>
              <w:rPr>
                <w:b/>
                <w:i w:val="0"/>
                <w:sz w:val="17"/>
              </w:rPr>
              <w:t>The DPA could outlive the MSA.</w:t>
            </w:r>
            <w:r>
              <w:rPr>
                <w:b w:val="0"/>
                <w:i w:val="0"/>
                <w:sz w:val="17"/>
              </w:rPr>
              <w:t xml:space="preserve"> After March 2, 2030, the DPA would renew each year unless 180 days’ notice is given, although the MSA itself expires without mutual renewal.</w:t>
            </w:r>
          </w:p>
          <w:p>
            <w:pPr>
              <w:spacing w:after="20" w:before="0"/>
            </w:pPr>
            <w:r>
              <w:rPr>
                <w:b w:val="0"/>
                <w:i w:val="0"/>
                <w:sz w:val="17"/>
              </w:rPr>
              <w:t xml:space="preserve">• </w:t>
            </w:r>
            <w:r>
              <w:rPr>
                <w:b/>
                <w:i w:val="0"/>
                <w:sz w:val="17"/>
              </w:rPr>
              <w:t>The DPA could also end before the MSA.</w:t>
            </w:r>
            <w:r>
              <w:rPr>
                <w:b w:val="0"/>
                <w:i w:val="0"/>
                <w:sz w:val="17"/>
              </w:rPr>
              <w:t xml:space="preserve"> Either party could terminate the DPA on 180 days’ notice while the MSA continues. CloudNest would then process PHI with no BAA or Art. 28 contract, or could use the threat of termination as leverage. Under MSA §24.3, only the MSA’s Delaware terms would apply to data protection matters.</w:t>
            </w:r>
          </w:p>
          <w:p>
            <w:pPr>
              <w:spacing w:after="20" w:before="0"/>
            </w:pPr>
            <w:r>
              <w:rPr>
                <w:b w:val="0"/>
                <w:i w:val="0"/>
                <w:sz w:val="17"/>
              </w:rPr>
              <w:t>• The mutual RL 18.2 gives CloudNest a right to terminate the DPA (and in practice to stop processing) for alleged Controller breach. Controller’s change-of-control and insolvency triggers have been removed (U-17).</w:t>
            </w:r>
          </w:p>
          <w:p>
            <w:pPr>
              <w:spacing w:after="20" w:before="0"/>
            </w:pPr>
            <w:r>
              <w:rPr>
                <w:b w:val="0"/>
                <w:i w:val="0"/>
                <w:sz w:val="17"/>
              </w:rPr>
              <w:t>• Survival under RL 18.3 keeps Stratton’s §5.4 obligation alive but drops CloudNest’s personnel confidentiality obligation and the insurance tail (U-18).</w:t>
            </w:r>
          </w:p>
        </w:tc>
      </w:tr>
      <w:tr>
        <w:tc>
          <w:tcPr>
            <w:tcW w:type="dxa" w:w="2304"/>
            <w:shd w:val="clear" w:color="auto" w:fill="EDEDED"/>
          </w:tcPr>
          <w:p>
            <w:pPr>
              <w:spacing w:after="20" w:before="0"/>
            </w:pPr>
            <w:r/>
            <w:r>
              <w:rPr>
                <w:b w:val="0"/>
                <w:i w:val="0"/>
                <w:sz w:val="17"/>
              </w:rPr>
              <w:t>MSA interplay</w:t>
            </w:r>
          </w:p>
        </w:tc>
        <w:tc>
          <w:tcPr>
            <w:tcW w:type="dxa" w:w="11232"/>
          </w:tcPr>
          <w:p>
            <w:pPr>
              <w:spacing w:after="20" w:before="0"/>
            </w:pPr>
            <w:r/>
            <w:r>
              <w:rPr>
                <w:b w:val="0"/>
                <w:i w:val="0"/>
                <w:sz w:val="17"/>
              </w:rPr>
              <w:t>MSA §22.4: the DPA “shall be co-terminus with this Agreement and shall automatically terminate upon the expiration or earlier termination of this Agreement”. MSA §3: renewals are by mutual written agreement, with 90 days’ notice. MSA §20: 180 days’ notice for convenience, 60-day cure for cause, 90 days for regulatory change. The DPA’s 180-day non-renewal notice and independent termination right directly contradict MSA §22.4. The email’s stated aim of “continuity … independent of the MSA’s commercial term” is exactly what §22.4 rules out.</w:t>
            </w:r>
          </w:p>
        </w:tc>
      </w:tr>
      <w:tr>
        <w:tc>
          <w:tcPr>
            <w:tcW w:type="dxa" w:w="2304"/>
            <w:shd w:val="clear" w:color="auto" w:fill="EDEDED"/>
          </w:tcPr>
          <w:p>
            <w:pPr>
              <w:spacing w:after="20" w:before="0"/>
            </w:pPr>
            <w:r/>
            <w:r>
              <w:rPr>
                <w:b w:val="0"/>
                <w:i w:val="0"/>
                <w:sz w:val="17"/>
              </w:rPr>
              <w:t>Recommended response / counter-language</w:t>
            </w:r>
          </w:p>
        </w:tc>
        <w:tc>
          <w:tcPr>
            <w:tcW w:type="dxa" w:w="11232"/>
          </w:tcPr>
          <w:p>
            <w:pPr>
              <w:spacing w:after="20" w:before="0"/>
            </w:pPr>
            <w:r/>
            <w:r>
              <w:rPr>
                <w:b w:val="0"/>
                <w:i w:val="0"/>
                <w:sz w:val="17"/>
              </w:rPr>
              <w:t>Reject. Restore T 16.1-16.4 and T A1.1 (“co-terminus with the MSA”). Green: survival for return and deletion, and survival of confidentiality, liability and indemnity.</w:t>
            </w:r>
          </w:p>
        </w:tc>
      </w:tr>
      <w:tr>
        <w:tc>
          <w:tcPr>
            <w:tcW w:type="dxa" w:w="2304"/>
            <w:shd w:val="clear" w:color="auto" w:fill="EDEDED"/>
          </w:tcPr>
          <w:p>
            <w:pPr>
              <w:spacing w:after="20" w:before="0"/>
            </w:pPr>
            <w:r/>
            <w:r>
              <w:rPr>
                <w:b w:val="0"/>
                <w:i w:val="0"/>
                <w:sz w:val="17"/>
              </w:rPr>
              <w:t>Fallback / authority</w:t>
            </w:r>
          </w:p>
        </w:tc>
        <w:tc>
          <w:tcPr>
            <w:tcW w:type="dxa" w:w="11232"/>
          </w:tcPr>
          <w:p>
            <w:pPr>
              <w:spacing w:after="20" w:before="0"/>
            </w:pPr>
            <w:r/>
            <w:r>
              <w:rPr>
                <w:b w:val="0"/>
                <w:i w:val="0"/>
                <w:sz w:val="17"/>
              </w:rPr>
              <w:t>Yellow (GC): a wind-down tail of up to 30 days after MSA termination, solely for return and deletion. The DPA must not be able to persist beyond the MSA or be terminated independently.</w:t>
            </w:r>
          </w:p>
        </w:tc>
      </w:tr>
    </w:tbl>
    <w:p>
      <w:pPr>
        <w:spacing w:after="40"/>
      </w:pPr>
    </w:p>
    <w:p>
      <w:pPr>
        <w:pStyle w:val="Heading2"/>
      </w:pPr>
      <w:r>
        <w:t>4.11 Governing Law and Jurisdiction (D-40) - Topic 10 - RED - P1</w:t>
      </w: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2304"/>
            <w:shd w:val="clear" w:color="auto" w:fill="1F3864"/>
          </w:tcPr>
          <w:p>
            <w:pPr>
              <w:spacing w:after="20" w:before="0"/>
            </w:pPr>
            <w:r/>
            <w:r>
              <w:rPr>
                <w:b/>
                <w:i w:val="0"/>
                <w:color w:val="FFFFFF"/>
                <w:sz w:val="17"/>
              </w:rPr>
              <w:t>Element</w:t>
            </w:r>
          </w:p>
        </w:tc>
        <w:tc>
          <w:tcPr>
            <w:tcW w:type="dxa" w:w="11232"/>
            <w:shd w:val="clear" w:color="auto" w:fill="1F3864"/>
          </w:tcPr>
          <w:p>
            <w:pPr>
              <w:spacing w:after="20" w:before="0"/>
            </w:pPr>
            <w:r/>
            <w:r>
              <w:rPr>
                <w:b/>
                <w:i w:val="0"/>
                <w:color w:val="FFFFFF"/>
                <w:sz w:val="17"/>
              </w:rPr>
              <w:t>Analysis</w:t>
            </w:r>
          </w:p>
        </w:tc>
      </w:tr>
      <w:tr>
        <w:tc>
          <w:tcPr>
            <w:tcW w:type="dxa" w:w="2304"/>
            <w:shd w:val="clear" w:color="auto" w:fill="EDEDED"/>
          </w:tcPr>
          <w:p>
            <w:pPr>
              <w:spacing w:after="20" w:before="0"/>
            </w:pPr>
            <w:r/>
            <w:r>
              <w:rPr>
                <w:b w:val="0"/>
                <w:i w:val="0"/>
                <w:sz w:val="17"/>
              </w:rPr>
              <w:t>CloudNest language</w:t>
            </w:r>
          </w:p>
        </w:tc>
        <w:tc>
          <w:tcPr>
            <w:tcW w:type="dxa" w:w="11232"/>
          </w:tcPr>
          <w:p>
            <w:pPr>
              <w:spacing w:after="20" w:before="0"/>
            </w:pPr>
            <w:r/>
            <w:r>
              <w:rPr>
                <w:b w:val="0"/>
                <w:i w:val="0"/>
                <w:sz w:val="17"/>
              </w:rPr>
              <w:t>RL 22.1: “governed by … the laws of England and Wales … exclusive jurisdiction of the courts of London, England.” (no PV comment; the email says CloudNest is “open to exploring this further”)</w:t>
            </w:r>
          </w:p>
        </w:tc>
      </w:tr>
      <w:tr>
        <w:tc>
          <w:tcPr>
            <w:tcW w:type="dxa" w:w="2304"/>
            <w:shd w:val="clear" w:color="auto" w:fill="EDEDED"/>
          </w:tcPr>
          <w:p>
            <w:pPr>
              <w:spacing w:after="20" w:before="0"/>
            </w:pPr>
            <w:r/>
            <w:r>
              <w:rPr>
                <w:b w:val="0"/>
                <w:i w:val="0"/>
                <w:sz w:val="17"/>
              </w:rPr>
              <w:t>Template v3.2</w:t>
            </w:r>
          </w:p>
        </w:tc>
        <w:tc>
          <w:tcPr>
            <w:tcW w:type="dxa" w:w="11232"/>
          </w:tcPr>
          <w:p>
            <w:pPr>
              <w:spacing w:after="20" w:before="0"/>
            </w:pPr>
            <w:r/>
            <w:r>
              <w:rPr>
                <w:b w:val="0"/>
                <w:i w:val="0"/>
                <w:sz w:val="17"/>
              </w:rPr>
              <w:t>T 20.1-20.2: Delaware law; exclusive jurisdiction of the Delaware state and federal courts (including the Court of Chancery). T 20.3: regulatory jurisdiction is preserved. Annex 4 separately applies Irish law to the SCCs, as SCC Clause 17 requires.</w:t>
            </w:r>
          </w:p>
        </w:tc>
      </w:tr>
      <w:tr>
        <w:tc>
          <w:tcPr>
            <w:tcW w:type="dxa" w:w="2304"/>
            <w:shd w:val="clear" w:color="auto" w:fill="EDEDED"/>
          </w:tcPr>
          <w:p>
            <w:pPr>
              <w:spacing w:after="20" w:before="0"/>
            </w:pPr>
            <w:r/>
            <w:r>
              <w:rPr>
                <w:b w:val="0"/>
                <w:i w:val="0"/>
                <w:sz w:val="17"/>
              </w:rPr>
              <w:t>Playbook</w:t>
            </w:r>
          </w:p>
        </w:tc>
        <w:tc>
          <w:tcPr>
            <w:tcW w:type="dxa" w:w="11232"/>
          </w:tcPr>
          <w:p>
            <w:pPr>
              <w:spacing w:after="20" w:before="0"/>
            </w:pPr>
            <w:r/>
            <w:r>
              <w:rPr>
                <w:b w:val="0"/>
                <w:i w:val="0"/>
                <w:sz w:val="17"/>
              </w:rPr>
              <w:t>Red: any non-US governing law or non-US courts.</w:t>
            </w:r>
          </w:p>
        </w:tc>
      </w:tr>
      <w:tr>
        <w:tc>
          <w:tcPr>
            <w:tcW w:type="dxa" w:w="2304"/>
            <w:shd w:val="clear" w:color="auto" w:fill="EDEDED"/>
          </w:tcPr>
          <w:p>
            <w:pPr>
              <w:spacing w:after="20" w:before="0"/>
            </w:pPr>
            <w:r/>
            <w:r>
              <w:rPr>
                <w:b w:val="0"/>
                <w:i w:val="0"/>
                <w:sz w:val="17"/>
              </w:rPr>
              <w:t>Risk analysis</w:t>
            </w:r>
          </w:p>
        </w:tc>
        <w:tc>
          <w:tcPr>
            <w:tcW w:type="dxa" w:w="11232"/>
          </w:tcPr>
          <w:p>
            <w:pPr>
              <w:spacing w:after="20" w:before="0"/>
            </w:pPr>
            <w:r/>
            <w:r>
              <w:rPr>
                <w:b w:val="0"/>
                <w:i w:val="0"/>
                <w:sz w:val="17"/>
              </w:rPr>
              <w:t>Stratton is a Delaware corporation, about 99% of data subjects are US patients, and HIPAA is the primary regime. English law construes limitation and indemnity clauses differently. Indemnities are read narrowly and a cap could be enforced more readily, which would undermine Topics 6 and 7. Litigating in London would also add cost and enforcement friction. The email’s point that processing takes place in London and Frankfurt does not justify English law for a DPA whose primary regulatory exposure is in the US. The “CONFIDENTIAL - SUBJECT TO CONTRACT” legend reflects English-law drafting conventions.</w:t>
            </w:r>
          </w:p>
        </w:tc>
      </w:tr>
      <w:tr>
        <w:tc>
          <w:tcPr>
            <w:tcW w:type="dxa" w:w="2304"/>
            <w:shd w:val="clear" w:color="auto" w:fill="EDEDED"/>
          </w:tcPr>
          <w:p>
            <w:pPr>
              <w:spacing w:after="20" w:before="0"/>
            </w:pPr>
            <w:r/>
            <w:r>
              <w:rPr>
                <w:b w:val="0"/>
                <w:i w:val="0"/>
                <w:sz w:val="17"/>
              </w:rPr>
              <w:t>MSA interplay</w:t>
            </w:r>
          </w:p>
        </w:tc>
        <w:tc>
          <w:tcPr>
            <w:tcW w:type="dxa" w:w="11232"/>
          </w:tcPr>
          <w:p>
            <w:pPr>
              <w:spacing w:after="20" w:before="0"/>
            </w:pPr>
            <w:r/>
            <w:r>
              <w:rPr>
                <w:b w:val="0"/>
                <w:i w:val="0"/>
                <w:sz w:val="17"/>
              </w:rPr>
              <w:t>MSA §24.1-24.2: Delaware law and the Wilmington courts. MSA §24.3 applies Delaware law to data protection matters if no DPA is signed, which creates a strong presumption in favour of Delaware. A split forum would fragment disputes across the MSA and DPA.</w:t>
            </w:r>
          </w:p>
        </w:tc>
      </w:tr>
      <w:tr>
        <w:tc>
          <w:tcPr>
            <w:tcW w:type="dxa" w:w="2304"/>
            <w:shd w:val="clear" w:color="auto" w:fill="EDEDED"/>
          </w:tcPr>
          <w:p>
            <w:pPr>
              <w:spacing w:after="20" w:before="0"/>
            </w:pPr>
            <w:r/>
            <w:r>
              <w:rPr>
                <w:b w:val="0"/>
                <w:i w:val="0"/>
                <w:sz w:val="17"/>
              </w:rPr>
              <w:t>Recommended response / counter-language</w:t>
            </w:r>
          </w:p>
        </w:tc>
        <w:tc>
          <w:tcPr>
            <w:tcW w:type="dxa" w:w="11232"/>
          </w:tcPr>
          <w:p>
            <w:pPr>
              <w:spacing w:after="20" w:before="0"/>
            </w:pPr>
            <w:r/>
            <w:r>
              <w:rPr>
                <w:b w:val="0"/>
                <w:i w:val="0"/>
                <w:sz w:val="17"/>
              </w:rPr>
              <w:t>Reject. Restore T 20.1-20.3 and keep Annex 4’s SCC-specific Irish law and forum (as SCC Clause 17/18 requires). Green: we may offer a good-faith escalation or mediation step before litigation.</w:t>
            </w:r>
          </w:p>
        </w:tc>
      </w:tr>
      <w:tr>
        <w:tc>
          <w:tcPr>
            <w:tcW w:type="dxa" w:w="2304"/>
            <w:shd w:val="clear" w:color="auto" w:fill="EDEDED"/>
          </w:tcPr>
          <w:p>
            <w:pPr>
              <w:spacing w:after="20" w:before="0"/>
            </w:pPr>
            <w:r/>
            <w:r>
              <w:rPr>
                <w:b w:val="0"/>
                <w:i w:val="0"/>
                <w:sz w:val="17"/>
              </w:rPr>
              <w:t>Fallback / authority</w:t>
            </w:r>
          </w:p>
        </w:tc>
        <w:tc>
          <w:tcPr>
            <w:tcW w:type="dxa" w:w="11232"/>
          </w:tcPr>
          <w:p>
            <w:pPr>
              <w:spacing w:after="20" w:before="0"/>
            </w:pPr>
            <w:r/>
            <w:r>
              <w:rPr>
                <w:b w:val="0"/>
                <w:i w:val="0"/>
                <w:sz w:val="17"/>
              </w:rPr>
              <w:t>Yellow (GC): another US state with developed case law (e.g., New York), or binding arbitration under US-based rules with a US seat. No non-US option.</w:t>
            </w:r>
          </w:p>
        </w:tc>
      </w:tr>
    </w:tbl>
    <w:p>
      <w:pPr>
        <w:spacing w:after="40"/>
      </w:pPr>
    </w:p>
    <w:p>
      <w:pPr>
        <w:pStyle w:val="Heading2"/>
      </w:pPr>
      <w:r>
        <w:t>4.12 Return and Deletion (D-32, D-33, D-34, D-35, U-15) - Topic 5 - RED - P2</w:t>
      </w: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2304"/>
            <w:shd w:val="clear" w:color="auto" w:fill="1F3864"/>
          </w:tcPr>
          <w:p>
            <w:pPr>
              <w:spacing w:after="20" w:before="0"/>
            </w:pPr>
            <w:r/>
            <w:r>
              <w:rPr>
                <w:b/>
                <w:i w:val="0"/>
                <w:color w:val="FFFFFF"/>
                <w:sz w:val="17"/>
              </w:rPr>
              <w:t>Element</w:t>
            </w:r>
          </w:p>
        </w:tc>
        <w:tc>
          <w:tcPr>
            <w:tcW w:type="dxa" w:w="11232"/>
            <w:shd w:val="clear" w:color="auto" w:fill="1F3864"/>
          </w:tcPr>
          <w:p>
            <w:pPr>
              <w:spacing w:after="20" w:before="0"/>
            </w:pPr>
            <w:r/>
            <w:r>
              <w:rPr>
                <w:b/>
                <w:i w:val="0"/>
                <w:color w:val="FFFFFF"/>
                <w:sz w:val="17"/>
              </w:rPr>
              <w:t>Analysis</w:t>
            </w:r>
          </w:p>
        </w:tc>
      </w:tr>
      <w:tr>
        <w:tc>
          <w:tcPr>
            <w:tcW w:type="dxa" w:w="2304"/>
            <w:shd w:val="clear" w:color="auto" w:fill="EDEDED"/>
          </w:tcPr>
          <w:p>
            <w:pPr>
              <w:spacing w:after="20" w:before="0"/>
            </w:pPr>
            <w:r/>
            <w:r>
              <w:rPr>
                <w:b w:val="0"/>
                <w:i w:val="0"/>
                <w:sz w:val="17"/>
              </w:rPr>
              <w:t>CloudNest language</w:t>
            </w:r>
          </w:p>
        </w:tc>
        <w:tc>
          <w:tcPr>
            <w:tcW w:type="dxa" w:w="11232"/>
          </w:tcPr>
          <w:p>
            <w:pPr>
              <w:spacing w:after="20" w:before="0"/>
            </w:pPr>
            <w:r/>
            <w:r>
              <w:rPr>
                <w:b w:val="0"/>
                <w:i w:val="0"/>
                <w:sz w:val="17"/>
              </w:rPr>
              <w:t xml:space="preserve">RL 17.1: at Controller’s </w:t>
            </w:r>
            <w:r>
              <w:rPr>
                <w:b/>
                <w:i w:val="0"/>
                <w:sz w:val="17"/>
              </w:rPr>
              <w:t>election</w:t>
            </w:r>
            <w:r>
              <w:rPr>
                <w:b w:val="0"/>
                <w:i w:val="0"/>
                <w:sz w:val="17"/>
              </w:rPr>
              <w:t xml:space="preserve">, (a) return within </w:t>
            </w:r>
            <w:r>
              <w:rPr>
                <w:b/>
                <w:i w:val="0"/>
                <w:sz w:val="17"/>
              </w:rPr>
              <w:t>60</w:t>
            </w:r>
            <w:r>
              <w:rPr>
                <w:b w:val="0"/>
                <w:i w:val="0"/>
                <w:sz w:val="17"/>
              </w:rPr>
              <w:t xml:space="preserve"> days </w:t>
            </w:r>
            <w:r>
              <w:rPr>
                <w:b/>
                <w:i w:val="0"/>
                <w:sz w:val="17"/>
              </w:rPr>
              <w:t>or</w:t>
            </w:r>
            <w:r>
              <w:rPr>
                <w:b w:val="0"/>
                <w:i w:val="0"/>
                <w:sz w:val="17"/>
              </w:rPr>
              <w:t xml:space="preserve"> (b) delete within </w:t>
            </w:r>
            <w:r>
              <w:rPr>
                <w:b/>
                <w:i w:val="0"/>
                <w:sz w:val="17"/>
              </w:rPr>
              <w:t>120</w:t>
            </w:r>
            <w:r>
              <w:rPr>
                <w:b w:val="0"/>
                <w:i w:val="0"/>
                <w:sz w:val="17"/>
              </w:rPr>
              <w:t xml:space="preserve"> days using “</w:t>
            </w:r>
            <w:r>
              <w:rPr>
                <w:b/>
                <w:i w:val="0"/>
                <w:sz w:val="17"/>
              </w:rPr>
              <w:t>commercially appropriate methods</w:t>
            </w:r>
            <w:r>
              <w:rPr>
                <w:b w:val="0"/>
                <w:i w:val="0"/>
                <w:sz w:val="17"/>
              </w:rPr>
              <w:t>”. RL 17.2: “Processor shall confirm deletion of Personal Data upon reasonable request by Controller.” RL 17.3 (untracked): if Controller does not elect within 30 days, Processor deletes.</w:t>
            </w:r>
          </w:p>
        </w:tc>
      </w:tr>
      <w:tr>
        <w:tc>
          <w:tcPr>
            <w:tcW w:type="dxa" w:w="2304"/>
            <w:shd w:val="clear" w:color="auto" w:fill="EDEDED"/>
          </w:tcPr>
          <w:p>
            <w:pPr>
              <w:spacing w:after="20" w:before="0"/>
            </w:pPr>
            <w:r/>
            <w:r>
              <w:rPr>
                <w:b w:val="0"/>
                <w:i w:val="0"/>
                <w:sz w:val="17"/>
              </w:rPr>
              <w:t>Template v3.2</w:t>
            </w:r>
          </w:p>
        </w:tc>
        <w:tc>
          <w:tcPr>
            <w:tcW w:type="dxa" w:w="11232"/>
          </w:tcPr>
          <w:p>
            <w:pPr>
              <w:spacing w:after="20" w:before="0"/>
            </w:pPr>
            <w:r/>
            <w:r>
              <w:rPr>
                <w:b w:val="0"/>
                <w:i w:val="0"/>
                <w:sz w:val="17"/>
              </w:rPr>
              <w:t>T 13.1: return within 30 days in CSV, JSON or XML. T 13.2: then deletion of all copies, including backups, DR copies and Sub-Processor copies, within 45 days of return, to the NIST SP 800-88 Rev. 1 standard. T 13.3: certificate signed by a VP-level officer within 10 business days, with the specified content. T 13.4: retention only where required by law, with 5 business days’ notice, minimisation, continued protection, and deletion within 30 days of the obligation ending, with a supplemental certificate.</w:t>
            </w:r>
          </w:p>
        </w:tc>
      </w:tr>
      <w:tr>
        <w:tc>
          <w:tcPr>
            <w:tcW w:type="dxa" w:w="2304"/>
            <w:shd w:val="clear" w:color="auto" w:fill="EDEDED"/>
          </w:tcPr>
          <w:p>
            <w:pPr>
              <w:spacing w:after="20" w:before="0"/>
            </w:pPr>
            <w:r/>
            <w:r>
              <w:rPr>
                <w:b w:val="0"/>
                <w:i w:val="0"/>
                <w:sz w:val="17"/>
              </w:rPr>
              <w:t>Playbook</w:t>
            </w:r>
          </w:p>
        </w:tc>
        <w:tc>
          <w:tcPr>
            <w:tcW w:type="dxa" w:w="11232"/>
          </w:tcPr>
          <w:p>
            <w:pPr>
              <w:spacing w:after="20" w:before="0"/>
            </w:pPr>
            <w:r/>
            <w:r>
              <w:rPr>
                <w:b w:val="0"/>
                <w:i w:val="0"/>
                <w:sz w:val="17"/>
              </w:rPr>
              <w:t>Red: return beyond 45 days; deletion beyond 90 days; certification replaced by “confirm upon reasonable request” (named expressly).</w:t>
            </w:r>
          </w:p>
        </w:tc>
      </w:tr>
      <w:tr>
        <w:tc>
          <w:tcPr>
            <w:tcW w:type="dxa" w:w="2304"/>
            <w:shd w:val="clear" w:color="auto" w:fill="EDEDED"/>
          </w:tcPr>
          <w:p>
            <w:pPr>
              <w:spacing w:after="20" w:before="0"/>
            </w:pPr>
            <w:r/>
            <w:r>
              <w:rPr>
                <w:b w:val="0"/>
                <w:i w:val="0"/>
                <w:sz w:val="17"/>
              </w:rPr>
              <w:t>Risk analysis</w:t>
            </w:r>
          </w:p>
        </w:tc>
        <w:tc>
          <w:tcPr>
            <w:tcW w:type="dxa" w:w="11232"/>
          </w:tcPr>
          <w:p>
            <w:pPr>
              <w:spacing w:after="20" w:before="0"/>
            </w:pPr>
            <w:r/>
            <w:r>
              <w:rPr>
                <w:b w:val="0"/>
                <w:i w:val="0"/>
                <w:sz w:val="17"/>
              </w:rPr>
              <w:t>• HIPAA §164.504(e)(2)(ii)(J) requires return or destruction of PHI. GDPR Art. 28(3)(g) requires return or deletion at the controller’s choice. Without a certificate there is no audit trail.</w:t>
            </w:r>
          </w:p>
          <w:p>
            <w:pPr>
              <w:spacing w:after="20" w:before="0"/>
            </w:pPr>
            <w:r>
              <w:rPr>
                <w:b w:val="0"/>
                <w:i w:val="0"/>
                <w:sz w:val="17"/>
              </w:rPr>
              <w:t>• “Commercially appropriate methods” abandons the irretrievability standard, which matters for 4.2-8 PB across backups and DR.</w:t>
            </w:r>
          </w:p>
          <w:p>
            <w:pPr>
              <w:spacing w:after="20" w:before="0"/>
            </w:pPr>
            <w:r>
              <w:rPr>
                <w:b w:val="0"/>
                <w:i w:val="0"/>
                <w:sz w:val="17"/>
              </w:rPr>
              <w:t xml:space="preserve">• </w:t>
            </w:r>
            <w:r>
              <w:rPr>
                <w:b/>
                <w:i w:val="0"/>
                <w:sz w:val="17"/>
              </w:rPr>
              <w:t>Data-loss trap (untracked):</w:t>
            </w:r>
            <w:r>
              <w:rPr>
                <w:b w:val="0"/>
                <w:i w:val="0"/>
                <w:sz w:val="17"/>
              </w:rPr>
              <w:t xml:space="preserve"> the either/or election combined with the RL 17.3 default could lead to deletion of Stratton’s only copy of patient medical records if no election is made within 30 days. That would put state medical-record retention and HIPAA documentation duties at risk. The deletion clock running from termination, not from completed return, adds to the risk.</w:t>
            </w:r>
          </w:p>
          <w:p>
            <w:pPr>
              <w:spacing w:after="20" w:before="0"/>
            </w:pPr>
            <w:r>
              <w:rPr>
                <w:b w:val="0"/>
                <w:i w:val="0"/>
                <w:sz w:val="17"/>
              </w:rPr>
              <w:t>• The email’s “petabytes” argument can be met with phased migration under MSA transition assistance (up to 6 months).</w:t>
            </w:r>
          </w:p>
        </w:tc>
      </w:tr>
      <w:tr>
        <w:tc>
          <w:tcPr>
            <w:tcW w:type="dxa" w:w="2304"/>
            <w:shd w:val="clear" w:color="auto" w:fill="EDEDED"/>
          </w:tcPr>
          <w:p>
            <w:pPr>
              <w:spacing w:after="20" w:before="0"/>
            </w:pPr>
            <w:r/>
            <w:r>
              <w:rPr>
                <w:b w:val="0"/>
                <w:i w:val="0"/>
                <w:sz w:val="17"/>
              </w:rPr>
              <w:t>MSA interplay</w:t>
            </w:r>
          </w:p>
        </w:tc>
        <w:tc>
          <w:tcPr>
            <w:tcW w:type="dxa" w:w="11232"/>
          </w:tcPr>
          <w:p>
            <w:pPr>
              <w:spacing w:after="20" w:before="0"/>
            </w:pPr>
            <w:r/>
            <w:r>
              <w:rPr>
                <w:b w:val="0"/>
                <w:i w:val="0"/>
                <w:sz w:val="17"/>
              </w:rPr>
              <w:t>MSA §20 Effect of Termination: CloudNest must comply with the DPA return and deletion provisions. MSA §22.3(h).</w:t>
            </w:r>
          </w:p>
        </w:tc>
      </w:tr>
      <w:tr>
        <w:tc>
          <w:tcPr>
            <w:tcW w:type="dxa" w:w="2304"/>
            <w:shd w:val="clear" w:color="auto" w:fill="EDEDED"/>
          </w:tcPr>
          <w:p>
            <w:pPr>
              <w:spacing w:after="20" w:before="0"/>
            </w:pPr>
            <w:r/>
            <w:r>
              <w:rPr>
                <w:b w:val="0"/>
                <w:i w:val="0"/>
                <w:sz w:val="17"/>
              </w:rPr>
              <w:t>Recommended response / counter-language</w:t>
            </w:r>
          </w:p>
        </w:tc>
        <w:tc>
          <w:tcPr>
            <w:tcW w:type="dxa" w:w="11232"/>
          </w:tcPr>
          <w:p>
            <w:pPr>
              <w:spacing w:after="20" w:before="0"/>
            </w:pPr>
            <w:r/>
            <w:r>
              <w:rPr>
                <w:b w:val="0"/>
                <w:i w:val="0"/>
                <w:sz w:val="17"/>
              </w:rPr>
              <w:t>Reject. Restore T 13.1-13.4. Delete RL 17.3’s default deletion, or reverse it: “absent an election, Processor shall return all Personal Data and shall not delete any Personal Data until Controller confirms in writing successful receipt.”</w:t>
            </w:r>
          </w:p>
        </w:tc>
      </w:tr>
      <w:tr>
        <w:tc>
          <w:tcPr>
            <w:tcW w:type="dxa" w:w="2304"/>
            <w:shd w:val="clear" w:color="auto" w:fill="EDEDED"/>
          </w:tcPr>
          <w:p>
            <w:pPr>
              <w:spacing w:after="20" w:before="0"/>
            </w:pPr>
            <w:r/>
            <w:r>
              <w:rPr>
                <w:b w:val="0"/>
                <w:i w:val="0"/>
                <w:sz w:val="17"/>
              </w:rPr>
              <w:t>Fallback / authority</w:t>
            </w:r>
          </w:p>
        </w:tc>
        <w:tc>
          <w:tcPr>
            <w:tcW w:type="dxa" w:w="11232"/>
          </w:tcPr>
          <w:p>
            <w:pPr>
              <w:spacing w:after="20" w:before="0"/>
            </w:pPr>
            <w:r/>
            <w:r>
              <w:rPr>
                <w:b w:val="0"/>
                <w:i w:val="0"/>
                <w:sz w:val="17"/>
              </w:rPr>
              <w:t>Yellow (CPO/GC): return within up to 45 days; deletion within up to 90 days of return; an electronic certificate signed by an authorised officer. Nothing beyond these limits.</w:t>
            </w:r>
          </w:p>
        </w:tc>
      </w:tr>
    </w:tbl>
    <w:p>
      <w:pPr>
        <w:spacing w:after="40"/>
      </w:pPr>
    </w:p>
    <w:p>
      <w:pPr>
        <w:pStyle w:val="Heading2"/>
      </w:pPr>
      <w:r>
        <w:t>4.13 Security Certifications (D-30, D-31, U-08) - Topic 8 - RED - P2</w:t>
      </w: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2304"/>
            <w:shd w:val="clear" w:color="auto" w:fill="1F3864"/>
          </w:tcPr>
          <w:p>
            <w:pPr>
              <w:spacing w:after="20" w:before="0"/>
            </w:pPr>
            <w:r/>
            <w:r>
              <w:rPr>
                <w:b/>
                <w:i w:val="0"/>
                <w:color w:val="FFFFFF"/>
                <w:sz w:val="17"/>
              </w:rPr>
              <w:t>Element</w:t>
            </w:r>
          </w:p>
        </w:tc>
        <w:tc>
          <w:tcPr>
            <w:tcW w:type="dxa" w:w="11232"/>
            <w:shd w:val="clear" w:color="auto" w:fill="1F3864"/>
          </w:tcPr>
          <w:p>
            <w:pPr>
              <w:spacing w:after="20" w:before="0"/>
            </w:pPr>
            <w:r/>
            <w:r>
              <w:rPr>
                <w:b/>
                <w:i w:val="0"/>
                <w:color w:val="FFFFFF"/>
                <w:sz w:val="17"/>
              </w:rPr>
              <w:t>Analysis</w:t>
            </w:r>
          </w:p>
        </w:tc>
      </w:tr>
      <w:tr>
        <w:tc>
          <w:tcPr>
            <w:tcW w:type="dxa" w:w="2304"/>
            <w:shd w:val="clear" w:color="auto" w:fill="EDEDED"/>
          </w:tcPr>
          <w:p>
            <w:pPr>
              <w:spacing w:after="20" w:before="0"/>
            </w:pPr>
            <w:r/>
            <w:r>
              <w:rPr>
                <w:b w:val="0"/>
                <w:i w:val="0"/>
                <w:sz w:val="17"/>
              </w:rPr>
              <w:t>CloudNest language</w:t>
            </w:r>
          </w:p>
        </w:tc>
        <w:tc>
          <w:tcPr>
            <w:tcW w:type="dxa" w:w="11232"/>
          </w:tcPr>
          <w:p>
            <w:pPr>
              <w:spacing w:after="20" w:before="0"/>
            </w:pPr>
            <w:r/>
            <w:r>
              <w:rPr>
                <w:b w:val="0"/>
                <w:i w:val="0"/>
                <w:sz w:val="17"/>
              </w:rPr>
              <w:t>RL 15.1: “(a) ISO 27001 … (b) SOC 2 Type II[DELETED: ; and (c) HITRUST CSF …]”. Reports provided “upon reasonable request by Controller” instead of “on an annual basis, and promptly upon any material change in certification status”. RL 15.2: notice of lapse “promptly” with a 30-day remediation plan. RL 15.3: PCI evidence “upon reasonable request”.</w:t>
            </w:r>
          </w:p>
        </w:tc>
      </w:tr>
      <w:tr>
        <w:tc>
          <w:tcPr>
            <w:tcW w:type="dxa" w:w="2304"/>
            <w:shd w:val="clear" w:color="auto" w:fill="EDEDED"/>
          </w:tcPr>
          <w:p>
            <w:pPr>
              <w:spacing w:after="20" w:before="0"/>
            </w:pPr>
            <w:r/>
            <w:r>
              <w:rPr>
                <w:b w:val="0"/>
                <w:i w:val="0"/>
                <w:sz w:val="17"/>
              </w:rPr>
              <w:t>Template v3.2</w:t>
            </w:r>
          </w:p>
        </w:tc>
        <w:tc>
          <w:tcPr>
            <w:tcW w:type="dxa" w:w="11232"/>
          </w:tcPr>
          <w:p>
            <w:pPr>
              <w:spacing w:after="20" w:before="0"/>
            </w:pPr>
            <w:r/>
            <w:r>
              <w:rPr>
                <w:b w:val="0"/>
                <w:i w:val="0"/>
                <w:sz w:val="17"/>
              </w:rPr>
              <w:t>T 8.2: ISO/IEC 27001:2022, SOC 2 Type II (all five Trust Services Criteria) and HITRUST CSF; reports annually within 30 days of issuance; any lapse is a material breach. T 8.4: PCI AoC/RoC by a QSA annually within 30 days. Playbook: lapse notice within 10 business days.</w:t>
            </w:r>
          </w:p>
        </w:tc>
      </w:tr>
      <w:tr>
        <w:tc>
          <w:tcPr>
            <w:tcW w:type="dxa" w:w="2304"/>
            <w:shd w:val="clear" w:color="auto" w:fill="EDEDED"/>
          </w:tcPr>
          <w:p>
            <w:pPr>
              <w:spacing w:after="20" w:before="0"/>
            </w:pPr>
            <w:r/>
            <w:r>
              <w:rPr>
                <w:b w:val="0"/>
                <w:i w:val="0"/>
                <w:sz w:val="17"/>
              </w:rPr>
              <w:t>Playbook</w:t>
            </w:r>
          </w:p>
        </w:tc>
        <w:tc>
          <w:tcPr>
            <w:tcW w:type="dxa" w:w="11232"/>
          </w:tcPr>
          <w:p>
            <w:pPr>
              <w:spacing w:after="20" w:before="0"/>
            </w:pPr>
            <w:r/>
            <w:r>
              <w:rPr>
                <w:b w:val="0"/>
                <w:i w:val="0"/>
                <w:sz w:val="17"/>
              </w:rPr>
              <w:t>Removing HITRUST is Yellow only with a 12-month commitment, and none is offered. “Upon request” reporting is Yellow only if Controller may request at any time and gets a response within 15 business days, and no deadline is given. Neither Yellow condition is met, and the compound change is Red.</w:t>
            </w:r>
          </w:p>
        </w:tc>
      </w:tr>
      <w:tr>
        <w:tc>
          <w:tcPr>
            <w:tcW w:type="dxa" w:w="2304"/>
            <w:shd w:val="clear" w:color="auto" w:fill="EDEDED"/>
          </w:tcPr>
          <w:p>
            <w:pPr>
              <w:spacing w:after="20" w:before="0"/>
            </w:pPr>
            <w:r/>
            <w:r>
              <w:rPr>
                <w:b w:val="0"/>
                <w:i w:val="0"/>
                <w:sz w:val="17"/>
              </w:rPr>
              <w:t>Risk analysis</w:t>
            </w:r>
          </w:p>
        </w:tc>
        <w:tc>
          <w:tcPr>
            <w:tcW w:type="dxa" w:w="11232"/>
          </w:tcPr>
          <w:p>
            <w:pPr>
              <w:spacing w:after="20" w:before="0"/>
            </w:pPr>
            <w:r/>
            <w:r>
              <w:rPr>
                <w:b w:val="0"/>
                <w:i w:val="0"/>
                <w:sz w:val="17"/>
              </w:rPr>
              <w:t>HITRUST CSF is the healthcare-specific assurance framework. Losing it removes HIPAA-mapped assurance at the same moment that audit rights are cut back to SOC 2 and ISO reports. The HITRUST deletion is shown only as bracketed text, has no PV comment and is not mentioned in the email. PV-01’s new recital (listing ISO and SOC 2 only) appears designed to normalise the omission.</w:t>
            </w:r>
          </w:p>
        </w:tc>
      </w:tr>
      <w:tr>
        <w:tc>
          <w:tcPr>
            <w:tcW w:type="dxa" w:w="2304"/>
            <w:shd w:val="clear" w:color="auto" w:fill="EDEDED"/>
          </w:tcPr>
          <w:p>
            <w:pPr>
              <w:spacing w:after="20" w:before="0"/>
            </w:pPr>
            <w:r/>
            <w:r>
              <w:rPr>
                <w:b w:val="0"/>
                <w:i w:val="0"/>
                <w:sz w:val="17"/>
              </w:rPr>
              <w:t>MSA interplay</w:t>
            </w:r>
          </w:p>
        </w:tc>
        <w:tc>
          <w:tcPr>
            <w:tcW w:type="dxa" w:w="11232"/>
          </w:tcPr>
          <w:p>
            <w:pPr>
              <w:spacing w:after="20" w:before="0"/>
            </w:pPr>
            <w:r/>
            <w:r>
              <w:rPr>
                <w:b w:val="0"/>
                <w:i w:val="0"/>
                <w:sz w:val="17"/>
              </w:rPr>
              <w:t>MSA §22.3(j).</w:t>
            </w:r>
          </w:p>
        </w:tc>
      </w:tr>
      <w:tr>
        <w:tc>
          <w:tcPr>
            <w:tcW w:type="dxa" w:w="2304"/>
            <w:shd w:val="clear" w:color="auto" w:fill="EDEDED"/>
          </w:tcPr>
          <w:p>
            <w:pPr>
              <w:spacing w:after="20" w:before="0"/>
            </w:pPr>
            <w:r/>
            <w:r>
              <w:rPr>
                <w:b w:val="0"/>
                <w:i w:val="0"/>
                <w:sz w:val="17"/>
              </w:rPr>
              <w:t>Recommended response / counter-language</w:t>
            </w:r>
          </w:p>
        </w:tc>
        <w:tc>
          <w:tcPr>
            <w:tcW w:type="dxa" w:w="11232"/>
          </w:tcPr>
          <w:p>
            <w:pPr>
              <w:spacing w:after="20" w:before="0"/>
            </w:pPr>
            <w:r/>
            <w:r>
              <w:rPr>
                <w:b w:val="0"/>
                <w:i w:val="0"/>
                <w:sz w:val="17"/>
              </w:rPr>
              <w:t>Reject. Restore T 8.2 and T 8.4. Accept a 45-day reporting window or additional certifications (e.g., CSA STAR) if offered (Green).</w:t>
            </w:r>
          </w:p>
        </w:tc>
      </w:tr>
      <w:tr>
        <w:tc>
          <w:tcPr>
            <w:tcW w:type="dxa" w:w="2304"/>
            <w:shd w:val="clear" w:color="auto" w:fill="EDEDED"/>
          </w:tcPr>
          <w:p>
            <w:pPr>
              <w:spacing w:after="20" w:before="0"/>
            </w:pPr>
            <w:r/>
            <w:r>
              <w:rPr>
                <w:b w:val="0"/>
                <w:i w:val="0"/>
                <w:sz w:val="17"/>
              </w:rPr>
              <w:t>Fallback / authority</w:t>
            </w:r>
          </w:p>
        </w:tc>
        <w:tc>
          <w:tcPr>
            <w:tcW w:type="dxa" w:w="11232"/>
          </w:tcPr>
          <w:p>
            <w:pPr>
              <w:spacing w:after="20" w:before="0"/>
            </w:pPr>
            <w:r/>
            <w:r>
              <w:rPr>
                <w:b w:val="0"/>
                <w:i w:val="0"/>
                <w:sz w:val="17"/>
              </w:rPr>
              <w:t>Yellow (CPO): HITRUST certification within 12 months, with ISO and SOC 2 maintained throughout; reporting on request at any time with a 15 business day response.</w:t>
            </w:r>
          </w:p>
        </w:tc>
      </w:tr>
    </w:tbl>
    <w:p>
      <w:pPr>
        <w:spacing w:after="40"/>
      </w:pPr>
    </w:p>
    <w:p>
      <w:pPr>
        <w:pStyle w:val="Heading2"/>
      </w:pPr>
      <w:r>
        <w:t>4.14 Data Subject Request Assistance (D-17, D-18, U-09) - Topic 9 - RED - P2</w:t>
      </w: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2304"/>
            <w:shd w:val="clear" w:color="auto" w:fill="1F3864"/>
          </w:tcPr>
          <w:p>
            <w:pPr>
              <w:spacing w:after="20" w:before="0"/>
            </w:pPr>
            <w:r/>
            <w:r>
              <w:rPr>
                <w:b/>
                <w:i w:val="0"/>
                <w:color w:val="FFFFFF"/>
                <w:sz w:val="17"/>
              </w:rPr>
              <w:t>Element</w:t>
            </w:r>
          </w:p>
        </w:tc>
        <w:tc>
          <w:tcPr>
            <w:tcW w:type="dxa" w:w="11232"/>
            <w:shd w:val="clear" w:color="auto" w:fill="1F3864"/>
          </w:tcPr>
          <w:p>
            <w:pPr>
              <w:spacing w:after="20" w:before="0"/>
            </w:pPr>
            <w:r/>
            <w:r>
              <w:rPr>
                <w:b/>
                <w:i w:val="0"/>
                <w:color w:val="FFFFFF"/>
                <w:sz w:val="17"/>
              </w:rPr>
              <w:t>Analysis</w:t>
            </w:r>
          </w:p>
        </w:tc>
      </w:tr>
      <w:tr>
        <w:tc>
          <w:tcPr>
            <w:tcW w:type="dxa" w:w="2304"/>
            <w:shd w:val="clear" w:color="auto" w:fill="EDEDED"/>
          </w:tcPr>
          <w:p>
            <w:pPr>
              <w:spacing w:after="20" w:before="0"/>
            </w:pPr>
            <w:r/>
            <w:r>
              <w:rPr>
                <w:b w:val="0"/>
                <w:i w:val="0"/>
                <w:sz w:val="17"/>
              </w:rPr>
              <w:t>CloudNest language</w:t>
            </w:r>
          </w:p>
        </w:tc>
        <w:tc>
          <w:tcPr>
            <w:tcW w:type="dxa" w:w="11232"/>
          </w:tcPr>
          <w:p>
            <w:pPr>
              <w:spacing w:after="20" w:before="0"/>
            </w:pPr>
            <w:r/>
            <w:r>
              <w:rPr>
                <w:b w:val="0"/>
                <w:i w:val="0"/>
                <w:sz w:val="17"/>
              </w:rPr>
              <w:t>RL 9.2: “within fifteen (15) business days”. RL 9.3: Controller reimburses costs where requests “exceed ten (10) requests in any calendar month”. PV-09: the fee “is consistent with GDPR Art. 28(3), which permits the Processor to charge a reasonable fee”.</w:t>
            </w:r>
          </w:p>
        </w:tc>
      </w:tr>
      <w:tr>
        <w:tc>
          <w:tcPr>
            <w:tcW w:type="dxa" w:w="2304"/>
            <w:shd w:val="clear" w:color="auto" w:fill="EDEDED"/>
          </w:tcPr>
          <w:p>
            <w:pPr>
              <w:spacing w:after="20" w:before="0"/>
            </w:pPr>
            <w:r/>
            <w:r>
              <w:rPr>
                <w:b w:val="0"/>
                <w:i w:val="0"/>
                <w:sz w:val="17"/>
              </w:rPr>
              <w:t>Template v3.2</w:t>
            </w:r>
          </w:p>
        </w:tc>
        <w:tc>
          <w:tcPr>
            <w:tcW w:type="dxa" w:w="11232"/>
          </w:tcPr>
          <w:p>
            <w:pPr>
              <w:spacing w:after="20" w:before="0"/>
            </w:pPr>
            <w:r/>
            <w:r>
              <w:rPr>
                <w:b w:val="0"/>
                <w:i w:val="0"/>
                <w:sz w:val="17"/>
              </w:rPr>
              <w:t>T 9.2: 5 business days, with up to 10 business days for complex requests on notice. T 9.3: no fee “regardless of the volume or frequency”. T 9.1: direct requests forwarded within 2 business days (RL 9.4: 3 business days, untracked).</w:t>
            </w:r>
          </w:p>
        </w:tc>
      </w:tr>
      <w:tr>
        <w:tc>
          <w:tcPr>
            <w:tcW w:type="dxa" w:w="2304"/>
            <w:shd w:val="clear" w:color="auto" w:fill="EDEDED"/>
          </w:tcPr>
          <w:p>
            <w:pPr>
              <w:spacing w:after="20" w:before="0"/>
            </w:pPr>
            <w:r/>
            <w:r>
              <w:rPr>
                <w:b w:val="0"/>
                <w:i w:val="0"/>
                <w:sz w:val="17"/>
              </w:rPr>
              <w:t>Playbook</w:t>
            </w:r>
          </w:p>
        </w:tc>
        <w:tc>
          <w:tcPr>
            <w:tcW w:type="dxa" w:w="11232"/>
          </w:tcPr>
          <w:p>
            <w:pPr>
              <w:spacing w:after="20" w:before="0"/>
            </w:pPr>
            <w:r/>
            <w:r>
              <w:rPr>
                <w:b w:val="0"/>
                <w:i w:val="0"/>
                <w:sz w:val="17"/>
              </w:rPr>
              <w:t>Red: a timeline beyond 10 business days. The Topic 9 Note says a 10-per-month threshold “could be routinely exceeded”. Fees for standard-volume requests are Red.</w:t>
            </w:r>
          </w:p>
        </w:tc>
      </w:tr>
      <w:tr>
        <w:tc>
          <w:tcPr>
            <w:tcW w:type="dxa" w:w="2304"/>
            <w:shd w:val="clear" w:color="auto" w:fill="EDEDED"/>
          </w:tcPr>
          <w:p>
            <w:pPr>
              <w:spacing w:after="20" w:before="0"/>
            </w:pPr>
            <w:r/>
            <w:r>
              <w:rPr>
                <w:b w:val="0"/>
                <w:i w:val="0"/>
                <w:sz w:val="17"/>
              </w:rPr>
              <w:t>Risk analysis</w:t>
            </w:r>
          </w:p>
        </w:tc>
        <w:tc>
          <w:tcPr>
            <w:tcW w:type="dxa" w:w="11232"/>
          </w:tcPr>
          <w:p>
            <w:pPr>
              <w:spacing w:after="20" w:before="0"/>
            </w:pPr>
            <w:r/>
            <w:r>
              <w:rPr>
                <w:b w:val="0"/>
                <w:i w:val="0"/>
                <w:sz w:val="17"/>
              </w:rPr>
              <w:t xml:space="preserve">With ~2.3M US patients (HIPAA access, CCPA/CPRA, TDPSA) and ~14,000 EU/UK patients, more than 10 requests a month is ordinary volume, so the fee would apply routinely. Fifteen business days (about three weeks) uses most of the GDPR Art. 12(3) one-month deadline and the 45-day CCPA deadline. </w:t>
            </w:r>
            <w:r>
              <w:rPr>
                <w:b/>
                <w:i w:val="0"/>
                <w:sz w:val="17"/>
              </w:rPr>
              <w:t>PV-09 misstates the law.</w:t>
            </w:r>
            <w:r>
              <w:rPr>
                <w:b w:val="0"/>
                <w:i w:val="0"/>
                <w:sz w:val="17"/>
              </w:rPr>
              <w:t xml:space="preserve"> Art. 28(3)(e) imposes a duty to assist and contains no processor fee right. Art. 12(5) concerns controller charges to data subjects for manifestly unfounded or excessive requests.</w:t>
            </w:r>
          </w:p>
        </w:tc>
      </w:tr>
      <w:tr>
        <w:tc>
          <w:tcPr>
            <w:tcW w:type="dxa" w:w="2304"/>
            <w:shd w:val="clear" w:color="auto" w:fill="EDEDED"/>
          </w:tcPr>
          <w:p>
            <w:pPr>
              <w:spacing w:after="20" w:before="0"/>
            </w:pPr>
            <w:r/>
            <w:r>
              <w:rPr>
                <w:b w:val="0"/>
                <w:i w:val="0"/>
                <w:sz w:val="17"/>
              </w:rPr>
              <w:t>MSA interplay</w:t>
            </w:r>
          </w:p>
        </w:tc>
        <w:tc>
          <w:tcPr>
            <w:tcW w:type="dxa" w:w="11232"/>
          </w:tcPr>
          <w:p>
            <w:pPr>
              <w:spacing w:after="20" w:before="0"/>
            </w:pPr>
            <w:r/>
            <w:r>
              <w:rPr>
                <w:b w:val="0"/>
                <w:i w:val="0"/>
                <w:sz w:val="17"/>
              </w:rPr>
              <w:t>MSA §22.3(k).</w:t>
            </w:r>
          </w:p>
        </w:tc>
      </w:tr>
      <w:tr>
        <w:tc>
          <w:tcPr>
            <w:tcW w:type="dxa" w:w="2304"/>
            <w:shd w:val="clear" w:color="auto" w:fill="EDEDED"/>
          </w:tcPr>
          <w:p>
            <w:pPr>
              <w:spacing w:after="20" w:before="0"/>
            </w:pPr>
            <w:r/>
            <w:r>
              <w:rPr>
                <w:b w:val="0"/>
                <w:i w:val="0"/>
                <w:sz w:val="17"/>
              </w:rPr>
              <w:t>Recommended response / counter-language</w:t>
            </w:r>
          </w:p>
        </w:tc>
        <w:tc>
          <w:tcPr>
            <w:tcW w:type="dxa" w:w="11232"/>
          </w:tcPr>
          <w:p>
            <w:pPr>
              <w:spacing w:after="20" w:before="0"/>
            </w:pPr>
            <w:r/>
            <w:r>
              <w:rPr>
                <w:b w:val="0"/>
                <w:i w:val="0"/>
                <w:sz w:val="17"/>
              </w:rPr>
              <w:t>Reject. Restore T 9.1-9.3.</w:t>
            </w:r>
          </w:p>
        </w:tc>
      </w:tr>
      <w:tr>
        <w:tc>
          <w:tcPr>
            <w:tcW w:type="dxa" w:w="2304"/>
            <w:shd w:val="clear" w:color="auto" w:fill="EDEDED"/>
          </w:tcPr>
          <w:p>
            <w:pPr>
              <w:spacing w:after="20" w:before="0"/>
            </w:pPr>
            <w:r/>
            <w:r>
              <w:rPr>
                <w:b w:val="0"/>
                <w:i w:val="0"/>
                <w:sz w:val="17"/>
              </w:rPr>
              <w:t>Fallback / authority</w:t>
            </w:r>
          </w:p>
        </w:tc>
        <w:tc>
          <w:tcPr>
            <w:tcW w:type="dxa" w:w="11232"/>
          </w:tcPr>
          <w:p>
            <w:pPr>
              <w:spacing w:after="20" w:before="0"/>
            </w:pPr>
            <w:r/>
            <w:r>
              <w:rPr>
                <w:b w:val="0"/>
                <w:i w:val="0"/>
                <w:sz w:val="17"/>
              </w:rPr>
              <w:t>Yellow (CPO): up to 10 business days; a fee only above a genuinely exceptional threshold set by reference to the anticipated volume (to be modelled by Stratton privacy operations).</w:t>
            </w:r>
          </w:p>
        </w:tc>
      </w:tr>
    </w:tbl>
    <w:p>
      <w:pPr>
        <w:spacing w:after="40"/>
      </w:pPr>
    </w:p>
    <w:p>
      <w:pPr>
        <w:pStyle w:val="Heading2"/>
      </w:pPr>
      <w:r>
        <w:t>4.15 HIPAA Business Associate Provisions (U-19, with U-02) - Topic 15 - RED - P2</w:t>
      </w: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2304"/>
            <w:shd w:val="clear" w:color="auto" w:fill="1F3864"/>
          </w:tcPr>
          <w:p>
            <w:pPr>
              <w:spacing w:after="20" w:before="0"/>
            </w:pPr>
            <w:r/>
            <w:r>
              <w:rPr>
                <w:b/>
                <w:i w:val="0"/>
                <w:color w:val="FFFFFF"/>
                <w:sz w:val="17"/>
              </w:rPr>
              <w:t>Element</w:t>
            </w:r>
          </w:p>
        </w:tc>
        <w:tc>
          <w:tcPr>
            <w:tcW w:type="dxa" w:w="11232"/>
            <w:shd w:val="clear" w:color="auto" w:fill="1F3864"/>
          </w:tcPr>
          <w:p>
            <w:pPr>
              <w:spacing w:after="20" w:before="0"/>
            </w:pPr>
            <w:r/>
            <w:r>
              <w:rPr>
                <w:b/>
                <w:i w:val="0"/>
                <w:color w:val="FFFFFF"/>
                <w:sz w:val="17"/>
              </w:rPr>
              <w:t>Analysis</w:t>
            </w:r>
          </w:p>
        </w:tc>
      </w:tr>
      <w:tr>
        <w:tc>
          <w:tcPr>
            <w:tcW w:type="dxa" w:w="2304"/>
            <w:shd w:val="clear" w:color="auto" w:fill="EDEDED"/>
          </w:tcPr>
          <w:p>
            <w:pPr>
              <w:spacing w:after="20" w:before="0"/>
            </w:pPr>
            <w:r/>
            <w:r>
              <w:rPr>
                <w:b w:val="0"/>
                <w:i w:val="0"/>
                <w:sz w:val="17"/>
              </w:rPr>
              <w:t>CloudNest language</w:t>
            </w:r>
          </w:p>
        </w:tc>
        <w:tc>
          <w:tcPr>
            <w:tcW w:type="dxa" w:w="11232"/>
          </w:tcPr>
          <w:p>
            <w:pPr>
              <w:spacing w:after="20" w:before="0"/>
            </w:pPr>
            <w:r/>
            <w:r>
              <w:rPr>
                <w:b w:val="0"/>
                <w:i w:val="0"/>
                <w:sz w:val="17"/>
              </w:rPr>
              <w:t>RL 16.9: HHS access to books and records “</w:t>
            </w:r>
            <w:r>
              <w:rPr>
                <w:b/>
                <w:i w:val="0"/>
                <w:sz w:val="17"/>
              </w:rPr>
              <w:t>subject to any applicable legal privileges</w:t>
            </w:r>
            <w:r>
              <w:rPr>
                <w:b w:val="0"/>
                <w:i w:val="0"/>
                <w:sz w:val="17"/>
              </w:rPr>
              <w:t>”. RL 16.6: access within 15 business days. RL 16.7: amendments within 30 calendar days. RL 16.4: no Security Incident reporting. The T 17.9 mitigation and T 17.10 regulatory-change clauses are omitted. All of these changes are untracked.</w:t>
            </w:r>
          </w:p>
        </w:tc>
      </w:tr>
      <w:tr>
        <w:tc>
          <w:tcPr>
            <w:tcW w:type="dxa" w:w="2304"/>
            <w:shd w:val="clear" w:color="auto" w:fill="EDEDED"/>
          </w:tcPr>
          <w:p>
            <w:pPr>
              <w:spacing w:after="20" w:before="0"/>
            </w:pPr>
            <w:r/>
            <w:r>
              <w:rPr>
                <w:b w:val="0"/>
                <w:i w:val="0"/>
                <w:sz w:val="17"/>
              </w:rPr>
              <w:t>Template v3.2</w:t>
            </w:r>
          </w:p>
        </w:tc>
        <w:tc>
          <w:tcPr>
            <w:tcW w:type="dxa" w:w="11232"/>
          </w:tcPr>
          <w:p>
            <w:pPr>
              <w:spacing w:after="20" w:before="0"/>
            </w:pPr>
            <w:r/>
            <w:r>
              <w:rPr>
                <w:b w:val="0"/>
                <w:i w:val="0"/>
                <w:sz w:val="17"/>
              </w:rPr>
              <w:t>T 17.3: report Security Incidents and Breaches of Unsecured PHI. T 17.5-17.7: 10 business days. T 17.8: HHS access without qualification. T 17.9: mitigation. T 17.10: automatic alignment with amended regulations.</w:t>
            </w:r>
          </w:p>
        </w:tc>
      </w:tr>
      <w:tr>
        <w:tc>
          <w:tcPr>
            <w:tcW w:type="dxa" w:w="2304"/>
            <w:shd w:val="clear" w:color="auto" w:fill="EDEDED"/>
          </w:tcPr>
          <w:p>
            <w:pPr>
              <w:spacing w:after="20" w:before="0"/>
            </w:pPr>
            <w:r/>
            <w:r>
              <w:rPr>
                <w:b w:val="0"/>
                <w:i w:val="0"/>
                <w:sz w:val="17"/>
              </w:rPr>
              <w:t>Playbook</w:t>
            </w:r>
          </w:p>
        </w:tc>
        <w:tc>
          <w:tcPr>
            <w:tcW w:type="dxa" w:w="11232"/>
          </w:tcPr>
          <w:p>
            <w:pPr>
              <w:spacing w:after="20" w:before="0"/>
            </w:pPr>
            <w:r/>
            <w:r>
              <w:rPr>
                <w:b w:val="0"/>
                <w:i w:val="0"/>
                <w:sz w:val="17"/>
              </w:rPr>
              <w:t>Red: deletion or material weakening of any required BAA provision. 45 CFR §164.504(e)(2)(ii)(I) (making records available to the Secretary) and §164.314(a)(2)(i)(C) (security incident reporting) are required terms, and qualifying them is a material weakening.</w:t>
            </w:r>
          </w:p>
        </w:tc>
      </w:tr>
      <w:tr>
        <w:tc>
          <w:tcPr>
            <w:tcW w:type="dxa" w:w="2304"/>
            <w:shd w:val="clear" w:color="auto" w:fill="EDEDED"/>
          </w:tcPr>
          <w:p>
            <w:pPr>
              <w:spacing w:after="20" w:before="0"/>
            </w:pPr>
            <w:r/>
            <w:r>
              <w:rPr>
                <w:b w:val="0"/>
                <w:i w:val="0"/>
                <w:sz w:val="17"/>
              </w:rPr>
              <w:t>Risk analysis</w:t>
            </w:r>
          </w:p>
        </w:tc>
        <w:tc>
          <w:tcPr>
            <w:tcW w:type="dxa" w:w="11232"/>
          </w:tcPr>
          <w:p>
            <w:pPr>
              <w:spacing w:after="20" w:before="0"/>
            </w:pPr>
            <w:r/>
            <w:r>
              <w:rPr>
                <w:b w:val="0"/>
                <w:i w:val="0"/>
                <w:sz w:val="17"/>
              </w:rPr>
              <w:t>A non-compliant BAA exposes Stratton, as the covered entity, to OCR enforcement. The longer access and amendment periods compress Stratton’s §164.524 and §164.526 deadlines.</w:t>
            </w:r>
          </w:p>
        </w:tc>
      </w:tr>
      <w:tr>
        <w:tc>
          <w:tcPr>
            <w:tcW w:type="dxa" w:w="2304"/>
            <w:shd w:val="clear" w:color="auto" w:fill="EDEDED"/>
          </w:tcPr>
          <w:p>
            <w:pPr>
              <w:spacing w:after="20" w:before="0"/>
            </w:pPr>
            <w:r/>
            <w:r>
              <w:rPr>
                <w:b w:val="0"/>
                <w:i w:val="0"/>
                <w:sz w:val="17"/>
              </w:rPr>
              <w:t>MSA interplay</w:t>
            </w:r>
          </w:p>
        </w:tc>
        <w:tc>
          <w:tcPr>
            <w:tcW w:type="dxa" w:w="11232"/>
          </w:tcPr>
          <w:p>
            <w:pPr>
              <w:spacing w:after="20" w:before="0"/>
            </w:pPr>
            <w:r/>
            <w:r>
              <w:rPr>
                <w:b w:val="0"/>
                <w:i w:val="0"/>
                <w:sz w:val="17"/>
              </w:rPr>
              <w:t>MSA §22.2: CloudNest is a Business Associate.</w:t>
            </w:r>
          </w:p>
        </w:tc>
      </w:tr>
      <w:tr>
        <w:tc>
          <w:tcPr>
            <w:tcW w:type="dxa" w:w="2304"/>
            <w:shd w:val="clear" w:color="auto" w:fill="EDEDED"/>
          </w:tcPr>
          <w:p>
            <w:pPr>
              <w:spacing w:after="20" w:before="0"/>
            </w:pPr>
            <w:r/>
            <w:r>
              <w:rPr>
                <w:b w:val="0"/>
                <w:i w:val="0"/>
                <w:sz w:val="17"/>
              </w:rPr>
              <w:t>Recommended response / counter-language</w:t>
            </w:r>
          </w:p>
        </w:tc>
        <w:tc>
          <w:tcPr>
            <w:tcW w:type="dxa" w:w="11232"/>
          </w:tcPr>
          <w:p>
            <w:pPr>
              <w:spacing w:after="20" w:before="0"/>
            </w:pPr>
            <w:r/>
            <w:r>
              <w:rPr>
                <w:b w:val="0"/>
                <w:i w:val="0"/>
                <w:sz w:val="17"/>
              </w:rPr>
              <w:t>Restore T 17.1-17.10 verbatim. Yellow: we may accept restructuring of the BAA as a separate exhibit if the substance is preserved.</w:t>
            </w:r>
          </w:p>
        </w:tc>
      </w:tr>
      <w:tr>
        <w:tc>
          <w:tcPr>
            <w:tcW w:type="dxa" w:w="2304"/>
            <w:shd w:val="clear" w:color="auto" w:fill="EDEDED"/>
          </w:tcPr>
          <w:p>
            <w:pPr>
              <w:spacing w:after="20" w:before="0"/>
            </w:pPr>
            <w:r/>
            <w:r>
              <w:rPr>
                <w:b w:val="0"/>
                <w:i w:val="0"/>
                <w:sz w:val="17"/>
              </w:rPr>
              <w:t>Fallback / authority</w:t>
            </w:r>
          </w:p>
        </w:tc>
        <w:tc>
          <w:tcPr>
            <w:tcW w:type="dxa" w:w="11232"/>
          </w:tcPr>
          <w:p>
            <w:pPr>
              <w:spacing w:after="20" w:before="0"/>
            </w:pPr>
            <w:r/>
            <w:r>
              <w:rPr>
                <w:b w:val="0"/>
                <w:i w:val="0"/>
                <w:sz w:val="17"/>
              </w:rPr>
              <w:t>None for the HHS-access and incident-reporting terms. The timing terms (16.6 and 16.7) could go to CPO sign-off at 10 business days and 20 business days.</w:t>
            </w:r>
          </w:p>
        </w:tc>
      </w:tr>
    </w:tbl>
    <w:p>
      <w:pPr>
        <w:spacing w:after="40"/>
      </w:pPr>
    </w:p>
    <w:p>
      <w:pPr>
        <w:pStyle w:val="Heading2"/>
      </w:pPr>
      <w:r>
        <w:t>4.16 Force Majeure (D-38) - Topic 18 - RED - P2</w:t>
      </w: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2304"/>
            <w:shd w:val="clear" w:color="auto" w:fill="1F3864"/>
          </w:tcPr>
          <w:p>
            <w:pPr>
              <w:spacing w:after="20" w:before="0"/>
            </w:pPr>
            <w:r/>
            <w:r>
              <w:rPr>
                <w:b/>
                <w:i w:val="0"/>
                <w:color w:val="FFFFFF"/>
                <w:sz w:val="17"/>
              </w:rPr>
              <w:t>Element</w:t>
            </w:r>
          </w:p>
        </w:tc>
        <w:tc>
          <w:tcPr>
            <w:tcW w:type="dxa" w:w="11232"/>
            <w:shd w:val="clear" w:color="auto" w:fill="1F3864"/>
          </w:tcPr>
          <w:p>
            <w:pPr>
              <w:spacing w:after="20" w:before="0"/>
            </w:pPr>
            <w:r/>
            <w:r>
              <w:rPr>
                <w:b/>
                <w:i w:val="0"/>
                <w:color w:val="FFFFFF"/>
                <w:sz w:val="17"/>
              </w:rPr>
              <w:t>Analysis</w:t>
            </w:r>
          </w:p>
        </w:tc>
      </w:tr>
      <w:tr>
        <w:tc>
          <w:tcPr>
            <w:tcW w:type="dxa" w:w="2304"/>
            <w:shd w:val="clear" w:color="auto" w:fill="EDEDED"/>
          </w:tcPr>
          <w:p>
            <w:pPr>
              <w:spacing w:after="20" w:before="0"/>
            </w:pPr>
            <w:r/>
            <w:r>
              <w:rPr>
                <w:b w:val="0"/>
                <w:i w:val="0"/>
                <w:sz w:val="17"/>
              </w:rPr>
              <w:t>CloudNest language</w:t>
            </w:r>
          </w:p>
        </w:tc>
        <w:tc>
          <w:tcPr>
            <w:tcW w:type="dxa" w:w="11232"/>
          </w:tcPr>
          <w:p>
            <w:pPr>
              <w:spacing w:after="20" w:before="0"/>
            </w:pPr>
            <w:r/>
            <w:r>
              <w:rPr>
                <w:b w:val="0"/>
                <w:i w:val="0"/>
                <w:sz w:val="17"/>
              </w:rPr>
              <w:t xml:space="preserve">RL 20.1: FM includes “failures of third-party telecommunications or utility providers, and </w:t>
            </w:r>
            <w:r>
              <w:rPr>
                <w:b/>
                <w:i w:val="0"/>
                <w:sz w:val="17"/>
              </w:rPr>
              <w:t>cyberattacks on critical national infrastructure</w:t>
            </w:r>
            <w:r>
              <w:rPr>
                <w:b w:val="0"/>
                <w:i w:val="0"/>
                <w:sz w:val="17"/>
              </w:rPr>
              <w:t>”. RL 20.2: breach notification is not excused. RL 20.4: either party may terminate after 90 days.</w:t>
            </w:r>
          </w:p>
        </w:tc>
      </w:tr>
      <w:tr>
        <w:tc>
          <w:tcPr>
            <w:tcW w:type="dxa" w:w="2304"/>
            <w:shd w:val="clear" w:color="auto" w:fill="EDEDED"/>
          </w:tcPr>
          <w:p>
            <w:pPr>
              <w:spacing w:after="20" w:before="0"/>
            </w:pPr>
            <w:r/>
            <w:r>
              <w:rPr>
                <w:b w:val="0"/>
                <w:i w:val="0"/>
                <w:sz w:val="17"/>
              </w:rPr>
              <w:t>Template v3.2</w:t>
            </w:r>
          </w:p>
        </w:tc>
        <w:tc>
          <w:tcPr>
            <w:tcW w:type="dxa" w:w="11232"/>
          </w:tcPr>
          <w:p>
            <w:pPr>
              <w:spacing w:after="20" w:before="0"/>
            </w:pPr>
            <w:r/>
            <w:r>
              <w:rPr>
                <w:b w:val="0"/>
                <w:i w:val="0"/>
                <w:sz w:val="17"/>
              </w:rPr>
              <w:t>The Template has no FM clause (Playbook Topic 18 anticipates one).</w:t>
            </w:r>
          </w:p>
        </w:tc>
      </w:tr>
      <w:tr>
        <w:tc>
          <w:tcPr>
            <w:tcW w:type="dxa" w:w="2304"/>
            <w:shd w:val="clear" w:color="auto" w:fill="EDEDED"/>
          </w:tcPr>
          <w:p>
            <w:pPr>
              <w:spacing w:after="20" w:before="0"/>
            </w:pPr>
            <w:r/>
            <w:r>
              <w:rPr>
                <w:b w:val="0"/>
                <w:i w:val="0"/>
                <w:sz w:val="17"/>
              </w:rPr>
              <w:t>Playbook</w:t>
            </w:r>
          </w:p>
        </w:tc>
        <w:tc>
          <w:tcPr>
            <w:tcW w:type="dxa" w:w="11232"/>
          </w:tcPr>
          <w:p>
            <w:pPr>
              <w:spacing w:after="20" w:before="0"/>
            </w:pPr>
            <w:r/>
            <w:r>
              <w:rPr>
                <w:b w:val="0"/>
                <w:i w:val="0"/>
                <w:sz w:val="17"/>
              </w:rPr>
              <w:t xml:space="preserve">Green only if FM excuses neither breach notification </w:t>
            </w:r>
            <w:r>
              <w:rPr>
                <w:b/>
                <w:i w:val="0"/>
                <w:sz w:val="17"/>
              </w:rPr>
              <w:t>nor security obligations</w:t>
            </w:r>
            <w:r>
              <w:rPr>
                <w:b w:val="0"/>
                <w:i w:val="0"/>
                <w:sz w:val="17"/>
              </w:rPr>
              <w:t>. Red if the clause “does not explicitly carve out data protection and security obligations”. RL 20.2 satisfies the first limb only.</w:t>
            </w:r>
          </w:p>
        </w:tc>
      </w:tr>
      <w:tr>
        <w:tc>
          <w:tcPr>
            <w:tcW w:type="dxa" w:w="2304"/>
            <w:shd w:val="clear" w:color="auto" w:fill="EDEDED"/>
          </w:tcPr>
          <w:p>
            <w:pPr>
              <w:spacing w:after="20" w:before="0"/>
            </w:pPr>
            <w:r/>
            <w:r>
              <w:rPr>
                <w:b w:val="0"/>
                <w:i w:val="0"/>
                <w:sz w:val="17"/>
              </w:rPr>
              <w:t>Risk analysis</w:t>
            </w:r>
          </w:p>
        </w:tc>
        <w:tc>
          <w:tcPr>
            <w:tcW w:type="dxa" w:w="11232"/>
          </w:tcPr>
          <w:p>
            <w:pPr>
              <w:spacing w:after="20" w:before="0"/>
            </w:pPr>
            <w:r/>
            <w:r>
              <w:rPr>
                <w:b w:val="0"/>
                <w:i w:val="0"/>
                <w:sz w:val="17"/>
              </w:rPr>
              <w:t>A cyberattack trigger could excuse the very security, BCP/DR and availability obligations (Annex 2 RPO/RTO) that a telemedicine host is paid to provide. A 90-day FM termination right would give CloudNest an exit from the DPA while the MSA continues (see 4.10).</w:t>
            </w:r>
          </w:p>
        </w:tc>
      </w:tr>
      <w:tr>
        <w:tc>
          <w:tcPr>
            <w:tcW w:type="dxa" w:w="2304"/>
            <w:shd w:val="clear" w:color="auto" w:fill="EDEDED"/>
          </w:tcPr>
          <w:p>
            <w:pPr>
              <w:spacing w:after="20" w:before="0"/>
            </w:pPr>
            <w:r/>
            <w:r>
              <w:rPr>
                <w:b w:val="0"/>
                <w:i w:val="0"/>
                <w:sz w:val="17"/>
              </w:rPr>
              <w:t>MSA interplay</w:t>
            </w:r>
          </w:p>
        </w:tc>
        <w:tc>
          <w:tcPr>
            <w:tcW w:type="dxa" w:w="11232"/>
          </w:tcPr>
          <w:p>
            <w:pPr>
              <w:spacing w:after="20" w:before="0"/>
            </w:pPr>
            <w:r/>
            <w:r>
              <w:rPr>
                <w:b w:val="0"/>
                <w:i w:val="0"/>
                <w:sz w:val="17"/>
              </w:rPr>
              <w:t>Any DPA termination right is inconsistent with MSA §22.4.</w:t>
            </w:r>
          </w:p>
        </w:tc>
      </w:tr>
      <w:tr>
        <w:tc>
          <w:tcPr>
            <w:tcW w:type="dxa" w:w="2304"/>
            <w:shd w:val="clear" w:color="auto" w:fill="EDEDED"/>
          </w:tcPr>
          <w:p>
            <w:pPr>
              <w:spacing w:after="20" w:before="0"/>
            </w:pPr>
            <w:r/>
            <w:r>
              <w:rPr>
                <w:b w:val="0"/>
                <w:i w:val="0"/>
                <w:sz w:val="17"/>
              </w:rPr>
              <w:t>Recommended response / counter-language</w:t>
            </w:r>
          </w:p>
        </w:tc>
        <w:tc>
          <w:tcPr>
            <w:tcW w:type="dxa" w:w="11232"/>
          </w:tcPr>
          <w:p>
            <w:pPr>
              <w:spacing w:after="20" w:before="0"/>
            </w:pPr>
            <w:r/>
            <w:r>
              <w:rPr>
                <w:b w:val="0"/>
                <w:i w:val="0"/>
                <w:sz w:val="17"/>
              </w:rPr>
              <w:t>Counter-propose: keep RL 20.1-20.3, but (i) delete “cyberattacks on critical national infrastructure” and add “a cyberattack, security incident or failure of Processor’s or its Sub-Processors’ systems shall not constitute a Force Majeure Event”; (ii) add “Nothing in this Section 20 shall excuse or suspend Processor’s obligations under Sections 6, 10, 16 and 17, Annex 2, or Processor’s business continuity and disaster recovery obligations”; (iii) replace RL 20.4 with a Controller-only termination right of the affected MSA services. On those terms the clause becomes Green.</w:t>
            </w:r>
          </w:p>
        </w:tc>
      </w:tr>
      <w:tr>
        <w:tc>
          <w:tcPr>
            <w:tcW w:type="dxa" w:w="2304"/>
            <w:shd w:val="clear" w:color="auto" w:fill="EDEDED"/>
          </w:tcPr>
          <w:p>
            <w:pPr>
              <w:spacing w:after="20" w:before="0"/>
            </w:pPr>
            <w:r/>
            <w:r>
              <w:rPr>
                <w:b w:val="0"/>
                <w:i w:val="0"/>
                <w:sz w:val="17"/>
              </w:rPr>
              <w:t>Fallback / authority</w:t>
            </w:r>
          </w:p>
        </w:tc>
        <w:tc>
          <w:tcPr>
            <w:tcW w:type="dxa" w:w="11232"/>
          </w:tcPr>
          <w:p>
            <w:pPr>
              <w:spacing w:after="20" w:before="0"/>
            </w:pPr>
            <w:r/>
            <w:r>
              <w:rPr>
                <w:b w:val="0"/>
                <w:i w:val="0"/>
                <w:sz w:val="17"/>
              </w:rPr>
              <w:t>Yellow (CPO): partial timing relief for non-notification, non-security obligations, with all data protection obligations carved out.</w:t>
            </w:r>
          </w:p>
        </w:tc>
      </w:tr>
    </w:tbl>
    <w:p>
      <w:pPr>
        <w:spacing w:after="40"/>
      </w:pPr>
    </w:p>
    <w:p>
      <w:pPr>
        <w:pStyle w:val="Heading1"/>
      </w:pPr>
      <w:r>
        <w:t>5. Yellow Deviations - Escalation Memoranda (Playbook §5.1 Step 3)</w:t>
      </w:r>
    </w:p>
    <w:p>
      <w:pPr>
        <w:spacing w:after="60"/>
      </w:pPr>
      <w:r>
        <w:rPr>
          <w:b w:val="0"/>
          <w:i w:val="0"/>
          <w:sz w:val="21"/>
        </w:rPr>
        <w:t>Decision authority: Anisha Ramachandran (CPO) and/or Jonathan Pryce-Whitaker (GC). Written direction is required within 3 business days. The untracked Yellow items are listed in Section 6.</w:t>
      </w:r>
    </w:p>
    <w:tbl>
      <w:tblPr>
        <w:tblStyle w:val="TableGrid"/>
        <w:tblW w:type="auto" w:w="0"/>
        <w:jc w:val="center"/>
        <w:tblLayout w:type="fixed"/>
        <w:tblLook w:firstColumn="1" w:firstRow="1" w:lastColumn="0" w:lastRow="0" w:noHBand="0" w:noVBand="1" w:val="04A0"/>
      </w:tblPr>
      <w:tblGrid>
        <w:gridCol w:w="2736"/>
        <w:gridCol w:w="2736"/>
        <w:gridCol w:w="2736"/>
        <w:gridCol w:w="2736"/>
        <w:gridCol w:w="2736"/>
      </w:tblGrid>
      <w:tr>
        <w:trPr>
          <w:tblHeader w:val="true"/>
        </w:trPr>
        <w:tc>
          <w:tcPr>
            <w:tcW w:type="dxa" w:w="1872"/>
            <w:shd w:val="clear" w:color="auto" w:fill="1F3864"/>
          </w:tcPr>
          <w:p>
            <w:pPr>
              <w:spacing w:after="20" w:before="0"/>
            </w:pPr>
            <w:r/>
            <w:r>
              <w:rPr>
                <w:b/>
                <w:i w:val="0"/>
                <w:color w:val="FFFFFF"/>
                <w:sz w:val="16"/>
              </w:rPr>
              <w:t>Deviation</w:t>
            </w:r>
          </w:p>
        </w:tc>
        <w:tc>
          <w:tcPr>
            <w:tcW w:type="dxa" w:w="2880"/>
            <w:shd w:val="clear" w:color="auto" w:fill="1F3864"/>
          </w:tcPr>
          <w:p>
            <w:pPr>
              <w:spacing w:after="20" w:before="0"/>
            </w:pPr>
            <w:r/>
            <w:r>
              <w:rPr>
                <w:b/>
                <w:i w:val="0"/>
                <w:color w:val="FFFFFF"/>
                <w:sz w:val="16"/>
              </w:rPr>
              <w:t>(a) CloudNest language</w:t>
            </w:r>
          </w:p>
        </w:tc>
        <w:tc>
          <w:tcPr>
            <w:tcW w:type="dxa" w:w="2016"/>
            <w:shd w:val="clear" w:color="auto" w:fill="1F3864"/>
          </w:tcPr>
          <w:p>
            <w:pPr>
              <w:spacing w:after="20" w:before="0"/>
            </w:pPr>
            <w:r/>
            <w:r>
              <w:rPr>
                <w:b/>
                <w:i w:val="0"/>
                <w:color w:val="FFFFFF"/>
                <w:sz w:val="16"/>
              </w:rPr>
              <w:t>(b) Topic / classification</w:t>
            </w:r>
          </w:p>
        </w:tc>
        <w:tc>
          <w:tcPr>
            <w:tcW w:type="dxa" w:w="3744"/>
            <w:shd w:val="clear" w:color="auto" w:fill="1F3864"/>
          </w:tcPr>
          <w:p>
            <w:pPr>
              <w:spacing w:after="20" w:before="0"/>
            </w:pPr>
            <w:r/>
            <w:r>
              <w:rPr>
                <w:b/>
                <w:i w:val="0"/>
                <w:color w:val="FFFFFF"/>
                <w:sz w:val="16"/>
              </w:rPr>
              <w:t>(c) Legal and commercial risk</w:t>
            </w:r>
          </w:p>
        </w:tc>
        <w:tc>
          <w:tcPr>
            <w:tcW w:type="dxa" w:w="3024"/>
            <w:shd w:val="clear" w:color="auto" w:fill="1F3864"/>
          </w:tcPr>
          <w:p>
            <w:pPr>
              <w:spacing w:after="20" w:before="0"/>
            </w:pPr>
            <w:r/>
            <w:r>
              <w:rPr>
                <w:b/>
                <w:i w:val="0"/>
                <w:color w:val="FFFFFF"/>
                <w:sz w:val="16"/>
              </w:rPr>
              <w:t>(d) Recommended response</w:t>
            </w:r>
          </w:p>
        </w:tc>
      </w:tr>
      <w:tr>
        <w:tc>
          <w:tcPr>
            <w:tcW w:type="dxa" w:w="1872"/>
          </w:tcPr>
          <w:p>
            <w:pPr>
              <w:spacing w:after="20" w:before="0"/>
            </w:pPr>
            <w:r/>
            <w:r>
              <w:rPr>
                <w:b w:val="0"/>
                <w:i w:val="0"/>
                <w:sz w:val="16"/>
              </w:rPr>
              <w:t>D-39 Suspension for non-payment (RL 21.1-21.3, with bracketed sub-items (a)-(c))</w:t>
            </w:r>
          </w:p>
        </w:tc>
        <w:tc>
          <w:tcPr>
            <w:tcW w:type="dxa" w:w="2880"/>
          </w:tcPr>
          <w:p>
            <w:pPr>
              <w:spacing w:after="20" w:before="0"/>
            </w:pPr>
            <w:r/>
            <w:r>
              <w:rPr>
                <w:b w:val="0"/>
                <w:i w:val="0"/>
                <w:sz w:val="16"/>
              </w:rPr>
              <w:t>“Where Controller has failed to pay any fees … for a period exceeding sixty (60) calendar days following written notice … Processor shall have the right to suspend Processing activities …” on 30 days’ notice; security is maintained and no deletion occurs during suspension.</w:t>
            </w:r>
          </w:p>
        </w:tc>
        <w:tc>
          <w:tcPr>
            <w:tcW w:type="dxa" w:w="2016"/>
          </w:tcPr>
          <w:p>
            <w:pPr>
              <w:spacing w:after="20" w:before="0"/>
            </w:pPr>
            <w:r/>
            <w:r>
              <w:rPr>
                <w:b w:val="0"/>
                <w:i w:val="0"/>
                <w:sz w:val="16"/>
              </w:rPr>
              <w:t>Unaddressed topic, so Yellow by default (Playbook §2.3 / Step 6). There is no PV comment, and the email does not mention it.</w:t>
            </w:r>
          </w:p>
        </w:tc>
        <w:tc>
          <w:tcPr>
            <w:tcW w:type="dxa" w:w="3744"/>
          </w:tcPr>
          <w:p>
            <w:pPr>
              <w:spacing w:after="20" w:before="0"/>
            </w:pPr>
            <w:r/>
            <w:r>
              <w:rPr>
                <w:b w:val="0"/>
                <w:i w:val="0"/>
                <w:sz w:val="16"/>
              </w:rPr>
              <w:t>StrattonCare is a live telemedicine platform. Suspending “Processing” (hosting) would cut off clinical records, prescriptions and patient authentication and could affect patient safety. It is also arguably inconsistent with the HIPAA Security Rule availability requirement and contingency planning (§164.308(a)(7)). Billing disputes become leverage over patient care. The MSA has no suspension right: its remedy is 1.5% monthly interest (MSA §4). The 60-day period plus 30 days’ notice gives some protection, and RL 21.1(a)-(c) preserve security and prevent deletion.</w:t>
            </w:r>
          </w:p>
        </w:tc>
        <w:tc>
          <w:tcPr>
            <w:tcW w:type="dxa" w:w="3024"/>
          </w:tcPr>
          <w:p>
            <w:pPr>
              <w:spacing w:after="20" w:before="0"/>
            </w:pPr>
            <w:r/>
            <w:r>
              <w:rPr>
                <w:b/>
                <w:i w:val="0"/>
                <w:sz w:val="16"/>
              </w:rPr>
              <w:t>Recommend rejection</w:t>
            </w:r>
            <w:r>
              <w:rPr>
                <w:b w:val="0"/>
                <w:i w:val="0"/>
                <w:sz w:val="16"/>
              </w:rPr>
              <w:t xml:space="preserve"> (CPO; consult Catherine Holloway given the patient-safety and HIPAA availability implications). Payment remedies belong in the MSA. If the business requires a compromise: suspension only of non-production services, never of hosting, availability or security; no suspension while an invoice is disputed in good faith; and GC-level escalation before notice.</w:t>
            </w:r>
          </w:p>
        </w:tc>
      </w:tr>
      <w:tr>
        <w:tc>
          <w:tcPr>
            <w:tcW w:type="dxa" w:w="1872"/>
          </w:tcPr>
          <w:p>
            <w:pPr>
              <w:spacing w:after="20" w:before="0"/>
            </w:pPr>
            <w:r/>
            <w:r>
              <w:rPr>
                <w:b w:val="0"/>
                <w:i w:val="0"/>
                <w:sz w:val="16"/>
              </w:rPr>
              <w:t>D-21 Unsuccessful security incidents (RL 10.5)</w:t>
            </w:r>
          </w:p>
        </w:tc>
        <w:tc>
          <w:tcPr>
            <w:tcW w:type="dxa" w:w="2880"/>
          </w:tcPr>
          <w:p>
            <w:pPr>
              <w:spacing w:after="20" w:before="0"/>
            </w:pPr>
            <w:r/>
            <w:r>
              <w:rPr>
                <w:b w:val="0"/>
                <w:i w:val="0"/>
                <w:sz w:val="16"/>
              </w:rPr>
              <w:t>Unsuccessful incidents “including … unsuccessful log-in attempts, pings, port scans, denial-of-service attacks” are not Personal Data Breaches. (PV-11)</w:t>
            </w:r>
          </w:p>
        </w:tc>
        <w:tc>
          <w:tcPr>
            <w:tcW w:type="dxa" w:w="2016"/>
          </w:tcPr>
          <w:p>
            <w:pPr>
              <w:spacing w:after="20" w:before="0"/>
            </w:pPr>
            <w:r/>
            <w:r>
              <w:rPr>
                <w:b w:val="0"/>
                <w:i w:val="0"/>
                <w:sz w:val="16"/>
              </w:rPr>
              <w:t>Topic 2: a clarification, not a materiality threshold. Yellow. (It is compound with D-19/D-20, so the Section 10 package as a whole remains Red.)</w:t>
            </w:r>
          </w:p>
        </w:tc>
        <w:tc>
          <w:tcPr>
            <w:tcW w:type="dxa" w:w="3744"/>
          </w:tcPr>
          <w:p>
            <w:pPr>
              <w:spacing w:after="20" w:before="0"/>
            </w:pPr>
            <w:r/>
            <w:r>
              <w:rPr>
                <w:b w:val="0"/>
                <w:i w:val="0"/>
                <w:sz w:val="16"/>
              </w:rPr>
              <w:t xml:space="preserve">A carve-out for unsuccessful attempts is common in BAAs, but: (i) a denial-of-service attack that succeeds is an </w:t>
            </w:r>
            <w:r>
              <w:rPr>
                <w:b/>
                <w:i w:val="0"/>
                <w:sz w:val="16"/>
              </w:rPr>
              <w:t>availability</w:t>
            </w:r>
            <w:r>
              <w:rPr>
                <w:b w:val="0"/>
                <w:i w:val="0"/>
                <w:sz w:val="16"/>
              </w:rPr>
              <w:t xml:space="preserve"> breach under GDPR Art. 4(12) and a HIPAA Security Incident; (ii) HIPAA §164.314(a)(2)(i)(C) requires reporting of Security Incidents, including attempted ones, which is normally satisfied by a standing-notice clause; (iii) T 1.1 currently includes Security Incidents in the Personal Data Breach definition.</w:t>
            </w:r>
          </w:p>
        </w:tc>
        <w:tc>
          <w:tcPr>
            <w:tcW w:type="dxa" w:w="3024"/>
          </w:tcPr>
          <w:p>
            <w:pPr>
              <w:spacing w:after="20" w:before="0"/>
            </w:pPr>
            <w:r/>
            <w:r>
              <w:rPr>
                <w:b w:val="0"/>
                <w:i w:val="0"/>
                <w:sz w:val="16"/>
              </w:rPr>
              <w:t xml:space="preserve">Accept with conditions (CPO): delete “denial-of-service attacks”; limit the clause to attempts that do not result in unauthorised access, use, disclosure, modification, destruction </w:t>
            </w:r>
            <w:r>
              <w:rPr>
                <w:b/>
                <w:i w:val="0"/>
                <w:sz w:val="16"/>
              </w:rPr>
              <w:t>or loss of availability</w:t>
            </w:r>
            <w:r>
              <w:rPr>
                <w:b w:val="0"/>
                <w:i w:val="0"/>
                <w:sz w:val="16"/>
              </w:rPr>
              <w:t>; add a standing HIPAA notice (“This Section constitutes notice of the ongoing existence of unsuccessful Security Incidents for which no further notice is required”); and provide an aggregate quarterly report of attempted incidents on request.</w:t>
            </w:r>
          </w:p>
        </w:tc>
      </w:tr>
      <w:tr>
        <w:tc>
          <w:tcPr>
            <w:tcW w:type="dxa" w:w="1872"/>
          </w:tcPr>
          <w:p>
            <w:pPr>
              <w:spacing w:after="20" w:before="0"/>
            </w:pPr>
            <w:r/>
            <w:r>
              <w:rPr>
                <w:b w:val="0"/>
                <w:i w:val="0"/>
                <w:sz w:val="16"/>
              </w:rPr>
              <w:t>D-02 New recital on CloudNest credentials (RL Recitals)</w:t>
            </w:r>
          </w:p>
        </w:tc>
        <w:tc>
          <w:tcPr>
            <w:tcW w:type="dxa" w:w="2880"/>
          </w:tcPr>
          <w:p>
            <w:pPr>
              <w:spacing w:after="20" w:before="0"/>
            </w:pPr>
            <w:r/>
            <w:r>
              <w:rPr>
                <w:b w:val="0"/>
                <w:i w:val="0"/>
                <w:sz w:val="16"/>
              </w:rPr>
              <w:t>“WHEREAS CloudNest maintains robust data protection and security practices and certifications, including ISO 27001 and SOC 2 Type II, and processes data for healthcare, fintech, and government clients globally”. (PV-01)</w:t>
            </w:r>
          </w:p>
        </w:tc>
        <w:tc>
          <w:tcPr>
            <w:tcW w:type="dxa" w:w="2016"/>
          </w:tcPr>
          <w:p>
            <w:pPr>
              <w:spacing w:after="20" w:before="0"/>
            </w:pPr>
            <w:r/>
            <w:r>
              <w:rPr>
                <w:b w:val="0"/>
                <w:i w:val="0"/>
                <w:sz w:val="16"/>
              </w:rPr>
              <w:t>Unaddressed, so Yellow by default.</w:t>
            </w:r>
          </w:p>
        </w:tc>
        <w:tc>
          <w:tcPr>
            <w:tcW w:type="dxa" w:w="3744"/>
          </w:tcPr>
          <w:p>
            <w:pPr>
              <w:spacing w:after="20" w:before="0"/>
            </w:pPr>
            <w:r/>
            <w:r>
              <w:rPr>
                <w:b w:val="0"/>
                <w:i w:val="0"/>
                <w:sz w:val="16"/>
              </w:rPr>
              <w:t>The recital is self-serving and could be used as an aid to interpretation. For example, it could support an argument that the parties accepted ISO and SOC 2 as sufficient (reinforcing the HITRUST deletion) or that “industry standards” govern (RL 6.2). It is not a warranty, so it gives Stratton nothing.</w:t>
            </w:r>
          </w:p>
        </w:tc>
        <w:tc>
          <w:tcPr>
            <w:tcW w:type="dxa" w:w="3024"/>
          </w:tcPr>
          <w:p>
            <w:pPr>
              <w:spacing w:after="20" w:before="0"/>
            </w:pPr>
            <w:r/>
            <w:r>
              <w:rPr>
                <w:b w:val="0"/>
                <w:i w:val="0"/>
                <w:sz w:val="16"/>
              </w:rPr>
              <w:t>Delete. Alternatively (CPO), convert it into an operative Processor representation and warranty that it holds, and will maintain, ISO/IEC 27001:2022, SOC 2 Type II and HITRUST CSF certifications covering the London and Frankfurt facilities.</w:t>
            </w:r>
          </w:p>
        </w:tc>
      </w:tr>
    </w:tbl>
    <w:p>
      <w:pPr>
        <w:spacing w:after="40"/>
      </w:pPr>
    </w:p>
    <w:p>
      <w:pPr>
        <w:pStyle w:val="Heading2"/>
      </w:pPr>
      <w:r>
        <w:t>Green Deviations - Accept and Log (Playbook §5.1 Step 2)</w:t>
      </w:r>
    </w:p>
    <w:tbl>
      <w:tblPr>
        <w:tblStyle w:val="TableGrid"/>
        <w:tblW w:type="auto" w:w="0"/>
        <w:jc w:val="center"/>
        <w:tblLayout w:type="fixed"/>
        <w:tblLook w:firstColumn="1" w:firstRow="1" w:lastColumn="0" w:lastRow="0" w:noHBand="0" w:noVBand="1" w:val="04A0"/>
      </w:tblPr>
      <w:tblGrid>
        <w:gridCol w:w="3420"/>
        <w:gridCol w:w="3420"/>
        <w:gridCol w:w="3420"/>
        <w:gridCol w:w="3420"/>
      </w:tblGrid>
      <w:tr>
        <w:trPr>
          <w:tblHeader w:val="true"/>
        </w:trPr>
        <w:tc>
          <w:tcPr>
            <w:tcW w:type="dxa" w:w="864"/>
            <w:shd w:val="clear" w:color="auto" w:fill="1F3864"/>
          </w:tcPr>
          <w:p>
            <w:pPr>
              <w:spacing w:after="20" w:before="0"/>
            </w:pPr>
            <w:r/>
            <w:r>
              <w:rPr>
                <w:b/>
                <w:i w:val="0"/>
                <w:color w:val="FFFFFF"/>
                <w:sz w:val="17"/>
              </w:rPr>
              <w:t>ID</w:t>
            </w:r>
          </w:p>
        </w:tc>
        <w:tc>
          <w:tcPr>
            <w:tcW w:type="dxa" w:w="4896"/>
            <w:shd w:val="clear" w:color="auto" w:fill="1F3864"/>
          </w:tcPr>
          <w:p>
            <w:pPr>
              <w:spacing w:after="20" w:before="0"/>
            </w:pPr>
            <w:r/>
            <w:r>
              <w:rPr>
                <w:b/>
                <w:i w:val="0"/>
                <w:color w:val="FFFFFF"/>
                <w:sz w:val="17"/>
              </w:rPr>
              <w:t>Change</w:t>
            </w:r>
          </w:p>
        </w:tc>
        <w:tc>
          <w:tcPr>
            <w:tcW w:type="dxa" w:w="4320"/>
            <w:shd w:val="clear" w:color="auto" w:fill="1F3864"/>
          </w:tcPr>
          <w:p>
            <w:pPr>
              <w:spacing w:after="20" w:before="0"/>
            </w:pPr>
            <w:r/>
            <w:r>
              <w:rPr>
                <w:b/>
                <w:i w:val="0"/>
                <w:color w:val="FFFFFF"/>
                <w:sz w:val="17"/>
              </w:rPr>
              <w:t>Playbook basis</w:t>
            </w:r>
          </w:p>
        </w:tc>
        <w:tc>
          <w:tcPr>
            <w:tcW w:type="dxa" w:w="3456"/>
            <w:shd w:val="clear" w:color="auto" w:fill="1F3864"/>
          </w:tcPr>
          <w:p>
            <w:pPr>
              <w:spacing w:after="20" w:before="0"/>
            </w:pPr>
            <w:r/>
            <w:r>
              <w:rPr>
                <w:b/>
                <w:i w:val="0"/>
                <w:color w:val="FFFFFF"/>
                <w:sz w:val="17"/>
              </w:rPr>
              <w:t>Action</w:t>
            </w:r>
          </w:p>
        </w:tc>
      </w:tr>
      <w:tr>
        <w:tc>
          <w:tcPr>
            <w:tcW w:type="dxa" w:w="864"/>
          </w:tcPr>
          <w:p>
            <w:pPr>
              <w:spacing w:after="20" w:before="0"/>
            </w:pPr>
            <w:r/>
            <w:r>
              <w:rPr>
                <w:b w:val="0"/>
                <w:i w:val="0"/>
                <w:sz w:val="17"/>
              </w:rPr>
              <w:t>D-01</w:t>
            </w:r>
          </w:p>
        </w:tc>
        <w:tc>
          <w:tcPr>
            <w:tcW w:type="dxa" w:w="4896"/>
          </w:tcPr>
          <w:p>
            <w:pPr>
              <w:spacing w:after="20" w:before="0"/>
            </w:pPr>
            <w:r/>
            <w:r>
              <w:rPr>
                <w:b w:val="0"/>
                <w:i w:val="0"/>
                <w:sz w:val="17"/>
              </w:rPr>
              <w:t>Preamble: “Each a Party and together the Parties.”</w:t>
            </w:r>
          </w:p>
        </w:tc>
        <w:tc>
          <w:tcPr>
            <w:tcW w:type="dxa" w:w="4320"/>
          </w:tcPr>
          <w:p>
            <w:pPr>
              <w:spacing w:after="20" w:before="0"/>
            </w:pPr>
            <w:r/>
            <w:r>
              <w:rPr>
                <w:b w:val="0"/>
                <w:i w:val="0"/>
                <w:sz w:val="17"/>
              </w:rPr>
              <w:t>Editorial; matches the Template.</w:t>
            </w:r>
          </w:p>
        </w:tc>
        <w:tc>
          <w:tcPr>
            <w:tcW w:type="dxa" w:w="3456"/>
          </w:tcPr>
          <w:p>
            <w:pPr>
              <w:spacing w:after="20" w:before="0"/>
            </w:pPr>
            <w:r/>
            <w:r>
              <w:rPr>
                <w:b w:val="0"/>
                <w:i w:val="0"/>
                <w:sz w:val="17"/>
              </w:rPr>
              <w:t>Accept; log.</w:t>
            </w:r>
          </w:p>
        </w:tc>
      </w:tr>
      <w:tr>
        <w:tc>
          <w:tcPr>
            <w:tcW w:type="dxa" w:w="864"/>
          </w:tcPr>
          <w:p>
            <w:pPr>
              <w:spacing w:after="20" w:before="0"/>
            </w:pPr>
            <w:r/>
            <w:r>
              <w:rPr>
                <w:b w:val="0"/>
                <w:i w:val="0"/>
                <w:sz w:val="17"/>
              </w:rPr>
              <w:t>D-03</w:t>
            </w:r>
          </w:p>
        </w:tc>
        <w:tc>
          <w:tcPr>
            <w:tcW w:type="dxa" w:w="4896"/>
          </w:tcPr>
          <w:p>
            <w:pPr>
              <w:spacing w:after="20" w:before="0"/>
            </w:pPr>
            <w:r/>
            <w:r>
              <w:rPr>
                <w:b w:val="0"/>
                <w:i w:val="0"/>
                <w:sz w:val="17"/>
              </w:rPr>
              <w:t>RL 1.1(g): Personal Data includes pseudonymised data and metadata that can identify a person when combined with other information. (PV-02)</w:t>
            </w:r>
          </w:p>
        </w:tc>
        <w:tc>
          <w:tcPr>
            <w:tcW w:type="dxa" w:w="4320"/>
          </w:tcPr>
          <w:p>
            <w:pPr>
              <w:spacing w:after="20" w:before="0"/>
            </w:pPr>
            <w:r/>
            <w:r>
              <w:rPr>
                <w:b w:val="0"/>
                <w:i w:val="0"/>
                <w:sz w:val="17"/>
              </w:rPr>
              <w:t>Protective (Topics 16/4). Use it as leverage: it confirms that Peregrine’s log and metadata processing, and the RL 14.3 “Anonymized Data”, are Personal Data.</w:t>
            </w:r>
          </w:p>
        </w:tc>
        <w:tc>
          <w:tcPr>
            <w:tcW w:type="dxa" w:w="3456"/>
          </w:tcPr>
          <w:p>
            <w:pPr>
              <w:spacing w:after="20" w:before="0"/>
            </w:pPr>
            <w:r/>
            <w:r>
              <w:rPr>
                <w:b w:val="0"/>
                <w:i w:val="0"/>
                <w:sz w:val="17"/>
              </w:rPr>
              <w:t>Accept; log. Ensure the T 1.1 HIPAA and CCPA limbs are also restored.</w:t>
            </w:r>
          </w:p>
        </w:tc>
      </w:tr>
      <w:tr>
        <w:tc>
          <w:tcPr>
            <w:tcW w:type="dxa" w:w="864"/>
          </w:tcPr>
          <w:p>
            <w:pPr>
              <w:spacing w:after="20" w:before="0"/>
            </w:pPr>
            <w:r/>
            <w:r>
              <w:rPr>
                <w:b w:val="0"/>
                <w:i w:val="0"/>
                <w:sz w:val="17"/>
              </w:rPr>
              <w:t>D-05</w:t>
            </w:r>
          </w:p>
        </w:tc>
        <w:tc>
          <w:tcPr>
            <w:tcW w:type="dxa" w:w="4896"/>
          </w:tcPr>
          <w:p>
            <w:pPr>
              <w:spacing w:after="20" w:before="0"/>
            </w:pPr>
            <w:r/>
            <w:r>
              <w:rPr>
                <w:b w:val="0"/>
                <w:i w:val="0"/>
                <w:sz w:val="17"/>
              </w:rPr>
              <w:t>RL 3.2: carve-out for processing required by applicable law, with prior notice unless prohibited. (PV-04)</w:t>
            </w:r>
          </w:p>
        </w:tc>
        <w:tc>
          <w:tcPr>
            <w:tcW w:type="dxa" w:w="4320"/>
          </w:tcPr>
          <w:p>
            <w:pPr>
              <w:spacing w:after="20" w:before="0"/>
            </w:pPr>
            <w:r/>
            <w:r>
              <w:rPr>
                <w:b w:val="0"/>
                <w:i w:val="0"/>
                <w:sz w:val="17"/>
              </w:rPr>
              <w:t>Mirrors T 4.1 and GDPR Art. 28(3)(a).</w:t>
            </w:r>
          </w:p>
        </w:tc>
        <w:tc>
          <w:tcPr>
            <w:tcW w:type="dxa" w:w="3456"/>
          </w:tcPr>
          <w:p>
            <w:pPr>
              <w:spacing w:after="20" w:before="0"/>
            </w:pPr>
            <w:r/>
            <w:r>
              <w:rPr>
                <w:b w:val="0"/>
                <w:i w:val="0"/>
                <w:sz w:val="17"/>
              </w:rPr>
              <w:t>Accept; log. Cross-refer to the T 5.4 government-access procedure.</w:t>
            </w:r>
          </w:p>
        </w:tc>
      </w:tr>
      <w:tr>
        <w:tc>
          <w:tcPr>
            <w:tcW w:type="dxa" w:w="864"/>
          </w:tcPr>
          <w:p>
            <w:pPr>
              <w:spacing w:after="20" w:before="0"/>
            </w:pPr>
            <w:r/>
            <w:r>
              <w:rPr>
                <w:b w:val="0"/>
                <w:i w:val="0"/>
                <w:sz w:val="17"/>
              </w:rPr>
              <w:t>D-08</w:t>
            </w:r>
          </w:p>
        </w:tc>
        <w:tc>
          <w:tcPr>
            <w:tcW w:type="dxa" w:w="4896"/>
          </w:tcPr>
          <w:p>
            <w:pPr>
              <w:spacing w:after="20" w:before="0"/>
            </w:pPr>
            <w:r/>
            <w:r>
              <w:rPr>
                <w:b w:val="0"/>
                <w:i w:val="0"/>
                <w:sz w:val="17"/>
              </w:rPr>
              <w:t>RL 5.4: Controller keeps Processor’s security architecture and configuration information confidential. (PV-05)</w:t>
            </w:r>
          </w:p>
        </w:tc>
        <w:tc>
          <w:tcPr>
            <w:tcW w:type="dxa" w:w="4320"/>
          </w:tcPr>
          <w:p>
            <w:pPr>
              <w:spacing w:after="20" w:before="0"/>
            </w:pPr>
            <w:r/>
            <w:r>
              <w:rPr>
                <w:b w:val="0"/>
                <w:i w:val="0"/>
                <w:sz w:val="17"/>
              </w:rPr>
              <w:t>Topic 17 Green: mutual confidentiality over Processor security configurations “should not be flagged as a deviation”.</w:t>
            </w:r>
          </w:p>
        </w:tc>
        <w:tc>
          <w:tcPr>
            <w:tcW w:type="dxa" w:w="3456"/>
          </w:tcPr>
          <w:p>
            <w:pPr>
              <w:spacing w:after="20" w:before="0"/>
            </w:pPr>
            <w:r/>
            <w:r>
              <w:rPr>
                <w:b w:val="0"/>
                <w:i w:val="0"/>
                <w:sz w:val="17"/>
              </w:rPr>
              <w:t xml:space="preserve">Accept with a drafting clarification: disclosure is permitted to Supervisory Authorities, HHS, auditors (under NDA), insurers and professional advisers, and as needed to notify a breach. </w:t>
            </w:r>
            <w:r>
              <w:rPr>
                <w:b/>
                <w:i w:val="0"/>
                <w:sz w:val="17"/>
              </w:rPr>
              <w:t>Linked issue:</w:t>
            </w:r>
            <w:r>
              <w:rPr>
                <w:b w:val="0"/>
                <w:i w:val="0"/>
                <w:sz w:val="17"/>
              </w:rPr>
              <w:t xml:space="preserve"> RL 13.1(b)(i) makes only this Controller obligation uncapped. That is addressed under Red D-27.</w:t>
            </w:r>
          </w:p>
        </w:tc>
      </w:tr>
    </w:tbl>
    <w:p>
      <w:pPr>
        <w:spacing w:after="40"/>
      </w:pPr>
    </w:p>
    <w:p>
      <w:pPr>
        <w:pStyle w:val="Heading1"/>
      </w:pPr>
      <w:r>
        <w:t>6. Untracked Divergences from Template v3.2 (Not Shown as Tracked Changes)</w:t>
      </w:r>
    </w:p>
    <w:p>
      <w:pPr>
        <w:spacing w:after="60"/>
      </w:pPr>
      <w:r>
        <w:rPr>
          <w:b w:val="0"/>
          <w:i w:val="0"/>
          <w:sz w:val="21"/>
        </w:rPr>
        <w:t xml:space="preserve">CloudNest’s document was not prepared as a comparison against Template v3.2. The text it shows as “original” omits or rewrites Template provisions without tracking. Under Playbook §2.3 and Step 6, each divergence is a counterparty deviation and is classified below. Counts: 17 Red, 10 Yellow, 1 Green. </w:t>
      </w:r>
      <w:r>
        <w:rPr>
          <w:b/>
          <w:i w:val="0"/>
          <w:sz w:val="21"/>
        </w:rPr>
        <w:t>Recommendation:</w:t>
      </w:r>
      <w:r>
        <w:rPr>
          <w:b w:val="0"/>
          <w:i w:val="0"/>
          <w:sz w:val="21"/>
        </w:rPr>
        <w:t xml:space="preserve"> ask Barrington Reeves to confirm which document they marked up. Then send our response as a W&amp;C redline on Template v3.2 that accepts the Green items and restores everything else, so that CloudNest must track any further change.</w:t>
      </w:r>
    </w:p>
    <w:tbl>
      <w:tblPr>
        <w:tblStyle w:val="TableGrid"/>
        <w:tblW w:type="auto" w:w="0"/>
        <w:jc w:val="center"/>
        <w:tblLayout w:type="fixed"/>
        <w:tblLook w:firstColumn="1" w:firstRow="1" w:lastColumn="0" w:lastRow="0" w:noHBand="0" w:noVBand="1" w:val="04A0"/>
      </w:tblPr>
      <w:tblGrid>
        <w:gridCol w:w="2736"/>
        <w:gridCol w:w="2736"/>
        <w:gridCol w:w="2736"/>
        <w:gridCol w:w="2736"/>
        <w:gridCol w:w="2736"/>
      </w:tblGrid>
      <w:tr>
        <w:trPr>
          <w:tblHeader w:val="true"/>
        </w:trPr>
        <w:tc>
          <w:tcPr>
            <w:tcW w:type="dxa" w:w="720"/>
            <w:shd w:val="clear" w:color="auto" w:fill="1F3864"/>
          </w:tcPr>
          <w:p>
            <w:pPr>
              <w:spacing w:after="20" w:before="0"/>
            </w:pPr>
            <w:r/>
            <w:r>
              <w:rPr>
                <w:b/>
                <w:i w:val="0"/>
                <w:color w:val="FFFFFF"/>
                <w:sz w:val="15"/>
              </w:rPr>
              <w:t>ID</w:t>
            </w:r>
          </w:p>
        </w:tc>
        <w:tc>
          <w:tcPr>
            <w:tcW w:type="dxa" w:w="6336"/>
            <w:shd w:val="clear" w:color="auto" w:fill="1F3864"/>
          </w:tcPr>
          <w:p>
            <w:pPr>
              <w:spacing w:after="20" w:before="0"/>
            </w:pPr>
            <w:r/>
            <w:r>
              <w:rPr>
                <w:b/>
                <w:i w:val="0"/>
                <w:color w:val="FFFFFF"/>
                <w:sz w:val="15"/>
              </w:rPr>
              <w:t>Divergence (CloudNest base text vs Template)</w:t>
            </w:r>
          </w:p>
        </w:tc>
        <w:tc>
          <w:tcPr>
            <w:tcW w:type="dxa" w:w="1728"/>
            <w:shd w:val="clear" w:color="auto" w:fill="1F3864"/>
          </w:tcPr>
          <w:p>
            <w:pPr>
              <w:spacing w:after="20" w:before="0"/>
            </w:pPr>
            <w:r/>
            <w:r>
              <w:rPr>
                <w:b/>
                <w:i w:val="0"/>
                <w:color w:val="FFFFFF"/>
                <w:sz w:val="15"/>
              </w:rPr>
              <w:t>Template ref.</w:t>
            </w:r>
          </w:p>
        </w:tc>
        <w:tc>
          <w:tcPr>
            <w:tcW w:type="dxa" w:w="1080"/>
            <w:shd w:val="clear" w:color="auto" w:fill="1F3864"/>
          </w:tcPr>
          <w:p>
            <w:pPr>
              <w:spacing w:after="20" w:before="0"/>
            </w:pPr>
            <w:r/>
            <w:r>
              <w:rPr>
                <w:b/>
                <w:i w:val="0"/>
                <w:color w:val="FFFFFF"/>
                <w:sz w:val="15"/>
              </w:rPr>
              <w:t>Class</w:t>
            </w:r>
          </w:p>
        </w:tc>
        <w:tc>
          <w:tcPr>
            <w:tcW w:type="dxa" w:w="3672"/>
            <w:shd w:val="clear" w:color="auto" w:fill="1F3864"/>
          </w:tcPr>
          <w:p>
            <w:pPr>
              <w:spacing w:after="20" w:before="0"/>
            </w:pPr>
            <w:r/>
            <w:r>
              <w:rPr>
                <w:b/>
                <w:i w:val="0"/>
                <w:color w:val="FFFFFF"/>
                <w:sz w:val="15"/>
              </w:rPr>
              <w:t>Recommendation</w:t>
            </w:r>
          </w:p>
        </w:tc>
      </w:tr>
      <w:tr>
        <w:tc>
          <w:tcPr>
            <w:tcW w:type="dxa" w:w="720"/>
          </w:tcPr>
          <w:p>
            <w:pPr>
              <w:spacing w:after="20" w:before="0"/>
            </w:pPr>
            <w:r/>
            <w:r>
              <w:rPr>
                <w:b w:val="0"/>
                <w:i w:val="0"/>
                <w:sz w:val="15"/>
              </w:rPr>
              <w:t>U-01</w:t>
            </w:r>
          </w:p>
        </w:tc>
        <w:tc>
          <w:tcPr>
            <w:tcW w:type="dxa" w:w="6336"/>
          </w:tcPr>
          <w:p>
            <w:pPr>
              <w:spacing w:after="20" w:before="0"/>
            </w:pPr>
            <w:r/>
            <w:r>
              <w:rPr>
                <w:b w:val="0"/>
                <w:i w:val="0"/>
                <w:sz w:val="15"/>
              </w:rPr>
              <w:t>Effective Date fixed at March 3, 2025 (the MSA date); T had “[●], 2025”.</w:t>
            </w:r>
          </w:p>
        </w:tc>
        <w:tc>
          <w:tcPr>
            <w:tcW w:type="dxa" w:w="1728"/>
          </w:tcPr>
          <w:p>
            <w:pPr>
              <w:spacing w:after="20" w:before="0"/>
            </w:pPr>
            <w:r/>
            <w:r>
              <w:rPr>
                <w:b w:val="0"/>
                <w:i w:val="0"/>
                <w:sz w:val="15"/>
              </w:rPr>
              <w:t>—</w:t>
            </w:r>
          </w:p>
        </w:tc>
        <w:tc>
          <w:tcPr>
            <w:tcW w:type="dxa" w:w="1080"/>
            <w:shd w:val="clear" w:color="auto" w:fill="D9EAD3"/>
          </w:tcPr>
          <w:p>
            <w:pPr>
              <w:spacing w:after="20" w:before="0"/>
            </w:pPr>
            <w:r/>
            <w:r>
              <w:rPr>
                <w:b w:val="0"/>
                <w:i w:val="0"/>
                <w:sz w:val="15"/>
              </w:rPr>
              <w:t>GREEN</w:t>
            </w:r>
          </w:p>
        </w:tc>
        <w:tc>
          <w:tcPr>
            <w:tcW w:type="dxa" w:w="3672"/>
          </w:tcPr>
          <w:p>
            <w:pPr>
              <w:spacing w:after="20" w:before="0"/>
            </w:pPr>
            <w:r/>
            <w:r>
              <w:rPr>
                <w:b w:val="0"/>
                <w:i w:val="0"/>
                <w:sz w:val="15"/>
              </w:rPr>
              <w:t>Acceptable. Confirm that no processing took place before signature, and that the BAA applies from first disclosure of PHI.</w:t>
            </w:r>
          </w:p>
        </w:tc>
      </w:tr>
      <w:tr>
        <w:tc>
          <w:tcPr>
            <w:tcW w:type="dxa" w:w="720"/>
          </w:tcPr>
          <w:p>
            <w:pPr>
              <w:spacing w:after="20" w:before="0"/>
            </w:pPr>
            <w:r/>
            <w:r>
              <w:rPr>
                <w:b w:val="0"/>
                <w:i w:val="0"/>
                <w:sz w:val="15"/>
              </w:rPr>
              <w:t>U-02</w:t>
            </w:r>
          </w:p>
        </w:tc>
        <w:tc>
          <w:tcPr>
            <w:tcW w:type="dxa" w:w="6336"/>
          </w:tcPr>
          <w:p>
            <w:pPr>
              <w:spacing w:after="20" w:before="0"/>
            </w:pPr>
            <w:r/>
            <w:r>
              <w:rPr>
                <w:b w:val="0"/>
                <w:i w:val="0"/>
                <w:sz w:val="15"/>
              </w:rPr>
              <w:t>Personal Data Breach definition limited to GDPR Art. 4(12); HIPAA “Breach of Unsecured PHI” (§164.402) and “Security Incident” (§164.304) dropped; RL 16.4 drops Security Incident reporting.</w:t>
            </w:r>
          </w:p>
        </w:tc>
        <w:tc>
          <w:tcPr>
            <w:tcW w:type="dxa" w:w="1728"/>
          </w:tcPr>
          <w:p>
            <w:pPr>
              <w:spacing w:after="20" w:before="0"/>
            </w:pPr>
            <w:r/>
            <w:r>
              <w:rPr>
                <w:b w:val="0"/>
                <w:i w:val="0"/>
                <w:sz w:val="15"/>
              </w:rPr>
              <w:t>T 1.1, T 17.3</w:t>
            </w:r>
          </w:p>
        </w:tc>
        <w:tc>
          <w:tcPr>
            <w:tcW w:type="dxa" w:w="1080"/>
            <w:shd w:val="clear" w:color="auto" w:fill="F4C7C3"/>
          </w:tcPr>
          <w:p>
            <w:pPr>
              <w:spacing w:after="20" w:before="0"/>
            </w:pPr>
            <w:r/>
            <w:r>
              <w:rPr>
                <w:b w:val="0"/>
                <w:i w:val="0"/>
                <w:sz w:val="15"/>
              </w:rPr>
              <w:t>RED</w:t>
            </w:r>
          </w:p>
        </w:tc>
        <w:tc>
          <w:tcPr>
            <w:tcW w:type="dxa" w:w="3672"/>
          </w:tcPr>
          <w:p>
            <w:pPr>
              <w:spacing w:after="20" w:before="0"/>
            </w:pPr>
            <w:r/>
            <w:r>
              <w:rPr>
                <w:b w:val="0"/>
                <w:i w:val="0"/>
                <w:sz w:val="15"/>
              </w:rPr>
              <w:t>Restore (Topics 2, 15). This is a required BAA term.</w:t>
            </w:r>
          </w:p>
        </w:tc>
      </w:tr>
      <w:tr>
        <w:tc>
          <w:tcPr>
            <w:tcW w:type="dxa" w:w="720"/>
          </w:tcPr>
          <w:p>
            <w:pPr>
              <w:spacing w:after="20" w:before="0"/>
            </w:pPr>
            <w:r/>
            <w:r>
              <w:rPr>
                <w:b w:val="0"/>
                <w:i w:val="0"/>
                <w:sz w:val="15"/>
              </w:rPr>
              <w:t>U-03</w:t>
            </w:r>
          </w:p>
        </w:tc>
        <w:tc>
          <w:tcPr>
            <w:tcW w:type="dxa" w:w="6336"/>
          </w:tcPr>
          <w:p>
            <w:pPr>
              <w:spacing w:after="20" w:before="0"/>
            </w:pPr>
            <w:r/>
            <w:r>
              <w:rPr>
                <w:b w:val="0"/>
                <w:i w:val="0"/>
                <w:sz w:val="15"/>
              </w:rPr>
              <w:t>Breach mechanics dropped: the deemed-awareness test, notice to the CPO and GC by email and telephone, 12-hour and 24-hour updates, the HIPAA §164.410(c) identification of individuals, the breach register and annual summary.</w:t>
            </w:r>
          </w:p>
        </w:tc>
        <w:tc>
          <w:tcPr>
            <w:tcW w:type="dxa" w:w="1728"/>
          </w:tcPr>
          <w:p>
            <w:pPr>
              <w:spacing w:after="20" w:before="0"/>
            </w:pPr>
            <w:r/>
            <w:r>
              <w:rPr>
                <w:b w:val="0"/>
                <w:i w:val="0"/>
                <w:sz w:val="15"/>
              </w:rPr>
              <w:t>T 11.1-11.5</w:t>
            </w:r>
          </w:p>
        </w:tc>
        <w:tc>
          <w:tcPr>
            <w:tcW w:type="dxa" w:w="1080"/>
            <w:shd w:val="clear" w:color="auto" w:fill="F4C7C3"/>
          </w:tcPr>
          <w:p>
            <w:pPr>
              <w:spacing w:after="20" w:before="0"/>
            </w:pPr>
            <w:r/>
            <w:r>
              <w:rPr>
                <w:b w:val="0"/>
                <w:i w:val="0"/>
                <w:sz w:val="15"/>
              </w:rPr>
              <w:t>RED</w:t>
            </w:r>
          </w:p>
        </w:tc>
        <w:tc>
          <w:tcPr>
            <w:tcW w:type="dxa" w:w="3672"/>
          </w:tcPr>
          <w:p>
            <w:pPr>
              <w:spacing w:after="20" w:before="0"/>
            </w:pPr>
            <w:r/>
            <w:r>
              <w:rPr>
                <w:b w:val="0"/>
                <w:i w:val="0"/>
                <w:sz w:val="15"/>
              </w:rPr>
              <w:t>Restore (Topic 2).</w:t>
            </w:r>
          </w:p>
        </w:tc>
      </w:tr>
      <w:tr>
        <w:tc>
          <w:tcPr>
            <w:tcW w:type="dxa" w:w="720"/>
          </w:tcPr>
          <w:p>
            <w:pPr>
              <w:spacing w:after="20" w:before="0"/>
            </w:pPr>
            <w:r/>
            <w:r>
              <w:rPr>
                <w:b w:val="0"/>
                <w:i w:val="0"/>
                <w:sz w:val="15"/>
              </w:rPr>
              <w:t>U-04</w:t>
            </w:r>
          </w:p>
        </w:tc>
        <w:tc>
          <w:tcPr>
            <w:tcW w:type="dxa" w:w="6336"/>
          </w:tcPr>
          <w:p>
            <w:pPr>
              <w:spacing w:after="20" w:before="0"/>
            </w:pPr>
            <w:r/>
            <w:r>
              <w:rPr>
                <w:b w:val="0"/>
                <w:i w:val="0"/>
                <w:sz w:val="15"/>
              </w:rPr>
              <w:t>Localisation architecture dropped: facility-specific authorisation, the Art. 49 bar, Controller-approved TIA, government-access procedure, backups restricted to Permitted Processing Locations.</w:t>
            </w:r>
          </w:p>
        </w:tc>
        <w:tc>
          <w:tcPr>
            <w:tcW w:type="dxa" w:w="1728"/>
          </w:tcPr>
          <w:p>
            <w:pPr>
              <w:spacing w:after="20" w:before="0"/>
            </w:pPr>
            <w:r/>
            <w:r>
              <w:rPr>
                <w:b w:val="0"/>
                <w:i w:val="0"/>
                <w:sz w:val="15"/>
              </w:rPr>
              <w:t>T 5.1-5.4; A2.8(b)</w:t>
            </w:r>
          </w:p>
        </w:tc>
        <w:tc>
          <w:tcPr>
            <w:tcW w:type="dxa" w:w="1080"/>
            <w:shd w:val="clear" w:color="auto" w:fill="F4C7C3"/>
          </w:tcPr>
          <w:p>
            <w:pPr>
              <w:spacing w:after="20" w:before="0"/>
            </w:pPr>
            <w:r/>
            <w:r>
              <w:rPr>
                <w:b w:val="0"/>
                <w:i w:val="0"/>
                <w:sz w:val="15"/>
              </w:rPr>
              <w:t>RED</w:t>
            </w:r>
          </w:p>
        </w:tc>
        <w:tc>
          <w:tcPr>
            <w:tcW w:type="dxa" w:w="3672"/>
          </w:tcPr>
          <w:p>
            <w:pPr>
              <w:spacing w:after="20" w:before="0"/>
            </w:pPr>
            <w:r/>
            <w:r>
              <w:rPr>
                <w:b w:val="0"/>
                <w:i w:val="0"/>
                <w:sz w:val="15"/>
              </w:rPr>
              <w:t>Restore (Topic 4).</w:t>
            </w:r>
          </w:p>
        </w:tc>
      </w:tr>
      <w:tr>
        <w:tc>
          <w:tcPr>
            <w:tcW w:type="dxa" w:w="720"/>
          </w:tcPr>
          <w:p>
            <w:pPr>
              <w:spacing w:after="20" w:before="0"/>
            </w:pPr>
            <w:r/>
            <w:r>
              <w:rPr>
                <w:b w:val="0"/>
                <w:i w:val="0"/>
                <w:sz w:val="15"/>
              </w:rPr>
              <w:t>U-05</w:t>
            </w:r>
          </w:p>
        </w:tc>
        <w:tc>
          <w:tcPr>
            <w:tcW w:type="dxa" w:w="6336"/>
          </w:tcPr>
          <w:p>
            <w:pPr>
              <w:spacing w:after="20" w:before="0"/>
            </w:pPr>
            <w:r/>
            <w:r>
              <w:rPr>
                <w:b w:val="0"/>
                <w:i w:val="0"/>
                <w:sz w:val="15"/>
              </w:rPr>
              <w:t>Sub-processor safeguards dropped: the T 7.2(d)-(e) information (security measures, agreement copy); Controller audit flow-down; T 7.6 “no Sub-Processors approved”.</w:t>
            </w:r>
          </w:p>
        </w:tc>
        <w:tc>
          <w:tcPr>
            <w:tcW w:type="dxa" w:w="1728"/>
          </w:tcPr>
          <w:p>
            <w:pPr>
              <w:spacing w:after="20" w:before="0"/>
            </w:pPr>
            <w:r/>
            <w:r>
              <w:rPr>
                <w:b w:val="0"/>
                <w:i w:val="0"/>
                <w:sz w:val="15"/>
              </w:rPr>
              <w:t>T 7.2, 7.4, 7.6</w:t>
            </w:r>
          </w:p>
        </w:tc>
        <w:tc>
          <w:tcPr>
            <w:tcW w:type="dxa" w:w="1080"/>
            <w:shd w:val="clear" w:color="auto" w:fill="F4C7C3"/>
          </w:tcPr>
          <w:p>
            <w:pPr>
              <w:spacing w:after="20" w:before="0"/>
            </w:pPr>
            <w:r/>
            <w:r>
              <w:rPr>
                <w:b w:val="0"/>
                <w:i w:val="0"/>
                <w:sz w:val="15"/>
              </w:rPr>
              <w:t>RED</w:t>
            </w:r>
          </w:p>
        </w:tc>
        <w:tc>
          <w:tcPr>
            <w:tcW w:type="dxa" w:w="3672"/>
          </w:tcPr>
          <w:p>
            <w:pPr>
              <w:spacing w:after="20" w:before="0"/>
            </w:pPr>
            <w:r/>
            <w:r>
              <w:rPr>
                <w:b w:val="0"/>
                <w:i w:val="0"/>
                <w:sz w:val="15"/>
              </w:rPr>
              <w:t>Restore (Topics 1, 15).</w:t>
            </w:r>
          </w:p>
        </w:tc>
      </w:tr>
      <w:tr>
        <w:tc>
          <w:tcPr>
            <w:tcW w:type="dxa" w:w="720"/>
          </w:tcPr>
          <w:p>
            <w:pPr>
              <w:spacing w:after="20" w:before="0"/>
            </w:pPr>
            <w:r/>
            <w:r>
              <w:rPr>
                <w:b w:val="0"/>
                <w:i w:val="0"/>
                <w:sz w:val="15"/>
              </w:rPr>
              <w:t>U-06</w:t>
            </w:r>
          </w:p>
        </w:tc>
        <w:tc>
          <w:tcPr>
            <w:tcW w:type="dxa" w:w="6336"/>
          </w:tcPr>
          <w:p>
            <w:pPr>
              <w:spacing w:after="20" w:before="0"/>
            </w:pPr>
            <w:r/>
            <w:r>
              <w:rPr>
                <w:b w:val="0"/>
                <w:i w:val="0"/>
                <w:sz w:val="15"/>
              </w:rPr>
              <w:t>No-reduction-in-security clause (60-day prior approval and veto), HIPAA risk analysis, and annual PCI AoC/RoC by a QSA all dropped; PCI evidence only “upon reasonable request”.</w:t>
            </w:r>
          </w:p>
        </w:tc>
        <w:tc>
          <w:tcPr>
            <w:tcW w:type="dxa" w:w="1728"/>
          </w:tcPr>
          <w:p>
            <w:pPr>
              <w:spacing w:after="20" w:before="0"/>
            </w:pPr>
            <w:r/>
            <w:r>
              <w:rPr>
                <w:b w:val="0"/>
                <w:i w:val="0"/>
                <w:sz w:val="15"/>
              </w:rPr>
              <w:t>T 8.3-8.5</w:t>
            </w:r>
          </w:p>
        </w:tc>
        <w:tc>
          <w:tcPr>
            <w:tcW w:type="dxa" w:w="1080"/>
            <w:shd w:val="clear" w:color="auto" w:fill="F4C7C3"/>
          </w:tcPr>
          <w:p>
            <w:pPr>
              <w:spacing w:after="20" w:before="0"/>
            </w:pPr>
            <w:r/>
            <w:r>
              <w:rPr>
                <w:b w:val="0"/>
                <w:i w:val="0"/>
                <w:sz w:val="15"/>
              </w:rPr>
              <w:t>RED</w:t>
            </w:r>
          </w:p>
        </w:tc>
        <w:tc>
          <w:tcPr>
            <w:tcW w:type="dxa" w:w="3672"/>
          </w:tcPr>
          <w:p>
            <w:pPr>
              <w:spacing w:after="20" w:before="0"/>
            </w:pPr>
            <w:r/>
            <w:r>
              <w:rPr>
                <w:b w:val="0"/>
                <w:i w:val="0"/>
                <w:sz w:val="15"/>
              </w:rPr>
              <w:t>Restore (Topics 12, 8).</w:t>
            </w:r>
          </w:p>
        </w:tc>
      </w:tr>
      <w:tr>
        <w:tc>
          <w:tcPr>
            <w:tcW w:type="dxa" w:w="720"/>
          </w:tcPr>
          <w:p>
            <w:pPr>
              <w:spacing w:after="20" w:before="0"/>
            </w:pPr>
            <w:r/>
            <w:r>
              <w:rPr>
                <w:b w:val="0"/>
                <w:i w:val="0"/>
                <w:sz w:val="15"/>
              </w:rPr>
              <w:t>U-07</w:t>
            </w:r>
          </w:p>
        </w:tc>
        <w:tc>
          <w:tcPr>
            <w:tcW w:type="dxa" w:w="6336"/>
          </w:tcPr>
          <w:p>
            <w:pPr>
              <w:spacing w:after="20" w:before="0"/>
            </w:pPr>
            <w:r/>
            <w:r>
              <w:rPr>
                <w:b w:val="0"/>
                <w:i w:val="0"/>
                <w:sz w:val="15"/>
              </w:rPr>
              <w:t>Annex 2 downgrades: key management via FIPS 140-2 L3 HSMs and annual rotation becomes “industry best practices”; MFA limited to admin access; log retention 24 to 12 months; RPO/RTO 1h/4h to 4h/8h; 24-hour deprovisioning, 24-hour/7-day patching, CCTV retention and visitor logs dropped; DR and pentest results no longer shared automatically; “mitigating controls” offered as an alternative to fixing vulnerabilities.</w:t>
            </w:r>
          </w:p>
        </w:tc>
        <w:tc>
          <w:tcPr>
            <w:tcW w:type="dxa" w:w="1728"/>
          </w:tcPr>
          <w:p>
            <w:pPr>
              <w:spacing w:after="20" w:before="0"/>
            </w:pPr>
            <w:r/>
            <w:r>
              <w:rPr>
                <w:b w:val="0"/>
                <w:i w:val="0"/>
                <w:sz w:val="15"/>
              </w:rPr>
              <w:t>Annex 2 A2.1-A2.10</w:t>
            </w:r>
          </w:p>
        </w:tc>
        <w:tc>
          <w:tcPr>
            <w:tcW w:type="dxa" w:w="1080"/>
            <w:shd w:val="clear" w:color="auto" w:fill="F4C7C3"/>
          </w:tcPr>
          <w:p>
            <w:pPr>
              <w:spacing w:after="20" w:before="0"/>
            </w:pPr>
            <w:r/>
            <w:r>
              <w:rPr>
                <w:b w:val="0"/>
                <w:i w:val="0"/>
                <w:sz w:val="15"/>
              </w:rPr>
              <w:t>RED</w:t>
            </w:r>
          </w:p>
        </w:tc>
        <w:tc>
          <w:tcPr>
            <w:tcW w:type="dxa" w:w="3672"/>
          </w:tcPr>
          <w:p>
            <w:pPr>
              <w:spacing w:after="20" w:before="0"/>
            </w:pPr>
            <w:r/>
            <w:r>
              <w:rPr>
                <w:b w:val="0"/>
                <w:i w:val="0"/>
                <w:sz w:val="15"/>
              </w:rPr>
              <w:t>Restore Template Annex 2 verbatim (Topic 12).</w:t>
            </w:r>
          </w:p>
        </w:tc>
      </w:tr>
      <w:tr>
        <w:tc>
          <w:tcPr>
            <w:tcW w:type="dxa" w:w="720"/>
          </w:tcPr>
          <w:p>
            <w:pPr>
              <w:spacing w:after="20" w:before="0"/>
            </w:pPr>
            <w:r/>
            <w:r>
              <w:rPr>
                <w:b w:val="0"/>
                <w:i w:val="0"/>
                <w:sz w:val="15"/>
              </w:rPr>
              <w:t>U-08</w:t>
            </w:r>
          </w:p>
        </w:tc>
        <w:tc>
          <w:tcPr>
            <w:tcW w:type="dxa" w:w="6336"/>
          </w:tcPr>
          <w:p>
            <w:pPr>
              <w:spacing w:after="20" w:before="0"/>
            </w:pPr>
            <w:r/>
            <w:r>
              <w:rPr>
                <w:b w:val="0"/>
                <w:i w:val="0"/>
                <w:sz w:val="15"/>
              </w:rPr>
              <w:t>A certification lapse is no longer a material breach; notice is “promptly” with a 30-day remediation plan.</w:t>
            </w:r>
          </w:p>
        </w:tc>
        <w:tc>
          <w:tcPr>
            <w:tcW w:type="dxa" w:w="1728"/>
          </w:tcPr>
          <w:p>
            <w:pPr>
              <w:spacing w:after="20" w:before="0"/>
            </w:pPr>
            <w:r/>
            <w:r>
              <w:rPr>
                <w:b w:val="0"/>
                <w:i w:val="0"/>
                <w:sz w:val="15"/>
              </w:rPr>
              <w:t>T 8.2</w:t>
            </w:r>
          </w:p>
        </w:tc>
        <w:tc>
          <w:tcPr>
            <w:tcW w:type="dxa" w:w="1080"/>
            <w:shd w:val="clear" w:color="auto" w:fill="FFF2CC"/>
          </w:tcPr>
          <w:p>
            <w:pPr>
              <w:spacing w:after="20" w:before="0"/>
            </w:pPr>
            <w:r/>
            <w:r>
              <w:rPr>
                <w:b w:val="0"/>
                <w:i w:val="0"/>
                <w:sz w:val="15"/>
              </w:rPr>
              <w:t>YELLOW</w:t>
            </w:r>
          </w:p>
        </w:tc>
        <w:tc>
          <w:tcPr>
            <w:tcW w:type="dxa" w:w="3672"/>
          </w:tcPr>
          <w:p>
            <w:pPr>
              <w:spacing w:after="20" w:before="0"/>
            </w:pPr>
            <w:r/>
            <w:r>
              <w:rPr>
                <w:b w:val="0"/>
                <w:i w:val="0"/>
                <w:sz w:val="15"/>
              </w:rPr>
              <w:t>Restore material-breach consequence; lapse notice within 10 business days (Topic 8).</w:t>
            </w:r>
          </w:p>
        </w:tc>
      </w:tr>
      <w:tr>
        <w:tc>
          <w:tcPr>
            <w:tcW w:type="dxa" w:w="720"/>
          </w:tcPr>
          <w:p>
            <w:pPr>
              <w:spacing w:after="20" w:before="0"/>
            </w:pPr>
            <w:r/>
            <w:r>
              <w:rPr>
                <w:b w:val="0"/>
                <w:i w:val="0"/>
                <w:sz w:val="15"/>
              </w:rPr>
              <w:t>U-09</w:t>
            </w:r>
          </w:p>
        </w:tc>
        <w:tc>
          <w:tcPr>
            <w:tcW w:type="dxa" w:w="6336"/>
          </w:tcPr>
          <w:p>
            <w:pPr>
              <w:spacing w:after="20" w:before="0"/>
            </w:pPr>
            <w:r/>
            <w:r>
              <w:rPr>
                <w:b w:val="0"/>
                <w:i w:val="0"/>
                <w:sz w:val="15"/>
              </w:rPr>
              <w:t>Direct DSR forwarding period extended from 2 to 3 business days; the no-fee statement “regardless of volume” is gone.</w:t>
            </w:r>
          </w:p>
        </w:tc>
        <w:tc>
          <w:tcPr>
            <w:tcW w:type="dxa" w:w="1728"/>
          </w:tcPr>
          <w:p>
            <w:pPr>
              <w:spacing w:after="20" w:before="0"/>
            </w:pPr>
            <w:r/>
            <w:r>
              <w:rPr>
                <w:b w:val="0"/>
                <w:i w:val="0"/>
                <w:sz w:val="15"/>
              </w:rPr>
              <w:t>T 9.1, 9.3</w:t>
            </w:r>
          </w:p>
        </w:tc>
        <w:tc>
          <w:tcPr>
            <w:tcW w:type="dxa" w:w="1080"/>
            <w:shd w:val="clear" w:color="auto" w:fill="FFF2CC"/>
          </w:tcPr>
          <w:p>
            <w:pPr>
              <w:spacing w:after="20" w:before="0"/>
            </w:pPr>
            <w:r/>
            <w:r>
              <w:rPr>
                <w:b w:val="0"/>
                <w:i w:val="0"/>
                <w:sz w:val="15"/>
              </w:rPr>
              <w:t>YELLOW</w:t>
            </w:r>
          </w:p>
        </w:tc>
        <w:tc>
          <w:tcPr>
            <w:tcW w:type="dxa" w:w="3672"/>
          </w:tcPr>
          <w:p>
            <w:pPr>
              <w:spacing w:after="20" w:before="0"/>
            </w:pPr>
            <w:r/>
            <w:r>
              <w:rPr>
                <w:b w:val="0"/>
                <w:i w:val="0"/>
                <w:sz w:val="15"/>
              </w:rPr>
              <w:t>Restore 2 business days (CPO may accept 3); restore no-fee language.</w:t>
            </w:r>
          </w:p>
        </w:tc>
      </w:tr>
      <w:tr>
        <w:tc>
          <w:tcPr>
            <w:tcW w:type="dxa" w:w="720"/>
          </w:tcPr>
          <w:p>
            <w:pPr>
              <w:spacing w:after="20" w:before="0"/>
            </w:pPr>
            <w:r/>
            <w:r>
              <w:rPr>
                <w:b w:val="0"/>
                <w:i w:val="0"/>
                <w:sz w:val="15"/>
              </w:rPr>
              <w:t>U-10</w:t>
            </w:r>
          </w:p>
        </w:tc>
        <w:tc>
          <w:tcPr>
            <w:tcW w:type="dxa" w:w="6336"/>
          </w:tcPr>
          <w:p>
            <w:pPr>
              <w:spacing w:after="20" w:before="0"/>
            </w:pPr>
            <w:r/>
            <w:r>
              <w:rPr>
                <w:b w:val="0"/>
                <w:i w:val="0"/>
                <w:sz w:val="15"/>
              </w:rPr>
              <w:t>Audit: the annual minimum, no-notice audits for breach or regulator request, remediation at Processor’s cost with evidence in 30 days, and the regulator-audit cooperation clause (OCR/ICO) are all dropped.</w:t>
            </w:r>
          </w:p>
        </w:tc>
        <w:tc>
          <w:tcPr>
            <w:tcW w:type="dxa" w:w="1728"/>
          </w:tcPr>
          <w:p>
            <w:pPr>
              <w:spacing w:after="20" w:before="0"/>
            </w:pPr>
            <w:r/>
            <w:r>
              <w:rPr>
                <w:b w:val="0"/>
                <w:i w:val="0"/>
                <w:sz w:val="15"/>
              </w:rPr>
              <w:t>T 10.2-10.6</w:t>
            </w:r>
          </w:p>
        </w:tc>
        <w:tc>
          <w:tcPr>
            <w:tcW w:type="dxa" w:w="1080"/>
            <w:shd w:val="clear" w:color="auto" w:fill="F4C7C3"/>
          </w:tcPr>
          <w:p>
            <w:pPr>
              <w:spacing w:after="20" w:before="0"/>
            </w:pPr>
            <w:r/>
            <w:r>
              <w:rPr>
                <w:b w:val="0"/>
                <w:i w:val="0"/>
                <w:sz w:val="15"/>
              </w:rPr>
              <w:t>RED</w:t>
            </w:r>
          </w:p>
        </w:tc>
        <w:tc>
          <w:tcPr>
            <w:tcW w:type="dxa" w:w="3672"/>
          </w:tcPr>
          <w:p>
            <w:pPr>
              <w:spacing w:after="20" w:before="0"/>
            </w:pPr>
            <w:r/>
            <w:r>
              <w:rPr>
                <w:b w:val="0"/>
                <w:i w:val="0"/>
                <w:sz w:val="15"/>
              </w:rPr>
              <w:t>Restore (Topic 3).</w:t>
            </w:r>
          </w:p>
        </w:tc>
      </w:tr>
      <w:tr>
        <w:tc>
          <w:tcPr>
            <w:tcW w:type="dxa" w:w="720"/>
          </w:tcPr>
          <w:p>
            <w:pPr>
              <w:spacing w:after="20" w:before="0"/>
            </w:pPr>
            <w:r/>
            <w:r>
              <w:rPr>
                <w:b w:val="0"/>
                <w:i w:val="0"/>
                <w:sz w:val="15"/>
              </w:rPr>
              <w:t>U-11</w:t>
            </w:r>
          </w:p>
        </w:tc>
        <w:tc>
          <w:tcPr>
            <w:tcW w:type="dxa" w:w="6336"/>
          </w:tcPr>
          <w:p>
            <w:pPr>
              <w:spacing w:after="20" w:before="0"/>
            </w:pPr>
            <w:r/>
            <w:r>
              <w:rPr>
                <w:b w:val="0"/>
                <w:i w:val="0"/>
                <w:sz w:val="15"/>
              </w:rPr>
              <w:t>Mutual exclusion of consequential damages (RL 13.1(c)) added without tracking; the T 12.3 carve-outs (fraud, wilful misconduct, gross negligence, death and personal injury) are dropped.</w:t>
            </w:r>
          </w:p>
        </w:tc>
        <w:tc>
          <w:tcPr>
            <w:tcW w:type="dxa" w:w="1728"/>
          </w:tcPr>
          <w:p>
            <w:pPr>
              <w:spacing w:after="20" w:before="0"/>
            </w:pPr>
            <w:r/>
            <w:r>
              <w:rPr>
                <w:b w:val="0"/>
                <w:i w:val="0"/>
                <w:sz w:val="15"/>
              </w:rPr>
              <w:t>T 12.3</w:t>
            </w:r>
          </w:p>
        </w:tc>
        <w:tc>
          <w:tcPr>
            <w:tcW w:type="dxa" w:w="1080"/>
            <w:shd w:val="clear" w:color="auto" w:fill="F4C7C3"/>
          </w:tcPr>
          <w:p>
            <w:pPr>
              <w:spacing w:after="20" w:before="0"/>
            </w:pPr>
            <w:r/>
            <w:r>
              <w:rPr>
                <w:b w:val="0"/>
                <w:i w:val="0"/>
                <w:sz w:val="15"/>
              </w:rPr>
              <w:t>RED</w:t>
            </w:r>
          </w:p>
        </w:tc>
        <w:tc>
          <w:tcPr>
            <w:tcW w:type="dxa" w:w="3672"/>
          </w:tcPr>
          <w:p>
            <w:pPr>
              <w:spacing w:after="20" w:before="0"/>
            </w:pPr>
            <w:r/>
            <w:r>
              <w:rPr>
                <w:b w:val="0"/>
                <w:i w:val="0"/>
                <w:sz w:val="15"/>
              </w:rPr>
              <w:t>Delete or carve out (Topics 6, 7). See 4.1.</w:t>
            </w:r>
          </w:p>
        </w:tc>
      </w:tr>
      <w:tr>
        <w:tc>
          <w:tcPr>
            <w:tcW w:type="dxa" w:w="720"/>
          </w:tcPr>
          <w:p>
            <w:pPr>
              <w:spacing w:after="20" w:before="0"/>
            </w:pPr>
            <w:r/>
            <w:r>
              <w:rPr>
                <w:b w:val="0"/>
                <w:i w:val="0"/>
                <w:sz w:val="15"/>
              </w:rPr>
              <w:t>U-12</w:t>
            </w:r>
          </w:p>
        </w:tc>
        <w:tc>
          <w:tcPr>
            <w:tcW w:type="dxa" w:w="6336"/>
          </w:tcPr>
          <w:p>
            <w:pPr>
              <w:spacing w:after="20" w:before="0"/>
            </w:pPr>
            <w:r/>
            <w:r>
              <w:rPr>
                <w:b w:val="0"/>
                <w:i w:val="0"/>
                <w:sz w:val="15"/>
              </w:rPr>
              <w:t>Indemnity base text narrowed: third-party claims only; Stratton Health UK Ltd. not named; no unauthorised-processing limb.</w:t>
            </w:r>
          </w:p>
        </w:tc>
        <w:tc>
          <w:tcPr>
            <w:tcW w:type="dxa" w:w="1728"/>
          </w:tcPr>
          <w:p>
            <w:pPr>
              <w:spacing w:after="20" w:before="0"/>
            </w:pPr>
            <w:r/>
            <w:r>
              <w:rPr>
                <w:b w:val="0"/>
                <w:i w:val="0"/>
                <w:sz w:val="15"/>
              </w:rPr>
              <w:t>T 12.2</w:t>
            </w:r>
          </w:p>
        </w:tc>
        <w:tc>
          <w:tcPr>
            <w:tcW w:type="dxa" w:w="1080"/>
            <w:shd w:val="clear" w:color="auto" w:fill="F4C7C3"/>
          </w:tcPr>
          <w:p>
            <w:pPr>
              <w:spacing w:after="20" w:before="0"/>
            </w:pPr>
            <w:r/>
            <w:r>
              <w:rPr>
                <w:b w:val="0"/>
                <w:i w:val="0"/>
                <w:sz w:val="15"/>
              </w:rPr>
              <w:t>RED</w:t>
            </w:r>
          </w:p>
        </w:tc>
        <w:tc>
          <w:tcPr>
            <w:tcW w:type="dxa" w:w="3672"/>
          </w:tcPr>
          <w:p>
            <w:pPr>
              <w:spacing w:after="20" w:before="0"/>
            </w:pPr>
            <w:r/>
            <w:r>
              <w:rPr>
                <w:b w:val="0"/>
                <w:i w:val="0"/>
                <w:sz w:val="15"/>
              </w:rPr>
              <w:t>Restore T 12.2 (Topic 7).</w:t>
            </w:r>
          </w:p>
        </w:tc>
      </w:tr>
      <w:tr>
        <w:tc>
          <w:tcPr>
            <w:tcW w:type="dxa" w:w="720"/>
          </w:tcPr>
          <w:p>
            <w:pPr>
              <w:spacing w:after="20" w:before="0"/>
            </w:pPr>
            <w:r/>
            <w:r>
              <w:rPr>
                <w:b w:val="0"/>
                <w:i w:val="0"/>
                <w:sz w:val="15"/>
              </w:rPr>
              <w:t>U-13</w:t>
            </w:r>
          </w:p>
        </w:tc>
        <w:tc>
          <w:tcPr>
            <w:tcW w:type="dxa" w:w="6336"/>
          </w:tcPr>
          <w:p>
            <w:pPr>
              <w:spacing w:after="20" w:before="0"/>
            </w:pPr>
            <w:r/>
            <w:r>
              <w:rPr>
                <w:b w:val="0"/>
                <w:i w:val="0"/>
                <w:sz w:val="15"/>
              </w:rPr>
              <w:t>RL 14.1 adds “except as expressly permitted by this DPA” (the gateway to RL 14.3); the ML/AI training prohibition and the T 2.3 list are dropped.</w:t>
            </w:r>
          </w:p>
        </w:tc>
        <w:tc>
          <w:tcPr>
            <w:tcW w:type="dxa" w:w="1728"/>
          </w:tcPr>
          <w:p>
            <w:pPr>
              <w:spacing w:after="20" w:before="0"/>
            </w:pPr>
            <w:r/>
            <w:r>
              <w:rPr>
                <w:b w:val="0"/>
                <w:i w:val="0"/>
                <w:sz w:val="15"/>
              </w:rPr>
              <w:t>T 2.3, 14.1</w:t>
            </w:r>
          </w:p>
        </w:tc>
        <w:tc>
          <w:tcPr>
            <w:tcW w:type="dxa" w:w="1080"/>
            <w:shd w:val="clear" w:color="auto" w:fill="F4C7C3"/>
          </w:tcPr>
          <w:p>
            <w:pPr>
              <w:spacing w:after="20" w:before="0"/>
            </w:pPr>
            <w:r/>
            <w:r>
              <w:rPr>
                <w:b w:val="0"/>
                <w:i w:val="0"/>
                <w:sz w:val="15"/>
              </w:rPr>
              <w:t>RED</w:t>
            </w:r>
          </w:p>
        </w:tc>
        <w:tc>
          <w:tcPr>
            <w:tcW w:type="dxa" w:w="3672"/>
          </w:tcPr>
          <w:p>
            <w:pPr>
              <w:spacing w:after="20" w:before="0"/>
            </w:pPr>
            <w:r/>
            <w:r>
              <w:rPr>
                <w:b w:val="0"/>
                <w:i w:val="0"/>
                <w:sz w:val="15"/>
              </w:rPr>
              <w:t>Restore (Topic 16).</w:t>
            </w:r>
          </w:p>
        </w:tc>
      </w:tr>
      <w:tr>
        <w:tc>
          <w:tcPr>
            <w:tcW w:type="dxa" w:w="720"/>
          </w:tcPr>
          <w:p>
            <w:pPr>
              <w:spacing w:after="20" w:before="0"/>
            </w:pPr>
            <w:r/>
            <w:r>
              <w:rPr>
                <w:b w:val="0"/>
                <w:i w:val="0"/>
                <w:sz w:val="15"/>
              </w:rPr>
              <w:t>U-14</w:t>
            </w:r>
          </w:p>
        </w:tc>
        <w:tc>
          <w:tcPr>
            <w:tcW w:type="dxa" w:w="6336"/>
          </w:tcPr>
          <w:p>
            <w:pPr>
              <w:spacing w:after="20" w:before="0"/>
            </w:pPr>
            <w:r/>
            <w:r>
              <w:rPr>
                <w:b w:val="0"/>
                <w:i w:val="0"/>
                <w:sz w:val="15"/>
              </w:rPr>
              <w:t>The entire CCPA/CPRA Service Provider section is omitted (prohibitions on selling, sharing, retaining or combining; certification; Controller remediation rights).</w:t>
            </w:r>
          </w:p>
        </w:tc>
        <w:tc>
          <w:tcPr>
            <w:tcW w:type="dxa" w:w="1728"/>
          </w:tcPr>
          <w:p>
            <w:pPr>
              <w:spacing w:after="20" w:before="0"/>
            </w:pPr>
            <w:r/>
            <w:r>
              <w:rPr>
                <w:b w:val="0"/>
                <w:i w:val="0"/>
                <w:sz w:val="15"/>
              </w:rPr>
              <w:t>T 2.5, 18.1-18.4</w:t>
            </w:r>
          </w:p>
        </w:tc>
        <w:tc>
          <w:tcPr>
            <w:tcW w:type="dxa" w:w="1080"/>
            <w:shd w:val="clear" w:color="auto" w:fill="F4C7C3"/>
          </w:tcPr>
          <w:p>
            <w:pPr>
              <w:spacing w:after="20" w:before="0"/>
            </w:pPr>
            <w:r/>
            <w:r>
              <w:rPr>
                <w:b w:val="0"/>
                <w:i w:val="0"/>
                <w:sz w:val="15"/>
              </w:rPr>
              <w:t>RED</w:t>
            </w:r>
          </w:p>
        </w:tc>
        <w:tc>
          <w:tcPr>
            <w:tcW w:type="dxa" w:w="3672"/>
          </w:tcPr>
          <w:p>
            <w:pPr>
              <w:spacing w:after="20" w:before="0"/>
            </w:pPr>
            <w:r/>
            <w:r>
              <w:rPr>
                <w:b w:val="0"/>
                <w:i w:val="0"/>
                <w:sz w:val="15"/>
              </w:rPr>
              <w:t>Restore (Topic 16). Required for service-provider status under Cal. Civ. Code §1798.100(d) and §1798.140(ag).</w:t>
            </w:r>
          </w:p>
        </w:tc>
      </w:tr>
      <w:tr>
        <w:tc>
          <w:tcPr>
            <w:tcW w:type="dxa" w:w="720"/>
          </w:tcPr>
          <w:p>
            <w:pPr>
              <w:spacing w:after="20" w:before="0"/>
            </w:pPr>
            <w:r/>
            <w:r>
              <w:rPr>
                <w:b w:val="0"/>
                <w:i w:val="0"/>
                <w:sz w:val="15"/>
              </w:rPr>
              <w:t>U-15</w:t>
            </w:r>
          </w:p>
        </w:tc>
        <w:tc>
          <w:tcPr>
            <w:tcW w:type="dxa" w:w="6336"/>
          </w:tcPr>
          <w:p>
            <w:pPr>
              <w:spacing w:after="20" w:before="0"/>
            </w:pPr>
            <w:r/>
            <w:r>
              <w:rPr>
                <w:b w:val="0"/>
                <w:i w:val="0"/>
                <w:sz w:val="15"/>
              </w:rPr>
              <w:t xml:space="preserve">Return and deletion restructured: return </w:t>
            </w:r>
            <w:r>
              <w:rPr>
                <w:b/>
                <w:i w:val="0"/>
                <w:sz w:val="15"/>
              </w:rPr>
              <w:t>or</w:t>
            </w:r>
            <w:r>
              <w:rPr>
                <w:b w:val="0"/>
                <w:i w:val="0"/>
                <w:sz w:val="15"/>
              </w:rPr>
              <w:t xml:space="preserve"> delete; default deletion if no election within 30 days; deletion clock runs from termination; NIST SP 800-88 dropped; retention exception weakened (no 5 business day notice, no 30-day deletion or supplemental certificate).</w:t>
            </w:r>
          </w:p>
        </w:tc>
        <w:tc>
          <w:tcPr>
            <w:tcW w:type="dxa" w:w="1728"/>
          </w:tcPr>
          <w:p>
            <w:pPr>
              <w:spacing w:after="20" w:before="0"/>
            </w:pPr>
            <w:r/>
            <w:r>
              <w:rPr>
                <w:b w:val="0"/>
                <w:i w:val="0"/>
                <w:sz w:val="15"/>
              </w:rPr>
              <w:t>T 13.1-13.4</w:t>
            </w:r>
          </w:p>
        </w:tc>
        <w:tc>
          <w:tcPr>
            <w:tcW w:type="dxa" w:w="1080"/>
            <w:shd w:val="clear" w:color="auto" w:fill="F4C7C3"/>
          </w:tcPr>
          <w:p>
            <w:pPr>
              <w:spacing w:after="20" w:before="0"/>
            </w:pPr>
            <w:r/>
            <w:r>
              <w:rPr>
                <w:b w:val="0"/>
                <w:i w:val="0"/>
                <w:sz w:val="15"/>
              </w:rPr>
              <w:t>RED</w:t>
            </w:r>
          </w:p>
        </w:tc>
        <w:tc>
          <w:tcPr>
            <w:tcW w:type="dxa" w:w="3672"/>
          </w:tcPr>
          <w:p>
            <w:pPr>
              <w:spacing w:after="20" w:before="0"/>
            </w:pPr>
            <w:r/>
            <w:r>
              <w:rPr>
                <w:b w:val="0"/>
                <w:i w:val="0"/>
                <w:sz w:val="15"/>
              </w:rPr>
              <w:t>Restore (Topic 5). See 4.12.</w:t>
            </w:r>
          </w:p>
        </w:tc>
      </w:tr>
      <w:tr>
        <w:tc>
          <w:tcPr>
            <w:tcW w:type="dxa" w:w="720"/>
          </w:tcPr>
          <w:p>
            <w:pPr>
              <w:spacing w:after="20" w:before="0"/>
            </w:pPr>
            <w:r/>
            <w:r>
              <w:rPr>
                <w:b w:val="0"/>
                <w:i w:val="0"/>
                <w:sz w:val="15"/>
              </w:rPr>
              <w:t>U-16</w:t>
            </w:r>
          </w:p>
        </w:tc>
        <w:tc>
          <w:tcPr>
            <w:tcW w:type="dxa" w:w="6336"/>
          </w:tcPr>
          <w:p>
            <w:pPr>
              <w:spacing w:after="20" w:before="0"/>
            </w:pPr>
            <w:r/>
            <w:r>
              <w:rPr>
                <w:b w:val="0"/>
                <w:i w:val="0"/>
                <w:sz w:val="15"/>
              </w:rPr>
              <w:t>Insurance detail dropped: 3-year tail, additional insured, A- rating, certificate within 30 days, 60-day reduction notice, termination right.</w:t>
            </w:r>
          </w:p>
        </w:tc>
        <w:tc>
          <w:tcPr>
            <w:tcW w:type="dxa" w:w="1728"/>
          </w:tcPr>
          <w:p>
            <w:pPr>
              <w:spacing w:after="20" w:before="0"/>
            </w:pPr>
            <w:r/>
            <w:r>
              <w:rPr>
                <w:b w:val="0"/>
                <w:i w:val="0"/>
                <w:sz w:val="15"/>
              </w:rPr>
              <w:t>T 15.1-15.2</w:t>
            </w:r>
          </w:p>
        </w:tc>
        <w:tc>
          <w:tcPr>
            <w:tcW w:type="dxa" w:w="1080"/>
            <w:shd w:val="clear" w:color="auto" w:fill="F4C7C3"/>
          </w:tcPr>
          <w:p>
            <w:pPr>
              <w:spacing w:after="20" w:before="0"/>
            </w:pPr>
            <w:r/>
            <w:r>
              <w:rPr>
                <w:b w:val="0"/>
                <w:i w:val="0"/>
                <w:sz w:val="15"/>
              </w:rPr>
              <w:t>RED</w:t>
            </w:r>
          </w:p>
        </w:tc>
        <w:tc>
          <w:tcPr>
            <w:tcW w:type="dxa" w:w="3672"/>
          </w:tcPr>
          <w:p>
            <w:pPr>
              <w:spacing w:after="20" w:before="0"/>
            </w:pPr>
            <w:r/>
            <w:r>
              <w:rPr>
                <w:b w:val="0"/>
                <w:i w:val="0"/>
                <w:sz w:val="15"/>
              </w:rPr>
              <w:t>Restore (Topic 14). MSA §18 requires the tail and additional-insured status.</w:t>
            </w:r>
          </w:p>
        </w:tc>
      </w:tr>
      <w:tr>
        <w:tc>
          <w:tcPr>
            <w:tcW w:type="dxa" w:w="720"/>
          </w:tcPr>
          <w:p>
            <w:pPr>
              <w:spacing w:after="20" w:before="0"/>
            </w:pPr>
            <w:r/>
            <w:r>
              <w:rPr>
                <w:b w:val="0"/>
                <w:i w:val="0"/>
                <w:sz w:val="15"/>
              </w:rPr>
              <w:t>U-17</w:t>
            </w:r>
          </w:p>
        </w:tc>
        <w:tc>
          <w:tcPr>
            <w:tcW w:type="dxa" w:w="6336"/>
          </w:tcPr>
          <w:p>
            <w:pPr>
              <w:spacing w:after="20" w:before="0"/>
            </w:pPr>
            <w:r/>
            <w:r>
              <w:rPr>
                <w:b w:val="0"/>
                <w:i w:val="0"/>
                <w:sz w:val="15"/>
              </w:rPr>
              <w:t>Controller-only early termination rights (data protection law breach, change of control, sub-processor objection, insolvency) dropped; replaced by mutual termination for breach.</w:t>
            </w:r>
          </w:p>
        </w:tc>
        <w:tc>
          <w:tcPr>
            <w:tcW w:type="dxa" w:w="1728"/>
          </w:tcPr>
          <w:p>
            <w:pPr>
              <w:spacing w:after="20" w:before="0"/>
            </w:pPr>
            <w:r/>
            <w:r>
              <w:rPr>
                <w:b w:val="0"/>
                <w:i w:val="0"/>
                <w:sz w:val="15"/>
              </w:rPr>
              <w:t>T 16.2</w:t>
            </w:r>
          </w:p>
        </w:tc>
        <w:tc>
          <w:tcPr>
            <w:tcW w:type="dxa" w:w="1080"/>
            <w:shd w:val="clear" w:color="auto" w:fill="F4C7C3"/>
          </w:tcPr>
          <w:p>
            <w:pPr>
              <w:spacing w:after="20" w:before="0"/>
            </w:pPr>
            <w:r/>
            <w:r>
              <w:rPr>
                <w:b w:val="0"/>
                <w:i w:val="0"/>
                <w:sz w:val="15"/>
              </w:rPr>
              <w:t>RED</w:t>
            </w:r>
          </w:p>
        </w:tc>
        <w:tc>
          <w:tcPr>
            <w:tcW w:type="dxa" w:w="3672"/>
          </w:tcPr>
          <w:p>
            <w:pPr>
              <w:spacing w:after="20" w:before="0"/>
            </w:pPr>
            <w:r/>
            <w:r>
              <w:rPr>
                <w:b w:val="0"/>
                <w:i w:val="0"/>
                <w:sz w:val="15"/>
              </w:rPr>
              <w:t>Restore (Topic 13).</w:t>
            </w:r>
          </w:p>
        </w:tc>
      </w:tr>
      <w:tr>
        <w:tc>
          <w:tcPr>
            <w:tcW w:type="dxa" w:w="720"/>
          </w:tcPr>
          <w:p>
            <w:pPr>
              <w:spacing w:after="20" w:before="0"/>
            </w:pPr>
            <w:r/>
            <w:r>
              <w:rPr>
                <w:b w:val="0"/>
                <w:i w:val="0"/>
                <w:sz w:val="15"/>
              </w:rPr>
              <w:t>U-18</w:t>
            </w:r>
          </w:p>
        </w:tc>
        <w:tc>
          <w:tcPr>
            <w:tcW w:type="dxa" w:w="6336"/>
          </w:tcPr>
          <w:p>
            <w:pPr>
              <w:spacing w:after="20" w:before="0"/>
            </w:pPr>
            <w:r/>
            <w:r>
              <w:rPr>
                <w:b w:val="0"/>
                <w:i w:val="0"/>
                <w:sz w:val="15"/>
              </w:rPr>
              <w:t>Survival list omits Processor confidentiality (T §6, survives indefinitely) and the insurance tail, but adds Controller’s RL 5.4 obligation.</w:t>
            </w:r>
          </w:p>
        </w:tc>
        <w:tc>
          <w:tcPr>
            <w:tcW w:type="dxa" w:w="1728"/>
          </w:tcPr>
          <w:p>
            <w:pPr>
              <w:spacing w:after="20" w:before="0"/>
            </w:pPr>
            <w:r/>
            <w:r>
              <w:rPr>
                <w:b w:val="0"/>
                <w:i w:val="0"/>
                <w:sz w:val="15"/>
              </w:rPr>
              <w:t>T 6.4, 16.4</w:t>
            </w:r>
          </w:p>
        </w:tc>
        <w:tc>
          <w:tcPr>
            <w:tcW w:type="dxa" w:w="1080"/>
            <w:shd w:val="clear" w:color="auto" w:fill="F4C7C3"/>
          </w:tcPr>
          <w:p>
            <w:pPr>
              <w:spacing w:after="20" w:before="0"/>
            </w:pPr>
            <w:r/>
            <w:r>
              <w:rPr>
                <w:b w:val="0"/>
                <w:i w:val="0"/>
                <w:sz w:val="15"/>
              </w:rPr>
              <w:t>RED</w:t>
            </w:r>
          </w:p>
        </w:tc>
        <w:tc>
          <w:tcPr>
            <w:tcW w:type="dxa" w:w="3672"/>
          </w:tcPr>
          <w:p>
            <w:pPr>
              <w:spacing w:after="20" w:before="0"/>
            </w:pPr>
            <w:r/>
            <w:r>
              <w:rPr>
                <w:b w:val="0"/>
                <w:i w:val="0"/>
                <w:sz w:val="15"/>
              </w:rPr>
              <w:t>Restore (Topic 17: weakening of personnel confidentiality).</w:t>
            </w:r>
          </w:p>
        </w:tc>
      </w:tr>
      <w:tr>
        <w:tc>
          <w:tcPr>
            <w:tcW w:type="dxa" w:w="720"/>
          </w:tcPr>
          <w:p>
            <w:pPr>
              <w:spacing w:after="20" w:before="0"/>
            </w:pPr>
            <w:r/>
            <w:r>
              <w:rPr>
                <w:b w:val="0"/>
                <w:i w:val="0"/>
                <w:sz w:val="15"/>
              </w:rPr>
              <w:t>U-19</w:t>
            </w:r>
          </w:p>
        </w:tc>
        <w:tc>
          <w:tcPr>
            <w:tcW w:type="dxa" w:w="6336"/>
          </w:tcPr>
          <w:p>
            <w:pPr>
              <w:spacing w:after="20" w:before="0"/>
            </w:pPr>
            <w:r/>
            <w:r>
              <w:rPr>
                <w:b w:val="0"/>
                <w:i w:val="0"/>
                <w:sz w:val="15"/>
              </w:rPr>
              <w:t>HIPAA: HHS access made “subject to any applicable legal privileges”; access period 15 business days (T: 10); amendment period 30 days (T: 10 business days); mitigation and regulatory-change clauses dropped.</w:t>
            </w:r>
          </w:p>
        </w:tc>
        <w:tc>
          <w:tcPr>
            <w:tcW w:type="dxa" w:w="1728"/>
          </w:tcPr>
          <w:p>
            <w:pPr>
              <w:spacing w:after="20" w:before="0"/>
            </w:pPr>
            <w:r/>
            <w:r>
              <w:rPr>
                <w:b w:val="0"/>
                <w:i w:val="0"/>
                <w:sz w:val="15"/>
              </w:rPr>
              <w:t>T 17.5-17.10</w:t>
            </w:r>
          </w:p>
        </w:tc>
        <w:tc>
          <w:tcPr>
            <w:tcW w:type="dxa" w:w="1080"/>
            <w:shd w:val="clear" w:color="auto" w:fill="F4C7C3"/>
          </w:tcPr>
          <w:p>
            <w:pPr>
              <w:spacing w:after="20" w:before="0"/>
            </w:pPr>
            <w:r/>
            <w:r>
              <w:rPr>
                <w:b w:val="0"/>
                <w:i w:val="0"/>
                <w:sz w:val="15"/>
              </w:rPr>
              <w:t>RED</w:t>
            </w:r>
          </w:p>
        </w:tc>
        <w:tc>
          <w:tcPr>
            <w:tcW w:type="dxa" w:w="3672"/>
          </w:tcPr>
          <w:p>
            <w:pPr>
              <w:spacing w:after="20" w:before="0"/>
            </w:pPr>
            <w:r/>
            <w:r>
              <w:rPr>
                <w:b w:val="0"/>
                <w:i w:val="0"/>
                <w:sz w:val="15"/>
              </w:rPr>
              <w:t>Restore (Topic 15). See 4.15.</w:t>
            </w:r>
          </w:p>
        </w:tc>
      </w:tr>
      <w:tr>
        <w:tc>
          <w:tcPr>
            <w:tcW w:type="dxa" w:w="720"/>
          </w:tcPr>
          <w:p>
            <w:pPr>
              <w:spacing w:after="20" w:before="0"/>
            </w:pPr>
            <w:r/>
            <w:r>
              <w:rPr>
                <w:b w:val="0"/>
                <w:i w:val="0"/>
                <w:sz w:val="15"/>
              </w:rPr>
              <w:t>U-20</w:t>
            </w:r>
          </w:p>
        </w:tc>
        <w:tc>
          <w:tcPr>
            <w:tcW w:type="dxa" w:w="6336"/>
          </w:tcPr>
          <w:p>
            <w:pPr>
              <w:spacing w:after="20" w:before="0"/>
            </w:pPr>
            <w:r/>
            <w:r>
              <w:rPr>
                <w:b w:val="0"/>
                <w:i w:val="0"/>
                <w:sz w:val="15"/>
              </w:rPr>
              <w:t>New RL 12.3: DPIA assistance may be charged where the scope is “disproportionate or unreasonable”.</w:t>
            </w:r>
          </w:p>
        </w:tc>
        <w:tc>
          <w:tcPr>
            <w:tcW w:type="dxa" w:w="1728"/>
          </w:tcPr>
          <w:p>
            <w:pPr>
              <w:spacing w:after="20" w:before="0"/>
            </w:pPr>
            <w:r/>
            <w:r>
              <w:rPr>
                <w:b w:val="0"/>
                <w:i w:val="0"/>
                <w:sz w:val="15"/>
              </w:rPr>
              <w:t>T 19.1-19.2 (no cost; 10 business day response)</w:t>
            </w:r>
          </w:p>
        </w:tc>
        <w:tc>
          <w:tcPr>
            <w:tcW w:type="dxa" w:w="1080"/>
            <w:shd w:val="clear" w:color="auto" w:fill="FFF2CC"/>
          </w:tcPr>
          <w:p>
            <w:pPr>
              <w:spacing w:after="20" w:before="0"/>
            </w:pPr>
            <w:r/>
            <w:r>
              <w:rPr>
                <w:b w:val="0"/>
                <w:i w:val="0"/>
                <w:sz w:val="15"/>
              </w:rPr>
              <w:t>YELLOW</w:t>
            </w:r>
          </w:p>
        </w:tc>
        <w:tc>
          <w:tcPr>
            <w:tcW w:type="dxa" w:w="3672"/>
          </w:tcPr>
          <w:p>
            <w:pPr>
              <w:spacing w:after="20" w:before="0"/>
            </w:pPr>
            <w:r/>
            <w:r>
              <w:rPr>
                <w:b w:val="0"/>
                <w:i w:val="0"/>
                <w:sz w:val="15"/>
              </w:rPr>
              <w:t>CPO: acceptable only if “disproportionate” is objectively defined and DPIAs for this platform (biometrics, health data, any new transfer) are expressly included in the fees. Restore the 10 business day response.</w:t>
            </w:r>
          </w:p>
        </w:tc>
      </w:tr>
      <w:tr>
        <w:tc>
          <w:tcPr>
            <w:tcW w:type="dxa" w:w="720"/>
          </w:tcPr>
          <w:p>
            <w:pPr>
              <w:spacing w:after="20" w:before="0"/>
            </w:pPr>
            <w:r/>
            <w:r>
              <w:rPr>
                <w:b w:val="0"/>
                <w:i w:val="0"/>
                <w:sz w:val="15"/>
              </w:rPr>
              <w:t>U-21</w:t>
            </w:r>
          </w:p>
        </w:tc>
        <w:tc>
          <w:tcPr>
            <w:tcW w:type="dxa" w:w="6336"/>
          </w:tcPr>
          <w:p>
            <w:pPr>
              <w:spacing w:after="20" w:before="0"/>
            </w:pPr>
            <w:r/>
            <w:r>
              <w:rPr>
                <w:b w:val="0"/>
                <w:i w:val="0"/>
                <w:sz w:val="15"/>
              </w:rPr>
              <w:t>Notices: no email delivery; notices go to the preamble addresses; named recipients (GC, CPO, CloudNest GC Fiona Ashworth-Baines, DPO Dr. Henrik Lindqvist) dropped.</w:t>
            </w:r>
          </w:p>
        </w:tc>
        <w:tc>
          <w:tcPr>
            <w:tcW w:type="dxa" w:w="1728"/>
          </w:tcPr>
          <w:p>
            <w:pPr>
              <w:spacing w:after="20" w:before="0"/>
            </w:pPr>
            <w:r/>
            <w:r>
              <w:rPr>
                <w:b w:val="0"/>
                <w:i w:val="0"/>
                <w:sz w:val="15"/>
              </w:rPr>
              <w:t>T 21.1-21.2, 3.5, 4.10</w:t>
            </w:r>
          </w:p>
        </w:tc>
        <w:tc>
          <w:tcPr>
            <w:tcW w:type="dxa" w:w="1080"/>
            <w:shd w:val="clear" w:color="auto" w:fill="FFF2CC"/>
          </w:tcPr>
          <w:p>
            <w:pPr>
              <w:spacing w:after="20" w:before="0"/>
            </w:pPr>
            <w:r/>
            <w:r>
              <w:rPr>
                <w:b w:val="0"/>
                <w:i w:val="0"/>
                <w:sz w:val="15"/>
              </w:rPr>
              <w:t>YELLOW</w:t>
            </w:r>
          </w:p>
        </w:tc>
        <w:tc>
          <w:tcPr>
            <w:tcW w:type="dxa" w:w="3672"/>
          </w:tcPr>
          <w:p>
            <w:pPr>
              <w:spacing w:after="20" w:before="0"/>
            </w:pPr>
            <w:r/>
            <w:r>
              <w:rPr>
                <w:b w:val="0"/>
                <w:i w:val="0"/>
                <w:sz w:val="15"/>
              </w:rPr>
              <w:t>Restore T 21 (email and named contacts). This is needed for 24-hour breach notices.</w:t>
            </w:r>
          </w:p>
        </w:tc>
      </w:tr>
      <w:tr>
        <w:tc>
          <w:tcPr>
            <w:tcW w:type="dxa" w:w="720"/>
          </w:tcPr>
          <w:p>
            <w:pPr>
              <w:spacing w:after="20" w:before="0"/>
            </w:pPr>
            <w:r/>
            <w:r>
              <w:rPr>
                <w:b w:val="0"/>
                <w:i w:val="0"/>
                <w:sz w:val="15"/>
              </w:rPr>
              <w:t>U-22</w:t>
            </w:r>
          </w:p>
        </w:tc>
        <w:tc>
          <w:tcPr>
            <w:tcW w:type="dxa" w:w="6336"/>
          </w:tcPr>
          <w:p>
            <w:pPr>
              <w:spacing w:after="20" w:before="0"/>
            </w:pPr>
            <w:r/>
            <w:r>
              <w:rPr>
                <w:b w:val="0"/>
                <w:i w:val="0"/>
                <w:sz w:val="15"/>
              </w:rPr>
              <w:t>RL 23.7 “No Third-Party Beneficiaries” replaces T 22.6, which makes Data Subjects third-party beneficiaries as required by SCC Clause 3.</w:t>
            </w:r>
          </w:p>
        </w:tc>
        <w:tc>
          <w:tcPr>
            <w:tcW w:type="dxa" w:w="1728"/>
          </w:tcPr>
          <w:p>
            <w:pPr>
              <w:spacing w:after="20" w:before="0"/>
            </w:pPr>
            <w:r/>
            <w:r>
              <w:rPr>
                <w:b w:val="0"/>
                <w:i w:val="0"/>
                <w:sz w:val="15"/>
              </w:rPr>
              <w:t>T 22.6</w:t>
            </w:r>
          </w:p>
        </w:tc>
        <w:tc>
          <w:tcPr>
            <w:tcW w:type="dxa" w:w="1080"/>
            <w:shd w:val="clear" w:color="auto" w:fill="FFF2CC"/>
          </w:tcPr>
          <w:p>
            <w:pPr>
              <w:spacing w:after="20" w:before="0"/>
            </w:pPr>
            <w:r/>
            <w:r>
              <w:rPr>
                <w:b w:val="0"/>
                <w:i w:val="0"/>
                <w:sz w:val="15"/>
              </w:rPr>
              <w:t>YELLOW</w:t>
            </w:r>
          </w:p>
        </w:tc>
        <w:tc>
          <w:tcPr>
            <w:tcW w:type="dxa" w:w="3672"/>
          </w:tcPr>
          <w:p>
            <w:pPr>
              <w:spacing w:after="20" w:before="0"/>
            </w:pPr>
            <w:r/>
            <w:r>
              <w:rPr>
                <w:b w:val="0"/>
                <w:i w:val="0"/>
                <w:sz w:val="15"/>
              </w:rPr>
              <w:t>Restore T 22.6 (consult C. Holloway). This would conflict with the SCCs if any transfer is ever approved.</w:t>
            </w:r>
          </w:p>
        </w:tc>
      </w:tr>
      <w:tr>
        <w:tc>
          <w:tcPr>
            <w:tcW w:type="dxa" w:w="720"/>
          </w:tcPr>
          <w:p>
            <w:pPr>
              <w:spacing w:after="20" w:before="0"/>
            </w:pPr>
            <w:r/>
            <w:r>
              <w:rPr>
                <w:b w:val="0"/>
                <w:i w:val="0"/>
                <w:sz w:val="15"/>
              </w:rPr>
              <w:t>U-23</w:t>
            </w:r>
          </w:p>
        </w:tc>
        <w:tc>
          <w:tcPr>
            <w:tcW w:type="dxa" w:w="6336"/>
          </w:tcPr>
          <w:p>
            <w:pPr>
              <w:spacing w:after="20" w:before="0"/>
            </w:pPr>
            <w:r/>
            <w:r>
              <w:rPr>
                <w:b w:val="0"/>
                <w:i w:val="0"/>
                <w:sz w:val="15"/>
              </w:rPr>
              <w:t>Assignment clause dropped (Controller’s right to assign to affiliates or on M&amp;A without consent; void assignment).</w:t>
            </w:r>
          </w:p>
        </w:tc>
        <w:tc>
          <w:tcPr>
            <w:tcW w:type="dxa" w:w="1728"/>
          </w:tcPr>
          <w:p>
            <w:pPr>
              <w:spacing w:after="20" w:before="0"/>
            </w:pPr>
            <w:r/>
            <w:r>
              <w:rPr>
                <w:b w:val="0"/>
                <w:i w:val="0"/>
                <w:sz w:val="15"/>
              </w:rPr>
              <w:t>T 22.5</w:t>
            </w:r>
          </w:p>
        </w:tc>
        <w:tc>
          <w:tcPr>
            <w:tcW w:type="dxa" w:w="1080"/>
            <w:shd w:val="clear" w:color="auto" w:fill="FFF2CC"/>
          </w:tcPr>
          <w:p>
            <w:pPr>
              <w:spacing w:after="20" w:before="0"/>
            </w:pPr>
            <w:r/>
            <w:r>
              <w:rPr>
                <w:b w:val="0"/>
                <w:i w:val="0"/>
                <w:sz w:val="15"/>
              </w:rPr>
              <w:t>YELLOW</w:t>
            </w:r>
          </w:p>
        </w:tc>
        <w:tc>
          <w:tcPr>
            <w:tcW w:type="dxa" w:w="3672"/>
          </w:tcPr>
          <w:p>
            <w:pPr>
              <w:spacing w:after="20" w:before="0"/>
            </w:pPr>
            <w:r/>
            <w:r>
              <w:rPr>
                <w:b w:val="0"/>
                <w:i w:val="0"/>
                <w:sz w:val="15"/>
              </w:rPr>
              <w:t>Restore. Protects Stratton’s corporate flexibility and stops CloudNest assigning freely.</w:t>
            </w:r>
          </w:p>
        </w:tc>
      </w:tr>
      <w:tr>
        <w:tc>
          <w:tcPr>
            <w:tcW w:type="dxa" w:w="720"/>
          </w:tcPr>
          <w:p>
            <w:pPr>
              <w:spacing w:after="20" w:before="0"/>
            </w:pPr>
            <w:r/>
            <w:r>
              <w:rPr>
                <w:b w:val="0"/>
                <w:i w:val="0"/>
                <w:sz w:val="15"/>
              </w:rPr>
              <w:t>U-24</w:t>
            </w:r>
          </w:p>
        </w:tc>
        <w:tc>
          <w:tcPr>
            <w:tcW w:type="dxa" w:w="6336"/>
          </w:tcPr>
          <w:p>
            <w:pPr>
              <w:spacing w:after="20" w:before="0"/>
            </w:pPr>
            <w:r/>
            <w:r>
              <w:rPr>
                <w:b w:val="0"/>
                <w:i w:val="0"/>
                <w:sz w:val="15"/>
              </w:rPr>
              <w:t xml:space="preserve">Annex 1 omits healthcare-provider data (licence, DEA, NPI), </w:t>
            </w:r>
            <w:r>
              <w:rPr>
                <w:b/>
                <w:i w:val="0"/>
                <w:sz w:val="15"/>
              </w:rPr>
              <w:t>communications data (telemedicine audio/video recordings, secure messages)</w:t>
            </w:r>
            <w:r>
              <w:rPr>
                <w:b w:val="0"/>
                <w:i w:val="0"/>
                <w:sz w:val="15"/>
              </w:rPr>
              <w:t>, administrative users and CVV detail. The Frankfurt facility is named “Sossenheim” (T: “Frankfurt-Rödelheim Campus”) and London “Docklands” (T: “Docklands Campus”).</w:t>
            </w:r>
          </w:p>
        </w:tc>
        <w:tc>
          <w:tcPr>
            <w:tcW w:type="dxa" w:w="1728"/>
          </w:tcPr>
          <w:p>
            <w:pPr>
              <w:spacing w:after="20" w:before="0"/>
            </w:pPr>
            <w:r/>
            <w:r>
              <w:rPr>
                <w:b w:val="0"/>
                <w:i w:val="0"/>
                <w:sz w:val="15"/>
              </w:rPr>
              <w:t>T A1.3-A1.5</w:t>
            </w:r>
          </w:p>
        </w:tc>
        <w:tc>
          <w:tcPr>
            <w:tcW w:type="dxa" w:w="1080"/>
            <w:shd w:val="clear" w:color="auto" w:fill="FFF2CC"/>
          </w:tcPr>
          <w:p>
            <w:pPr>
              <w:spacing w:after="20" w:before="0"/>
            </w:pPr>
            <w:r/>
            <w:r>
              <w:rPr>
                <w:b w:val="0"/>
                <w:i w:val="0"/>
                <w:sz w:val="15"/>
              </w:rPr>
              <w:t>YELLOW</w:t>
            </w:r>
          </w:p>
        </w:tc>
        <w:tc>
          <w:tcPr>
            <w:tcW w:type="dxa" w:w="3672"/>
          </w:tcPr>
          <w:p>
            <w:pPr>
              <w:spacing w:after="20" w:before="0"/>
            </w:pPr>
            <w:r/>
            <w:r>
              <w:rPr>
                <w:b w:val="0"/>
                <w:i w:val="0"/>
                <w:sz w:val="15"/>
              </w:rPr>
              <w:t>Restore the T Annex 1 categories (MSA §22.3(b)). Ask CloudNest to confirm the correct Frankfurt facility. The discrepancy must be resolved because authorisation is facility-specific.</w:t>
            </w:r>
          </w:p>
        </w:tc>
      </w:tr>
      <w:tr>
        <w:tc>
          <w:tcPr>
            <w:tcW w:type="dxa" w:w="720"/>
          </w:tcPr>
          <w:p>
            <w:pPr>
              <w:spacing w:after="20" w:before="0"/>
            </w:pPr>
            <w:r/>
            <w:r>
              <w:rPr>
                <w:b w:val="0"/>
                <w:i w:val="0"/>
                <w:sz w:val="15"/>
              </w:rPr>
              <w:t>U-25</w:t>
            </w:r>
          </w:p>
        </w:tc>
        <w:tc>
          <w:tcPr>
            <w:tcW w:type="dxa" w:w="6336"/>
          </w:tcPr>
          <w:p>
            <w:pPr>
              <w:spacing w:after="20" w:before="0"/>
            </w:pPr>
            <w:r/>
            <w:r>
              <w:rPr>
                <w:b w:val="0"/>
                <w:i w:val="0"/>
                <w:sz w:val="15"/>
              </w:rPr>
              <w:t>Annex 4: SCC Clause 9(a) Option 1, Clause 7 docking, Clause 11 redress, the Irish DPC and Irish law/forum (Clauses 13, 17, 18) are dropped; governing law is left “to be agreed”.</w:t>
            </w:r>
          </w:p>
        </w:tc>
        <w:tc>
          <w:tcPr>
            <w:tcW w:type="dxa" w:w="1728"/>
          </w:tcPr>
          <w:p>
            <w:pPr>
              <w:spacing w:after="20" w:before="0"/>
            </w:pPr>
            <w:r/>
            <w:r>
              <w:rPr>
                <w:b w:val="0"/>
                <w:i w:val="0"/>
                <w:sz w:val="15"/>
              </w:rPr>
              <w:t>Annex 4 A4.1-A4.3</w:t>
            </w:r>
          </w:p>
        </w:tc>
        <w:tc>
          <w:tcPr>
            <w:tcW w:type="dxa" w:w="1080"/>
            <w:shd w:val="clear" w:color="auto" w:fill="F4C7C3"/>
          </w:tcPr>
          <w:p>
            <w:pPr>
              <w:spacing w:after="20" w:before="0"/>
            </w:pPr>
            <w:r/>
            <w:r>
              <w:rPr>
                <w:b w:val="0"/>
                <w:i w:val="0"/>
                <w:sz w:val="15"/>
              </w:rPr>
              <w:t>RED</w:t>
            </w:r>
          </w:p>
        </w:tc>
        <w:tc>
          <w:tcPr>
            <w:tcW w:type="dxa" w:w="3672"/>
          </w:tcPr>
          <w:p>
            <w:pPr>
              <w:spacing w:after="20" w:before="0"/>
            </w:pPr>
            <w:r/>
            <w:r>
              <w:rPr>
                <w:b w:val="0"/>
                <w:i w:val="0"/>
                <w:sz w:val="15"/>
              </w:rPr>
              <w:t>Restore (Topics 1, 4).</w:t>
            </w:r>
          </w:p>
        </w:tc>
      </w:tr>
      <w:tr>
        <w:tc>
          <w:tcPr>
            <w:tcW w:type="dxa" w:w="720"/>
          </w:tcPr>
          <w:p>
            <w:pPr>
              <w:spacing w:after="20" w:before="0"/>
            </w:pPr>
            <w:r/>
            <w:r>
              <w:rPr>
                <w:b w:val="0"/>
                <w:i w:val="0"/>
                <w:sz w:val="15"/>
              </w:rPr>
              <w:t>U-26</w:t>
            </w:r>
          </w:p>
        </w:tc>
        <w:tc>
          <w:tcPr>
            <w:tcW w:type="dxa" w:w="6336"/>
          </w:tcPr>
          <w:p>
            <w:pPr>
              <w:spacing w:after="20" w:before="0"/>
            </w:pPr>
            <w:r/>
            <w:r>
              <w:rPr>
                <w:b w:val="0"/>
                <w:i w:val="0"/>
                <w:sz w:val="15"/>
              </w:rPr>
              <w:t>Processor DPO designation, records of confidentiality undertakings and disciplinary policy dropped.</w:t>
            </w:r>
          </w:p>
        </w:tc>
        <w:tc>
          <w:tcPr>
            <w:tcW w:type="dxa" w:w="1728"/>
          </w:tcPr>
          <w:p>
            <w:pPr>
              <w:spacing w:after="20" w:before="0"/>
            </w:pPr>
            <w:r/>
            <w:r>
              <w:rPr>
                <w:b w:val="0"/>
                <w:i w:val="0"/>
                <w:sz w:val="15"/>
              </w:rPr>
              <w:t>T 4.2, 4.10, 6.3</w:t>
            </w:r>
          </w:p>
        </w:tc>
        <w:tc>
          <w:tcPr>
            <w:tcW w:type="dxa" w:w="1080"/>
            <w:shd w:val="clear" w:color="auto" w:fill="FFF2CC"/>
          </w:tcPr>
          <w:p>
            <w:pPr>
              <w:spacing w:after="20" w:before="0"/>
            </w:pPr>
            <w:r/>
            <w:r>
              <w:rPr>
                <w:b w:val="0"/>
                <w:i w:val="0"/>
                <w:sz w:val="15"/>
              </w:rPr>
              <w:t>YELLOW</w:t>
            </w:r>
          </w:p>
        </w:tc>
        <w:tc>
          <w:tcPr>
            <w:tcW w:type="dxa" w:w="3672"/>
          </w:tcPr>
          <w:p>
            <w:pPr>
              <w:spacing w:after="20" w:before="0"/>
            </w:pPr>
            <w:r/>
            <w:r>
              <w:rPr>
                <w:b w:val="0"/>
                <w:i w:val="0"/>
                <w:sz w:val="15"/>
              </w:rPr>
              <w:t>Restore (low priority).</w:t>
            </w:r>
          </w:p>
        </w:tc>
      </w:tr>
      <w:tr>
        <w:tc>
          <w:tcPr>
            <w:tcW w:type="dxa" w:w="720"/>
          </w:tcPr>
          <w:p>
            <w:pPr>
              <w:spacing w:after="20" w:before="0"/>
            </w:pPr>
            <w:r/>
            <w:r>
              <w:rPr>
                <w:b w:val="0"/>
                <w:i w:val="0"/>
                <w:sz w:val="15"/>
              </w:rPr>
              <w:t>U-27</w:t>
            </w:r>
          </w:p>
        </w:tc>
        <w:tc>
          <w:tcPr>
            <w:tcW w:type="dxa" w:w="6336"/>
          </w:tcPr>
          <w:p>
            <w:pPr>
              <w:spacing w:after="20" w:before="0"/>
            </w:pPr>
            <w:r/>
            <w:r>
              <w:rPr>
                <w:b w:val="0"/>
                <w:i w:val="0"/>
                <w:sz w:val="15"/>
              </w:rPr>
              <w:t>Instruction framework simplified: T 2.1 (complete instructions; Controller may issue compliance-driven instructions unilaterally) and T 2.2 Annex 1 change mechanism dropped.</w:t>
            </w:r>
          </w:p>
        </w:tc>
        <w:tc>
          <w:tcPr>
            <w:tcW w:type="dxa" w:w="1728"/>
          </w:tcPr>
          <w:p>
            <w:pPr>
              <w:spacing w:after="20" w:before="0"/>
            </w:pPr>
            <w:r/>
            <w:r>
              <w:rPr>
                <w:b w:val="0"/>
                <w:i w:val="0"/>
                <w:sz w:val="15"/>
              </w:rPr>
              <w:t>T 2.1-2.2</w:t>
            </w:r>
          </w:p>
        </w:tc>
        <w:tc>
          <w:tcPr>
            <w:tcW w:type="dxa" w:w="1080"/>
            <w:shd w:val="clear" w:color="auto" w:fill="FFF2CC"/>
          </w:tcPr>
          <w:p>
            <w:pPr>
              <w:spacing w:after="20" w:before="0"/>
            </w:pPr>
            <w:r/>
            <w:r>
              <w:rPr>
                <w:b w:val="0"/>
                <w:i w:val="0"/>
                <w:sz w:val="15"/>
              </w:rPr>
              <w:t>YELLOW</w:t>
            </w:r>
          </w:p>
        </w:tc>
        <w:tc>
          <w:tcPr>
            <w:tcW w:type="dxa" w:w="3672"/>
          </w:tcPr>
          <w:p>
            <w:pPr>
              <w:spacing w:after="20" w:before="0"/>
            </w:pPr>
            <w:r/>
            <w:r>
              <w:rPr>
                <w:b w:val="0"/>
                <w:i w:val="0"/>
                <w:sz w:val="15"/>
              </w:rPr>
              <w:t>Restore (low priority).</w:t>
            </w:r>
          </w:p>
        </w:tc>
      </w:tr>
      <w:tr>
        <w:tc>
          <w:tcPr>
            <w:tcW w:type="dxa" w:w="720"/>
          </w:tcPr>
          <w:p>
            <w:pPr>
              <w:spacing w:after="20" w:before="0"/>
            </w:pPr>
            <w:r/>
            <w:r>
              <w:rPr>
                <w:b w:val="0"/>
                <w:i w:val="0"/>
                <w:sz w:val="15"/>
              </w:rPr>
              <w:t>U-28</w:t>
            </w:r>
          </w:p>
        </w:tc>
        <w:tc>
          <w:tcPr>
            <w:tcW w:type="dxa" w:w="6336"/>
          </w:tcPr>
          <w:p>
            <w:pPr>
              <w:spacing w:after="20" w:before="0"/>
            </w:pPr>
            <w:r/>
            <w:r>
              <w:rPr>
                <w:b w:val="0"/>
                <w:i w:val="0"/>
                <w:sz w:val="15"/>
              </w:rPr>
              <w:t>“CONFIDENTIAL - SUBJECT TO CONTRACT” legend, “Prepared by Barrington Reeves LLP” footer and inline “[COMMENT PV-xx]” text are embedded in the body of the agreement.</w:t>
            </w:r>
          </w:p>
        </w:tc>
        <w:tc>
          <w:tcPr>
            <w:tcW w:type="dxa" w:w="1728"/>
          </w:tcPr>
          <w:p>
            <w:pPr>
              <w:spacing w:after="20" w:before="0"/>
            </w:pPr>
            <w:r/>
            <w:r>
              <w:rPr>
                <w:b w:val="0"/>
                <w:i w:val="0"/>
                <w:sz w:val="15"/>
              </w:rPr>
              <w:t>—</w:t>
            </w:r>
          </w:p>
        </w:tc>
        <w:tc>
          <w:tcPr>
            <w:tcW w:type="dxa" w:w="1080"/>
            <w:shd w:val="clear" w:color="auto" w:fill="FFF2CC"/>
          </w:tcPr>
          <w:p>
            <w:pPr>
              <w:spacing w:after="20" w:before="0"/>
            </w:pPr>
            <w:r/>
            <w:r>
              <w:rPr>
                <w:b w:val="0"/>
                <w:i w:val="0"/>
                <w:sz w:val="15"/>
              </w:rPr>
              <w:t>YELLOW</w:t>
            </w:r>
          </w:p>
        </w:tc>
        <w:tc>
          <w:tcPr>
            <w:tcW w:type="dxa" w:w="3672"/>
          </w:tcPr>
          <w:p>
            <w:pPr>
              <w:spacing w:after="20" w:before="0"/>
            </w:pPr>
            <w:r/>
            <w:r>
              <w:rPr>
                <w:b w:val="0"/>
                <w:i w:val="0"/>
                <w:sz w:val="15"/>
              </w:rPr>
              <w:t>Housekeeping: remove from any execution version. Our turn should be on Template v3.2.</w:t>
            </w:r>
          </w:p>
        </w:tc>
      </w:tr>
    </w:tbl>
    <w:p>
      <w:pPr>
        <w:spacing w:after="40"/>
      </w:pPr>
    </w:p>
    <w:p>
      <w:pPr>
        <w:pStyle w:val="Heading1"/>
      </w:pPr>
      <w:r>
        <w:t>7. Integrated Risk Assessment and Conflicts with the Executed MSA</w:t>
      </w:r>
    </w:p>
    <w:p>
      <w:pPr>
        <w:spacing w:after="80"/>
      </w:pPr>
      <w:r>
        <w:rPr>
          <w:b/>
          <w:i w:val="0"/>
          <w:sz w:val="21"/>
        </w:rPr>
        <w:t>Combined financial protection (Topics 6, 7, 14, assessed together as Topic 14 requires).</w:t>
      </w:r>
      <w:r>
        <w:rPr>
          <w:b w:val="0"/>
          <w:i w:val="0"/>
          <w:sz w:val="21"/>
        </w:rPr>
        <w:t xml:space="preserve"> Under Template v3.2, Stratton’s recovery for a CloudNest-caused breach rests on three layers: (1) liability of at least $55.8M outside the MSA cap; (2) an uncapped, breach-triggered indemnity covering regulatory fines (supported by MSA §16.3); and (3) $50M/$100M of cyber insurance with Stratton as additional insured and a 3-year tail. Under the markup: (1) becomes $18.6M, mutual, after a consequential-loss exclusion; (2) becomes a gross-negligence-only, direct-damages, fines-excluded indemnity; and (3) disappears. For a breach affecting a material share of 2.3M patient records, notification, credit monitoring, forensics, OCR/ICO/state AG penalties and class claims could far exceed $18.6M. Accepting the package would leave Stratton largely self-insured against its vendor’s failures.</w:t>
      </w:r>
    </w:p>
    <w:tbl>
      <w:tblPr>
        <w:tblStyle w:val="TableGrid"/>
        <w:tblW w:type="auto" w:w="0"/>
        <w:jc w:val="center"/>
        <w:tblLayout w:type="fixed"/>
        <w:tblLook w:firstColumn="1" w:firstRow="1" w:lastColumn="0" w:lastRow="0" w:noHBand="0" w:noVBand="1" w:val="04A0"/>
      </w:tblPr>
      <w:tblGrid>
        <w:gridCol w:w="3420"/>
        <w:gridCol w:w="3420"/>
        <w:gridCol w:w="3420"/>
        <w:gridCol w:w="3420"/>
      </w:tblGrid>
      <w:tr>
        <w:trPr>
          <w:tblHeader w:val="true"/>
        </w:trPr>
        <w:tc>
          <w:tcPr>
            <w:tcW w:type="dxa" w:w="1872"/>
            <w:shd w:val="clear" w:color="auto" w:fill="1F3864"/>
          </w:tcPr>
          <w:p>
            <w:pPr>
              <w:spacing w:after="20" w:before="0"/>
            </w:pPr>
            <w:r/>
            <w:r>
              <w:rPr>
                <w:b/>
                <w:i w:val="0"/>
                <w:color w:val="FFFFFF"/>
                <w:sz w:val="16"/>
              </w:rPr>
              <w:t>Issue</w:t>
            </w:r>
          </w:p>
        </w:tc>
        <w:tc>
          <w:tcPr>
            <w:tcW w:type="dxa" w:w="4320"/>
            <w:shd w:val="clear" w:color="auto" w:fill="1F3864"/>
          </w:tcPr>
          <w:p>
            <w:pPr>
              <w:spacing w:after="20" w:before="0"/>
            </w:pPr>
            <w:r/>
            <w:r>
              <w:rPr>
                <w:b/>
                <w:i w:val="0"/>
                <w:color w:val="FFFFFF"/>
                <w:sz w:val="16"/>
              </w:rPr>
              <w:t>Executed MSA position</w:t>
            </w:r>
          </w:p>
        </w:tc>
        <w:tc>
          <w:tcPr>
            <w:tcW w:type="dxa" w:w="3744"/>
            <w:shd w:val="clear" w:color="auto" w:fill="1F3864"/>
          </w:tcPr>
          <w:p>
            <w:pPr>
              <w:spacing w:after="20" w:before="0"/>
            </w:pPr>
            <w:r/>
            <w:r>
              <w:rPr>
                <w:b/>
                <w:i w:val="0"/>
                <w:color w:val="FFFFFF"/>
                <w:sz w:val="16"/>
              </w:rPr>
              <w:t>CloudNest DPA markup</w:t>
            </w:r>
          </w:p>
        </w:tc>
        <w:tc>
          <w:tcPr>
            <w:tcW w:type="dxa" w:w="3600"/>
            <w:shd w:val="clear" w:color="auto" w:fill="1F3864"/>
          </w:tcPr>
          <w:p>
            <w:pPr>
              <w:spacing w:after="20" w:before="0"/>
            </w:pPr>
            <w:r/>
            <w:r>
              <w:rPr>
                <w:b/>
                <w:i w:val="0"/>
                <w:color w:val="FFFFFF"/>
                <w:sz w:val="16"/>
              </w:rPr>
              <w:t>Consequence</w:t>
            </w:r>
          </w:p>
        </w:tc>
      </w:tr>
      <w:tr>
        <w:tc>
          <w:tcPr>
            <w:tcW w:type="dxa" w:w="1872"/>
          </w:tcPr>
          <w:p>
            <w:pPr>
              <w:spacing w:after="20" w:before="0"/>
            </w:pPr>
            <w:r/>
            <w:r>
              <w:rPr>
                <w:b w:val="0"/>
                <w:i w:val="0"/>
                <w:sz w:val="16"/>
              </w:rPr>
              <w:t>Liability floor</w:t>
            </w:r>
          </w:p>
        </w:tc>
        <w:tc>
          <w:tcPr>
            <w:tcW w:type="dxa" w:w="4320"/>
          </w:tcPr>
          <w:p>
            <w:pPr>
              <w:spacing w:after="20" w:before="0"/>
            </w:pPr>
            <w:r/>
            <w:r>
              <w:rPr>
                <w:b w:val="0"/>
                <w:i w:val="0"/>
                <w:sz w:val="16"/>
              </w:rPr>
              <w:t>MSA §15.3: DPA cap no lower than 3× Annual Fee ($55.8M); DPA breaches are Enhanced Cap Obligations (§15.2).</w:t>
            </w:r>
          </w:p>
        </w:tc>
        <w:tc>
          <w:tcPr>
            <w:tcW w:type="dxa" w:w="3744"/>
          </w:tcPr>
          <w:p>
            <w:pPr>
              <w:spacing w:after="20" w:before="0"/>
            </w:pPr>
            <w:r/>
            <w:r>
              <w:rPr>
                <w:b w:val="0"/>
                <w:i w:val="0"/>
                <w:sz w:val="16"/>
              </w:rPr>
              <w:t>RL 13.1(a): 1× ($18.6M), mutual.</w:t>
            </w:r>
          </w:p>
        </w:tc>
        <w:tc>
          <w:tcPr>
            <w:tcW w:type="dxa" w:w="3600"/>
          </w:tcPr>
          <w:p>
            <w:pPr>
              <w:spacing w:after="20" w:before="0"/>
            </w:pPr>
            <w:r/>
            <w:r>
              <w:rPr>
                <w:b w:val="0"/>
                <w:i w:val="0"/>
                <w:sz w:val="16"/>
              </w:rPr>
              <w:t>Direct conflict; $37.2M below the floor and below even the 2× general cap.</w:t>
            </w:r>
          </w:p>
        </w:tc>
      </w:tr>
      <w:tr>
        <w:tc>
          <w:tcPr>
            <w:tcW w:type="dxa" w:w="1872"/>
          </w:tcPr>
          <w:p>
            <w:pPr>
              <w:spacing w:after="20" w:before="0"/>
            </w:pPr>
            <w:r/>
            <w:r>
              <w:rPr>
                <w:b w:val="0"/>
                <w:i w:val="0"/>
                <w:sz w:val="16"/>
              </w:rPr>
              <w:t>Consequential loss</w:t>
            </w:r>
          </w:p>
        </w:tc>
        <w:tc>
          <w:tcPr>
            <w:tcW w:type="dxa" w:w="4320"/>
          </w:tcPr>
          <w:p>
            <w:pPr>
              <w:spacing w:after="20" w:before="0"/>
            </w:pPr>
            <w:r/>
            <w:r>
              <w:rPr>
                <w:b w:val="0"/>
                <w:i w:val="0"/>
                <w:sz w:val="16"/>
              </w:rPr>
              <w:t>MSA: neither party excludes indirect or consequential damages except the narrow §15.5 carve-out.</w:t>
            </w:r>
          </w:p>
        </w:tc>
        <w:tc>
          <w:tcPr>
            <w:tcW w:type="dxa" w:w="3744"/>
          </w:tcPr>
          <w:p>
            <w:pPr>
              <w:spacing w:after="20" w:before="0"/>
            </w:pPr>
            <w:r/>
            <w:r>
              <w:rPr>
                <w:b w:val="0"/>
                <w:i w:val="0"/>
                <w:sz w:val="16"/>
              </w:rPr>
              <w:t>RL 13.1(c) (untracked): full mutual exclusion, including “loss of data”.</w:t>
            </w:r>
          </w:p>
        </w:tc>
        <w:tc>
          <w:tcPr>
            <w:tcW w:type="dxa" w:w="3600"/>
          </w:tcPr>
          <w:p>
            <w:pPr>
              <w:spacing w:after="20" w:before="0"/>
            </w:pPr>
            <w:r/>
            <w:r>
              <w:rPr>
                <w:b w:val="0"/>
                <w:i w:val="0"/>
                <w:sz w:val="16"/>
              </w:rPr>
              <w:t>Inconsistent; it would gut recovery of breach-response costs.</w:t>
            </w:r>
          </w:p>
        </w:tc>
      </w:tr>
      <w:tr>
        <w:tc>
          <w:tcPr>
            <w:tcW w:type="dxa" w:w="1872"/>
          </w:tcPr>
          <w:p>
            <w:pPr>
              <w:spacing w:after="20" w:before="0"/>
            </w:pPr>
            <w:r/>
            <w:r>
              <w:rPr>
                <w:b w:val="0"/>
                <w:i w:val="0"/>
                <w:sz w:val="16"/>
              </w:rPr>
              <w:t>Indemnity</w:t>
            </w:r>
          </w:p>
        </w:tc>
        <w:tc>
          <w:tcPr>
            <w:tcW w:type="dxa" w:w="4320"/>
          </w:tcPr>
          <w:p>
            <w:pPr>
              <w:spacing w:after="20" w:before="0"/>
            </w:pPr>
            <w:r/>
            <w:r>
              <w:rPr>
                <w:b w:val="0"/>
                <w:i w:val="0"/>
                <w:sz w:val="16"/>
              </w:rPr>
              <w:t>MSA §16.3: CloudNest indemnifies for third-party claims and regulatory fines on a breach standard, uncapped (§15.4); §16.5: the DPA supplements and does not limit.</w:t>
            </w:r>
          </w:p>
        </w:tc>
        <w:tc>
          <w:tcPr>
            <w:tcW w:type="dxa" w:w="3744"/>
          </w:tcPr>
          <w:p>
            <w:pPr>
              <w:spacing w:after="20" w:before="0"/>
            </w:pPr>
            <w:r/>
            <w:r>
              <w:rPr>
                <w:b w:val="0"/>
                <w:i w:val="0"/>
                <w:sz w:val="16"/>
              </w:rPr>
              <w:t>RL 13.2: gross negligence or wilful misconduct only, direct damages, fines excluded, mutual.</w:t>
            </w:r>
          </w:p>
        </w:tc>
        <w:tc>
          <w:tcPr>
            <w:tcW w:type="dxa" w:w="3600"/>
          </w:tcPr>
          <w:p>
            <w:pPr>
              <w:spacing w:after="20" w:before="0"/>
            </w:pPr>
            <w:r/>
            <w:r>
              <w:rPr>
                <w:b w:val="0"/>
                <w:i w:val="0"/>
                <w:sz w:val="16"/>
              </w:rPr>
              <w:t>Conflict. Risk that MSA §22.5 (DPA prevails) is invoked to cut back §16.3.</w:t>
            </w:r>
          </w:p>
        </w:tc>
      </w:tr>
      <w:tr>
        <w:tc>
          <w:tcPr>
            <w:tcW w:type="dxa" w:w="1872"/>
          </w:tcPr>
          <w:p>
            <w:pPr>
              <w:spacing w:after="20" w:before="0"/>
            </w:pPr>
            <w:r/>
            <w:r>
              <w:rPr>
                <w:b w:val="0"/>
                <w:i w:val="0"/>
                <w:sz w:val="16"/>
              </w:rPr>
              <w:t>Cyber insurance</w:t>
            </w:r>
          </w:p>
        </w:tc>
        <w:tc>
          <w:tcPr>
            <w:tcW w:type="dxa" w:w="4320"/>
          </w:tcPr>
          <w:p>
            <w:pPr>
              <w:spacing w:after="20" w:before="0"/>
            </w:pPr>
            <w:r/>
            <w:r>
              <w:rPr>
                <w:b w:val="0"/>
                <w:i w:val="0"/>
                <w:sz w:val="16"/>
              </w:rPr>
              <w:t>MSA §18.1(d): limits “as set forth in the DPA”; a “material requirement”.</w:t>
            </w:r>
          </w:p>
        </w:tc>
        <w:tc>
          <w:tcPr>
            <w:tcW w:type="dxa" w:w="3744"/>
          </w:tcPr>
          <w:p>
            <w:pPr>
              <w:spacing w:after="20" w:before="0"/>
            </w:pPr>
            <w:r/>
            <w:r>
              <w:rPr>
                <w:b w:val="0"/>
                <w:i w:val="0"/>
                <w:sz w:val="16"/>
              </w:rPr>
              <w:t>RL 19.1: “as required under the MSA”.</w:t>
            </w:r>
          </w:p>
        </w:tc>
        <w:tc>
          <w:tcPr>
            <w:tcW w:type="dxa" w:w="3600"/>
          </w:tcPr>
          <w:p>
            <w:pPr>
              <w:spacing w:after="20" w:before="0"/>
            </w:pPr>
            <w:r/>
            <w:r>
              <w:rPr>
                <w:b w:val="0"/>
                <w:i w:val="0"/>
                <w:sz w:val="16"/>
              </w:rPr>
              <w:t>Circular; no minimum cover remains.</w:t>
            </w:r>
          </w:p>
        </w:tc>
      </w:tr>
      <w:tr>
        <w:tc>
          <w:tcPr>
            <w:tcW w:type="dxa" w:w="1872"/>
          </w:tcPr>
          <w:p>
            <w:pPr>
              <w:spacing w:after="20" w:before="0"/>
            </w:pPr>
            <w:r/>
            <w:r>
              <w:rPr>
                <w:b w:val="0"/>
                <w:i w:val="0"/>
                <w:sz w:val="16"/>
              </w:rPr>
              <w:t>Term</w:t>
            </w:r>
          </w:p>
        </w:tc>
        <w:tc>
          <w:tcPr>
            <w:tcW w:type="dxa" w:w="4320"/>
          </w:tcPr>
          <w:p>
            <w:pPr>
              <w:spacing w:after="20" w:before="0"/>
            </w:pPr>
            <w:r/>
            <w:r>
              <w:rPr>
                <w:b w:val="0"/>
                <w:i w:val="0"/>
                <w:sz w:val="16"/>
              </w:rPr>
              <w:t>MSA §22.4: DPA co-terminus, terminates automatically; MSA renewals by mutual agreement, 90 days’ notice.</w:t>
            </w:r>
          </w:p>
        </w:tc>
        <w:tc>
          <w:tcPr>
            <w:tcW w:type="dxa" w:w="3744"/>
          </w:tcPr>
          <w:p>
            <w:pPr>
              <w:spacing w:after="20" w:before="0"/>
            </w:pPr>
            <w:r/>
            <w:r>
              <w:rPr>
                <w:b w:val="0"/>
                <w:i w:val="0"/>
                <w:sz w:val="16"/>
              </w:rPr>
              <w:t>RL 18.1: auto-renewal, 180-day notices, termination for convenience.</w:t>
            </w:r>
          </w:p>
        </w:tc>
        <w:tc>
          <w:tcPr>
            <w:tcW w:type="dxa" w:w="3600"/>
          </w:tcPr>
          <w:p>
            <w:pPr>
              <w:spacing w:after="20" w:before="0"/>
            </w:pPr>
            <w:r/>
            <w:r>
              <w:rPr>
                <w:b w:val="0"/>
                <w:i w:val="0"/>
                <w:sz w:val="16"/>
              </w:rPr>
              <w:t>Direct conflict.</w:t>
            </w:r>
          </w:p>
        </w:tc>
      </w:tr>
      <w:tr>
        <w:tc>
          <w:tcPr>
            <w:tcW w:type="dxa" w:w="1872"/>
          </w:tcPr>
          <w:p>
            <w:pPr>
              <w:spacing w:after="20" w:before="0"/>
            </w:pPr>
            <w:r/>
            <w:r>
              <w:rPr>
                <w:b w:val="0"/>
                <w:i w:val="0"/>
                <w:sz w:val="16"/>
              </w:rPr>
              <w:t>Hosting locations</w:t>
            </w:r>
          </w:p>
        </w:tc>
        <w:tc>
          <w:tcPr>
            <w:tcW w:type="dxa" w:w="4320"/>
          </w:tcPr>
          <w:p>
            <w:pPr>
              <w:spacing w:after="20" w:before="0"/>
            </w:pPr>
            <w:r/>
            <w:r>
              <w:rPr>
                <w:b w:val="0"/>
                <w:i w:val="0"/>
                <w:sz w:val="16"/>
              </w:rPr>
              <w:t>MSA SOW (Exhibit A): only London and Frankfurt authorised.</w:t>
            </w:r>
          </w:p>
        </w:tc>
        <w:tc>
          <w:tcPr>
            <w:tcW w:type="dxa" w:w="3744"/>
          </w:tcPr>
          <w:p>
            <w:pPr>
              <w:spacing w:after="20" w:before="0"/>
            </w:pPr>
            <w:r/>
            <w:r>
              <w:rPr>
                <w:b w:val="0"/>
                <w:i w:val="0"/>
                <w:sz w:val="16"/>
              </w:rPr>
              <w:t>RL 8.1 and Annexes 1 and 3: Mumbai/Peregrine added.</w:t>
            </w:r>
          </w:p>
        </w:tc>
        <w:tc>
          <w:tcPr>
            <w:tcW w:type="dxa" w:w="3600"/>
          </w:tcPr>
          <w:p>
            <w:pPr>
              <w:spacing w:after="20" w:before="0"/>
            </w:pPr>
            <w:r/>
            <w:r>
              <w:rPr>
                <w:b w:val="0"/>
                <w:i w:val="0"/>
                <w:sz w:val="16"/>
              </w:rPr>
              <w:t>Conflict; a back-door amendment of the SOW.</w:t>
            </w:r>
          </w:p>
        </w:tc>
      </w:tr>
      <w:tr>
        <w:tc>
          <w:tcPr>
            <w:tcW w:type="dxa" w:w="1872"/>
          </w:tcPr>
          <w:p>
            <w:pPr>
              <w:spacing w:after="20" w:before="0"/>
            </w:pPr>
            <w:r/>
            <w:r>
              <w:rPr>
                <w:b w:val="0"/>
                <w:i w:val="0"/>
                <w:sz w:val="16"/>
              </w:rPr>
              <w:t>Governing law</w:t>
            </w:r>
          </w:p>
        </w:tc>
        <w:tc>
          <w:tcPr>
            <w:tcW w:type="dxa" w:w="4320"/>
          </w:tcPr>
          <w:p>
            <w:pPr>
              <w:spacing w:after="20" w:before="0"/>
            </w:pPr>
            <w:r/>
            <w:r>
              <w:rPr>
                <w:b w:val="0"/>
                <w:i w:val="0"/>
                <w:sz w:val="16"/>
              </w:rPr>
              <w:t>MSA §24.1-24.3: Delaware; Delaware is the fallback for data protection matters.</w:t>
            </w:r>
          </w:p>
        </w:tc>
        <w:tc>
          <w:tcPr>
            <w:tcW w:type="dxa" w:w="3744"/>
          </w:tcPr>
          <w:p>
            <w:pPr>
              <w:spacing w:after="20" w:before="0"/>
            </w:pPr>
            <w:r/>
            <w:r>
              <w:rPr>
                <w:b w:val="0"/>
                <w:i w:val="0"/>
                <w:sz w:val="16"/>
              </w:rPr>
              <w:t>RL 22.1: England and Wales; London courts.</w:t>
            </w:r>
          </w:p>
        </w:tc>
        <w:tc>
          <w:tcPr>
            <w:tcW w:type="dxa" w:w="3600"/>
          </w:tcPr>
          <w:p>
            <w:pPr>
              <w:spacing w:after="20" w:before="0"/>
            </w:pPr>
            <w:r/>
            <w:r>
              <w:rPr>
                <w:b w:val="0"/>
                <w:i w:val="0"/>
                <w:sz w:val="16"/>
              </w:rPr>
              <w:t>Inconsistent with the presumption and fragments disputes.</w:t>
            </w:r>
          </w:p>
        </w:tc>
      </w:tr>
      <w:tr>
        <w:tc>
          <w:tcPr>
            <w:tcW w:type="dxa" w:w="1872"/>
          </w:tcPr>
          <w:p>
            <w:pPr>
              <w:spacing w:after="20" w:before="0"/>
            </w:pPr>
            <w:r/>
            <w:r>
              <w:rPr>
                <w:b w:val="0"/>
                <w:i w:val="0"/>
                <w:sz w:val="16"/>
              </w:rPr>
              <w:t>Form of DPA</w:t>
            </w:r>
          </w:p>
        </w:tc>
        <w:tc>
          <w:tcPr>
            <w:tcW w:type="dxa" w:w="4320"/>
          </w:tcPr>
          <w:p>
            <w:pPr>
              <w:spacing w:after="20" w:before="0"/>
            </w:pPr>
            <w:r/>
            <w:r>
              <w:rPr>
                <w:b w:val="0"/>
                <w:i w:val="0"/>
                <w:sz w:val="16"/>
              </w:rPr>
              <w:t>MSA §22.1: DPA “substantially in the form of Stratton Health’s standard DPA template”.</w:t>
            </w:r>
          </w:p>
        </w:tc>
        <w:tc>
          <w:tcPr>
            <w:tcW w:type="dxa" w:w="3744"/>
          </w:tcPr>
          <w:p>
            <w:pPr>
              <w:spacing w:after="20" w:before="0"/>
            </w:pPr>
            <w:r/>
            <w:r>
              <w:rPr>
                <w:b w:val="0"/>
                <w:i w:val="0"/>
                <w:sz w:val="16"/>
              </w:rPr>
              <w:t>Markup built on a restructured base text with untracked omissions.</w:t>
            </w:r>
          </w:p>
        </w:tc>
        <w:tc>
          <w:tcPr>
            <w:tcW w:type="dxa" w:w="3600"/>
          </w:tcPr>
          <w:p>
            <w:pPr>
              <w:spacing w:after="20" w:before="0"/>
            </w:pPr>
            <w:r/>
            <w:r>
              <w:rPr>
                <w:b w:val="0"/>
                <w:i w:val="0"/>
                <w:sz w:val="16"/>
              </w:rPr>
              <w:t>Leverage: insist on Template v3.2 as the base.</w:t>
            </w:r>
          </w:p>
        </w:tc>
      </w:tr>
      <w:tr>
        <w:tc>
          <w:tcPr>
            <w:tcW w:type="dxa" w:w="1872"/>
          </w:tcPr>
          <w:p>
            <w:pPr>
              <w:spacing w:after="20" w:before="0"/>
            </w:pPr>
            <w:r/>
            <w:r>
              <w:rPr>
                <w:b w:val="0"/>
                <w:i w:val="0"/>
                <w:sz w:val="16"/>
              </w:rPr>
              <w:t>Minimum DPA contents</w:t>
            </w:r>
          </w:p>
        </w:tc>
        <w:tc>
          <w:tcPr>
            <w:tcW w:type="dxa" w:w="4320"/>
          </w:tcPr>
          <w:p>
            <w:pPr>
              <w:spacing w:after="20" w:before="0"/>
            </w:pPr>
            <w:r/>
            <w:r>
              <w:rPr>
                <w:b w:val="0"/>
                <w:i w:val="0"/>
                <w:sz w:val="16"/>
              </w:rPr>
              <w:t>MSA §22.3(a)-(m), including (g) localisation, (j) security and certifications, (k) DSR, (l) insurance.</w:t>
            </w:r>
          </w:p>
        </w:tc>
        <w:tc>
          <w:tcPr>
            <w:tcW w:type="dxa" w:w="3744"/>
          </w:tcPr>
          <w:p>
            <w:pPr>
              <w:spacing w:after="20" w:before="0"/>
            </w:pPr>
            <w:r/>
            <w:r>
              <w:rPr>
                <w:b w:val="0"/>
                <w:i w:val="0"/>
                <w:sz w:val="16"/>
              </w:rPr>
              <w:t>Insurance gutted; localisation, security and certifications diluted.</w:t>
            </w:r>
          </w:p>
        </w:tc>
        <w:tc>
          <w:tcPr>
            <w:tcW w:type="dxa" w:w="3600"/>
          </w:tcPr>
          <w:p>
            <w:pPr>
              <w:spacing w:after="20" w:before="0"/>
            </w:pPr>
            <w:r/>
            <w:r>
              <w:rPr>
                <w:b w:val="0"/>
                <w:i w:val="0"/>
                <w:sz w:val="16"/>
              </w:rPr>
              <w:t>Use §22.3 to resist deletions.</w:t>
            </w:r>
          </w:p>
        </w:tc>
      </w:tr>
    </w:tbl>
    <w:p>
      <w:pPr>
        <w:spacing w:after="40"/>
      </w:pPr>
    </w:p>
    <w:p>
      <w:pPr>
        <w:spacing w:after="80"/>
      </w:pPr>
      <w:r>
        <w:rPr>
          <w:b/>
          <w:i w:val="0"/>
          <w:sz w:val="21"/>
        </w:rPr>
        <w:t>Precedence risk.</w:t>
      </w:r>
      <w:r>
        <w:rPr>
          <w:b w:val="0"/>
          <w:i w:val="0"/>
          <w:sz w:val="21"/>
        </w:rPr>
        <w:t xml:space="preserve"> MSA §22.5 provides that the DPA prevails over the MSA on data protection matters. Any DPA term weaker than the MSA (cap, indemnity, insurance) could therefore be argued to override the MSA protections that Stratton already holds. Each of these provisions must be restored, and the DPA should state expressly that it supplements and does not reduce MSA §§15, 16 and 18.</w:t>
      </w:r>
    </w:p>
    <w:p>
      <w:pPr>
        <w:pStyle w:val="Heading1"/>
      </w:pPr>
      <w:r>
        <w:t>8. Cover Email - Assertions Compared with the Markup</w:t>
      </w: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4896"/>
            <w:shd w:val="clear" w:color="auto" w:fill="1F3864"/>
          </w:tcPr>
          <w:p>
            <w:pPr>
              <w:spacing w:after="20" w:before="0"/>
            </w:pPr>
            <w:r/>
            <w:r>
              <w:rPr>
                <w:b/>
                <w:i w:val="0"/>
                <w:color w:val="FFFFFF"/>
                <w:sz w:val="17"/>
              </w:rPr>
              <w:t>Cover email assertion (P. Venkatesh, April 2, 2025)</w:t>
            </w:r>
          </w:p>
        </w:tc>
        <w:tc>
          <w:tcPr>
            <w:tcW w:type="dxa" w:w="8640"/>
            <w:shd w:val="clear" w:color="auto" w:fill="1F3864"/>
          </w:tcPr>
          <w:p>
            <w:pPr>
              <w:spacing w:after="20" w:before="0"/>
            </w:pPr>
            <w:r/>
            <w:r>
              <w:rPr>
                <w:b/>
                <w:i w:val="0"/>
                <w:color w:val="FFFFFF"/>
                <w:sz w:val="17"/>
              </w:rPr>
              <w:t>What the documents show</w:t>
            </w:r>
          </w:p>
        </w:tc>
      </w:tr>
      <w:tr>
        <w:tc>
          <w:tcPr>
            <w:tcW w:type="dxa" w:w="4896"/>
          </w:tcPr>
          <w:p>
            <w:pPr>
              <w:spacing w:after="20" w:before="0"/>
            </w:pPr>
            <w:r/>
            <w:r>
              <w:rPr>
                <w:b w:val="0"/>
                <w:i w:val="0"/>
                <w:sz w:val="17"/>
              </w:rPr>
              <w:t>“37 tracked changes together with 14 margin comments”</w:t>
            </w:r>
          </w:p>
        </w:tc>
        <w:tc>
          <w:tcPr>
            <w:tcW w:type="dxa" w:w="8640"/>
          </w:tcPr>
          <w:p>
            <w:pPr>
              <w:spacing w:after="20" w:before="0"/>
            </w:pPr>
            <w:r/>
            <w:r>
              <w:rPr>
                <w:b w:val="0"/>
                <w:i w:val="0"/>
                <w:sz w:val="17"/>
              </w:rPr>
              <w:t>There are 46 discrete tracked revisions (66 revision marks), plus at least 5 bracketed untracked edits and about 28 silent divergences from Template v3.2. The “margin comments” are inline body text.</w:t>
            </w:r>
          </w:p>
        </w:tc>
      </w:tr>
      <w:tr>
        <w:tc>
          <w:tcPr>
            <w:tcW w:type="dxa" w:w="4896"/>
          </w:tcPr>
          <w:p>
            <w:pPr>
              <w:spacing w:after="20" w:before="0"/>
            </w:pPr>
            <w:r/>
            <w:r>
              <w:rPr>
                <w:b w:val="0"/>
                <w:i w:val="0"/>
                <w:sz w:val="17"/>
              </w:rPr>
              <w:t>The margin comments “provide CloudNest’s rationale for each of these changes”</w:t>
            </w:r>
          </w:p>
        </w:tc>
        <w:tc>
          <w:tcPr>
            <w:tcW w:type="dxa" w:w="8640"/>
          </w:tcPr>
          <w:p>
            <w:pPr>
              <w:spacing w:after="20" w:before="0"/>
            </w:pPr>
            <w:r/>
            <w:r>
              <w:rPr>
                <w:b w:val="0"/>
                <w:i w:val="0"/>
                <w:sz w:val="17"/>
              </w:rPr>
              <w:t>There is no PV comment for the HITRUST deletion, certification reporting, return/deletion timelines, the certificate of destruction, auto-renewal, insurance, force majeure, suspension, governing law, the deletion of §8.4 and §11.4, or the consequential-loss exclusion.</w:t>
            </w:r>
          </w:p>
        </w:tc>
      </w:tr>
      <w:tr>
        <w:tc>
          <w:tcPr>
            <w:tcW w:type="dxa" w:w="4896"/>
          </w:tcPr>
          <w:p>
            <w:pPr>
              <w:spacing w:after="20" w:before="0"/>
            </w:pPr>
            <w:r/>
            <w:r>
              <w:rPr>
                <w:b w:val="0"/>
                <w:i w:val="0"/>
                <w:sz w:val="17"/>
              </w:rPr>
              <w:t>General authorisation is “consistent with … Article 28(2)” and affords Stratton “the opportunity to raise objections”</w:t>
            </w:r>
          </w:p>
        </w:tc>
        <w:tc>
          <w:tcPr>
            <w:tcW w:type="dxa" w:w="8640"/>
          </w:tcPr>
          <w:p>
            <w:pPr>
              <w:spacing w:after="20" w:before="0"/>
            </w:pPr>
            <w:r/>
            <w:r>
              <w:rPr>
                <w:b w:val="0"/>
                <w:i w:val="0"/>
                <w:sz w:val="17"/>
              </w:rPr>
              <w:t>RL 7.3 gives only a right to “raise reasonable concerns”, with no right to object and no remedy. Art. 28(2) requires an opportunity to object. The playbook treats general authorisation as Red.</w:t>
            </w:r>
          </w:p>
        </w:tc>
      </w:tr>
      <w:tr>
        <w:tc>
          <w:tcPr>
            <w:tcW w:type="dxa" w:w="4896"/>
          </w:tcPr>
          <w:p>
            <w:pPr>
              <w:spacing w:after="20" w:before="0"/>
            </w:pPr>
            <w:r/>
            <w:r>
              <w:rPr>
                <w:b w:val="0"/>
                <w:i w:val="0"/>
                <w:sz w:val="17"/>
              </w:rPr>
              <w:t>Peregrine is “routine”, “longstanding” and handles “technical operational data”</w:t>
            </w:r>
          </w:p>
        </w:tc>
        <w:tc>
          <w:tcPr>
            <w:tcW w:type="dxa" w:w="8640"/>
          </w:tcPr>
          <w:p>
            <w:pPr>
              <w:spacing w:after="20" w:before="0"/>
            </w:pPr>
            <w:r/>
            <w:r>
              <w:rPr>
                <w:b w:val="0"/>
                <w:i w:val="0"/>
                <w:sz w:val="17"/>
              </w:rPr>
              <w:t>Template 7.6 approves no sub-processors, and the MSA SOW authorises only London and Frankfurt. CloudNest’s own RL 1.1(g) treats identifying metadata as Personal Data. India has no adequacy decision, and no SCCs, TIA or BAA have been offered.</w:t>
            </w:r>
          </w:p>
        </w:tc>
      </w:tr>
      <w:tr>
        <w:tc>
          <w:tcPr>
            <w:tcW w:type="dxa" w:w="4896"/>
          </w:tcPr>
          <w:p>
            <w:pPr>
              <w:spacing w:after="20" w:before="0"/>
            </w:pPr>
            <w:r/>
            <w:r>
              <w:rPr>
                <w:b w:val="0"/>
                <w:i w:val="0"/>
                <w:sz w:val="17"/>
              </w:rPr>
              <w:t>72 hours aligns with “the 72-hour standard under GDPR Article 33(1)”</w:t>
            </w:r>
          </w:p>
        </w:tc>
        <w:tc>
          <w:tcPr>
            <w:tcW w:type="dxa" w:w="8640"/>
          </w:tcPr>
          <w:p>
            <w:pPr>
              <w:spacing w:after="20" w:before="0"/>
            </w:pPr>
            <w:r/>
            <w:r>
              <w:rPr>
                <w:b w:val="0"/>
                <w:i w:val="0"/>
                <w:sz w:val="17"/>
              </w:rPr>
              <w:t>Art. 33(1) is the controller’s deadline to notify the regulator. Art. 33(2) requires processor notice “without undue delay”. Stratton’s own HIPAA, state-law and GDPR obligations require earlier notice. The “confirming” trigger is a named Red.</w:t>
            </w:r>
          </w:p>
        </w:tc>
      </w:tr>
      <w:tr>
        <w:tc>
          <w:tcPr>
            <w:tcW w:type="dxa" w:w="4896"/>
          </w:tcPr>
          <w:p>
            <w:pPr>
              <w:spacing w:after="20" w:before="0"/>
            </w:pPr>
            <w:r/>
            <w:r>
              <w:rPr>
                <w:b w:val="0"/>
                <w:i w:val="0"/>
                <w:sz w:val="17"/>
              </w:rPr>
              <w:t>On-site audit available “where a material data breach … has occurred”</w:t>
            </w:r>
          </w:p>
        </w:tc>
        <w:tc>
          <w:tcPr>
            <w:tcW w:type="dxa" w:w="8640"/>
          </w:tcPr>
          <w:p>
            <w:pPr>
              <w:spacing w:after="20" w:before="0"/>
            </w:pPr>
            <w:r/>
            <w:r>
              <w:rPr>
                <w:b w:val="0"/>
                <w:i w:val="0"/>
                <w:sz w:val="17"/>
              </w:rPr>
              <w:t>The text adds a second condition (reports “insufficient”), 30 business days’ notice and CloudNest approval of auditors.</w:t>
            </w:r>
          </w:p>
        </w:tc>
      </w:tr>
      <w:tr>
        <w:tc>
          <w:tcPr>
            <w:tcW w:type="dxa" w:w="4896"/>
          </w:tcPr>
          <w:p>
            <w:pPr>
              <w:spacing w:after="20" w:before="0"/>
            </w:pPr>
            <w:r/>
            <w:r>
              <w:rPr>
                <w:b w:val="0"/>
                <w:i w:val="0"/>
                <w:sz w:val="17"/>
              </w:rPr>
              <w:t>Anonymised datasets are “used solely to improve service quality” and “not shared with third parties”; methodology reviewed by Dr. Henrik Lindqvist</w:t>
            </w:r>
          </w:p>
        </w:tc>
        <w:tc>
          <w:tcPr>
            <w:tcW w:type="dxa" w:w="8640"/>
          </w:tcPr>
          <w:p>
            <w:pPr>
              <w:spacing w:after="20" w:before="0"/>
            </w:pPr>
            <w:r/>
            <w:r>
              <w:rPr>
                <w:b w:val="0"/>
                <w:i w:val="0"/>
                <w:sz w:val="17"/>
              </w:rPr>
              <w:t>The text permits benchmarking and R&amp;D and use “without restriction as to time or purpose”. The definition describes pseudonymisation. CloudNest’s own DPO is not an independent HIPAA Expert Determination.</w:t>
            </w:r>
          </w:p>
        </w:tc>
      </w:tr>
      <w:tr>
        <w:tc>
          <w:tcPr>
            <w:tcW w:type="dxa" w:w="4896"/>
          </w:tcPr>
          <w:p>
            <w:pPr>
              <w:spacing w:after="20" w:before="0"/>
            </w:pPr>
            <w:r/>
            <w:r>
              <w:rPr>
                <w:b w:val="0"/>
                <w:i w:val="0"/>
                <w:sz w:val="17"/>
              </w:rPr>
              <w:t>The 1× cap is “a fair allocation of risk”</w:t>
            </w:r>
          </w:p>
        </w:tc>
        <w:tc>
          <w:tcPr>
            <w:tcW w:type="dxa" w:w="8640"/>
          </w:tcPr>
          <w:p>
            <w:pPr>
              <w:spacing w:after="20" w:before="0"/>
            </w:pPr>
            <w:r/>
            <w:r>
              <w:rPr>
                <w:b w:val="0"/>
                <w:i w:val="0"/>
                <w:sz w:val="17"/>
              </w:rPr>
              <w:t>It conflicts with the MSA §15.3 floor that the same counsel negotiated four weeks earlier.</w:t>
            </w:r>
          </w:p>
        </w:tc>
      </w:tr>
      <w:tr>
        <w:tc>
          <w:tcPr>
            <w:tcW w:type="dxa" w:w="4896"/>
          </w:tcPr>
          <w:p>
            <w:pPr>
              <w:spacing w:after="20" w:before="0"/>
            </w:pPr>
            <w:r/>
            <w:r>
              <w:rPr>
                <w:b w:val="0"/>
                <w:i w:val="0"/>
                <w:sz w:val="17"/>
              </w:rPr>
              <w:t>Mutual indemnity is “more balanced”</w:t>
            </w:r>
          </w:p>
        </w:tc>
        <w:tc>
          <w:tcPr>
            <w:tcW w:type="dxa" w:w="8640"/>
          </w:tcPr>
          <w:p>
            <w:pPr>
              <w:spacing w:after="20" w:before="0"/>
            </w:pPr>
            <w:r/>
            <w:r>
              <w:rPr>
                <w:b w:val="0"/>
                <w:i w:val="0"/>
                <w:sz w:val="17"/>
              </w:rPr>
              <w:t>The real effect comes from the gross negligence trigger, the direct-damages limit and the exclusion of fines, which together remove CloudNest’s regulatory-fine indemnity agreed in MSA §16.3.</w:t>
            </w:r>
          </w:p>
        </w:tc>
      </w:tr>
      <w:tr>
        <w:tc>
          <w:tcPr>
            <w:tcW w:type="dxa" w:w="4896"/>
          </w:tcPr>
          <w:p>
            <w:pPr>
              <w:spacing w:after="20" w:before="0"/>
            </w:pPr>
            <w:r/>
            <w:r>
              <w:rPr>
                <w:b w:val="0"/>
                <w:i w:val="0"/>
                <w:sz w:val="17"/>
              </w:rPr>
              <w:t>English law is appropriate because processing occurs in London and Frankfurt</w:t>
            </w:r>
          </w:p>
        </w:tc>
        <w:tc>
          <w:tcPr>
            <w:tcW w:type="dxa" w:w="8640"/>
          </w:tcPr>
          <w:p>
            <w:pPr>
              <w:spacing w:after="20" w:before="0"/>
            </w:pPr>
            <w:r/>
            <w:r>
              <w:rPr>
                <w:b w:val="0"/>
                <w:i w:val="0"/>
                <w:sz w:val="17"/>
              </w:rPr>
              <w:t>About 2.3M of ~2.32M data subjects are US patients, HIPAA is the primary regime, and MSA §24 adopts Delaware. CloudNest is “open to exploring”, which signals flexibility.</w:t>
            </w:r>
          </w:p>
        </w:tc>
      </w:tr>
      <w:tr>
        <w:tc>
          <w:tcPr>
            <w:tcW w:type="dxa" w:w="4896"/>
          </w:tcPr>
          <w:p>
            <w:pPr>
              <w:spacing w:after="20" w:before="0"/>
            </w:pPr>
            <w:r/>
            <w:r>
              <w:rPr>
                <w:b w:val="0"/>
                <w:i w:val="0"/>
                <w:sz w:val="17"/>
              </w:rPr>
              <w:t>A DPA term “independent of the MSA’s commercial term” gives continuity</w:t>
            </w:r>
          </w:p>
        </w:tc>
        <w:tc>
          <w:tcPr>
            <w:tcW w:type="dxa" w:w="8640"/>
          </w:tcPr>
          <w:p>
            <w:pPr>
              <w:spacing w:after="20" w:before="0"/>
            </w:pPr>
            <w:r/>
            <w:r>
              <w:rPr>
                <w:b w:val="0"/>
                <w:i w:val="0"/>
                <w:sz w:val="17"/>
              </w:rPr>
              <w:t>MSA §22.4 expressly requires a co-terminus DPA.</w:t>
            </w:r>
          </w:p>
        </w:tc>
      </w:tr>
      <w:tr>
        <w:tc>
          <w:tcPr>
            <w:tcW w:type="dxa" w:w="4896"/>
          </w:tcPr>
          <w:p>
            <w:pPr>
              <w:spacing w:after="20" w:before="0"/>
            </w:pPr>
            <w:r/>
            <w:r>
              <w:rPr>
                <w:b w:val="0"/>
                <w:i w:val="0"/>
                <w:sz w:val="17"/>
              </w:rPr>
              <w:t>Call on Tuesday April 8 or Wednesday April 9; should “Jonathan Pryor-Whitaker” and Anisha Ramachandran attend?</w:t>
            </w:r>
          </w:p>
        </w:tc>
        <w:tc>
          <w:tcPr>
            <w:tcW w:type="dxa" w:w="8640"/>
          </w:tcPr>
          <w:p>
            <w:pPr>
              <w:spacing w:after="20" w:before="0"/>
            </w:pPr>
            <w:r/>
            <w:r>
              <w:rPr>
                <w:b w:val="0"/>
                <w:i w:val="0"/>
                <w:sz w:val="17"/>
              </w:rPr>
              <w:t xml:space="preserve">The GC’s name is </w:t>
            </w:r>
            <w:r>
              <w:rPr>
                <w:b/>
                <w:i w:val="0"/>
                <w:sz w:val="17"/>
              </w:rPr>
              <w:t>Pryce-Whitaker</w:t>
            </w:r>
            <w:r>
              <w:rPr>
                <w:b w:val="0"/>
                <w:i w:val="0"/>
                <w:sz w:val="17"/>
              </w:rPr>
              <w:t>. The playbook timetable puts GC direction on Red items at about April 9-11. See Section 9 for the recommended call approach.</w:t>
            </w:r>
          </w:p>
        </w:tc>
      </w:tr>
    </w:tbl>
    <w:p>
      <w:pPr>
        <w:spacing w:after="40"/>
      </w:pPr>
    </w:p>
    <w:p>
      <w:pPr>
        <w:pStyle w:val="Heading1"/>
      </w:pPr>
      <w:r>
        <w:t>9. Recommended Negotiation Strategy and Next Steps</w:t>
      </w:r>
    </w:p>
    <w:p>
      <w:pPr>
        <w:pStyle w:val="ListBullet"/>
        <w:spacing w:after="40"/>
      </w:pPr>
      <w:r>
        <w:rPr>
          <w:b/>
          <w:i w:val="0"/>
          <w:sz w:val="20"/>
        </w:rPr>
        <w:t>By Monday April 7 (Step 1):</w:t>
      </w:r>
      <w:r>
        <w:rPr>
          <w:b w:val="0"/>
          <w:i w:val="0"/>
          <w:sz w:val="20"/>
        </w:rPr>
        <w:t xml:space="preserve"> circulate this report internally. Send the Red package (Section 4) to the GC for direction within 2 business days, and the Yellow memoranda (Section 5 and the Yellow rows of Section 6) to the CPO and GC within 3 business days. Consult Catherine Holloway on the regulatory items: the Peregrine/India transfer, HIPAA BAA weakening, the anonymisation clause, the suspension right and the SCC third-party beneficiary point.</w:t>
      </w:r>
    </w:p>
    <w:p>
      <w:pPr>
        <w:pStyle w:val="ListBullet"/>
        <w:spacing w:after="40"/>
      </w:pPr>
      <w:r>
        <w:rPr>
          <w:b/>
          <w:i w:val="0"/>
          <w:sz w:val="20"/>
        </w:rPr>
        <w:t>Holding reply to Barrington Reeves (David Ngata, without substance):</w:t>
      </w:r>
      <w:r>
        <w:rPr>
          <w:b w:val="0"/>
          <w:i w:val="0"/>
          <w:sz w:val="20"/>
        </w:rPr>
        <w:t xml:space="preserve"> acknowledge receipt; say that the markup does not appear to have been run against Template v3.2 of March 10, 2025 and ask CloudNest to confirm the base document; note the discrepancy in the change count; ask for written confirmation that no Stratton data, logs or telemetry will be migrated to CloudNest or routed to Peregrine or any location outside London/Frankfurt before the DPA and BAA are signed; and propose a call </w:t>
      </w:r>
      <w:r>
        <w:rPr>
          <w:b/>
          <w:i w:val="0"/>
          <w:sz w:val="20"/>
        </w:rPr>
        <w:t>after</w:t>
      </w:r>
      <w:r>
        <w:rPr>
          <w:b w:val="0"/>
          <w:i w:val="0"/>
          <w:sz w:val="20"/>
        </w:rPr>
        <w:t xml:space="preserve"> GC direction, i.e., the week of April 14, rather than April 8 or 9.</w:t>
      </w:r>
    </w:p>
    <w:p>
      <w:pPr>
        <w:pStyle w:val="ListBullet"/>
        <w:spacing w:after="40"/>
      </w:pPr>
      <w:r>
        <w:rPr>
          <w:b/>
          <w:i w:val="0"/>
          <w:sz w:val="20"/>
        </w:rPr>
        <w:t>Call attendance:</w:t>
      </w:r>
      <w:r>
        <w:rPr>
          <w:b w:val="0"/>
          <w:i w:val="0"/>
          <w:sz w:val="20"/>
        </w:rPr>
        <w:t xml:space="preserve"> given that 35 tracked items and 17 untracked items are Red, and that CloudNest has copied its lead partner (Sebastian Harding), the call should not stay at associate level. Catherine Holloway should lead. GC and CPO attendance is at their discretion; we recommend that the CPO attend the transfer, anonymisation and breach discussion. Use the correct spelling of the GC’s name (Jonathan </w:t>
      </w:r>
      <w:r>
        <w:rPr>
          <w:b/>
          <w:i w:val="0"/>
          <w:sz w:val="20"/>
        </w:rPr>
        <w:t>Pryce</w:t>
      </w:r>
      <w:r>
        <w:rPr>
          <w:b w:val="0"/>
          <w:i w:val="0"/>
          <w:sz w:val="20"/>
        </w:rPr>
        <w:t>-Whitaker) in correspondence. Do not share this report or the playbook. Both are privileged and their distribution is restricted.</w:t>
      </w:r>
    </w:p>
    <w:p>
      <w:pPr>
        <w:pStyle w:val="ListBullet"/>
        <w:spacing w:after="40"/>
      </w:pPr>
      <w:r>
        <w:rPr>
          <w:b/>
          <w:i w:val="0"/>
          <w:sz w:val="20"/>
        </w:rPr>
        <w:t>Our next turn:</w:t>
      </w:r>
      <w:r>
        <w:rPr>
          <w:b w:val="0"/>
          <w:i w:val="0"/>
          <w:sz w:val="20"/>
        </w:rPr>
        <w:t xml:space="preserve"> a W&amp;C redline on Template v3.2 that accepts Green items D-01, D-03, D-05, D-08 and U-01; offers the force-majeure counter-proposal (4.16) and the RL 10.5 conditions (D-21); and restores the Template language on every Red item. Hold the playbook Yellow fallbacks (20-day sub-processor notice, 36-hour breach window, reports-first audits at 20 business days’ notice, 45/90-day return/deletion, HITRUST in 12 months, 10 business day DSR assistance, $75M insurance aggregate, a US-state governing law alternative) in reserve. Each needs prior CPO/GC sign-off and should be traded only for the restoration of P1 items.</w:t>
      </w:r>
    </w:p>
    <w:p>
      <w:pPr>
        <w:pStyle w:val="ListBullet"/>
        <w:spacing w:after="40"/>
      </w:pPr>
      <w:r>
        <w:rPr>
          <w:b/>
          <w:i w:val="0"/>
          <w:sz w:val="20"/>
        </w:rPr>
        <w:t>Lead with the MSA, not just the playbook.</w:t>
      </w:r>
      <w:r>
        <w:rPr>
          <w:b w:val="0"/>
          <w:i w:val="0"/>
          <w:sz w:val="20"/>
        </w:rPr>
        <w:t xml:space="preserve"> The cap, indemnity, insurance, term and hosting-location points are not merely “Stratton preferences”: they are obligations CloudNest has already accepted in the executed MSA (§§15.3, 16.3/16.5, 18.1(d), 22.1, 22.4, SOW Exhibit A). That is the strongest negotiating position available.</w:t>
      </w:r>
    </w:p>
    <w:p>
      <w:pPr>
        <w:pStyle w:val="ListBullet"/>
        <w:spacing w:after="40"/>
      </w:pPr>
      <w:r>
        <w:rPr>
          <w:b/>
          <w:i w:val="0"/>
          <w:sz w:val="20"/>
        </w:rPr>
        <w:t>Peregrine path (if the business wishes to explore it):</w:t>
      </w:r>
      <w:r>
        <w:rPr>
          <w:b w:val="0"/>
          <w:i w:val="0"/>
          <w:sz w:val="20"/>
        </w:rPr>
        <w:t xml:space="preserve"> require a full Template §7.2 notice and data-flow description; ask CloudNest to localise log analytics in London/Frankfurt or strip identifiers before export; and if export remains, require SCCs Module 3 plus the UK Addendum, a Controller-approved TIA, a HIPAA subcontractor BAA, PCI exclusion, and Stratton audit rights over Peregrine. This is a specific-consent decision for the CPO and GC, and the Topic 4 Red applies until approved safeguards are in place.</w:t>
      </w:r>
    </w:p>
    <w:p>
      <w:pPr>
        <w:pStyle w:val="ListBullet"/>
        <w:spacing w:after="40"/>
      </w:pPr>
      <w:r>
        <w:rPr>
          <w:b/>
          <w:i w:val="0"/>
          <w:sz w:val="20"/>
        </w:rPr>
        <w:t>Negotiation log (Playbook §5.3):</w:t>
      </w:r>
      <w:r>
        <w:rPr>
          <w:b w:val="0"/>
          <w:i w:val="0"/>
          <w:sz w:val="20"/>
        </w:rPr>
        <w:t xml:space="preserve"> record each deviation ID in this report with its classification, escalation path and dates, decision-maker, decision and final language.</w:t>
      </w:r>
    </w:p>
    <w:p>
      <w:pPr>
        <w:pStyle w:val="Heading1"/>
      </w:pPr>
      <w:r>
        <w:t>Appendix A - Section Concordance (Playbook vs Template v3.2 vs CloudNest Redline)</w:t>
      </w:r>
    </w:p>
    <w:tbl>
      <w:tblPr>
        <w:tblStyle w:val="TableGrid"/>
        <w:tblW w:type="auto" w:w="0"/>
        <w:jc w:val="center"/>
        <w:tblLayout w:type="fixed"/>
        <w:tblLook w:firstColumn="1" w:firstRow="1" w:lastColumn="0" w:lastRow="0" w:noHBand="0" w:noVBand="1" w:val="04A0"/>
      </w:tblPr>
      <w:tblGrid>
        <w:gridCol w:w="3420"/>
        <w:gridCol w:w="3420"/>
        <w:gridCol w:w="3420"/>
        <w:gridCol w:w="3420"/>
      </w:tblGrid>
      <w:tr>
        <w:trPr>
          <w:tblHeader w:val="true"/>
        </w:trPr>
        <w:tc>
          <w:tcPr>
            <w:tcW w:type="dxa" w:w="3456"/>
            <w:shd w:val="clear" w:color="auto" w:fill="1F3864"/>
          </w:tcPr>
          <w:p>
            <w:pPr>
              <w:spacing w:after="20" w:before="0"/>
            </w:pPr>
            <w:r/>
            <w:r>
              <w:rPr>
                <w:b/>
                <w:i w:val="0"/>
                <w:color w:val="FFFFFF"/>
                <w:sz w:val="17"/>
              </w:rPr>
              <w:t>Playbook topic</w:t>
            </w:r>
          </w:p>
        </w:tc>
        <w:tc>
          <w:tcPr>
            <w:tcW w:type="dxa" w:w="2016"/>
            <w:shd w:val="clear" w:color="auto" w:fill="1F3864"/>
          </w:tcPr>
          <w:p>
            <w:pPr>
              <w:spacing w:after="20" w:before="0"/>
            </w:pPr>
            <w:r/>
            <w:r>
              <w:rPr>
                <w:b/>
                <w:i w:val="0"/>
                <w:color w:val="FFFFFF"/>
                <w:sz w:val="17"/>
              </w:rPr>
              <w:t>Playbook cites</w:t>
            </w:r>
          </w:p>
        </w:tc>
        <w:tc>
          <w:tcPr>
            <w:tcW w:type="dxa" w:w="4032"/>
            <w:shd w:val="clear" w:color="auto" w:fill="1F3864"/>
          </w:tcPr>
          <w:p>
            <w:pPr>
              <w:spacing w:after="20" w:before="0"/>
            </w:pPr>
            <w:r/>
            <w:r>
              <w:rPr>
                <w:b/>
                <w:i w:val="0"/>
                <w:color w:val="FFFFFF"/>
                <w:sz w:val="17"/>
              </w:rPr>
              <w:t>Template v3.2</w:t>
            </w:r>
          </w:p>
        </w:tc>
        <w:tc>
          <w:tcPr>
            <w:tcW w:type="dxa" w:w="4032"/>
            <w:shd w:val="clear" w:color="auto" w:fill="1F3864"/>
          </w:tcPr>
          <w:p>
            <w:pPr>
              <w:spacing w:after="20" w:before="0"/>
            </w:pPr>
            <w:r/>
            <w:r>
              <w:rPr>
                <w:b/>
                <w:i w:val="0"/>
                <w:color w:val="FFFFFF"/>
                <w:sz w:val="17"/>
              </w:rPr>
              <w:t>CloudNest redline</w:t>
            </w:r>
          </w:p>
        </w:tc>
      </w:tr>
      <w:tr>
        <w:tc>
          <w:tcPr>
            <w:tcW w:type="dxa" w:w="3456"/>
          </w:tcPr>
          <w:p>
            <w:pPr>
              <w:spacing w:after="20" w:before="0"/>
            </w:pPr>
            <w:r/>
            <w:r>
              <w:rPr>
                <w:b w:val="0"/>
                <w:i w:val="0"/>
                <w:sz w:val="17"/>
              </w:rPr>
              <w:t>1 Sub-Processing</w:t>
            </w:r>
          </w:p>
        </w:tc>
        <w:tc>
          <w:tcPr>
            <w:tcW w:type="dxa" w:w="2016"/>
          </w:tcPr>
          <w:p>
            <w:pPr>
              <w:spacing w:after="20" w:before="0"/>
            </w:pPr>
            <w:r/>
            <w:r>
              <w:rPr>
                <w:b w:val="0"/>
                <w:i w:val="0"/>
                <w:sz w:val="17"/>
              </w:rPr>
              <w:t>§7</w:t>
            </w:r>
          </w:p>
        </w:tc>
        <w:tc>
          <w:tcPr>
            <w:tcW w:type="dxa" w:w="4032"/>
          </w:tcPr>
          <w:p>
            <w:pPr>
              <w:spacing w:after="20" w:before="0"/>
            </w:pPr>
            <w:r/>
            <w:r>
              <w:rPr>
                <w:b w:val="0"/>
                <w:i w:val="0"/>
                <w:sz w:val="17"/>
              </w:rPr>
              <w:t>§7</w:t>
            </w:r>
          </w:p>
        </w:tc>
        <w:tc>
          <w:tcPr>
            <w:tcW w:type="dxa" w:w="4032"/>
          </w:tcPr>
          <w:p>
            <w:pPr>
              <w:spacing w:after="20" w:before="0"/>
            </w:pPr>
            <w:r/>
            <w:r>
              <w:rPr>
                <w:b w:val="0"/>
                <w:i w:val="0"/>
                <w:sz w:val="17"/>
              </w:rPr>
              <w:t>§7, Annex 3</w:t>
            </w:r>
          </w:p>
        </w:tc>
      </w:tr>
      <w:tr>
        <w:tc>
          <w:tcPr>
            <w:tcW w:type="dxa" w:w="3456"/>
          </w:tcPr>
          <w:p>
            <w:pPr>
              <w:spacing w:after="20" w:before="0"/>
            </w:pPr>
            <w:r/>
            <w:r>
              <w:rPr>
                <w:b w:val="0"/>
                <w:i w:val="0"/>
                <w:sz w:val="17"/>
              </w:rPr>
              <w:t>2 Breach Notification</w:t>
            </w:r>
          </w:p>
        </w:tc>
        <w:tc>
          <w:tcPr>
            <w:tcW w:type="dxa" w:w="2016"/>
          </w:tcPr>
          <w:p>
            <w:pPr>
              <w:spacing w:after="20" w:before="0"/>
            </w:pPr>
            <w:r/>
            <w:r>
              <w:rPr>
                <w:b w:val="0"/>
                <w:i w:val="0"/>
                <w:sz w:val="17"/>
              </w:rPr>
              <w:t>§8</w:t>
            </w:r>
          </w:p>
        </w:tc>
        <w:tc>
          <w:tcPr>
            <w:tcW w:type="dxa" w:w="4032"/>
          </w:tcPr>
          <w:p>
            <w:pPr>
              <w:spacing w:after="20" w:before="0"/>
            </w:pPr>
            <w:r/>
            <w:r>
              <w:rPr>
                <w:b w:val="0"/>
                <w:i w:val="0"/>
                <w:sz w:val="17"/>
              </w:rPr>
              <w:t>§11 (defn §1.1)</w:t>
            </w:r>
          </w:p>
        </w:tc>
        <w:tc>
          <w:tcPr>
            <w:tcW w:type="dxa" w:w="4032"/>
          </w:tcPr>
          <w:p>
            <w:pPr>
              <w:spacing w:after="20" w:before="0"/>
            </w:pPr>
            <w:r/>
            <w:r>
              <w:rPr>
                <w:b w:val="0"/>
                <w:i w:val="0"/>
                <w:sz w:val="17"/>
              </w:rPr>
              <w:t>§10</w:t>
            </w:r>
          </w:p>
        </w:tc>
      </w:tr>
      <w:tr>
        <w:tc>
          <w:tcPr>
            <w:tcW w:type="dxa" w:w="3456"/>
          </w:tcPr>
          <w:p>
            <w:pPr>
              <w:spacing w:after="20" w:before="0"/>
            </w:pPr>
            <w:r/>
            <w:r>
              <w:rPr>
                <w:b w:val="0"/>
                <w:i w:val="0"/>
                <w:sz w:val="17"/>
              </w:rPr>
              <w:t>3 Audit Rights</w:t>
            </w:r>
          </w:p>
        </w:tc>
        <w:tc>
          <w:tcPr>
            <w:tcW w:type="dxa" w:w="2016"/>
          </w:tcPr>
          <w:p>
            <w:pPr>
              <w:spacing w:after="20" w:before="0"/>
            </w:pPr>
            <w:r/>
            <w:r>
              <w:rPr>
                <w:b w:val="0"/>
                <w:i w:val="0"/>
                <w:sz w:val="17"/>
              </w:rPr>
              <w:t>§9</w:t>
            </w:r>
          </w:p>
        </w:tc>
        <w:tc>
          <w:tcPr>
            <w:tcW w:type="dxa" w:w="4032"/>
          </w:tcPr>
          <w:p>
            <w:pPr>
              <w:spacing w:after="20" w:before="0"/>
            </w:pPr>
            <w:r/>
            <w:r>
              <w:rPr>
                <w:b w:val="0"/>
                <w:i w:val="0"/>
                <w:sz w:val="17"/>
              </w:rPr>
              <w:t>§10</w:t>
            </w:r>
          </w:p>
        </w:tc>
        <w:tc>
          <w:tcPr>
            <w:tcW w:type="dxa" w:w="4032"/>
          </w:tcPr>
          <w:p>
            <w:pPr>
              <w:spacing w:after="20" w:before="0"/>
            </w:pPr>
            <w:r/>
            <w:r>
              <w:rPr>
                <w:b w:val="0"/>
                <w:i w:val="0"/>
                <w:sz w:val="17"/>
              </w:rPr>
              <w:t>§11</w:t>
            </w:r>
          </w:p>
        </w:tc>
      </w:tr>
      <w:tr>
        <w:tc>
          <w:tcPr>
            <w:tcW w:type="dxa" w:w="3456"/>
          </w:tcPr>
          <w:p>
            <w:pPr>
              <w:spacing w:after="20" w:before="0"/>
            </w:pPr>
            <w:r/>
            <w:r>
              <w:rPr>
                <w:b w:val="0"/>
                <w:i w:val="0"/>
                <w:sz w:val="17"/>
              </w:rPr>
              <w:t>4 Data Localization</w:t>
            </w:r>
          </w:p>
        </w:tc>
        <w:tc>
          <w:tcPr>
            <w:tcW w:type="dxa" w:w="2016"/>
          </w:tcPr>
          <w:p>
            <w:pPr>
              <w:spacing w:after="20" w:before="0"/>
            </w:pPr>
            <w:r/>
            <w:r>
              <w:rPr>
                <w:b w:val="0"/>
                <w:i w:val="0"/>
                <w:sz w:val="17"/>
              </w:rPr>
              <w:t>§10</w:t>
            </w:r>
          </w:p>
        </w:tc>
        <w:tc>
          <w:tcPr>
            <w:tcW w:type="dxa" w:w="4032"/>
          </w:tcPr>
          <w:p>
            <w:pPr>
              <w:spacing w:after="20" w:before="0"/>
            </w:pPr>
            <w:r/>
            <w:r>
              <w:rPr>
                <w:b w:val="0"/>
                <w:i w:val="0"/>
                <w:sz w:val="17"/>
              </w:rPr>
              <w:t>§5, A1.5, Annex 4</w:t>
            </w:r>
          </w:p>
        </w:tc>
        <w:tc>
          <w:tcPr>
            <w:tcW w:type="dxa" w:w="4032"/>
          </w:tcPr>
          <w:p>
            <w:pPr>
              <w:spacing w:after="20" w:before="0"/>
            </w:pPr>
            <w:r/>
            <w:r>
              <w:rPr>
                <w:b w:val="0"/>
                <w:i w:val="0"/>
                <w:sz w:val="17"/>
              </w:rPr>
              <w:t>§8, Annex 1 §3, Annex 4</w:t>
            </w:r>
          </w:p>
        </w:tc>
      </w:tr>
      <w:tr>
        <w:tc>
          <w:tcPr>
            <w:tcW w:type="dxa" w:w="3456"/>
          </w:tcPr>
          <w:p>
            <w:pPr>
              <w:spacing w:after="20" w:before="0"/>
            </w:pPr>
            <w:r/>
            <w:r>
              <w:rPr>
                <w:b w:val="0"/>
                <w:i w:val="0"/>
                <w:sz w:val="17"/>
              </w:rPr>
              <w:t>5 Return/Deletion</w:t>
            </w:r>
          </w:p>
        </w:tc>
        <w:tc>
          <w:tcPr>
            <w:tcW w:type="dxa" w:w="2016"/>
          </w:tcPr>
          <w:p>
            <w:pPr>
              <w:spacing w:after="20" w:before="0"/>
            </w:pPr>
            <w:r/>
            <w:r>
              <w:rPr>
                <w:b w:val="0"/>
                <w:i w:val="0"/>
                <w:sz w:val="17"/>
              </w:rPr>
              <w:t>§11</w:t>
            </w:r>
          </w:p>
        </w:tc>
        <w:tc>
          <w:tcPr>
            <w:tcW w:type="dxa" w:w="4032"/>
          </w:tcPr>
          <w:p>
            <w:pPr>
              <w:spacing w:after="20" w:before="0"/>
            </w:pPr>
            <w:r/>
            <w:r>
              <w:rPr>
                <w:b w:val="0"/>
                <w:i w:val="0"/>
                <w:sz w:val="17"/>
              </w:rPr>
              <w:t>§13</w:t>
            </w:r>
          </w:p>
        </w:tc>
        <w:tc>
          <w:tcPr>
            <w:tcW w:type="dxa" w:w="4032"/>
          </w:tcPr>
          <w:p>
            <w:pPr>
              <w:spacing w:after="20" w:before="0"/>
            </w:pPr>
            <w:r/>
            <w:r>
              <w:rPr>
                <w:b w:val="0"/>
                <w:i w:val="0"/>
                <w:sz w:val="17"/>
              </w:rPr>
              <w:t>§17</w:t>
            </w:r>
          </w:p>
        </w:tc>
      </w:tr>
      <w:tr>
        <w:tc>
          <w:tcPr>
            <w:tcW w:type="dxa" w:w="3456"/>
          </w:tcPr>
          <w:p>
            <w:pPr>
              <w:spacing w:after="20" w:before="0"/>
            </w:pPr>
            <w:r/>
            <w:r>
              <w:rPr>
                <w:b w:val="0"/>
                <w:i w:val="0"/>
                <w:sz w:val="17"/>
              </w:rPr>
              <w:t>6 Liability Cap</w:t>
            </w:r>
          </w:p>
        </w:tc>
        <w:tc>
          <w:tcPr>
            <w:tcW w:type="dxa" w:w="2016"/>
          </w:tcPr>
          <w:p>
            <w:pPr>
              <w:spacing w:after="20" w:before="0"/>
            </w:pPr>
            <w:r/>
            <w:r>
              <w:rPr>
                <w:b w:val="0"/>
                <w:i w:val="0"/>
                <w:sz w:val="17"/>
              </w:rPr>
              <w:t>§15</w:t>
            </w:r>
          </w:p>
        </w:tc>
        <w:tc>
          <w:tcPr>
            <w:tcW w:type="dxa" w:w="4032"/>
          </w:tcPr>
          <w:p>
            <w:pPr>
              <w:spacing w:after="20" w:before="0"/>
            </w:pPr>
            <w:r/>
            <w:r>
              <w:rPr>
                <w:b w:val="0"/>
                <w:i w:val="0"/>
                <w:sz w:val="17"/>
              </w:rPr>
              <w:t>§12.1, 12.3</w:t>
            </w:r>
          </w:p>
        </w:tc>
        <w:tc>
          <w:tcPr>
            <w:tcW w:type="dxa" w:w="4032"/>
          </w:tcPr>
          <w:p>
            <w:pPr>
              <w:spacing w:after="20" w:before="0"/>
            </w:pPr>
            <w:r/>
            <w:r>
              <w:rPr>
                <w:b w:val="0"/>
                <w:i w:val="0"/>
                <w:sz w:val="17"/>
              </w:rPr>
              <w:t>§13.1</w:t>
            </w:r>
          </w:p>
        </w:tc>
      </w:tr>
      <w:tr>
        <w:tc>
          <w:tcPr>
            <w:tcW w:type="dxa" w:w="3456"/>
          </w:tcPr>
          <w:p>
            <w:pPr>
              <w:spacing w:after="20" w:before="0"/>
            </w:pPr>
            <w:r/>
            <w:r>
              <w:rPr>
                <w:b w:val="0"/>
                <w:i w:val="0"/>
                <w:sz w:val="17"/>
              </w:rPr>
              <w:t>7 Indemnification</w:t>
            </w:r>
          </w:p>
        </w:tc>
        <w:tc>
          <w:tcPr>
            <w:tcW w:type="dxa" w:w="2016"/>
          </w:tcPr>
          <w:p>
            <w:pPr>
              <w:spacing w:after="20" w:before="0"/>
            </w:pPr>
            <w:r/>
            <w:r>
              <w:rPr>
                <w:b w:val="0"/>
                <w:i w:val="0"/>
                <w:sz w:val="17"/>
              </w:rPr>
              <w:t>§16</w:t>
            </w:r>
          </w:p>
        </w:tc>
        <w:tc>
          <w:tcPr>
            <w:tcW w:type="dxa" w:w="4032"/>
          </w:tcPr>
          <w:p>
            <w:pPr>
              <w:spacing w:after="20" w:before="0"/>
            </w:pPr>
            <w:r/>
            <w:r>
              <w:rPr>
                <w:b w:val="0"/>
                <w:i w:val="0"/>
                <w:sz w:val="17"/>
              </w:rPr>
              <w:t>§12.2</w:t>
            </w:r>
          </w:p>
        </w:tc>
        <w:tc>
          <w:tcPr>
            <w:tcW w:type="dxa" w:w="4032"/>
          </w:tcPr>
          <w:p>
            <w:pPr>
              <w:spacing w:after="20" w:before="0"/>
            </w:pPr>
            <w:r/>
            <w:r>
              <w:rPr>
                <w:b w:val="0"/>
                <w:i w:val="0"/>
                <w:sz w:val="17"/>
              </w:rPr>
              <w:t>§13.2</w:t>
            </w:r>
          </w:p>
        </w:tc>
      </w:tr>
      <w:tr>
        <w:tc>
          <w:tcPr>
            <w:tcW w:type="dxa" w:w="3456"/>
          </w:tcPr>
          <w:p>
            <w:pPr>
              <w:spacing w:after="20" w:before="0"/>
            </w:pPr>
            <w:r/>
            <w:r>
              <w:rPr>
                <w:b w:val="0"/>
                <w:i w:val="0"/>
                <w:sz w:val="17"/>
              </w:rPr>
              <w:t>8 Security Certs</w:t>
            </w:r>
          </w:p>
        </w:tc>
        <w:tc>
          <w:tcPr>
            <w:tcW w:type="dxa" w:w="2016"/>
          </w:tcPr>
          <w:p>
            <w:pPr>
              <w:spacing w:after="20" w:before="0"/>
            </w:pPr>
            <w:r/>
            <w:r>
              <w:rPr>
                <w:b w:val="0"/>
                <w:i w:val="0"/>
                <w:sz w:val="17"/>
              </w:rPr>
              <w:t>§6</w:t>
            </w:r>
          </w:p>
        </w:tc>
        <w:tc>
          <w:tcPr>
            <w:tcW w:type="dxa" w:w="4032"/>
          </w:tcPr>
          <w:p>
            <w:pPr>
              <w:spacing w:after="20" w:before="0"/>
            </w:pPr>
            <w:r/>
            <w:r>
              <w:rPr>
                <w:b w:val="0"/>
                <w:i w:val="0"/>
                <w:sz w:val="17"/>
              </w:rPr>
              <w:t>§8.2, 8.4</w:t>
            </w:r>
          </w:p>
        </w:tc>
        <w:tc>
          <w:tcPr>
            <w:tcW w:type="dxa" w:w="4032"/>
          </w:tcPr>
          <w:p>
            <w:pPr>
              <w:spacing w:after="20" w:before="0"/>
            </w:pPr>
            <w:r/>
            <w:r>
              <w:rPr>
                <w:b w:val="0"/>
                <w:i w:val="0"/>
                <w:sz w:val="17"/>
              </w:rPr>
              <w:t>§15</w:t>
            </w:r>
          </w:p>
        </w:tc>
      </w:tr>
      <w:tr>
        <w:tc>
          <w:tcPr>
            <w:tcW w:type="dxa" w:w="3456"/>
          </w:tcPr>
          <w:p>
            <w:pPr>
              <w:spacing w:after="20" w:before="0"/>
            </w:pPr>
            <w:r/>
            <w:r>
              <w:rPr>
                <w:b w:val="0"/>
                <w:i w:val="0"/>
                <w:sz w:val="17"/>
              </w:rPr>
              <w:t>9 DSR Assistance</w:t>
            </w:r>
          </w:p>
        </w:tc>
        <w:tc>
          <w:tcPr>
            <w:tcW w:type="dxa" w:w="2016"/>
          </w:tcPr>
          <w:p>
            <w:pPr>
              <w:spacing w:after="20" w:before="0"/>
            </w:pPr>
            <w:r/>
            <w:r>
              <w:rPr>
                <w:b w:val="0"/>
                <w:i w:val="0"/>
                <w:sz w:val="17"/>
              </w:rPr>
              <w:t>§12</w:t>
            </w:r>
          </w:p>
        </w:tc>
        <w:tc>
          <w:tcPr>
            <w:tcW w:type="dxa" w:w="4032"/>
          </w:tcPr>
          <w:p>
            <w:pPr>
              <w:spacing w:after="20" w:before="0"/>
            </w:pPr>
            <w:r/>
            <w:r>
              <w:rPr>
                <w:b w:val="0"/>
                <w:i w:val="0"/>
                <w:sz w:val="17"/>
              </w:rPr>
              <w:t>§9</w:t>
            </w:r>
          </w:p>
        </w:tc>
        <w:tc>
          <w:tcPr>
            <w:tcW w:type="dxa" w:w="4032"/>
          </w:tcPr>
          <w:p>
            <w:pPr>
              <w:spacing w:after="20" w:before="0"/>
            </w:pPr>
            <w:r/>
            <w:r>
              <w:rPr>
                <w:b w:val="0"/>
                <w:i w:val="0"/>
                <w:sz w:val="17"/>
              </w:rPr>
              <w:t>§9</w:t>
            </w:r>
          </w:p>
        </w:tc>
      </w:tr>
      <w:tr>
        <w:tc>
          <w:tcPr>
            <w:tcW w:type="dxa" w:w="3456"/>
          </w:tcPr>
          <w:p>
            <w:pPr>
              <w:spacing w:after="20" w:before="0"/>
            </w:pPr>
            <w:r/>
            <w:r>
              <w:rPr>
                <w:b w:val="0"/>
                <w:i w:val="0"/>
                <w:sz w:val="17"/>
              </w:rPr>
              <w:t>10 Governing Law</w:t>
            </w:r>
          </w:p>
        </w:tc>
        <w:tc>
          <w:tcPr>
            <w:tcW w:type="dxa" w:w="2016"/>
          </w:tcPr>
          <w:p>
            <w:pPr>
              <w:spacing w:after="20" w:before="0"/>
            </w:pPr>
            <w:r/>
            <w:r>
              <w:rPr>
                <w:b w:val="0"/>
                <w:i w:val="0"/>
                <w:sz w:val="17"/>
              </w:rPr>
              <w:t>§20</w:t>
            </w:r>
          </w:p>
        </w:tc>
        <w:tc>
          <w:tcPr>
            <w:tcW w:type="dxa" w:w="4032"/>
          </w:tcPr>
          <w:p>
            <w:pPr>
              <w:spacing w:after="20" w:before="0"/>
            </w:pPr>
            <w:r/>
            <w:r>
              <w:rPr>
                <w:b w:val="0"/>
                <w:i w:val="0"/>
                <w:sz w:val="17"/>
              </w:rPr>
              <w:t>§20</w:t>
            </w:r>
          </w:p>
        </w:tc>
        <w:tc>
          <w:tcPr>
            <w:tcW w:type="dxa" w:w="4032"/>
          </w:tcPr>
          <w:p>
            <w:pPr>
              <w:spacing w:after="20" w:before="0"/>
            </w:pPr>
            <w:r/>
            <w:r>
              <w:rPr>
                <w:b w:val="0"/>
                <w:i w:val="0"/>
                <w:sz w:val="17"/>
              </w:rPr>
              <w:t>§22</w:t>
            </w:r>
          </w:p>
        </w:tc>
      </w:tr>
      <w:tr>
        <w:tc>
          <w:tcPr>
            <w:tcW w:type="dxa" w:w="3456"/>
          </w:tcPr>
          <w:p>
            <w:pPr>
              <w:spacing w:after="20" w:before="0"/>
            </w:pPr>
            <w:r/>
            <w:r>
              <w:rPr>
                <w:b w:val="0"/>
                <w:i w:val="0"/>
                <w:sz w:val="17"/>
              </w:rPr>
              <w:t>11 Anonymization</w:t>
            </w:r>
          </w:p>
        </w:tc>
        <w:tc>
          <w:tcPr>
            <w:tcW w:type="dxa" w:w="2016"/>
          </w:tcPr>
          <w:p>
            <w:pPr>
              <w:spacing w:after="20" w:before="0"/>
            </w:pPr>
            <w:r/>
            <w:r>
              <w:rPr>
                <w:b w:val="0"/>
                <w:i w:val="0"/>
                <w:sz w:val="17"/>
              </w:rPr>
              <w:t>§14</w:t>
            </w:r>
          </w:p>
        </w:tc>
        <w:tc>
          <w:tcPr>
            <w:tcW w:type="dxa" w:w="4032"/>
          </w:tcPr>
          <w:p>
            <w:pPr>
              <w:spacing w:after="20" w:before="0"/>
            </w:pPr>
            <w:r/>
            <w:r>
              <w:rPr>
                <w:b w:val="0"/>
                <w:i w:val="0"/>
                <w:sz w:val="17"/>
              </w:rPr>
              <w:t>§2.3, 14.1</w:t>
            </w:r>
          </w:p>
        </w:tc>
        <w:tc>
          <w:tcPr>
            <w:tcW w:type="dxa" w:w="4032"/>
          </w:tcPr>
          <w:p>
            <w:pPr>
              <w:spacing w:after="20" w:before="0"/>
            </w:pPr>
            <w:r/>
            <w:r>
              <w:rPr>
                <w:b w:val="0"/>
                <w:i w:val="0"/>
                <w:sz w:val="17"/>
              </w:rPr>
              <w:t>§1.1(n), §14.3</w:t>
            </w:r>
          </w:p>
        </w:tc>
      </w:tr>
      <w:tr>
        <w:tc>
          <w:tcPr>
            <w:tcW w:type="dxa" w:w="3456"/>
          </w:tcPr>
          <w:p>
            <w:pPr>
              <w:spacing w:after="20" w:before="0"/>
            </w:pPr>
            <w:r/>
            <w:r>
              <w:rPr>
                <w:b w:val="0"/>
                <w:i w:val="0"/>
                <w:sz w:val="17"/>
              </w:rPr>
              <w:t>12 Security Standard</w:t>
            </w:r>
          </w:p>
        </w:tc>
        <w:tc>
          <w:tcPr>
            <w:tcW w:type="dxa" w:w="2016"/>
          </w:tcPr>
          <w:p>
            <w:pPr>
              <w:spacing w:after="20" w:before="0"/>
            </w:pPr>
            <w:r/>
            <w:r>
              <w:rPr>
                <w:b w:val="0"/>
                <w:i w:val="0"/>
                <w:sz w:val="17"/>
              </w:rPr>
              <w:t>§6</w:t>
            </w:r>
          </w:p>
        </w:tc>
        <w:tc>
          <w:tcPr>
            <w:tcW w:type="dxa" w:w="4032"/>
          </w:tcPr>
          <w:p>
            <w:pPr>
              <w:spacing w:after="20" w:before="0"/>
            </w:pPr>
            <w:r/>
            <w:r>
              <w:rPr>
                <w:b w:val="0"/>
                <w:i w:val="0"/>
                <w:sz w:val="17"/>
              </w:rPr>
              <w:t>§8.1, 8.3, 8.5, Annex 2</w:t>
            </w:r>
          </w:p>
        </w:tc>
        <w:tc>
          <w:tcPr>
            <w:tcW w:type="dxa" w:w="4032"/>
          </w:tcPr>
          <w:p>
            <w:pPr>
              <w:spacing w:after="20" w:before="0"/>
            </w:pPr>
            <w:r/>
            <w:r>
              <w:rPr>
                <w:b w:val="0"/>
                <w:i w:val="0"/>
                <w:sz w:val="17"/>
              </w:rPr>
              <w:t>§6, Annex 2</w:t>
            </w:r>
          </w:p>
        </w:tc>
      </w:tr>
      <w:tr>
        <w:tc>
          <w:tcPr>
            <w:tcW w:type="dxa" w:w="3456"/>
          </w:tcPr>
          <w:p>
            <w:pPr>
              <w:spacing w:after="20" w:before="0"/>
            </w:pPr>
            <w:r/>
            <w:r>
              <w:rPr>
                <w:b w:val="0"/>
                <w:i w:val="0"/>
                <w:sz w:val="17"/>
              </w:rPr>
              <w:t>13 DPA Term</w:t>
            </w:r>
          </w:p>
        </w:tc>
        <w:tc>
          <w:tcPr>
            <w:tcW w:type="dxa" w:w="2016"/>
          </w:tcPr>
          <w:p>
            <w:pPr>
              <w:spacing w:after="20" w:before="0"/>
            </w:pPr>
            <w:r/>
            <w:r>
              <w:rPr>
                <w:b w:val="0"/>
                <w:i w:val="0"/>
                <w:sz w:val="17"/>
              </w:rPr>
              <w:t>§18</w:t>
            </w:r>
          </w:p>
        </w:tc>
        <w:tc>
          <w:tcPr>
            <w:tcW w:type="dxa" w:w="4032"/>
          </w:tcPr>
          <w:p>
            <w:pPr>
              <w:spacing w:after="20" w:before="0"/>
            </w:pPr>
            <w:r/>
            <w:r>
              <w:rPr>
                <w:b w:val="0"/>
                <w:i w:val="0"/>
                <w:sz w:val="17"/>
              </w:rPr>
              <w:t>§16</w:t>
            </w:r>
          </w:p>
        </w:tc>
        <w:tc>
          <w:tcPr>
            <w:tcW w:type="dxa" w:w="4032"/>
          </w:tcPr>
          <w:p>
            <w:pPr>
              <w:spacing w:after="20" w:before="0"/>
            </w:pPr>
            <w:r/>
            <w:r>
              <w:rPr>
                <w:b w:val="0"/>
                <w:i w:val="0"/>
                <w:sz w:val="17"/>
              </w:rPr>
              <w:t>§4.2, §18</w:t>
            </w:r>
          </w:p>
        </w:tc>
      </w:tr>
      <w:tr>
        <w:tc>
          <w:tcPr>
            <w:tcW w:type="dxa" w:w="3456"/>
          </w:tcPr>
          <w:p>
            <w:pPr>
              <w:spacing w:after="20" w:before="0"/>
            </w:pPr>
            <w:r/>
            <w:r>
              <w:rPr>
                <w:b w:val="0"/>
                <w:i w:val="0"/>
                <w:sz w:val="17"/>
              </w:rPr>
              <w:t>14 Cyber Insurance</w:t>
            </w:r>
          </w:p>
        </w:tc>
        <w:tc>
          <w:tcPr>
            <w:tcW w:type="dxa" w:w="2016"/>
          </w:tcPr>
          <w:p>
            <w:pPr>
              <w:spacing w:after="20" w:before="0"/>
            </w:pPr>
            <w:r/>
            <w:r>
              <w:rPr>
                <w:b w:val="0"/>
                <w:i w:val="0"/>
                <w:sz w:val="17"/>
              </w:rPr>
              <w:t>§17</w:t>
            </w:r>
          </w:p>
        </w:tc>
        <w:tc>
          <w:tcPr>
            <w:tcW w:type="dxa" w:w="4032"/>
          </w:tcPr>
          <w:p>
            <w:pPr>
              <w:spacing w:after="20" w:before="0"/>
            </w:pPr>
            <w:r/>
            <w:r>
              <w:rPr>
                <w:b w:val="0"/>
                <w:i w:val="0"/>
                <w:sz w:val="17"/>
              </w:rPr>
              <w:t>§15</w:t>
            </w:r>
          </w:p>
        </w:tc>
        <w:tc>
          <w:tcPr>
            <w:tcW w:type="dxa" w:w="4032"/>
          </w:tcPr>
          <w:p>
            <w:pPr>
              <w:spacing w:after="20" w:before="0"/>
            </w:pPr>
            <w:r/>
            <w:r>
              <w:rPr>
                <w:b w:val="0"/>
                <w:i w:val="0"/>
                <w:sz w:val="17"/>
              </w:rPr>
              <w:t>§19</w:t>
            </w:r>
          </w:p>
        </w:tc>
      </w:tr>
      <w:tr>
        <w:tc>
          <w:tcPr>
            <w:tcW w:type="dxa" w:w="3456"/>
          </w:tcPr>
          <w:p>
            <w:pPr>
              <w:spacing w:after="20" w:before="0"/>
            </w:pPr>
            <w:r/>
            <w:r>
              <w:rPr>
                <w:b w:val="0"/>
                <w:i w:val="0"/>
                <w:sz w:val="17"/>
              </w:rPr>
              <w:t>15 HIPAA BAA</w:t>
            </w:r>
          </w:p>
        </w:tc>
        <w:tc>
          <w:tcPr>
            <w:tcW w:type="dxa" w:w="2016"/>
          </w:tcPr>
          <w:p>
            <w:pPr>
              <w:spacing w:after="20" w:before="0"/>
            </w:pPr>
            <w:r/>
            <w:r>
              <w:rPr>
                <w:b w:val="0"/>
                <w:i w:val="0"/>
                <w:sz w:val="17"/>
              </w:rPr>
              <w:t>§5</w:t>
            </w:r>
          </w:p>
        </w:tc>
        <w:tc>
          <w:tcPr>
            <w:tcW w:type="dxa" w:w="4032"/>
          </w:tcPr>
          <w:p>
            <w:pPr>
              <w:spacing w:after="20" w:before="0"/>
            </w:pPr>
            <w:r/>
            <w:r>
              <w:rPr>
                <w:b w:val="0"/>
                <w:i w:val="0"/>
                <w:sz w:val="17"/>
              </w:rPr>
              <w:t>§17</w:t>
            </w:r>
          </w:p>
        </w:tc>
        <w:tc>
          <w:tcPr>
            <w:tcW w:type="dxa" w:w="4032"/>
          </w:tcPr>
          <w:p>
            <w:pPr>
              <w:spacing w:after="20" w:before="0"/>
            </w:pPr>
            <w:r/>
            <w:r>
              <w:rPr>
                <w:b w:val="0"/>
                <w:i w:val="0"/>
                <w:sz w:val="17"/>
              </w:rPr>
              <w:t>§16</w:t>
            </w:r>
          </w:p>
        </w:tc>
      </w:tr>
      <w:tr>
        <w:tc>
          <w:tcPr>
            <w:tcW w:type="dxa" w:w="3456"/>
          </w:tcPr>
          <w:p>
            <w:pPr>
              <w:spacing w:after="20" w:before="0"/>
            </w:pPr>
            <w:r/>
            <w:r>
              <w:rPr>
                <w:b w:val="0"/>
                <w:i w:val="0"/>
                <w:sz w:val="17"/>
              </w:rPr>
              <w:t>16 Purpose Limitation</w:t>
            </w:r>
          </w:p>
        </w:tc>
        <w:tc>
          <w:tcPr>
            <w:tcW w:type="dxa" w:w="2016"/>
          </w:tcPr>
          <w:p>
            <w:pPr>
              <w:spacing w:after="20" w:before="0"/>
            </w:pPr>
            <w:r/>
            <w:r>
              <w:rPr>
                <w:b w:val="0"/>
                <w:i w:val="0"/>
                <w:sz w:val="17"/>
              </w:rPr>
              <w:t>§3</w:t>
            </w:r>
          </w:p>
        </w:tc>
        <w:tc>
          <w:tcPr>
            <w:tcW w:type="dxa" w:w="4032"/>
          </w:tcPr>
          <w:p>
            <w:pPr>
              <w:spacing w:after="20" w:before="0"/>
            </w:pPr>
            <w:r/>
            <w:r>
              <w:rPr>
                <w:b w:val="0"/>
                <w:i w:val="0"/>
                <w:sz w:val="17"/>
              </w:rPr>
              <w:t>§2, §14, §18 (CCPA)</w:t>
            </w:r>
          </w:p>
        </w:tc>
        <w:tc>
          <w:tcPr>
            <w:tcW w:type="dxa" w:w="4032"/>
          </w:tcPr>
          <w:p>
            <w:pPr>
              <w:spacing w:after="20" w:before="0"/>
            </w:pPr>
            <w:r/>
            <w:r>
              <w:rPr>
                <w:b w:val="0"/>
                <w:i w:val="0"/>
                <w:sz w:val="17"/>
              </w:rPr>
              <w:t>§3, §14.1</w:t>
            </w:r>
          </w:p>
        </w:tc>
      </w:tr>
      <w:tr>
        <w:tc>
          <w:tcPr>
            <w:tcW w:type="dxa" w:w="3456"/>
          </w:tcPr>
          <w:p>
            <w:pPr>
              <w:spacing w:after="20" w:before="0"/>
            </w:pPr>
            <w:r/>
            <w:r>
              <w:rPr>
                <w:b w:val="0"/>
                <w:i w:val="0"/>
                <w:sz w:val="17"/>
              </w:rPr>
              <w:t>17 Confidentiality</w:t>
            </w:r>
          </w:p>
        </w:tc>
        <w:tc>
          <w:tcPr>
            <w:tcW w:type="dxa" w:w="2016"/>
          </w:tcPr>
          <w:p>
            <w:pPr>
              <w:spacing w:after="20" w:before="0"/>
            </w:pPr>
            <w:r/>
            <w:r>
              <w:rPr>
                <w:b w:val="0"/>
                <w:i w:val="0"/>
                <w:sz w:val="17"/>
              </w:rPr>
              <w:t>§4</w:t>
            </w:r>
          </w:p>
        </w:tc>
        <w:tc>
          <w:tcPr>
            <w:tcW w:type="dxa" w:w="4032"/>
          </w:tcPr>
          <w:p>
            <w:pPr>
              <w:spacing w:after="20" w:before="0"/>
            </w:pPr>
            <w:r/>
            <w:r>
              <w:rPr>
                <w:b w:val="0"/>
                <w:i w:val="0"/>
                <w:sz w:val="17"/>
              </w:rPr>
              <w:t>§6, §4.2</w:t>
            </w:r>
          </w:p>
        </w:tc>
        <w:tc>
          <w:tcPr>
            <w:tcW w:type="dxa" w:w="4032"/>
          </w:tcPr>
          <w:p>
            <w:pPr>
              <w:spacing w:after="20" w:before="0"/>
            </w:pPr>
            <w:r/>
            <w:r>
              <w:rPr>
                <w:b w:val="0"/>
                <w:i w:val="0"/>
                <w:sz w:val="17"/>
              </w:rPr>
              <w:t>§5</w:t>
            </w:r>
          </w:p>
        </w:tc>
      </w:tr>
      <w:tr>
        <w:tc>
          <w:tcPr>
            <w:tcW w:type="dxa" w:w="3456"/>
          </w:tcPr>
          <w:p>
            <w:pPr>
              <w:spacing w:after="20" w:before="0"/>
            </w:pPr>
            <w:r/>
            <w:r>
              <w:rPr>
                <w:b w:val="0"/>
                <w:i w:val="0"/>
                <w:sz w:val="17"/>
              </w:rPr>
              <w:t>18 Force Majeure</w:t>
            </w:r>
          </w:p>
        </w:tc>
        <w:tc>
          <w:tcPr>
            <w:tcW w:type="dxa" w:w="2016"/>
          </w:tcPr>
          <w:p>
            <w:pPr>
              <w:spacing w:after="20" w:before="0"/>
            </w:pPr>
            <w:r/>
            <w:r>
              <w:rPr>
                <w:b w:val="0"/>
                <w:i w:val="0"/>
                <w:sz w:val="17"/>
              </w:rPr>
              <w:t>N/A</w:t>
            </w:r>
          </w:p>
        </w:tc>
        <w:tc>
          <w:tcPr>
            <w:tcW w:type="dxa" w:w="4032"/>
          </w:tcPr>
          <w:p>
            <w:pPr>
              <w:spacing w:after="20" w:before="0"/>
            </w:pPr>
            <w:r/>
            <w:r>
              <w:rPr>
                <w:b w:val="0"/>
                <w:i w:val="0"/>
                <w:sz w:val="17"/>
              </w:rPr>
              <w:t>N/A</w:t>
            </w:r>
          </w:p>
        </w:tc>
        <w:tc>
          <w:tcPr>
            <w:tcW w:type="dxa" w:w="4032"/>
          </w:tcPr>
          <w:p>
            <w:pPr>
              <w:spacing w:after="20" w:before="0"/>
            </w:pPr>
            <w:r/>
            <w:r>
              <w:rPr>
                <w:b w:val="0"/>
                <w:i w:val="0"/>
                <w:sz w:val="17"/>
              </w:rPr>
              <w:t>§20 (new)</w:t>
            </w:r>
          </w:p>
        </w:tc>
      </w:tr>
      <w:tr>
        <w:tc>
          <w:tcPr>
            <w:tcW w:type="dxa" w:w="3456"/>
          </w:tcPr>
          <w:p>
            <w:pPr>
              <w:spacing w:after="20" w:before="0"/>
            </w:pPr>
            <w:r/>
            <w:r>
              <w:rPr>
                <w:b w:val="0"/>
                <w:i w:val="0"/>
                <w:sz w:val="17"/>
              </w:rPr>
              <w:t>Unaddressed: Suspension</w:t>
            </w:r>
          </w:p>
        </w:tc>
        <w:tc>
          <w:tcPr>
            <w:tcW w:type="dxa" w:w="2016"/>
          </w:tcPr>
          <w:p>
            <w:pPr>
              <w:spacing w:after="20" w:before="0"/>
            </w:pPr>
            <w:r/>
            <w:r>
              <w:rPr>
                <w:b w:val="0"/>
                <w:i w:val="0"/>
                <w:sz w:val="17"/>
              </w:rPr>
              <w:t>—</w:t>
            </w:r>
          </w:p>
        </w:tc>
        <w:tc>
          <w:tcPr>
            <w:tcW w:type="dxa" w:w="4032"/>
          </w:tcPr>
          <w:p>
            <w:pPr>
              <w:spacing w:after="20" w:before="0"/>
            </w:pPr>
            <w:r/>
            <w:r>
              <w:rPr>
                <w:b w:val="0"/>
                <w:i w:val="0"/>
                <w:sz w:val="17"/>
              </w:rPr>
              <w:t>—</w:t>
            </w:r>
          </w:p>
        </w:tc>
        <w:tc>
          <w:tcPr>
            <w:tcW w:type="dxa" w:w="4032"/>
          </w:tcPr>
          <w:p>
            <w:pPr>
              <w:spacing w:after="20" w:before="0"/>
            </w:pPr>
            <w:r/>
            <w:r>
              <w:rPr>
                <w:b w:val="0"/>
                <w:i w:val="0"/>
                <w:sz w:val="17"/>
              </w:rPr>
              <w:t>§21 (new)</w:t>
            </w:r>
          </w:p>
        </w:tc>
      </w:tr>
    </w:tbl>
    <w:p>
      <w:pPr>
        <w:spacing w:after="40"/>
      </w:pPr>
    </w:p>
    <w:p>
      <w:pPr>
        <w:pStyle w:val="Heading1"/>
      </w:pPr>
      <w:r>
        <w:t>Appendix B - Discrepancies Noted in the Source Documents</w:t>
      </w:r>
    </w:p>
    <w:p>
      <w:pPr>
        <w:pStyle w:val="ListBullet"/>
        <w:spacing w:after="40"/>
      </w:pPr>
      <w:r>
        <w:rPr>
          <w:b/>
          <w:i w:val="0"/>
          <w:sz w:val="19"/>
        </w:rPr>
        <w:t>Contract value:</w:t>
      </w:r>
      <w:r>
        <w:rPr>
          <w:b w:val="0"/>
          <w:i w:val="0"/>
          <w:sz w:val="19"/>
        </w:rPr>
        <w:t xml:space="preserve"> the playbook gives a five-year contract value of $93.0M (5 × $18.6M, without the escalator). The MSA summary gives $96,415,462 in Annual Fees including the 3% escalator from Year 3, or $98,815,462 including the $2.4M setup fee. This does not affect cap calculations: both documents fix the reference amount at the base $18.6M, so 3× = $55.8M and 2× = $37.2M.</w:t>
      </w:r>
    </w:p>
    <w:p>
      <w:pPr>
        <w:pStyle w:val="ListBullet"/>
        <w:spacing w:after="40"/>
      </w:pPr>
      <w:r>
        <w:rPr>
          <w:b/>
          <w:i w:val="0"/>
          <w:sz w:val="19"/>
        </w:rPr>
        <w:t>HIPAA citations:</w:t>
      </w:r>
      <w:r>
        <w:rPr>
          <w:b w:val="0"/>
          <w:i w:val="0"/>
          <w:sz w:val="19"/>
        </w:rPr>
        <w:t xml:space="preserve"> the playbook cites §164.504(e)(2)(ii)(H) for HHS access and (I) for return/destruction. Under the current (post-2013 Omnibus Rule) lettering these are §164.504(e)(2)(ii)(I) and (J). This report uses the current lettering. Counter-language should cite the regulation descriptively to avoid error.</w:t>
      </w:r>
    </w:p>
    <w:p>
      <w:pPr>
        <w:pStyle w:val="ListBullet"/>
        <w:spacing w:after="40"/>
      </w:pPr>
      <w:r>
        <w:rPr>
          <w:b/>
          <w:i w:val="0"/>
          <w:sz w:val="19"/>
        </w:rPr>
        <w:t>Section numbering:</w:t>
      </w:r>
      <w:r>
        <w:rPr>
          <w:b w:val="0"/>
          <w:i w:val="0"/>
          <w:sz w:val="19"/>
        </w:rPr>
        <w:t xml:space="preserve"> playbook section references do not match Template v3.2 (see Appendix A).</w:t>
      </w:r>
    </w:p>
    <w:p>
      <w:pPr>
        <w:pStyle w:val="ListBullet"/>
        <w:spacing w:after="40"/>
      </w:pPr>
      <w:r>
        <w:rPr>
          <w:b/>
          <w:i w:val="0"/>
          <w:sz w:val="19"/>
        </w:rPr>
        <w:t>Facility names:</w:t>
      </w:r>
      <w:r>
        <w:rPr>
          <w:b w:val="0"/>
          <w:i w:val="0"/>
          <w:sz w:val="19"/>
        </w:rPr>
        <w:t xml:space="preserve"> Template v3.2 names Frankfurt-Rödelheim; CloudNest’s Annex 1 names Sossenheim. Confirm before signature.</w:t>
      </w:r>
    </w:p>
    <w:p>
      <w:pPr>
        <w:pStyle w:val="ListBullet"/>
        <w:spacing w:after="40"/>
      </w:pPr>
      <w:r>
        <w:rPr>
          <w:b/>
          <w:i w:val="0"/>
          <w:sz w:val="19"/>
        </w:rPr>
        <w:t>Revision metadata:</w:t>
      </w:r>
      <w:r>
        <w:rPr>
          <w:b w:val="0"/>
          <w:i w:val="0"/>
          <w:sz w:val="19"/>
        </w:rPr>
        <w:t xml:space="preserve"> all tracked changes are attributed to “Author”, dated January 1, 2024, and the document properties show a generic generator. The markup history cannot be authenticated, which is a further reason to re-base on Template v3.2.</w:t>
      </w:r>
    </w:p>
    <w:p>
      <w:pPr>
        <w:pStyle w:val="ListBullet"/>
        <w:spacing w:after="40"/>
      </w:pPr>
      <w:r>
        <w:rPr>
          <w:b/>
          <w:i w:val="0"/>
          <w:sz w:val="19"/>
        </w:rPr>
        <w:t>Names and emails:</w:t>
      </w:r>
      <w:r>
        <w:rPr>
          <w:b w:val="0"/>
          <w:i w:val="0"/>
          <w:sz w:val="19"/>
        </w:rPr>
        <w:t xml:space="preserve"> the cover email misspells the GC’s name (“Pryor-Whitaker”). The playbook contact table lists email formats (e.g., jpwhitaker@…, dngata@…) that differ from those in Template §21 and the email headers (j.pryce-whitaker@…, d.ngata@…). Confirm the correct notice addresses before Template §21 is finalised.</w:t>
      </w:r>
    </w:p>
    <w:p>
      <w:pPr>
        <w:spacing w:after="80"/>
      </w:pPr>
      <w:r>
        <w:rPr>
          <w:b w:val="0"/>
          <w:i/>
          <w:sz w:val="17"/>
        </w:rPr>
        <w:t>This report is based solely on the five documents listed on page 1 and reflects the positions in Playbook v1.0. It is a preliminary deviation report for internal decision-making and is not a final legal opinion on any jurisdiction’s law.</w:t>
      </w:r>
    </w:p>
    <w:sectPr w:rsidR="00FC693F" w:rsidRPr="0006063C" w:rsidSect="00034616">
      <w:headerReference w:type="default" r:id="rId9"/>
      <w:footerReference w:type="default" r:id="rId10"/>
      <w:pgSz w:w="15840" w:h="12240" w:orient="landscape"/>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Stratton Health / CloudNest DPA - Deviation Report - Whitfield &amp; Crane LLP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PRIVILEGED &amp; CONFIDENTIAL - ATTORNEY-CLIENT COMMUNICATION / ATTORNEY WORK PRODUCT - DO NOT FORWARD TO COUNTERPARTY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