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AND CONFIDENTIAL - ATTORNEY-CLIENT COMMUNICATION / ATTORNEY WORK PRODUCT</w:t>
      </w:r>
    </w:p>
    <w:p>
      <w:pPr>
        <w:spacing w:after="0"/>
        <w:jc w:val="center"/>
      </w:pPr>
      <w:r>
        <w:rPr>
          <w:b/>
          <w:i w:val="0"/>
          <w:sz w:val="26"/>
        </w:rPr>
        <w:t>WESTBROOK CALLAHAN LLP</w:t>
      </w:r>
    </w:p>
    <w:p>
      <w:pPr>
        <w:spacing w:after="160"/>
        <w:jc w:val="center"/>
      </w:pPr>
      <w:r>
        <w:rPr>
          <w:b/>
          <w:i w:val="0"/>
          <w:sz w:val="26"/>
        </w:rPr>
        <w:t>MEMORANDUM</w:t>
      </w:r>
    </w:p>
    <w:tbl>
      <w:tblPr>
        <w:tblW w:type="auto" w:w="0"/>
        <w:tblLook w:firstColumn="1" w:firstRow="1" w:lastColumn="0" w:lastRow="0" w:noHBand="0" w:noVBand="1" w:val="04A0"/>
      </w:tblPr>
      <w:tblGrid>
        <w:gridCol w:w="4824"/>
        <w:gridCol w:w="4824"/>
      </w:tblGrid>
      <w:tr>
        <w:tc>
          <w:tcPr>
            <w:tcW w:type="dxa" w:w="1152"/>
          </w:tcPr>
          <w:p>
            <w:r/>
            <w:r>
              <w:rPr>
                <w:b/>
              </w:rPr>
              <w:t>TO:</w:t>
            </w:r>
          </w:p>
        </w:tc>
        <w:tc>
          <w:tcPr>
            <w:tcW w:type="dxa" w:w="8640"/>
          </w:tcPr>
          <w:p>
            <w:r/>
            <w:r>
              <w:t>Sarah Fong, Partner</w:t>
            </w:r>
          </w:p>
        </w:tc>
      </w:tr>
      <w:tr>
        <w:tc>
          <w:tcPr>
            <w:tcW w:type="dxa" w:w="1152"/>
          </w:tcPr>
          <w:p>
            <w:r/>
            <w:r>
              <w:rPr>
                <w:b/>
              </w:rPr>
              <w:t>CC:</w:t>
            </w:r>
          </w:p>
        </w:tc>
        <w:tc>
          <w:tcPr>
            <w:tcW w:type="dxa" w:w="8640"/>
          </w:tcPr>
          <w:p>
            <w:r/>
            <w:r>
              <w:t>Jordan Hale, VP of Land &amp; Development, Ridgeline Wind Holdings LLC (client copy - see Playbook escalations in Part VI)</w:t>
            </w:r>
          </w:p>
        </w:tc>
      </w:tr>
      <w:tr>
        <w:tc>
          <w:tcPr>
            <w:tcW w:type="dxa" w:w="1152"/>
          </w:tcPr>
          <w:p>
            <w:r/>
            <w:r>
              <w:rPr>
                <w:b/>
              </w:rPr>
              <w:t>FROM:</w:t>
            </w:r>
          </w:p>
        </w:tc>
        <w:tc>
          <w:tcPr>
            <w:tcW w:type="dxa" w:w="8640"/>
          </w:tcPr>
          <w:p>
            <w:r/>
            <w:r>
              <w:t>[Associate], Westbrook Callahan LLP</w:t>
            </w:r>
          </w:p>
        </w:tc>
      </w:tr>
      <w:tr>
        <w:tc>
          <w:tcPr>
            <w:tcW w:type="dxa" w:w="1152"/>
          </w:tcPr>
          <w:p>
            <w:r/>
            <w:r>
              <w:rPr>
                <w:b/>
              </w:rPr>
              <w:t>DATE:</w:t>
            </w:r>
          </w:p>
        </w:tc>
        <w:tc>
          <w:tcPr>
            <w:tcW w:type="dxa" w:w="8640"/>
          </w:tcPr>
          <w:p>
            <w:r/>
            <w:r>
              <w:t>January 2025 (prepared for the Stratton Whitaker priority-response deadline of Friday, January 24, 2025)</w:t>
            </w:r>
          </w:p>
        </w:tc>
      </w:tr>
      <w:tr>
        <w:tc>
          <w:tcPr>
            <w:tcW w:type="dxa" w:w="1152"/>
          </w:tcPr>
          <w:p>
            <w:r/>
            <w:r>
              <w:rPr>
                <w:b/>
              </w:rPr>
              <w:t>RE:</w:t>
            </w:r>
          </w:p>
        </w:tc>
        <w:tc>
          <w:tcPr>
            <w:tcW w:type="dxa" w:w="8640"/>
          </w:tcPr>
          <w:p>
            <w:r/>
            <w:r>
              <w:t>Antelope Plateau Wind Project - Land Option and Lease Agreement dated as of December 18, 2024 between Ridgeline Wind Holdings LLC and The Millard Family Revocable Trust (Agreement No. APW-L007): Key Terms Extraction and Issues Memorandum</w:t>
            </w:r>
          </w:p>
        </w:tc>
      </w:tr>
    </w:tbl>
    <w:p>
      <w:pPr>
        <w:spacing w:after="80"/>
      </w:pPr>
    </w:p>
    <w:p>
      <w:pPr>
        <w:pStyle w:val="Heading1"/>
      </w:pPr>
      <w:r>
        <w:t>Documents Reviewed and Scope</w:t>
      </w:r>
    </w:p>
    <w:p>
      <w:pPr>
        <w:spacing w:after="80"/>
      </w:pPr>
      <w:r>
        <w:rPr>
          <w:b w:val="0"/>
          <w:i w:val="0"/>
        </w:rPr>
        <w:t xml:space="preserve">This memorandum extracts the key commercial and legal terms of the Millard Trust Land Option and Lease Agreement (the </w:t>
      </w:r>
      <w:r>
        <w:rPr>
          <w:b/>
          <w:i w:val="0"/>
        </w:rPr>
        <w:t>Agreement</w:t>
      </w:r>
      <w:r>
        <w:rPr>
          <w:b w:val="0"/>
          <w:i w:val="0"/>
        </w:rPr>
        <w:t xml:space="preserve">) and identifies issues by measuring the Agreement against (i) Ridgeline's Standard Form Land Option &amp; Lease Agreement Playbook, Version 3.2 (Oct. 2024) (the </w:t>
      </w:r>
      <w:r>
        <w:rPr>
          <w:b/>
          <w:i w:val="0"/>
        </w:rPr>
        <w:t>Playbook</w:t>
      </w:r>
      <w:r>
        <w:rPr>
          <w:b w:val="0"/>
          <w:i w:val="0"/>
        </w:rPr>
        <w:t xml:space="preserve">); (ii) the Trailhead Land Services strategic assessment memo dated January 8, 2025 (the </w:t>
      </w:r>
      <w:r>
        <w:rPr>
          <w:b/>
          <w:i w:val="0"/>
        </w:rPr>
        <w:t>Project Memo</w:t>
      </w:r>
      <w:r>
        <w:rPr>
          <w:b w:val="0"/>
          <w:i w:val="0"/>
        </w:rPr>
        <w:t xml:space="preserve">); (iii) the Stratton Whitaker LLP partial lender diligence checklist from Marcus Reyes on behalf of Highline Capital Group, and your January 10, 2025 reply (the </w:t>
      </w:r>
      <w:r>
        <w:rPr>
          <w:b/>
          <w:i w:val="0"/>
        </w:rPr>
        <w:t>Lender Checklist</w:t>
      </w:r>
      <w:r>
        <w:rPr>
          <w:b w:val="0"/>
          <w:i w:val="0"/>
        </w:rPr>
        <w:t xml:space="preserve">); and (iv) the Trailhead comparable terms workbook dated January 10, 2025 covering APW-L001 through APW-L007 (the </w:t>
      </w:r>
      <w:r>
        <w:rPr>
          <w:b/>
          <w:i w:val="0"/>
        </w:rPr>
        <w:t>Comps</w:t>
      </w:r>
      <w:r>
        <w:rPr>
          <w:b w:val="0"/>
          <w:i w:val="0"/>
        </w:rPr>
        <w:t>). We represent Ridgeline. Section references are to the Agreement unless noted. We have not reviewed the trust instrument, title commitments, the Exhibit A legal descriptions, any recorded memorandum, or the MFN clauses in the other project agreements; conclusions that depend on those items are flagged.</w:t>
      </w:r>
    </w:p>
    <w:p>
      <w:pPr>
        <w:pStyle w:val="Heading1"/>
      </w:pPr>
      <w:r>
        <w:t>Executive Summary</w:t>
      </w:r>
    </w:p>
    <w:p>
      <w:pPr>
        <w:spacing w:after="80"/>
      </w:pPr>
      <w:r>
        <w:rPr>
          <w:b w:val="0"/>
          <w:i w:val="0"/>
        </w:rPr>
        <w:t xml:space="preserve">The Agreement captures most of Ridgeline's economic and development must-haves (lease term runs from COD; affiliate assignment; Qualified Transferee carve-out; Ridgeline-only specific performance; landowner transfer restriction; personal-property characterization; Oregon law), and every rent and option rate is within the Playbook ranges. However, it is </w:t>
      </w:r>
      <w:r>
        <w:rPr>
          <w:b/>
          <w:i w:val="0"/>
        </w:rPr>
        <w:t>not financeable in its current form</w:t>
      </w:r>
      <w:r>
        <w:rPr>
          <w:b w:val="0"/>
          <w:i w:val="0"/>
        </w:rPr>
        <w:t xml:space="preserve"> and contains several deviations from the Playbook that require escalation to Jordan Hale / General Counsel under Playbook Section XIII. The Millard parcels are, per the Project Memo, indispensable (sole viable substation site on Parcel A for BPA queue Q-2024-0287; three of the five highest-capacity turbine sites), so each issue below should be read against a project-level, not parcel-level, risk profile. The most significant items are:</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432"/>
            <w:shd w:val="clear" w:color="auto" w:fill="1F3A5F"/>
          </w:tcPr>
          <w:p>
            <w:r/>
            <w:r>
              <w:rPr>
                <w:b/>
                <w:color w:val="FFFFFF"/>
                <w:sz w:val="17"/>
              </w:rPr>
              <w:t>#</w:t>
            </w:r>
          </w:p>
        </w:tc>
        <w:tc>
          <w:tcPr>
            <w:tcW w:type="dxa" w:w="1152"/>
            <w:shd w:val="clear" w:color="auto" w:fill="1F3A5F"/>
          </w:tcPr>
          <w:p>
            <w:r/>
            <w:r>
              <w:rPr>
                <w:b/>
                <w:color w:val="FFFFFF"/>
                <w:sz w:val="17"/>
              </w:rPr>
              <w:t>Severity</w:t>
            </w:r>
          </w:p>
        </w:tc>
        <w:tc>
          <w:tcPr>
            <w:tcW w:type="dxa" w:w="7056"/>
            <w:shd w:val="clear" w:color="auto" w:fill="1F3A5F"/>
          </w:tcPr>
          <w:p>
            <w:r/>
            <w:r>
              <w:rPr>
                <w:b/>
                <w:color w:val="FFFFFF"/>
                <w:sz w:val="17"/>
              </w:rPr>
              <w:t>Issue</w:t>
            </w:r>
          </w:p>
        </w:tc>
        <w:tc>
          <w:tcPr>
            <w:tcW w:type="dxa" w:w="1440"/>
            <w:shd w:val="clear" w:color="auto" w:fill="1F3A5F"/>
          </w:tcPr>
          <w:p>
            <w:r/>
            <w:r>
              <w:rPr>
                <w:b/>
                <w:color w:val="FFFFFF"/>
                <w:sz w:val="17"/>
              </w:rPr>
              <w:t>Agreement Ref.</w:t>
            </w:r>
          </w:p>
        </w:tc>
      </w:tr>
      <w:tr>
        <w:tc>
          <w:tcPr>
            <w:tcW w:type="dxa" w:w="432"/>
          </w:tcPr>
          <w:p>
            <w:r/>
            <w:r>
              <w:rPr>
                <w:b w:val="0"/>
                <w:i w:val="0"/>
                <w:sz w:val="17"/>
              </w:rPr>
              <w:t>1</w:t>
            </w:r>
          </w:p>
        </w:tc>
        <w:tc>
          <w:tcPr>
            <w:tcW w:type="dxa" w:w="1152"/>
            <w:shd w:val="clear" w:color="auto" w:fill="F4B6B6"/>
          </w:tcPr>
          <w:p>
            <w:r/>
            <w:r>
              <w:rPr>
                <w:b w:val="0"/>
                <w:i w:val="0"/>
                <w:sz w:val="17"/>
              </w:rPr>
              <w:t>Critical</w:t>
            </w:r>
          </w:p>
        </w:tc>
        <w:tc>
          <w:tcPr>
            <w:tcW w:type="dxa" w:w="7056"/>
          </w:tcPr>
          <w:p>
            <w:r/>
            <w:r>
              <w:rPr>
                <w:b/>
                <w:i w:val="0"/>
                <w:sz w:val="17"/>
              </w:rPr>
              <w:t>No lender protections at all.</w:t>
            </w:r>
            <w:r>
              <w:rPr>
                <w:b w:val="0"/>
                <w:i w:val="0"/>
                <w:sz w:val="17"/>
              </w:rPr>
              <w:t xml:space="preserve"> The Agreement has no leasehold-mortgagee article: no express right to collaterally assign to Highline, no lender notice/cure or step-in rights, no new-lease or non-termination protection, and no estoppel obligation. Highline (a lender, not a wind operator) likely is not a Qualified Transferee under Section 14.3(b), so a collateral assignment arguably requires Landowner consent under Section 14.2. Lender Checklist Items 6 and 7 cannot be answered favorably without an amendment.</w:t>
            </w:r>
          </w:p>
        </w:tc>
        <w:tc>
          <w:tcPr>
            <w:tcW w:type="dxa" w:w="1440"/>
          </w:tcPr>
          <w:p>
            <w:r/>
            <w:r>
              <w:rPr>
                <w:b w:val="0"/>
                <w:i w:val="0"/>
                <w:sz w:val="17"/>
              </w:rPr>
              <w:t>Arts. 14, 16, 17</w:t>
            </w:r>
          </w:p>
        </w:tc>
      </w:tr>
      <w:tr>
        <w:tc>
          <w:tcPr>
            <w:tcW w:type="dxa" w:w="432"/>
          </w:tcPr>
          <w:p>
            <w:r/>
            <w:r>
              <w:rPr>
                <w:b w:val="0"/>
                <w:i w:val="0"/>
                <w:sz w:val="17"/>
              </w:rPr>
              <w:t>2</w:t>
            </w:r>
          </w:p>
        </w:tc>
        <w:tc>
          <w:tcPr>
            <w:tcW w:type="dxa" w:w="1152"/>
            <w:shd w:val="clear" w:color="auto" w:fill="F4B6B6"/>
          </w:tcPr>
          <w:p>
            <w:r/>
            <w:r>
              <w:rPr>
                <w:b w:val="0"/>
                <w:i w:val="0"/>
                <w:sz w:val="17"/>
              </w:rPr>
              <w:t>Critical</w:t>
            </w:r>
          </w:p>
        </w:tc>
        <w:tc>
          <w:tcPr>
            <w:tcW w:type="dxa" w:w="7056"/>
          </w:tcPr>
          <w:p>
            <w:r/>
            <w:r>
              <w:rPr>
                <w:b/>
                <w:i w:val="0"/>
                <w:sz w:val="17"/>
              </w:rPr>
              <w:t>Decommissioning security deferred to the 15th anniversary of COD.</w:t>
            </w:r>
            <w:r>
              <w:rPr>
                <w:b w:val="0"/>
                <w:i w:val="0"/>
                <w:sz w:val="17"/>
              </w:rPr>
              <w:t xml:space="preserve"> This breaches a Playbook must-have (posting no later than COD), exceeds the COD+10 outer limit that requires Hale/GC approval, is the latest trigger in the portfolio (L005/L006 post at COD; L001-L004 at COD+10), and conflicts with Highline's term sheet (no later than COD+5). There is no interim security, reserve, or Cascade Renewables guarantee. Lender priority Item 3 (CP-related; due Jan. 24, 2025).</w:t>
            </w:r>
          </w:p>
        </w:tc>
        <w:tc>
          <w:tcPr>
            <w:tcW w:type="dxa" w:w="1440"/>
          </w:tcPr>
          <w:p>
            <w:r/>
            <w:r>
              <w:rPr>
                <w:b w:val="0"/>
                <w:i w:val="0"/>
                <w:sz w:val="17"/>
              </w:rPr>
              <w:t>Secs. 13.3, 13.4</w:t>
            </w:r>
          </w:p>
        </w:tc>
      </w:tr>
      <w:tr>
        <w:tc>
          <w:tcPr>
            <w:tcW w:type="dxa" w:w="432"/>
          </w:tcPr>
          <w:p>
            <w:r/>
            <w:r>
              <w:rPr>
                <w:b w:val="0"/>
                <w:i w:val="0"/>
                <w:sz w:val="17"/>
              </w:rPr>
              <w:t>3</w:t>
            </w:r>
          </w:p>
        </w:tc>
        <w:tc>
          <w:tcPr>
            <w:tcW w:type="dxa" w:w="1152"/>
            <w:shd w:val="clear" w:color="auto" w:fill="F4B6B6"/>
          </w:tcPr>
          <w:p>
            <w:r/>
            <w:r>
              <w:rPr>
                <w:b w:val="0"/>
                <w:i w:val="0"/>
                <w:sz w:val="17"/>
              </w:rPr>
              <w:t>Critical</w:t>
            </w:r>
          </w:p>
        </w:tc>
        <w:tc>
          <w:tcPr>
            <w:tcW w:type="dxa" w:w="7056"/>
          </w:tcPr>
          <w:p>
            <w:r/>
            <w:r>
              <w:rPr>
                <w:b/>
                <w:i w:val="0"/>
                <w:sz w:val="17"/>
              </w:rPr>
              <w:t>Effectiveness ambiguity in Section 4.1.</w:t>
            </w:r>
            <w:r>
              <w:rPr>
                <w:b w:val="0"/>
                <w:i w:val="0"/>
                <w:sz w:val="17"/>
              </w:rPr>
              <w:t xml:space="preserve"> Section 4.1 states that Articles 5 through 19 become effective upon exercise of the Option. Read literally, during the entire Option Period Ridgeline has no enforceable landowner transfer restriction (14.4), ROFR (Art. 15), recording covenant (14.5), specific performance remedy (16.2), default/termination mechanics (Arts. 16-17), confidentiality (Art. 18), arbitration (Art. 19), insurance (Art. 10) or indemnity (Art. 11) - even though several of those provisions say they apply "during the Option Period." The Option Period is when the parcels are most exposed to a competing developer or sale.</w:t>
            </w:r>
          </w:p>
        </w:tc>
        <w:tc>
          <w:tcPr>
            <w:tcW w:type="dxa" w:w="1440"/>
          </w:tcPr>
          <w:p>
            <w:r/>
            <w:r>
              <w:rPr>
                <w:b w:val="0"/>
                <w:i w:val="0"/>
                <w:sz w:val="17"/>
              </w:rPr>
              <w:t>Sec. 4.1</w:t>
            </w:r>
          </w:p>
        </w:tc>
      </w:tr>
      <w:tr>
        <w:tc>
          <w:tcPr>
            <w:tcW w:type="dxa" w:w="432"/>
          </w:tcPr>
          <w:p>
            <w:r/>
            <w:r>
              <w:rPr>
                <w:b w:val="0"/>
                <w:i w:val="0"/>
                <w:sz w:val="17"/>
              </w:rPr>
              <w:t>4</w:t>
            </w:r>
          </w:p>
        </w:tc>
        <w:tc>
          <w:tcPr>
            <w:tcW w:type="dxa" w:w="1152"/>
            <w:shd w:val="clear" w:color="auto" w:fill="F4B6B6"/>
          </w:tcPr>
          <w:p>
            <w:r/>
            <w:r>
              <w:rPr>
                <w:b w:val="0"/>
                <w:i w:val="0"/>
                <w:sz w:val="17"/>
              </w:rPr>
              <w:t>Critical</w:t>
            </w:r>
          </w:p>
        </w:tc>
        <w:tc>
          <w:tcPr>
            <w:tcW w:type="dxa" w:w="7056"/>
          </w:tcPr>
          <w:p>
            <w:r/>
            <w:r>
              <w:rPr>
                <w:b/>
                <w:i w:val="0"/>
                <w:sz w:val="17"/>
              </w:rPr>
              <w:t>Exhibits A and B are placeholders and recording is unconfirmed.</w:t>
            </w:r>
            <w:r>
              <w:rPr>
                <w:b w:val="0"/>
                <w:i w:val="0"/>
                <w:sz w:val="17"/>
              </w:rPr>
              <w:t xml:space="preserve"> Exhibit A lacks metes-and-bounds descriptions ("to be provided by Columbia Basin Title &amp; Escrow"); Exhibit B is a bracketed description, not a form. The copy in the file shows blank signature lines and incomplete notarial acknowledgments. We have no evidence that a Memorandum has been recorded in Gilliam County. Until recorded, Ridgeline's rights are exposed to bona fide purchasers and mortgagees. Lender priority Item 1 (due Jan. 24, 2025).</w:t>
            </w:r>
          </w:p>
        </w:tc>
        <w:tc>
          <w:tcPr>
            <w:tcW w:type="dxa" w:w="1440"/>
          </w:tcPr>
          <w:p>
            <w:r/>
            <w:r>
              <w:rPr>
                <w:b w:val="0"/>
                <w:i w:val="0"/>
                <w:sz w:val="17"/>
              </w:rPr>
              <w:t>Sec. 14.5; Exs. A, B</w:t>
            </w:r>
          </w:p>
        </w:tc>
      </w:tr>
      <w:tr>
        <w:tc>
          <w:tcPr>
            <w:tcW w:type="dxa" w:w="432"/>
          </w:tcPr>
          <w:p>
            <w:r/>
            <w:r>
              <w:rPr>
                <w:b w:val="0"/>
                <w:i w:val="0"/>
                <w:sz w:val="17"/>
              </w:rPr>
              <w:t>5</w:t>
            </w:r>
          </w:p>
        </w:tc>
        <w:tc>
          <w:tcPr>
            <w:tcW w:type="dxa" w:w="1152"/>
            <w:shd w:val="clear" w:color="auto" w:fill="F4B6B6"/>
          </w:tcPr>
          <w:p>
            <w:r/>
            <w:r>
              <w:rPr>
                <w:b w:val="0"/>
                <w:i w:val="0"/>
                <w:sz w:val="17"/>
              </w:rPr>
              <w:t>Critical</w:t>
            </w:r>
          </w:p>
        </w:tc>
        <w:tc>
          <w:tcPr>
            <w:tcW w:type="dxa" w:w="7056"/>
          </w:tcPr>
          <w:p>
            <w:r/>
            <w:r>
              <w:rPr>
                <w:b/>
                <w:i w:val="0"/>
                <w:sz w:val="17"/>
              </w:rPr>
              <w:t>MFN cascade exposure.</w:t>
            </w:r>
            <w:r>
              <w:rPr>
                <w:b w:val="0"/>
                <w:i w:val="0"/>
                <w:sz w:val="17"/>
              </w:rPr>
              <w:t xml:space="preserve"> Millard has the richest terms in the project on every MFN-scoped metric (option rates, $1,200 base rent, $4,800/MW, 3.5% royalty). Four of the six comparable agreements (L001, L003, L005, L006) and 9 of the 14 prior agreements contain MFN clauses triggered by later, more favorable agreements. Assuming Playbook-scope MFN language, Millard triggers estimated uplifts of approximately $40,500/yr in fixed rent (pre-escalation) plus royalty increases of 0.25-0.50 points across those four agreements alone, plus option-rate uplifts of approximately $7,100/yr; the five other MFN agreements are unquantified. Separately, Millard itself has no MFN (Playbook XIII.5 deviation).</w:t>
            </w:r>
          </w:p>
        </w:tc>
        <w:tc>
          <w:tcPr>
            <w:tcW w:type="dxa" w:w="1440"/>
          </w:tcPr>
          <w:p>
            <w:r/>
            <w:r>
              <w:rPr>
                <w:b w:val="0"/>
                <w:i w:val="0"/>
                <w:sz w:val="17"/>
              </w:rPr>
              <w:t>Comps; Playbook XI</w:t>
            </w:r>
          </w:p>
        </w:tc>
      </w:tr>
      <w:tr>
        <w:tc>
          <w:tcPr>
            <w:tcW w:type="dxa" w:w="432"/>
          </w:tcPr>
          <w:p>
            <w:r/>
            <w:r>
              <w:rPr>
                <w:b w:val="0"/>
                <w:i w:val="0"/>
                <w:sz w:val="17"/>
              </w:rPr>
              <w:t>6</w:t>
            </w:r>
          </w:p>
        </w:tc>
        <w:tc>
          <w:tcPr>
            <w:tcW w:type="dxa" w:w="1152"/>
            <w:shd w:val="clear" w:color="auto" w:fill="F9D6A8"/>
          </w:tcPr>
          <w:p>
            <w:r/>
            <w:r>
              <w:rPr>
                <w:b w:val="0"/>
                <w:i w:val="0"/>
                <w:sz w:val="17"/>
              </w:rPr>
              <w:t>High</w:t>
            </w:r>
          </w:p>
        </w:tc>
        <w:tc>
          <w:tcPr>
            <w:tcW w:type="dxa" w:w="7056"/>
          </w:tcPr>
          <w:p>
            <w:r/>
            <w:r>
              <w:rPr>
                <w:b/>
                <w:i w:val="0"/>
                <w:sz w:val="17"/>
              </w:rPr>
              <w:t>Option exercise / extension timing.</w:t>
            </w:r>
            <w:r>
              <w:rPr>
                <w:b w:val="0"/>
                <w:i w:val="0"/>
                <w:sz w:val="17"/>
              </w:rPr>
              <w:t xml:space="preserve"> The extension deadlines stated in Section 3.2 (Sept. 20, 2027 and Sept. 20, 2028) are only 89 days before expiration and are inconsistent with the 90-day formula; the conservative deadlines are </w:t>
            </w:r>
            <w:r>
              <w:rPr>
                <w:b/>
                <w:i w:val="0"/>
                <w:sz w:val="17"/>
              </w:rPr>
              <w:t>Sunday, Sept. 19, 2027</w:t>
            </w:r>
            <w:r>
              <w:rPr>
                <w:b w:val="0"/>
                <w:i w:val="0"/>
                <w:sz w:val="17"/>
              </w:rPr>
              <w:t xml:space="preserve"> (so, practically, Friday, Sept. 17, 2027) and </w:t>
            </w:r>
            <w:r>
              <w:rPr>
                <w:b/>
                <w:i w:val="0"/>
                <w:sz w:val="17"/>
              </w:rPr>
              <w:t>Tuesday, Sept. 19, 2028</w:t>
            </w:r>
            <w:r>
              <w:rPr>
                <w:b w:val="0"/>
                <w:i w:val="0"/>
                <w:sz w:val="17"/>
              </w:rPr>
              <w:t xml:space="preserve">. More fundamentally, the Project Memo assumes exercise at COD; in fact Ridgeline must exercise </w:t>
            </w:r>
            <w:r>
              <w:rPr>
                <w:b/>
                <w:i w:val="0"/>
                <w:sz w:val="17"/>
              </w:rPr>
              <w:t>before construction starts (Q3 2026)</w:t>
            </w:r>
            <w:r>
              <w:rPr>
                <w:b w:val="0"/>
                <w:i w:val="0"/>
                <w:sz w:val="17"/>
              </w:rPr>
              <w:t xml:space="preserve"> and should do so at or before financial close (Q2 2026), because construction rights under Article 7 arise only on exercise and Highline will require a leasehold.</w:t>
            </w:r>
          </w:p>
        </w:tc>
        <w:tc>
          <w:tcPr>
            <w:tcW w:type="dxa" w:w="1440"/>
          </w:tcPr>
          <w:p>
            <w:r/>
            <w:r>
              <w:rPr>
                <w:b w:val="0"/>
                <w:i w:val="0"/>
                <w:sz w:val="17"/>
              </w:rPr>
              <w:t>Secs. 3.1-3.3, 4.1, 5.3</w:t>
            </w:r>
          </w:p>
        </w:tc>
      </w:tr>
      <w:tr>
        <w:tc>
          <w:tcPr>
            <w:tcW w:type="dxa" w:w="432"/>
          </w:tcPr>
          <w:p>
            <w:r/>
            <w:r>
              <w:rPr>
                <w:b w:val="0"/>
                <w:i w:val="0"/>
                <w:sz w:val="17"/>
              </w:rPr>
              <w:t>7</w:t>
            </w:r>
          </w:p>
        </w:tc>
        <w:tc>
          <w:tcPr>
            <w:tcW w:type="dxa" w:w="1152"/>
            <w:shd w:val="clear" w:color="auto" w:fill="F9D6A8"/>
          </w:tcPr>
          <w:p>
            <w:r/>
            <w:r>
              <w:rPr>
                <w:b w:val="0"/>
                <w:i w:val="0"/>
                <w:sz w:val="17"/>
              </w:rPr>
              <w:t>High</w:t>
            </w:r>
          </w:p>
        </w:tc>
        <w:tc>
          <w:tcPr>
            <w:tcW w:type="dxa" w:w="7056"/>
          </w:tcPr>
          <w:p>
            <w:r/>
            <w:r>
              <w:rPr>
                <w:b/>
                <w:i w:val="0"/>
                <w:sz w:val="17"/>
              </w:rPr>
              <w:t>Substation Hosting Fee not expressly "in addition to" the greater-of rent</w:t>
            </w:r>
            <w:r>
              <w:rPr>
                <w:b w:val="0"/>
                <w:i w:val="0"/>
                <w:sz w:val="17"/>
              </w:rPr>
              <w:t xml:space="preserve"> (Playbook III.B CRITICAL language missing; Playbook XIII.4 deviation; also flagged in Comps).</w:t>
            </w:r>
          </w:p>
        </w:tc>
        <w:tc>
          <w:tcPr>
            <w:tcW w:type="dxa" w:w="1440"/>
          </w:tcPr>
          <w:p>
            <w:r/>
            <w:r>
              <w:rPr>
                <w:b w:val="0"/>
                <w:i w:val="0"/>
                <w:sz w:val="17"/>
              </w:rPr>
              <w:t>Secs. 6.4, 6.5</w:t>
            </w:r>
          </w:p>
        </w:tc>
      </w:tr>
      <w:tr>
        <w:tc>
          <w:tcPr>
            <w:tcW w:type="dxa" w:w="432"/>
          </w:tcPr>
          <w:p>
            <w:r/>
            <w:r>
              <w:rPr>
                <w:b w:val="0"/>
                <w:i w:val="0"/>
                <w:sz w:val="17"/>
              </w:rPr>
              <w:t>8</w:t>
            </w:r>
          </w:p>
        </w:tc>
        <w:tc>
          <w:tcPr>
            <w:tcW w:type="dxa" w:w="1152"/>
            <w:shd w:val="clear" w:color="auto" w:fill="F9D6A8"/>
          </w:tcPr>
          <w:p>
            <w:r/>
            <w:r>
              <w:rPr>
                <w:b w:val="0"/>
                <w:i w:val="0"/>
                <w:sz w:val="17"/>
              </w:rPr>
              <w:t>High</w:t>
            </w:r>
          </w:p>
        </w:tc>
        <w:tc>
          <w:tcPr>
            <w:tcW w:type="dxa" w:w="7056"/>
          </w:tcPr>
          <w:p>
            <w:r/>
            <w:r>
              <w:rPr>
                <w:b/>
                <w:i w:val="0"/>
                <w:sz w:val="17"/>
              </w:rPr>
              <w:t>Indemnity survival of 3 years</w:t>
            </w:r>
            <w:r>
              <w:rPr>
                <w:b w:val="0"/>
                <w:i w:val="0"/>
                <w:sz w:val="17"/>
              </w:rPr>
              <w:t xml:space="preserve"> (Sec. 11.3) is shorter than the 6-year ORS 12.080 property-damage period and the Lender's expectation; four comparables (L001, L002, L003, L006) have 5 years. Environmental insurance (Sec. 10.3) ends with the Lease Term and does not cover the tail.</w:t>
            </w:r>
          </w:p>
        </w:tc>
        <w:tc>
          <w:tcPr>
            <w:tcW w:type="dxa" w:w="1440"/>
          </w:tcPr>
          <w:p>
            <w:r/>
            <w:r>
              <w:rPr>
                <w:b w:val="0"/>
                <w:i w:val="0"/>
                <w:sz w:val="17"/>
              </w:rPr>
              <w:t>Secs. 10.3, 11.3</w:t>
            </w:r>
          </w:p>
        </w:tc>
      </w:tr>
      <w:tr>
        <w:tc>
          <w:tcPr>
            <w:tcW w:type="dxa" w:w="432"/>
          </w:tcPr>
          <w:p>
            <w:r/>
            <w:r>
              <w:rPr>
                <w:b w:val="0"/>
                <w:i w:val="0"/>
                <w:sz w:val="17"/>
              </w:rPr>
              <w:t>9</w:t>
            </w:r>
          </w:p>
        </w:tc>
        <w:tc>
          <w:tcPr>
            <w:tcW w:type="dxa" w:w="1152"/>
            <w:shd w:val="clear" w:color="auto" w:fill="F9D6A8"/>
          </w:tcPr>
          <w:p>
            <w:r/>
            <w:r>
              <w:rPr>
                <w:b w:val="0"/>
                <w:i w:val="0"/>
                <w:sz w:val="17"/>
              </w:rPr>
              <w:t>High</w:t>
            </w:r>
          </w:p>
        </w:tc>
        <w:tc>
          <w:tcPr>
            <w:tcW w:type="dxa" w:w="7056"/>
          </w:tcPr>
          <w:p>
            <w:r/>
            <w:r>
              <w:rPr>
                <w:b/>
                <w:i w:val="0"/>
                <w:sz w:val="17"/>
              </w:rPr>
              <w:t>Enforceability risk of one-sided remedies</w:t>
            </w:r>
            <w:r>
              <w:rPr>
                <w:b w:val="0"/>
                <w:i w:val="0"/>
                <w:sz w:val="17"/>
              </w:rPr>
              <w:t xml:space="preserve"> (Secs. 16.2/16.3) given a 74-year-old trustee, no MFN, no indication of independent landowner counsel (contrast Stenger Trust, L003), and three comparables granting mutual specific performance. Specific performance is the remedy that protects the substation site, so its enforceability matters.</w:t>
            </w:r>
          </w:p>
        </w:tc>
        <w:tc>
          <w:tcPr>
            <w:tcW w:type="dxa" w:w="1440"/>
          </w:tcPr>
          <w:p>
            <w:r/>
            <w:r>
              <w:rPr>
                <w:b w:val="0"/>
                <w:i w:val="0"/>
                <w:sz w:val="17"/>
              </w:rPr>
              <w:t>Secs. 16.2, 16.3</w:t>
            </w:r>
          </w:p>
        </w:tc>
      </w:tr>
    </w:tbl>
    <w:p>
      <w:pPr>
        <w:spacing w:after="40"/>
      </w:pPr>
    </w:p>
    <w:p>
      <w:pPr>
        <w:spacing w:after="80"/>
      </w:pPr>
      <w:r>
        <w:rPr>
          <w:b w:val="0"/>
          <w:i w:val="0"/>
        </w:rPr>
        <w:t xml:space="preserve">Our recommended path is a single </w:t>
      </w:r>
      <w:r>
        <w:rPr>
          <w:b/>
          <w:i w:val="0"/>
        </w:rPr>
        <w:t>First Amendment</w:t>
      </w:r>
      <w:r>
        <w:rPr>
          <w:b w:val="0"/>
          <w:i w:val="0"/>
        </w:rPr>
        <w:t xml:space="preserve"> (with a recordable Memorandum in final form) that (a) adds a full lender-protection article, (b) moves decommissioning security to COD (or no later than COD+5 with an inflation adjuster), (c) fixes the Section 4.1 effectiveness language and the date/drafting errors, (d) adds the substation "in addition to" language, and (e) extends indemnity survival. Because items (b) and (e) are landowner-favorable, they give Ridgeline something to offer the Trust in exchange for the lender-protection and clean-up changes. A priority-response matrix for the Lender Checklist is in Part III and a critical-dates calendar is in Part IV.</w:t>
      </w:r>
    </w:p>
    <w:p>
      <w:pPr>
        <w:pStyle w:val="Heading1"/>
      </w:pPr>
      <w:r>
        <w:t>Part I - Key Terms Extraction</w:t>
      </w:r>
    </w:p>
    <w:p>
      <w:pPr>
        <w:spacing w:after="80"/>
      </w:pPr>
      <w:r>
        <w:rPr>
          <w:b w:val="0"/>
          <w:i w:val="0"/>
        </w:rPr>
        <w:t xml:space="preserve">Status key: </w:t>
      </w:r>
      <w:r>
        <w:rPr>
          <w:b/>
          <w:i w:val="0"/>
        </w:rPr>
        <w:t>Conforms</w:t>
      </w:r>
      <w:r>
        <w:rPr>
          <w:b w:val="0"/>
          <w:i w:val="0"/>
        </w:rPr>
        <w:t xml:space="preserve"> = consistent with Playbook; </w:t>
      </w:r>
      <w:r>
        <w:rPr>
          <w:b/>
          <w:i w:val="0"/>
        </w:rPr>
        <w:t>Deviation</w:t>
      </w:r>
      <w:r>
        <w:rPr>
          <w:b w:val="0"/>
          <w:i w:val="0"/>
        </w:rPr>
        <w:t xml:space="preserve"> = outside Playbook range or missing a Playbook element; </w:t>
      </w:r>
      <w:r>
        <w:rPr>
          <w:b/>
          <w:i w:val="0"/>
        </w:rPr>
        <w:t>Gap</w:t>
      </w:r>
      <w:r>
        <w:rPr>
          <w:b w:val="0"/>
          <w:i w:val="0"/>
        </w:rPr>
        <w:t xml:space="preserve"> = missing provision with material consequences; </w:t>
      </w:r>
      <w:r>
        <w:rPr>
          <w:b/>
          <w:i w:val="0"/>
        </w:rPr>
        <w:t>Partial</w:t>
      </w:r>
      <w:r>
        <w:rPr>
          <w:b w:val="0"/>
          <w:i w:val="0"/>
        </w:rPr>
        <w:t xml:space="preserve"> = substantially conforms with drafting issues; </w:t>
      </w:r>
      <w:r>
        <w:rPr>
          <w:b/>
          <w:i w:val="0"/>
        </w:rPr>
        <w:t>Note</w:t>
      </w:r>
      <w:r>
        <w:rPr>
          <w:b w:val="0"/>
          <w:i w:val="0"/>
        </w:rPr>
        <w:t xml:space="preserve"> = informational.</w:t>
      </w:r>
    </w:p>
    <w:p>
      <w:pPr>
        <w:pStyle w:val="Heading2"/>
      </w:pPr>
      <w:r>
        <w:t>A. Parties, Property and Execution</w:t>
      </w:r>
    </w:p>
    <w:tbl>
      <w:tblPr>
        <w:tblStyle w:val="TableGrid"/>
        <w:tblW w:type="auto" w:w="0"/>
        <w:tblLook w:firstColumn="1" w:firstRow="1" w:lastColumn="0" w:lastRow="0" w:noHBand="0" w:noVBand="1" w:val="04A0"/>
      </w:tblPr>
      <w:tblGrid>
        <w:gridCol w:w="3216"/>
        <w:gridCol w:w="3216"/>
        <w:gridCol w:w="3216"/>
      </w:tblGrid>
      <w:tr>
        <w:trPr>
          <w:tblHeader w:val="true"/>
        </w:trPr>
        <w:tc>
          <w:tcPr>
            <w:tcW w:type="dxa" w:w="1872"/>
            <w:shd w:val="clear" w:color="auto" w:fill="1F3A5F"/>
          </w:tcPr>
          <w:p>
            <w:r/>
            <w:r>
              <w:rPr>
                <w:b/>
                <w:color w:val="FFFFFF"/>
                <w:sz w:val="17"/>
              </w:rPr>
              <w:t>Term</w:t>
            </w:r>
          </w:p>
        </w:tc>
        <w:tc>
          <w:tcPr>
            <w:tcW w:type="dxa" w:w="6912"/>
            <w:shd w:val="clear" w:color="auto" w:fill="1F3A5F"/>
          </w:tcPr>
          <w:p>
            <w:r/>
            <w:r>
              <w:rPr>
                <w:b/>
                <w:color w:val="FFFFFF"/>
                <w:sz w:val="17"/>
              </w:rPr>
              <w:t>Agreement Provision</w:t>
            </w:r>
          </w:p>
        </w:tc>
        <w:tc>
          <w:tcPr>
            <w:tcW w:type="dxa" w:w="1296"/>
            <w:shd w:val="clear" w:color="auto" w:fill="1F3A5F"/>
          </w:tcPr>
          <w:p>
            <w:r/>
            <w:r>
              <w:rPr>
                <w:b/>
                <w:color w:val="FFFFFF"/>
                <w:sz w:val="17"/>
              </w:rPr>
              <w:t>Status</w:t>
            </w:r>
          </w:p>
        </w:tc>
      </w:tr>
      <w:tr>
        <w:tc>
          <w:tcPr>
            <w:tcW w:type="dxa" w:w="1872"/>
          </w:tcPr>
          <w:p>
            <w:r/>
            <w:r>
              <w:rPr>
                <w:b w:val="0"/>
                <w:i w:val="0"/>
                <w:sz w:val="17"/>
              </w:rPr>
              <w:t>Agreement / Date</w:t>
            </w:r>
          </w:p>
        </w:tc>
        <w:tc>
          <w:tcPr>
            <w:tcW w:type="dxa" w:w="6912"/>
          </w:tcPr>
          <w:p>
            <w:r/>
            <w:r>
              <w:rPr>
                <w:b w:val="0"/>
                <w:i w:val="0"/>
                <w:sz w:val="17"/>
              </w:rPr>
              <w:t>Land Option and Lease Agreement dated as of December 18, 2024; Effective Date December 18, 2024 (Sec. 1.7). Comps ID APW-L007.</w:t>
            </w:r>
          </w:p>
        </w:tc>
        <w:tc>
          <w:tcPr>
            <w:tcW w:type="dxa" w:w="1296"/>
            <w:shd w:val="clear" w:color="auto" w:fill="E7E6E6"/>
          </w:tcPr>
          <w:p>
            <w:r/>
            <w:r>
              <w:rPr>
                <w:b w:val="0"/>
                <w:i w:val="0"/>
                <w:sz w:val="17"/>
              </w:rPr>
              <w:t>Note</w:t>
            </w:r>
          </w:p>
        </w:tc>
      </w:tr>
      <w:tr>
        <w:tc>
          <w:tcPr>
            <w:tcW w:type="dxa" w:w="1872"/>
          </w:tcPr>
          <w:p>
            <w:r/>
            <w:r>
              <w:rPr>
                <w:b w:val="0"/>
                <w:i w:val="0"/>
                <w:sz w:val="17"/>
              </w:rPr>
              <w:t>Developer</w:t>
            </w:r>
          </w:p>
        </w:tc>
        <w:tc>
          <w:tcPr>
            <w:tcW w:type="dxa" w:w="6912"/>
          </w:tcPr>
          <w:p>
            <w:r/>
            <w:r>
              <w:rPr>
                <w:b w:val="0"/>
                <w:i w:val="0"/>
                <w:sz w:val="17"/>
              </w:rPr>
              <w:t>Ridgeline Wind Holdings LLC, a Delaware LLC formed March 14, 2019; wholly owned subsidiary of Cascade Renewables Inc. (Recitals). Signatory: Jordan Hale, VP of Land &amp; Development, authorized by managing-member resolution (Sec. 9.1(c)).</w:t>
            </w:r>
          </w:p>
        </w:tc>
        <w:tc>
          <w:tcPr>
            <w:tcW w:type="dxa" w:w="1296"/>
            <w:shd w:val="clear" w:color="auto" w:fill="E7E6E6"/>
          </w:tcPr>
          <w:p>
            <w:r/>
            <w:r>
              <w:rPr>
                <w:b w:val="0"/>
                <w:i w:val="0"/>
                <w:sz w:val="17"/>
              </w:rPr>
              <w:t>Note</w:t>
            </w:r>
          </w:p>
        </w:tc>
      </w:tr>
      <w:tr>
        <w:tc>
          <w:tcPr>
            <w:tcW w:type="dxa" w:w="1872"/>
          </w:tcPr>
          <w:p>
            <w:r/>
            <w:r>
              <w:rPr>
                <w:b w:val="0"/>
                <w:i w:val="0"/>
                <w:sz w:val="17"/>
              </w:rPr>
              <w:t>Landowner</w:t>
            </w:r>
          </w:p>
        </w:tc>
        <w:tc>
          <w:tcPr>
            <w:tcW w:type="dxa" w:w="6912"/>
          </w:tcPr>
          <w:p>
            <w:r/>
            <w:r>
              <w:rPr>
                <w:b w:val="0"/>
                <w:i w:val="0"/>
                <w:sz w:val="17"/>
              </w:rPr>
              <w:t>The Millard Family Revocable Trust, an Oregon trust established June 2, 2008; Eleanor Millard, Trustee (age 74 per Project Memo); Douglas Millard, Successor Trustee (age 51). Rep that Trustee may bind trust without beneficiary, co-trustee or court consent (Sec. 9.2(b)).</w:t>
            </w:r>
          </w:p>
        </w:tc>
        <w:tc>
          <w:tcPr>
            <w:tcW w:type="dxa" w:w="1296"/>
            <w:shd w:val="clear" w:color="auto" w:fill="E7E6E6"/>
          </w:tcPr>
          <w:p>
            <w:r/>
            <w:r>
              <w:rPr>
                <w:b w:val="0"/>
                <w:i w:val="0"/>
                <w:sz w:val="17"/>
              </w:rPr>
              <w:t>Note</w:t>
            </w:r>
          </w:p>
        </w:tc>
      </w:tr>
      <w:tr>
        <w:tc>
          <w:tcPr>
            <w:tcW w:type="dxa" w:w="1872"/>
          </w:tcPr>
          <w:p>
            <w:r/>
            <w:r>
              <w:rPr>
                <w:b w:val="0"/>
                <w:i w:val="0"/>
                <w:sz w:val="17"/>
              </w:rPr>
              <w:t>Property</w:t>
            </w:r>
          </w:p>
        </w:tc>
        <w:tc>
          <w:tcPr>
            <w:tcW w:type="dxa" w:w="6912"/>
          </w:tcPr>
          <w:p>
            <w:r/>
            <w:r>
              <w:rPr>
                <w:b w:val="0"/>
                <w:i w:val="0"/>
                <w:sz w:val="17"/>
              </w:rPr>
              <w:t>~4,200 acres, three non-contiguous parcels, Gilliam County, OR: Parcel A - Tax Lot 200, Map 3S-21E-12, ~1,840 ac (substation site; transmission easement); Parcel B - Tax Lot 400, Map 3S-22E-07, ~1,620 ac; Parcel C - Tax Lot 150, Map 3S-22E-18, ~740 ac (Secs. 1.17-1.21). Acreage reconciles: 1,840 + 1,620 + 740 = 4,200.</w:t>
            </w:r>
          </w:p>
        </w:tc>
        <w:tc>
          <w:tcPr>
            <w:tcW w:type="dxa" w:w="1296"/>
            <w:shd w:val="clear" w:color="auto" w:fill="E7E6E6"/>
          </w:tcPr>
          <w:p>
            <w:r/>
            <w:r>
              <w:rPr>
                <w:b w:val="0"/>
                <w:i w:val="0"/>
                <w:sz w:val="17"/>
              </w:rPr>
              <w:t>Note</w:t>
            </w:r>
          </w:p>
        </w:tc>
      </w:tr>
      <w:tr>
        <w:tc>
          <w:tcPr>
            <w:tcW w:type="dxa" w:w="1872"/>
          </w:tcPr>
          <w:p>
            <w:r/>
            <w:r>
              <w:rPr>
                <w:b w:val="0"/>
                <w:i w:val="0"/>
                <w:sz w:val="17"/>
              </w:rPr>
              <w:t>Project</w:t>
            </w:r>
          </w:p>
        </w:tc>
        <w:tc>
          <w:tcPr>
            <w:tcW w:type="dxa" w:w="6912"/>
          </w:tcPr>
          <w:p>
            <w:r/>
            <w:r>
              <w:rPr>
                <w:b w:val="0"/>
                <w:i w:val="0"/>
                <w:sz w:val="17"/>
              </w:rPr>
              <w:t>Antelope Plateau Wind Project, up to 300 MW; BPA interconnection queue Q-2024-0287 (Recitals; Secs. 1.4, 1.20). Comps estimate ~80 MW on Millard land.</w:t>
            </w:r>
          </w:p>
        </w:tc>
        <w:tc>
          <w:tcPr>
            <w:tcW w:type="dxa" w:w="1296"/>
            <w:shd w:val="clear" w:color="auto" w:fill="E7E6E6"/>
          </w:tcPr>
          <w:p>
            <w:r/>
            <w:r>
              <w:rPr>
                <w:b w:val="0"/>
                <w:i w:val="0"/>
                <w:sz w:val="17"/>
              </w:rPr>
              <w:t>Note</w:t>
            </w:r>
          </w:p>
        </w:tc>
      </w:tr>
      <w:tr>
        <w:tc>
          <w:tcPr>
            <w:tcW w:type="dxa" w:w="1872"/>
          </w:tcPr>
          <w:p>
            <w:r/>
            <w:r>
              <w:rPr>
                <w:b w:val="0"/>
                <w:i w:val="0"/>
                <w:sz w:val="17"/>
              </w:rPr>
              <w:t>Exhibits</w:t>
            </w:r>
          </w:p>
        </w:tc>
        <w:tc>
          <w:tcPr>
            <w:tcW w:type="dxa" w:w="6912"/>
          </w:tcPr>
          <w:p>
            <w:r/>
            <w:r>
              <w:rPr>
                <w:b w:val="0"/>
                <w:i w:val="0"/>
                <w:sz w:val="17"/>
              </w:rPr>
              <w:t>Exhibit A: tax-lot references only; metes-and-bounds descriptions "to be provided by Columbia Basin Title &amp; Escrow." Exhibit B: bracketed placeholder describing the intended memorandum (ORS Chapter 93).</w:t>
            </w:r>
          </w:p>
        </w:tc>
        <w:tc>
          <w:tcPr>
            <w:tcW w:type="dxa" w:w="1296"/>
            <w:shd w:val="clear" w:color="auto" w:fill="F4B6B6"/>
          </w:tcPr>
          <w:p>
            <w:r/>
            <w:r>
              <w:rPr>
                <w:b w:val="0"/>
                <w:i w:val="0"/>
                <w:sz w:val="17"/>
              </w:rPr>
              <w:t>Gap</w:t>
            </w:r>
          </w:p>
        </w:tc>
      </w:tr>
      <w:tr>
        <w:tc>
          <w:tcPr>
            <w:tcW w:type="dxa" w:w="1872"/>
          </w:tcPr>
          <w:p>
            <w:r/>
            <w:r>
              <w:rPr>
                <w:b w:val="0"/>
                <w:i w:val="0"/>
                <w:sz w:val="17"/>
              </w:rPr>
              <w:t>Execution formalities</w:t>
            </w:r>
          </w:p>
        </w:tc>
        <w:tc>
          <w:tcPr>
            <w:tcW w:type="dxa" w:w="6912"/>
          </w:tcPr>
          <w:p>
            <w:r/>
            <w:r>
              <w:rPr>
                <w:b w:val="0"/>
                <w:i w:val="0"/>
                <w:sz w:val="17"/>
              </w:rPr>
              <w:t>Copy reviewed shows blank signature blocks ("By: ____") dated December 18, 2024 and blank notarial acknowledgments (county, date, notary). Lender states it received an "executed copy."</w:t>
            </w:r>
          </w:p>
        </w:tc>
        <w:tc>
          <w:tcPr>
            <w:tcW w:type="dxa" w:w="1296"/>
            <w:shd w:val="clear" w:color="auto" w:fill="F4B6B6"/>
          </w:tcPr>
          <w:p>
            <w:r/>
            <w:r>
              <w:rPr>
                <w:b w:val="0"/>
                <w:i w:val="0"/>
                <w:sz w:val="17"/>
              </w:rPr>
              <w:t>Gap</w:t>
            </w:r>
          </w:p>
        </w:tc>
      </w:tr>
      <w:tr>
        <w:tc>
          <w:tcPr>
            <w:tcW w:type="dxa" w:w="1872"/>
          </w:tcPr>
          <w:p>
            <w:r/>
            <w:r>
              <w:rPr>
                <w:b w:val="0"/>
                <w:i w:val="0"/>
                <w:sz w:val="17"/>
              </w:rPr>
              <w:t>Governing law / notices</w:t>
            </w:r>
          </w:p>
        </w:tc>
        <w:tc>
          <w:tcPr>
            <w:tcW w:type="dxa" w:w="6912"/>
          </w:tcPr>
          <w:p>
            <w:r/>
            <w:r>
              <w:rPr>
                <w:b w:val="0"/>
                <w:i w:val="0"/>
                <w:sz w:val="17"/>
              </w:rPr>
              <w:t>Oregon law (Sec. 21.1), consistent with Playbook I. Notices: personal delivery (on delivery), overnight courier (1 business day), certified mail (3 business days) (Art. 20). Developer: 2200 SW Morrison St., Ste 1400, Portland (Attn: Jordan Hale), copy to Westbrook Callahan (Sarah Fong). Landowner: c/o Eleanor Millard, Trustee, 38710 Bickleton Hwy, Condon, OR 97823.</w:t>
            </w:r>
          </w:p>
        </w:tc>
        <w:tc>
          <w:tcPr>
            <w:tcW w:type="dxa" w:w="1296"/>
            <w:shd w:val="clear" w:color="auto" w:fill="D9EAD3"/>
          </w:tcPr>
          <w:p>
            <w:r/>
            <w:r>
              <w:rPr>
                <w:b w:val="0"/>
                <w:i w:val="0"/>
                <w:sz w:val="17"/>
              </w:rPr>
              <w:t>Conforms</w:t>
            </w:r>
          </w:p>
        </w:tc>
      </w:tr>
    </w:tbl>
    <w:p>
      <w:pPr>
        <w:spacing w:after="40"/>
      </w:pPr>
    </w:p>
    <w:p>
      <w:pPr>
        <w:pStyle w:val="Heading2"/>
      </w:pPr>
      <w:r>
        <w:t>B. Option Terms</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1584"/>
            <w:shd w:val="clear" w:color="auto" w:fill="1F3A5F"/>
          </w:tcPr>
          <w:p>
            <w:r/>
            <w:r>
              <w:rPr>
                <w:b/>
                <w:color w:val="FFFFFF"/>
                <w:sz w:val="17"/>
              </w:rPr>
              <w:t>Term</w:t>
            </w:r>
          </w:p>
        </w:tc>
        <w:tc>
          <w:tcPr>
            <w:tcW w:type="dxa" w:w="5184"/>
            <w:shd w:val="clear" w:color="auto" w:fill="1F3A5F"/>
          </w:tcPr>
          <w:p>
            <w:r/>
            <w:r>
              <w:rPr>
                <w:b/>
                <w:color w:val="FFFFFF"/>
                <w:sz w:val="17"/>
              </w:rPr>
              <w:t>Agreement Provision</w:t>
            </w:r>
          </w:p>
        </w:tc>
        <w:tc>
          <w:tcPr>
            <w:tcW w:type="dxa" w:w="1872"/>
            <w:shd w:val="clear" w:color="auto" w:fill="1F3A5F"/>
          </w:tcPr>
          <w:p>
            <w:r/>
            <w:r>
              <w:rPr>
                <w:b/>
                <w:color w:val="FFFFFF"/>
                <w:sz w:val="17"/>
              </w:rPr>
              <w:t>Playbook</w:t>
            </w:r>
          </w:p>
        </w:tc>
        <w:tc>
          <w:tcPr>
            <w:tcW w:type="dxa" w:w="1440"/>
            <w:shd w:val="clear" w:color="auto" w:fill="1F3A5F"/>
          </w:tcPr>
          <w:p>
            <w:r/>
            <w:r>
              <w:rPr>
                <w:b/>
                <w:color w:val="FFFFFF"/>
                <w:sz w:val="17"/>
              </w:rPr>
              <w:t>Status</w:t>
            </w:r>
          </w:p>
        </w:tc>
      </w:tr>
      <w:tr>
        <w:tc>
          <w:tcPr>
            <w:tcW w:type="dxa" w:w="1584"/>
          </w:tcPr>
          <w:p>
            <w:r/>
            <w:r>
              <w:rPr>
                <w:b w:val="0"/>
                <w:i w:val="0"/>
                <w:sz w:val="17"/>
              </w:rPr>
              <w:t>Grant / exclusivity</w:t>
            </w:r>
          </w:p>
        </w:tc>
        <w:tc>
          <w:tcPr>
            <w:tcW w:type="dxa" w:w="5184"/>
          </w:tcPr>
          <w:p>
            <w:r/>
            <w:r>
              <w:rPr>
                <w:b w:val="0"/>
                <w:i w:val="0"/>
                <w:sz w:val="17"/>
              </w:rPr>
              <w:t>Exclusive, irrevocable option to lease for wind energy purposes (Sec. 2.1). Landowner may not grant rights for wind, solar or other power generation during Option Period, Lease Term or Renewal Term and must notify Developer of third-party inquiries (Sec. 2.2).</w:t>
            </w:r>
          </w:p>
        </w:tc>
        <w:tc>
          <w:tcPr>
            <w:tcW w:type="dxa" w:w="1872"/>
          </w:tcPr>
          <w:p>
            <w:r/>
            <w:r>
              <w:rPr>
                <w:b w:val="0"/>
                <w:i w:val="0"/>
                <w:sz w:val="17"/>
              </w:rPr>
              <w:t>Exclusive option</w:t>
            </w:r>
          </w:p>
        </w:tc>
        <w:tc>
          <w:tcPr>
            <w:tcW w:type="dxa" w:w="1440"/>
            <w:shd w:val="clear" w:color="auto" w:fill="D9EAD3"/>
          </w:tcPr>
          <w:p>
            <w:r/>
            <w:r>
              <w:rPr>
                <w:b w:val="0"/>
                <w:i w:val="0"/>
                <w:sz w:val="17"/>
              </w:rPr>
              <w:t>Conforms</w:t>
            </w:r>
          </w:p>
        </w:tc>
      </w:tr>
      <w:tr>
        <w:tc>
          <w:tcPr>
            <w:tcW w:type="dxa" w:w="1584"/>
          </w:tcPr>
          <w:p>
            <w:r/>
            <w:r>
              <w:rPr>
                <w:b w:val="0"/>
                <w:i w:val="0"/>
                <w:sz w:val="17"/>
              </w:rPr>
              <w:t>Option Period</w:t>
            </w:r>
          </w:p>
        </w:tc>
        <w:tc>
          <w:tcPr>
            <w:tcW w:type="dxa" w:w="5184"/>
          </w:tcPr>
          <w:p>
            <w:r/>
            <w:r>
              <w:rPr>
                <w:b w:val="0"/>
                <w:i w:val="0"/>
                <w:sz w:val="17"/>
              </w:rPr>
              <w:t>Effective Date to 11:59 p.m. PT Dec. 18, 2027 (3 yrs); two 1-yr extensions at Developer's sole discretion: Dec. 19, 2027-Dec. 18, 2028 and Dec. 19, 2028-Dec. 18, 2029; outside date Dec. 18, 2029 (Sec. 3.1).</w:t>
            </w:r>
          </w:p>
        </w:tc>
        <w:tc>
          <w:tcPr>
            <w:tcW w:type="dxa" w:w="1872"/>
          </w:tcPr>
          <w:p>
            <w:r/>
            <w:r>
              <w:rPr>
                <w:b w:val="0"/>
                <w:i w:val="0"/>
                <w:sz w:val="17"/>
              </w:rPr>
              <w:t>3 yrs + 2 x 1 yr; max 5 yrs (II.A)</w:t>
            </w:r>
          </w:p>
        </w:tc>
        <w:tc>
          <w:tcPr>
            <w:tcW w:type="dxa" w:w="1440"/>
            <w:shd w:val="clear" w:color="auto" w:fill="D9EAD3"/>
          </w:tcPr>
          <w:p>
            <w:r/>
            <w:r>
              <w:rPr>
                <w:b w:val="0"/>
                <w:i w:val="0"/>
                <w:sz w:val="17"/>
              </w:rPr>
              <w:t>Conforms</w:t>
            </w:r>
          </w:p>
        </w:tc>
      </w:tr>
      <w:tr>
        <w:tc>
          <w:tcPr>
            <w:tcW w:type="dxa" w:w="1584"/>
          </w:tcPr>
          <w:p>
            <w:r/>
            <w:r>
              <w:rPr>
                <w:b w:val="0"/>
                <w:i w:val="0"/>
                <w:sz w:val="17"/>
              </w:rPr>
              <w:t>Extension notice</w:t>
            </w:r>
          </w:p>
        </w:tc>
        <w:tc>
          <w:tcPr>
            <w:tcW w:type="dxa" w:w="5184"/>
          </w:tcPr>
          <w:p>
            <w:r/>
            <w:r>
              <w:rPr>
                <w:b w:val="0"/>
                <w:i w:val="0"/>
                <w:sz w:val="17"/>
              </w:rPr>
              <w:t>Written notice not less than 90 days before expiration; Section 3.2 states deadlines of Sept. 20, 2027 and Sept. 20, 2028; irrevocable once delivered; extension does not affect right to exercise at any time (Sec. 3.2).</w:t>
            </w:r>
          </w:p>
        </w:tc>
        <w:tc>
          <w:tcPr>
            <w:tcW w:type="dxa" w:w="1872"/>
          </w:tcPr>
          <w:p>
            <w:r/>
            <w:r>
              <w:rPr>
                <w:b w:val="0"/>
                <w:i w:val="0"/>
                <w:sz w:val="17"/>
              </w:rPr>
              <w:t>90 days (II.A)</w:t>
            </w:r>
          </w:p>
        </w:tc>
        <w:tc>
          <w:tcPr>
            <w:tcW w:type="dxa" w:w="1440"/>
            <w:shd w:val="clear" w:color="auto" w:fill="FFF2B3"/>
          </w:tcPr>
          <w:p>
            <w:r/>
            <w:r>
              <w:rPr>
                <w:b w:val="0"/>
                <w:i w:val="0"/>
                <w:sz w:val="17"/>
              </w:rPr>
              <w:t>Partial - stated dates are 89 days; see Issue 6</w:t>
            </w:r>
          </w:p>
        </w:tc>
      </w:tr>
      <w:tr>
        <w:tc>
          <w:tcPr>
            <w:tcW w:type="dxa" w:w="1584"/>
          </w:tcPr>
          <w:p>
            <w:r/>
            <w:r>
              <w:rPr>
                <w:b w:val="0"/>
                <w:i w:val="0"/>
                <w:sz w:val="17"/>
              </w:rPr>
              <w:t>Option payments</w:t>
            </w:r>
          </w:p>
        </w:tc>
        <w:tc>
          <w:tcPr>
            <w:tcW w:type="dxa" w:w="5184"/>
          </w:tcPr>
          <w:p>
            <w:r/>
            <w:r>
              <w:rPr>
                <w:b w:val="0"/>
                <w:i w:val="0"/>
                <w:sz w:val="17"/>
              </w:rPr>
              <w:t>Annual, in advance, on or before each anniversary; Yr 1 $18/ac ($75,600, due at signing); Yr 2 $18 ($75,600); Yr 3 $20 ($84,000); Ext. Yr 4 $22 ($92,400); Ext. Yr 5 $24 ($100,800); max total $428,400 (verified); non-refundable; no credit against Lease Rent (Secs. 3.3, 5.3, 17.1).</w:t>
            </w:r>
          </w:p>
        </w:tc>
        <w:tc>
          <w:tcPr>
            <w:tcW w:type="dxa" w:w="1872"/>
          </w:tcPr>
          <w:p>
            <w:r/>
            <w:r>
              <w:rPr>
                <w:b w:val="0"/>
                <w:i w:val="0"/>
                <w:sz w:val="17"/>
              </w:rPr>
              <w:t>Yr1-2 $15-20; Yr3 $18-22; Yr4 $20-25; Yr5 $22-27 (II.B)</w:t>
            </w:r>
          </w:p>
        </w:tc>
        <w:tc>
          <w:tcPr>
            <w:tcW w:type="dxa" w:w="1440"/>
            <w:shd w:val="clear" w:color="auto" w:fill="D9EAD3"/>
          </w:tcPr>
          <w:p>
            <w:r/>
            <w:r>
              <w:rPr>
                <w:b w:val="0"/>
                <w:i w:val="0"/>
                <w:sz w:val="17"/>
              </w:rPr>
              <w:t>Conforms (within range; highest in project per Comps)</w:t>
            </w:r>
          </w:p>
        </w:tc>
      </w:tr>
      <w:tr>
        <w:tc>
          <w:tcPr>
            <w:tcW w:type="dxa" w:w="1584"/>
          </w:tcPr>
          <w:p>
            <w:r/>
            <w:r>
              <w:rPr>
                <w:b w:val="0"/>
                <w:i w:val="0"/>
                <w:sz w:val="17"/>
              </w:rPr>
              <w:t>Pre-development rights</w:t>
            </w:r>
          </w:p>
        </w:tc>
        <w:tc>
          <w:tcPr>
            <w:tcW w:type="dxa" w:w="5184"/>
          </w:tcPr>
          <w:p>
            <w:r/>
            <w:r>
              <w:rPr>
                <w:b w:val="0"/>
                <w:i w:val="0"/>
                <w:sz w:val="17"/>
              </w:rPr>
              <w:t>Surveys, geotech, wind monitoring, wetland, cultural, avian/wildlife studies; up to 4 met towers at no added cost; 72 hrs' notice (24 hrs for met tower maintenance); minimize interference; repair damage within a reasonable period (Sec. 3.4).</w:t>
            </w:r>
          </w:p>
        </w:tc>
        <w:tc>
          <w:tcPr>
            <w:tcW w:type="dxa" w:w="1872"/>
          </w:tcPr>
          <w:p>
            <w:r/>
            <w:r>
              <w:rPr>
                <w:b w:val="0"/>
                <w:i w:val="0"/>
                <w:sz w:val="17"/>
              </w:rPr>
              <w:t>Same (IV.A)</w:t>
            </w:r>
          </w:p>
        </w:tc>
        <w:tc>
          <w:tcPr>
            <w:tcW w:type="dxa" w:w="1440"/>
            <w:shd w:val="clear" w:color="auto" w:fill="D9EAD3"/>
          </w:tcPr>
          <w:p>
            <w:r/>
            <w:r>
              <w:rPr>
                <w:b w:val="0"/>
                <w:i w:val="0"/>
                <w:sz w:val="17"/>
              </w:rPr>
              <w:t>Conforms</w:t>
            </w:r>
          </w:p>
        </w:tc>
      </w:tr>
      <w:tr>
        <w:tc>
          <w:tcPr>
            <w:tcW w:type="dxa" w:w="1584"/>
          </w:tcPr>
          <w:p>
            <w:r/>
            <w:r>
              <w:rPr>
                <w:b w:val="0"/>
                <w:i w:val="0"/>
                <w:sz w:val="17"/>
              </w:rPr>
              <w:t>Exercise</w:t>
            </w:r>
          </w:p>
        </w:tc>
        <w:tc>
          <w:tcPr>
            <w:tcW w:type="dxa" w:w="5184"/>
          </w:tcPr>
          <w:p>
            <w:r/>
            <w:r>
              <w:rPr>
                <w:b w:val="0"/>
                <w:i w:val="0"/>
                <w:sz w:val="17"/>
              </w:rPr>
              <w:t>Written Exercise Notice at any time during Option Period (incl. extensions), identifying intended construction commencement date; effective on delivery under Art. 20; Arts. 5-19 become effective on the Lease Commencement Date (Secs. 1.12, 4.1).</w:t>
            </w:r>
          </w:p>
        </w:tc>
        <w:tc>
          <w:tcPr>
            <w:tcW w:type="dxa" w:w="1872"/>
          </w:tcPr>
          <w:p>
            <w:r/>
            <w:r>
              <w:rPr>
                <w:b w:val="0"/>
                <w:i w:val="0"/>
                <w:sz w:val="17"/>
              </w:rPr>
              <w:t>Written notice effective on delivery (II.A)</w:t>
            </w:r>
          </w:p>
        </w:tc>
        <w:tc>
          <w:tcPr>
            <w:tcW w:type="dxa" w:w="1440"/>
            <w:shd w:val="clear" w:color="auto" w:fill="FFF2B3"/>
          </w:tcPr>
          <w:p>
            <w:r/>
            <w:r>
              <w:rPr>
                <w:b w:val="0"/>
                <w:i w:val="0"/>
                <w:sz w:val="17"/>
              </w:rPr>
              <w:t>Partial - see Issue 3</w:t>
            </w:r>
          </w:p>
        </w:tc>
      </w:tr>
      <w:tr>
        <w:tc>
          <w:tcPr>
            <w:tcW w:type="dxa" w:w="1584"/>
          </w:tcPr>
          <w:p>
            <w:r/>
            <w:r>
              <w:rPr>
                <w:b w:val="0"/>
                <w:i w:val="0"/>
                <w:sz w:val="17"/>
              </w:rPr>
              <w:t>Non-exercise</w:t>
            </w:r>
          </w:p>
        </w:tc>
        <w:tc>
          <w:tcPr>
            <w:tcW w:type="dxa" w:w="5184"/>
          </w:tcPr>
          <w:p>
            <w:r/>
            <w:r>
              <w:rPr>
                <w:b w:val="0"/>
                <w:i w:val="0"/>
                <w:sz w:val="17"/>
              </w:rPr>
              <w:t>Automatic termination; payments retained; remove met towers and restore within 120 days (Sec. 4.2).</w:t>
            </w:r>
          </w:p>
        </w:tc>
        <w:tc>
          <w:tcPr>
            <w:tcW w:type="dxa" w:w="1872"/>
          </w:tcPr>
          <w:p>
            <w:r/>
            <w:r>
              <w:rPr>
                <w:b w:val="0"/>
                <w:i w:val="0"/>
                <w:sz w:val="17"/>
              </w:rPr>
              <w:t>Removal of met towers (IV.A)</w:t>
            </w:r>
          </w:p>
        </w:tc>
        <w:tc>
          <w:tcPr>
            <w:tcW w:type="dxa" w:w="1440"/>
            <w:shd w:val="clear" w:color="auto" w:fill="D9EAD3"/>
          </w:tcPr>
          <w:p>
            <w:r/>
            <w:r>
              <w:rPr>
                <w:b w:val="0"/>
                <w:i w:val="0"/>
                <w:sz w:val="17"/>
              </w:rPr>
              <w:t>Conforms</w:t>
            </w:r>
          </w:p>
        </w:tc>
      </w:tr>
      <w:tr>
        <w:tc>
          <w:tcPr>
            <w:tcW w:type="dxa" w:w="1584"/>
          </w:tcPr>
          <w:p>
            <w:r/>
            <w:r>
              <w:rPr>
                <w:b w:val="0"/>
                <w:i w:val="0"/>
                <w:sz w:val="17"/>
              </w:rPr>
              <w:t>Developer termination</w:t>
            </w:r>
          </w:p>
        </w:tc>
        <w:tc>
          <w:tcPr>
            <w:tcW w:type="dxa" w:w="5184"/>
          </w:tcPr>
          <w:p>
            <w:r/>
            <w:r>
              <w:rPr>
                <w:b w:val="0"/>
                <w:i w:val="0"/>
                <w:sz w:val="17"/>
              </w:rPr>
              <w:t>At any time during Option Period on 60 days' notice; payments retained (Sec. 17.1).</w:t>
            </w:r>
          </w:p>
        </w:tc>
        <w:tc>
          <w:tcPr>
            <w:tcW w:type="dxa" w:w="1872"/>
          </w:tcPr>
          <w:p>
            <w:r/>
            <w:r>
              <w:rPr>
                <w:b w:val="0"/>
                <w:i w:val="0"/>
                <w:sz w:val="17"/>
              </w:rPr>
              <w:t>60 days (II.B)</w:t>
            </w:r>
          </w:p>
        </w:tc>
        <w:tc>
          <w:tcPr>
            <w:tcW w:type="dxa" w:w="1440"/>
            <w:shd w:val="clear" w:color="auto" w:fill="D9EAD3"/>
          </w:tcPr>
          <w:p>
            <w:r/>
            <w:r>
              <w:rPr>
                <w:b w:val="0"/>
                <w:i w:val="0"/>
                <w:sz w:val="17"/>
              </w:rPr>
              <w:t>Conforms</w:t>
            </w:r>
          </w:p>
        </w:tc>
      </w:tr>
    </w:tbl>
    <w:p>
      <w:pPr>
        <w:spacing w:after="40"/>
      </w:pPr>
    </w:p>
    <w:p>
      <w:pPr>
        <w:pStyle w:val="Heading2"/>
      </w:pPr>
      <w:r>
        <w:t>C. Lease Term and Economics</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1584"/>
            <w:shd w:val="clear" w:color="auto" w:fill="1F3A5F"/>
          </w:tcPr>
          <w:p>
            <w:r/>
            <w:r>
              <w:rPr>
                <w:b/>
                <w:color w:val="FFFFFF"/>
                <w:sz w:val="17"/>
              </w:rPr>
              <w:t>Term</w:t>
            </w:r>
          </w:p>
        </w:tc>
        <w:tc>
          <w:tcPr>
            <w:tcW w:type="dxa" w:w="5184"/>
            <w:shd w:val="clear" w:color="auto" w:fill="1F3A5F"/>
          </w:tcPr>
          <w:p>
            <w:r/>
            <w:r>
              <w:rPr>
                <w:b/>
                <w:color w:val="FFFFFF"/>
                <w:sz w:val="17"/>
              </w:rPr>
              <w:t>Agreement Provision</w:t>
            </w:r>
          </w:p>
        </w:tc>
        <w:tc>
          <w:tcPr>
            <w:tcW w:type="dxa" w:w="1872"/>
            <w:shd w:val="clear" w:color="auto" w:fill="1F3A5F"/>
          </w:tcPr>
          <w:p>
            <w:r/>
            <w:r>
              <w:rPr>
                <w:b/>
                <w:color w:val="FFFFFF"/>
                <w:sz w:val="17"/>
              </w:rPr>
              <w:t>Playbook</w:t>
            </w:r>
          </w:p>
        </w:tc>
        <w:tc>
          <w:tcPr>
            <w:tcW w:type="dxa" w:w="1440"/>
            <w:shd w:val="clear" w:color="auto" w:fill="1F3A5F"/>
          </w:tcPr>
          <w:p>
            <w:r/>
            <w:r>
              <w:rPr>
                <w:b/>
                <w:color w:val="FFFFFF"/>
                <w:sz w:val="17"/>
              </w:rPr>
              <w:t>Status</w:t>
            </w:r>
          </w:p>
        </w:tc>
      </w:tr>
      <w:tr>
        <w:tc>
          <w:tcPr>
            <w:tcW w:type="dxa" w:w="1584"/>
          </w:tcPr>
          <w:p>
            <w:r/>
            <w:r>
              <w:rPr>
                <w:b w:val="0"/>
                <w:i w:val="0"/>
                <w:sz w:val="17"/>
              </w:rPr>
              <w:t>Lease Term</w:t>
            </w:r>
          </w:p>
        </w:tc>
        <w:tc>
          <w:tcPr>
            <w:tcW w:type="dxa" w:w="5184"/>
          </w:tcPr>
          <w:p>
            <w:r/>
            <w:r>
              <w:rPr>
                <w:b w:val="0"/>
                <w:i w:val="0"/>
                <w:sz w:val="17"/>
              </w:rPr>
              <w:t>30 years from COD (Sec. 5.1). COD = date the Project (or portion on the Property) first delivers energy on a sustained commercial basis, as certified by Developer (Sec. 1.5).</w:t>
            </w:r>
          </w:p>
        </w:tc>
        <w:tc>
          <w:tcPr>
            <w:tcW w:type="dxa" w:w="1872"/>
          </w:tcPr>
          <w:p>
            <w:r/>
            <w:r>
              <w:rPr>
                <w:b w:val="0"/>
                <w:i w:val="0"/>
                <w:sz w:val="17"/>
              </w:rPr>
              <w:t>30 yrs from COD - must-have (III.A)</w:t>
            </w:r>
          </w:p>
        </w:tc>
        <w:tc>
          <w:tcPr>
            <w:tcW w:type="dxa" w:w="1440"/>
            <w:shd w:val="clear" w:color="auto" w:fill="D9EAD3"/>
          </w:tcPr>
          <w:p>
            <w:r/>
            <w:r>
              <w:rPr>
                <w:b w:val="0"/>
                <w:i w:val="0"/>
                <w:sz w:val="17"/>
              </w:rPr>
              <w:t>Conforms</w:t>
            </w:r>
          </w:p>
        </w:tc>
      </w:tr>
      <w:tr>
        <w:tc>
          <w:tcPr>
            <w:tcW w:type="dxa" w:w="1584"/>
          </w:tcPr>
          <w:p>
            <w:r/>
            <w:r>
              <w:rPr>
                <w:b w:val="0"/>
                <w:i w:val="0"/>
                <w:sz w:val="17"/>
              </w:rPr>
              <w:t>Renewal</w:t>
            </w:r>
          </w:p>
        </w:tc>
        <w:tc>
          <w:tcPr>
            <w:tcW w:type="dxa" w:w="5184"/>
          </w:tcPr>
          <w:p>
            <w:r/>
            <w:r>
              <w:rPr>
                <w:b w:val="0"/>
                <w:i w:val="0"/>
                <w:sz w:val="17"/>
              </w:rPr>
              <w:t>One 20-yr renewal at Developer's election on notice not less than 12 months before expiry; total 50 yrs from COD (Sec. 5.2).</w:t>
            </w:r>
          </w:p>
        </w:tc>
        <w:tc>
          <w:tcPr>
            <w:tcW w:type="dxa" w:w="1872"/>
          </w:tcPr>
          <w:p>
            <w:r/>
            <w:r>
              <w:rPr>
                <w:b w:val="0"/>
                <w:i w:val="0"/>
                <w:sz w:val="17"/>
              </w:rPr>
              <w:t>1 x 20 yrs; 12 months' notice</w:t>
            </w:r>
          </w:p>
        </w:tc>
        <w:tc>
          <w:tcPr>
            <w:tcW w:type="dxa" w:w="1440"/>
            <w:shd w:val="clear" w:color="auto" w:fill="D9EAD3"/>
          </w:tcPr>
          <w:p>
            <w:r/>
            <w:r>
              <w:rPr>
                <w:b w:val="0"/>
                <w:i w:val="0"/>
                <w:sz w:val="17"/>
              </w:rPr>
              <w:t>Conforms</w:t>
            </w:r>
          </w:p>
        </w:tc>
      </w:tr>
      <w:tr>
        <w:tc>
          <w:tcPr>
            <w:tcW w:type="dxa" w:w="1584"/>
          </w:tcPr>
          <w:p>
            <w:r/>
            <w:r>
              <w:rPr>
                <w:b w:val="0"/>
                <w:i w:val="0"/>
                <w:sz w:val="17"/>
              </w:rPr>
              <w:t>Construction Period</w:t>
            </w:r>
          </w:p>
        </w:tc>
        <w:tc>
          <w:tcPr>
            <w:tcW w:type="dxa" w:w="5184"/>
          </w:tcPr>
          <w:p>
            <w:r/>
            <w:r>
              <w:rPr>
                <w:b w:val="0"/>
                <w:i w:val="0"/>
                <w:sz w:val="17"/>
              </w:rPr>
              <w:t>Between exercise and COD: full access; Developer pays the "applicable Option Payment rate" pro rata until COD; not credited against Lease Rent (Sec. 5.3). No outside date for COD; no rate stated after Dec. 17, 2029.</w:t>
            </w:r>
          </w:p>
        </w:tc>
        <w:tc>
          <w:tcPr>
            <w:tcW w:type="dxa" w:w="1872"/>
          </w:tcPr>
          <w:p>
            <w:r/>
            <w:r>
              <w:rPr>
                <w:b w:val="0"/>
                <w:i w:val="0"/>
                <w:sz w:val="17"/>
              </w:rPr>
              <w:t>Interim provisions (III.A)</w:t>
            </w:r>
          </w:p>
        </w:tc>
        <w:tc>
          <w:tcPr>
            <w:tcW w:type="dxa" w:w="1440"/>
            <w:shd w:val="clear" w:color="auto" w:fill="FFF2B3"/>
          </w:tcPr>
          <w:p>
            <w:r/>
            <w:r>
              <w:rPr>
                <w:b w:val="0"/>
                <w:i w:val="0"/>
                <w:sz w:val="17"/>
              </w:rPr>
              <w:t>Partial - see Issue 6 and Issue 21</w:t>
            </w:r>
          </w:p>
        </w:tc>
      </w:tr>
      <w:tr>
        <w:tc>
          <w:tcPr>
            <w:tcW w:type="dxa" w:w="1584"/>
          </w:tcPr>
          <w:p>
            <w:r/>
            <w:r>
              <w:rPr>
                <w:b w:val="0"/>
                <w:i w:val="0"/>
                <w:sz w:val="17"/>
              </w:rPr>
              <w:t>Base Rent</w:t>
            </w:r>
          </w:p>
        </w:tc>
        <w:tc>
          <w:tcPr>
            <w:tcW w:type="dxa" w:w="5184"/>
          </w:tcPr>
          <w:p>
            <w:r/>
            <w:r>
              <w:rPr>
                <w:b w:val="0"/>
                <w:i w:val="0"/>
                <w:sz w:val="17"/>
              </w:rPr>
              <w:t>$1,200 per WTG per year; minimum 35 WTGs assumed = $42,000 minimum (verified) (Sec. 6.1).</w:t>
            </w:r>
          </w:p>
        </w:tc>
        <w:tc>
          <w:tcPr>
            <w:tcW w:type="dxa" w:w="1872"/>
          </w:tcPr>
          <w:p>
            <w:r/>
            <w:r>
              <w:rPr>
                <w:b w:val="0"/>
                <w:i w:val="0"/>
                <w:sz w:val="17"/>
              </w:rPr>
              <w:t>$1,000-1,500/WTG; min 25-40 WTGs (III.B)</w:t>
            </w:r>
          </w:p>
        </w:tc>
        <w:tc>
          <w:tcPr>
            <w:tcW w:type="dxa" w:w="1440"/>
            <w:shd w:val="clear" w:color="auto" w:fill="D9EAD3"/>
          </w:tcPr>
          <w:p>
            <w:r/>
            <w:r>
              <w:rPr>
                <w:b w:val="0"/>
                <w:i w:val="0"/>
                <w:sz w:val="17"/>
              </w:rPr>
              <w:t>Conforms (highest minimum in Comps: 12-28)</w:t>
            </w:r>
          </w:p>
        </w:tc>
      </w:tr>
      <w:tr>
        <w:tc>
          <w:tcPr>
            <w:tcW w:type="dxa" w:w="1584"/>
          </w:tcPr>
          <w:p>
            <w:r/>
            <w:r>
              <w:rPr>
                <w:b w:val="0"/>
                <w:i w:val="0"/>
                <w:sz w:val="17"/>
              </w:rPr>
              <w:t>Capacity Payment</w:t>
            </w:r>
          </w:p>
        </w:tc>
        <w:tc>
          <w:tcPr>
            <w:tcW w:type="dxa" w:w="5184"/>
          </w:tcPr>
          <w:p>
            <w:r/>
            <w:r>
              <w:rPr>
                <w:b w:val="0"/>
                <w:i w:val="0"/>
                <w:sz w:val="17"/>
              </w:rPr>
              <w:t>$4,800 per MW of installed nameplate, measured on last day of Lease Year (Sec. 6.2).</w:t>
            </w:r>
          </w:p>
        </w:tc>
        <w:tc>
          <w:tcPr>
            <w:tcW w:type="dxa" w:w="1872"/>
          </w:tcPr>
          <w:p>
            <w:r/>
            <w:r>
              <w:rPr>
                <w:b w:val="0"/>
                <w:i w:val="0"/>
                <w:sz w:val="17"/>
              </w:rPr>
              <w:t>$4,000-5,500/MW</w:t>
            </w:r>
          </w:p>
        </w:tc>
        <w:tc>
          <w:tcPr>
            <w:tcW w:type="dxa" w:w="1440"/>
            <w:shd w:val="clear" w:color="auto" w:fill="D9EAD3"/>
          </w:tcPr>
          <w:p>
            <w:r/>
            <w:r>
              <w:rPr>
                <w:b w:val="0"/>
                <w:i w:val="0"/>
                <w:sz w:val="17"/>
              </w:rPr>
              <w:t>Conforms (highest in Comps: $4,500-4,700)</w:t>
            </w:r>
          </w:p>
        </w:tc>
      </w:tr>
      <w:tr>
        <w:tc>
          <w:tcPr>
            <w:tcW w:type="dxa" w:w="1584"/>
          </w:tcPr>
          <w:p>
            <w:r/>
            <w:r>
              <w:rPr>
                <w:b w:val="0"/>
                <w:i w:val="0"/>
                <w:sz w:val="17"/>
              </w:rPr>
              <w:t>Production Royalty</w:t>
            </w:r>
          </w:p>
        </w:tc>
        <w:tc>
          <w:tcPr>
            <w:tcW w:type="dxa" w:w="5184"/>
          </w:tcPr>
          <w:p>
            <w:r/>
            <w:r>
              <w:rPr>
                <w:b w:val="0"/>
                <w:i w:val="0"/>
                <w:sz w:val="17"/>
              </w:rPr>
              <w:t>3.5% of Gross Revenue from WTGs on the Property (Sec. 6.3); Gross Revenue includes energy, capacity and REC revenue, excludes PTC/ITC and government incentives (Sec. 1.10).</w:t>
            </w:r>
          </w:p>
        </w:tc>
        <w:tc>
          <w:tcPr>
            <w:tcW w:type="dxa" w:w="1872"/>
          </w:tcPr>
          <w:p>
            <w:r/>
            <w:r>
              <w:rPr>
                <w:b w:val="0"/>
                <w:i w:val="0"/>
                <w:sz w:val="17"/>
              </w:rPr>
              <w:t>3.0-4.0%; includes energy, capacity, RECs</w:t>
            </w:r>
          </w:p>
        </w:tc>
        <w:tc>
          <w:tcPr>
            <w:tcW w:type="dxa" w:w="1440"/>
            <w:shd w:val="clear" w:color="auto" w:fill="D9EAD3"/>
          </w:tcPr>
          <w:p>
            <w:r/>
            <w:r>
              <w:rPr>
                <w:b w:val="0"/>
                <w:i w:val="0"/>
                <w:sz w:val="17"/>
              </w:rPr>
              <w:t>Conforms (highest in Comps: 3.0-3.25%)</w:t>
            </w:r>
          </w:p>
        </w:tc>
      </w:tr>
      <w:tr>
        <w:tc>
          <w:tcPr>
            <w:tcW w:type="dxa" w:w="1584"/>
          </w:tcPr>
          <w:p>
            <w:r/>
            <w:r>
              <w:rPr>
                <w:b w:val="0"/>
                <w:i w:val="0"/>
                <w:sz w:val="17"/>
              </w:rPr>
              <w:t>Greater-of</w:t>
            </w:r>
          </w:p>
        </w:tc>
        <w:tc>
          <w:tcPr>
            <w:tcW w:type="dxa" w:w="5184"/>
          </w:tcPr>
          <w:p>
            <w:r/>
            <w:r>
              <w:rPr>
                <w:b w:val="0"/>
                <w:i w:val="0"/>
                <w:sz w:val="17"/>
              </w:rPr>
              <w:t>Lease Rent = greater of (a) Base Rent + Capacity Payment or (b) Production Royalty; annual statement within 90 days after each Lease Year; audit right (Sec. 6.4). No payment date for Lease Rent stated.</w:t>
            </w:r>
          </w:p>
        </w:tc>
        <w:tc>
          <w:tcPr>
            <w:tcW w:type="dxa" w:w="1872"/>
          </w:tcPr>
          <w:p>
            <w:r/>
            <w:r>
              <w:rPr>
                <w:b w:val="0"/>
                <w:i w:val="0"/>
                <w:sz w:val="17"/>
              </w:rPr>
              <w:t>Greater-of; reconciliation within 90 days after calendar year</w:t>
            </w:r>
          </w:p>
        </w:tc>
        <w:tc>
          <w:tcPr>
            <w:tcW w:type="dxa" w:w="1440"/>
            <w:shd w:val="clear" w:color="auto" w:fill="FFF2B3"/>
          </w:tcPr>
          <w:p>
            <w:r/>
            <w:r>
              <w:rPr>
                <w:b w:val="0"/>
                <w:i w:val="0"/>
                <w:sz w:val="17"/>
              </w:rPr>
              <w:t>Partial - payment timing gap</w:t>
            </w:r>
          </w:p>
        </w:tc>
      </w:tr>
      <w:tr>
        <w:tc>
          <w:tcPr>
            <w:tcW w:type="dxa" w:w="1584"/>
          </w:tcPr>
          <w:p>
            <w:r/>
            <w:r>
              <w:rPr>
                <w:b w:val="0"/>
                <w:i w:val="0"/>
                <w:sz w:val="17"/>
              </w:rPr>
              <w:t>Substation Hosting Fee</w:t>
            </w:r>
          </w:p>
        </w:tc>
        <w:tc>
          <w:tcPr>
            <w:tcW w:type="dxa" w:w="5184"/>
          </w:tcPr>
          <w:p>
            <w:r/>
            <w:r>
              <w:rPr>
                <w:b w:val="0"/>
                <w:i w:val="0"/>
                <w:sz w:val="17"/>
              </w:rPr>
              <w:t>$35,000/yr for substation and interconnection facilities on Parcel A, payable in arrears within 30 days after each Lease Year, from COD through Lease and Renewal Terms (Sec. 6.5). Not expressly stated to be in addition to Lease Rent.</w:t>
            </w:r>
          </w:p>
        </w:tc>
        <w:tc>
          <w:tcPr>
            <w:tcW w:type="dxa" w:w="1872"/>
          </w:tcPr>
          <w:p>
            <w:r/>
            <w:r>
              <w:rPr>
                <w:b w:val="0"/>
                <w:i w:val="0"/>
                <w:sz w:val="17"/>
              </w:rPr>
              <w:t>$25,000-40,000; MUST state "in addition to" greater-of (III.B)</w:t>
            </w:r>
          </w:p>
        </w:tc>
        <w:tc>
          <w:tcPr>
            <w:tcW w:type="dxa" w:w="1440"/>
            <w:shd w:val="clear" w:color="auto" w:fill="F9D6A8"/>
          </w:tcPr>
          <w:p>
            <w:r/>
            <w:r>
              <w:rPr>
                <w:b w:val="0"/>
                <w:i w:val="0"/>
                <w:sz w:val="17"/>
              </w:rPr>
              <w:t>Deviation (Playbook XIII.4)</w:t>
            </w:r>
          </w:p>
        </w:tc>
      </w:tr>
      <w:tr>
        <w:tc>
          <w:tcPr>
            <w:tcW w:type="dxa" w:w="1584"/>
          </w:tcPr>
          <w:p>
            <w:r/>
            <w:r>
              <w:rPr>
                <w:b w:val="0"/>
                <w:i w:val="0"/>
                <w:sz w:val="17"/>
              </w:rPr>
              <w:t>Escalator</w:t>
            </w:r>
          </w:p>
        </w:tc>
        <w:tc>
          <w:tcPr>
            <w:tcW w:type="dxa" w:w="5184"/>
          </w:tcPr>
          <w:p>
            <w:r/>
            <w:r>
              <w:rPr>
                <w:b w:val="0"/>
                <w:i w:val="0"/>
                <w:sz w:val="17"/>
              </w:rPr>
              <w:t>2.0% compounding annually from 3rd anniversary of COD on Base Rent, Capacity Payment and Substation Fee; royalty % does not escalate (Sec. 6.6).</w:t>
            </w:r>
          </w:p>
        </w:tc>
        <w:tc>
          <w:tcPr>
            <w:tcW w:type="dxa" w:w="1872"/>
          </w:tcPr>
          <w:p>
            <w:r/>
            <w:r>
              <w:rPr>
                <w:b w:val="0"/>
                <w:i w:val="0"/>
                <w:sz w:val="17"/>
              </w:rPr>
              <w:t>2.0% from 3rd anniversary of COD; fixed payments (III.D)</w:t>
            </w:r>
          </w:p>
        </w:tc>
        <w:tc>
          <w:tcPr>
            <w:tcW w:type="dxa" w:w="1440"/>
            <w:shd w:val="clear" w:color="auto" w:fill="D9EAD3"/>
          </w:tcPr>
          <w:p>
            <w:r/>
            <w:r>
              <w:rPr>
                <w:b w:val="0"/>
                <w:i w:val="0"/>
                <w:sz w:val="17"/>
              </w:rPr>
              <w:t>Conforms (narrower than L001/L003 royalty-floor escalator)</w:t>
            </w:r>
          </w:p>
        </w:tc>
      </w:tr>
      <w:tr>
        <w:tc>
          <w:tcPr>
            <w:tcW w:type="dxa" w:w="1584"/>
          </w:tcPr>
          <w:p>
            <w:r/>
            <w:r>
              <w:rPr>
                <w:b w:val="0"/>
                <w:i w:val="0"/>
                <w:sz w:val="17"/>
              </w:rPr>
              <w:t>Crop/grazing damage</w:t>
            </w:r>
          </w:p>
        </w:tc>
        <w:tc>
          <w:tcPr>
            <w:tcW w:type="dxa" w:w="5184"/>
          </w:tcPr>
          <w:p>
            <w:r/>
            <w:r>
              <w:rPr>
                <w:b w:val="0"/>
                <w:i w:val="0"/>
                <w:sz w:val="17"/>
              </w:rPr>
              <w:t>One-time $175/acre permanently disturbed; est. 280 acres = $49,000 (verified); due within 60 days after completion of initial construction; acreage determined by Bridger Appraisal &amp; Consulting (Condon, OR), final absent manifest error (Sec. 6.7).</w:t>
            </w:r>
          </w:p>
        </w:tc>
        <w:tc>
          <w:tcPr>
            <w:tcW w:type="dxa" w:w="1872"/>
          </w:tcPr>
          <w:p>
            <w:r/>
            <w:r>
              <w:rPr>
                <w:b w:val="0"/>
                <w:i w:val="0"/>
                <w:sz w:val="17"/>
              </w:rPr>
              <w:t>$150-200/acre; due 30 days after completion per Ridgeline construction manager (III.C)</w:t>
            </w:r>
          </w:p>
        </w:tc>
        <w:tc>
          <w:tcPr>
            <w:tcW w:type="dxa" w:w="1440"/>
            <w:shd w:val="clear" w:color="auto" w:fill="FFF2B3"/>
          </w:tcPr>
          <w:p>
            <w:r/>
            <w:r>
              <w:rPr>
                <w:b w:val="0"/>
                <w:i w:val="0"/>
                <w:sz w:val="17"/>
              </w:rPr>
              <w:t>Partial - timing and determination mechanism differ</w:t>
            </w:r>
          </w:p>
        </w:tc>
      </w:tr>
      <w:tr>
        <w:tc>
          <w:tcPr>
            <w:tcW w:type="dxa" w:w="1584"/>
          </w:tcPr>
          <w:p>
            <w:r/>
            <w:r>
              <w:rPr>
                <w:b w:val="0"/>
                <w:i w:val="0"/>
                <w:sz w:val="17"/>
              </w:rPr>
              <w:t>Payment terms / interest</w:t>
            </w:r>
          </w:p>
        </w:tc>
        <w:tc>
          <w:tcPr>
            <w:tcW w:type="dxa" w:w="5184"/>
          </w:tcPr>
          <w:p>
            <w:r/>
            <w:r>
              <w:rPr>
                <w:b w:val="0"/>
                <w:i w:val="0"/>
                <w:sz w:val="17"/>
              </w:rPr>
              <w:t>Payable within 30 days after invoicing or due date, "whichever is earlier"; wire or check; late interest 1.5%/month (18%/yr) or Oregon maximum, if less (Sec. 6.8).</w:t>
            </w:r>
          </w:p>
        </w:tc>
        <w:tc>
          <w:tcPr>
            <w:tcW w:type="dxa" w:w="1872"/>
          </w:tcPr>
          <w:p>
            <w:r/>
            <w:r>
              <w:rPr>
                <w:b w:val="0"/>
                <w:i w:val="0"/>
                <w:sz w:val="17"/>
              </w:rPr>
              <w:t>Not addressed</w:t>
            </w:r>
          </w:p>
        </w:tc>
        <w:tc>
          <w:tcPr>
            <w:tcW w:type="dxa" w:w="1440"/>
            <w:shd w:val="clear" w:color="auto" w:fill="E7E6E6"/>
          </w:tcPr>
          <w:p>
            <w:r/>
            <w:r>
              <w:rPr>
                <w:b w:val="0"/>
                <w:i w:val="0"/>
                <w:sz w:val="17"/>
              </w:rPr>
              <w:t>Note</w:t>
            </w:r>
          </w:p>
        </w:tc>
      </w:tr>
      <w:tr>
        <w:tc>
          <w:tcPr>
            <w:tcW w:type="dxa" w:w="1584"/>
          </w:tcPr>
          <w:p>
            <w:r/>
            <w:r>
              <w:rPr>
                <w:b w:val="0"/>
                <w:i w:val="0"/>
                <w:sz w:val="17"/>
              </w:rPr>
              <w:t>Audit</w:t>
            </w:r>
          </w:p>
        </w:tc>
        <w:tc>
          <w:tcPr>
            <w:tcW w:type="dxa" w:w="5184"/>
          </w:tcPr>
          <w:p>
            <w:r/>
            <w:r>
              <w:rPr>
                <w:b w:val="0"/>
                <w:i w:val="0"/>
                <w:sz w:val="17"/>
              </w:rPr>
              <w:t>Once per Lease Year on 30 days' notice, by Landowner's CPA at Landowner's cost; Developer reimburses if underpayment of 5% or more (Sec. 6.9).</w:t>
            </w:r>
          </w:p>
        </w:tc>
        <w:tc>
          <w:tcPr>
            <w:tcW w:type="dxa" w:w="1872"/>
          </w:tcPr>
          <w:p>
            <w:r/>
            <w:r>
              <w:rPr>
                <w:b w:val="0"/>
                <w:i w:val="0"/>
                <w:sz w:val="17"/>
              </w:rPr>
              <w:t>Not addressed</w:t>
            </w:r>
          </w:p>
        </w:tc>
        <w:tc>
          <w:tcPr>
            <w:tcW w:type="dxa" w:w="1440"/>
            <w:shd w:val="clear" w:color="auto" w:fill="E7E6E6"/>
          </w:tcPr>
          <w:p>
            <w:r/>
            <w:r>
              <w:rPr>
                <w:b w:val="0"/>
                <w:i w:val="0"/>
                <w:sz w:val="17"/>
              </w:rPr>
              <w:t>Note</w:t>
            </w:r>
          </w:p>
        </w:tc>
      </w:tr>
      <w:tr>
        <w:tc>
          <w:tcPr>
            <w:tcW w:type="dxa" w:w="1584"/>
          </w:tcPr>
          <w:p>
            <w:r/>
            <w:r>
              <w:rPr>
                <w:b w:val="0"/>
                <w:i w:val="0"/>
                <w:sz w:val="17"/>
              </w:rPr>
              <w:t>Taxes</w:t>
            </w:r>
          </w:p>
        </w:tc>
        <w:tc>
          <w:tcPr>
            <w:tcW w:type="dxa" w:w="5184"/>
          </w:tcPr>
          <w:p>
            <w:r/>
            <w:r>
              <w:rPr>
                <w:b w:val="0"/>
                <w:i w:val="0"/>
                <w:sz w:val="17"/>
              </w:rPr>
              <w:t>Landowner pays land taxes; Developer pays taxes on Facilities (Sec. 12.1). Facilities are personal property, not fixtures; Landowner waives fixture claims and will sign UCC instruments (Sec. 12.2).</w:t>
            </w:r>
          </w:p>
        </w:tc>
        <w:tc>
          <w:tcPr>
            <w:tcW w:type="dxa" w:w="1872"/>
          </w:tcPr>
          <w:p>
            <w:r/>
            <w:r>
              <w:rPr>
                <w:b w:val="0"/>
                <w:i w:val="0"/>
                <w:sz w:val="17"/>
              </w:rPr>
              <w:t>Same (IV.B, XII.A)</w:t>
            </w:r>
          </w:p>
        </w:tc>
        <w:tc>
          <w:tcPr>
            <w:tcW w:type="dxa" w:w="1440"/>
            <w:shd w:val="clear" w:color="auto" w:fill="D9EAD3"/>
          </w:tcPr>
          <w:p>
            <w:r/>
            <w:r>
              <w:rPr>
                <w:b w:val="0"/>
                <w:i w:val="0"/>
                <w:sz w:val="17"/>
              </w:rPr>
              <w:t>Conforms</w:t>
            </w:r>
          </w:p>
        </w:tc>
      </w:tr>
    </w:tbl>
    <w:p>
      <w:pPr>
        <w:spacing w:after="40"/>
      </w:pPr>
    </w:p>
    <w:p>
      <w:pPr>
        <w:spacing w:after="80"/>
      </w:pPr>
      <w:r>
        <w:rPr>
          <w:b/>
          <w:i w:val="0"/>
          <w:sz w:val="19"/>
        </w:rPr>
        <w:t>Illustrative economics (assumption-based).</w:t>
      </w:r>
      <w:r>
        <w:rPr>
          <w:b w:val="0"/>
          <w:i w:val="0"/>
          <w:sz w:val="19"/>
        </w:rPr>
        <w:t xml:space="preserve"> Using the Comps estimate of ~80 MW on the Millard parcels and the 35-turbine minimum, prong (a) is approximately $42,000 + (80 x $4,800) = $426,000/yr before escalation, plus the $35,000 Substation Fee. Prong (b) would exceed prong (a) only if Gross Revenue attributable to the Property exceeds ~$12.17 million/yr (= $426,000 / 3.5%); at a 38% net capacity factor (~266,300 MWh/yr) that equates to a realized price of roughly $45.70/MWh. These figures are illustrations only and depend on the final layout, turbine model and offtake pricing.</w:t>
      </w:r>
    </w:p>
    <w:p>
      <w:pPr>
        <w:pStyle w:val="Heading2"/>
      </w:pPr>
      <w:r>
        <w:t>D. Development, Siting and Landowner Reserved Rights</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1584"/>
            <w:shd w:val="clear" w:color="auto" w:fill="1F3A5F"/>
          </w:tcPr>
          <w:p>
            <w:r/>
            <w:r>
              <w:rPr>
                <w:b/>
                <w:color w:val="FFFFFF"/>
                <w:sz w:val="17"/>
              </w:rPr>
              <w:t>Term</w:t>
            </w:r>
          </w:p>
        </w:tc>
        <w:tc>
          <w:tcPr>
            <w:tcW w:type="dxa" w:w="5184"/>
            <w:shd w:val="clear" w:color="auto" w:fill="1F3A5F"/>
          </w:tcPr>
          <w:p>
            <w:r/>
            <w:r>
              <w:rPr>
                <w:b/>
                <w:color w:val="FFFFFF"/>
                <w:sz w:val="17"/>
              </w:rPr>
              <w:t>Agreement Provision</w:t>
            </w:r>
          </w:p>
        </w:tc>
        <w:tc>
          <w:tcPr>
            <w:tcW w:type="dxa" w:w="1872"/>
            <w:shd w:val="clear" w:color="auto" w:fill="1F3A5F"/>
          </w:tcPr>
          <w:p>
            <w:r/>
            <w:r>
              <w:rPr>
                <w:b/>
                <w:color w:val="FFFFFF"/>
                <w:sz w:val="17"/>
              </w:rPr>
              <w:t>Playbook</w:t>
            </w:r>
          </w:p>
        </w:tc>
        <w:tc>
          <w:tcPr>
            <w:tcW w:type="dxa" w:w="1440"/>
            <w:shd w:val="clear" w:color="auto" w:fill="1F3A5F"/>
          </w:tcPr>
          <w:p>
            <w:r/>
            <w:r>
              <w:rPr>
                <w:b/>
                <w:color w:val="FFFFFF"/>
                <w:sz w:val="17"/>
              </w:rPr>
              <w:t>Status</w:t>
            </w:r>
          </w:p>
        </w:tc>
      </w:tr>
      <w:tr>
        <w:tc>
          <w:tcPr>
            <w:tcW w:type="dxa" w:w="1584"/>
          </w:tcPr>
          <w:p>
            <w:r/>
            <w:r>
              <w:rPr>
                <w:b w:val="0"/>
                <w:i w:val="0"/>
                <w:sz w:val="17"/>
              </w:rPr>
              <w:t>Development rights</w:t>
            </w:r>
          </w:p>
        </w:tc>
        <w:tc>
          <w:tcPr>
            <w:tcW w:type="dxa" w:w="5184"/>
          </w:tcPr>
          <w:p>
            <w:r/>
            <w:r>
              <w:rPr>
                <w:b w:val="0"/>
                <w:i w:val="0"/>
                <w:sz w:val="17"/>
              </w:rPr>
              <w:t>Construct, operate, maintain, repair, replace, upgrade and remove WTGs, collection lines, substation/interconnection, roads, one O&amp;M building, met towers, SCADA, laydown (Sec. 7.1).</w:t>
            </w:r>
          </w:p>
        </w:tc>
        <w:tc>
          <w:tcPr>
            <w:tcW w:type="dxa" w:w="1872"/>
          </w:tcPr>
          <w:p>
            <w:r/>
            <w:r>
              <w:rPr>
                <w:b w:val="0"/>
                <w:i w:val="0"/>
                <w:sz w:val="17"/>
              </w:rPr>
              <w:t>Includes "repower" (IV.B)</w:t>
            </w:r>
          </w:p>
        </w:tc>
        <w:tc>
          <w:tcPr>
            <w:tcW w:type="dxa" w:w="1440"/>
            <w:shd w:val="clear" w:color="auto" w:fill="D9EAD3"/>
          </w:tcPr>
          <w:p>
            <w:r/>
            <w:r>
              <w:rPr>
                <w:b w:val="0"/>
                <w:i w:val="0"/>
                <w:sz w:val="17"/>
              </w:rPr>
              <w:t>Conforms ("replace, upgrade" covers repowering in substance)</w:t>
            </w:r>
          </w:p>
        </w:tc>
      </w:tr>
      <w:tr>
        <w:tc>
          <w:tcPr>
            <w:tcW w:type="dxa" w:w="1584"/>
          </w:tcPr>
          <w:p>
            <w:r/>
            <w:r>
              <w:rPr>
                <w:b w:val="0"/>
                <w:i w:val="0"/>
                <w:sz w:val="17"/>
              </w:rPr>
              <w:t>Transmission easement</w:t>
            </w:r>
          </w:p>
        </w:tc>
        <w:tc>
          <w:tcPr>
            <w:tcW w:type="dxa" w:w="5184"/>
          </w:tcPr>
          <w:p>
            <w:r/>
            <w:r>
              <w:rPr>
                <w:b w:val="0"/>
                <w:i w:val="0"/>
                <w:sz w:val="17"/>
              </w:rPr>
              <w:t>Non-exclusive easement across Parcel A, 150-ft corridor, ~2.3 miles, per site plan to be provided by Developer before construction; runs with land for Lease and Renewal Terms (Sec. 7.2).</w:t>
            </w:r>
          </w:p>
        </w:tc>
        <w:tc>
          <w:tcPr>
            <w:tcW w:type="dxa" w:w="1872"/>
          </w:tcPr>
          <w:p>
            <w:r/>
            <w:r>
              <w:rPr>
                <w:b w:val="0"/>
                <w:i w:val="0"/>
                <w:sz w:val="17"/>
              </w:rPr>
              <w:t>150 ft; route mutually agreed (IV.B)</w:t>
            </w:r>
          </w:p>
        </w:tc>
        <w:tc>
          <w:tcPr>
            <w:tcW w:type="dxa" w:w="1440"/>
            <w:shd w:val="clear" w:color="auto" w:fill="D9EAD3"/>
          </w:tcPr>
          <w:p>
            <w:r/>
            <w:r>
              <w:rPr>
                <w:b w:val="0"/>
                <w:i w:val="0"/>
                <w:sz w:val="17"/>
              </w:rPr>
              <w:t>Conforms (Developer-favorable on routing)</w:t>
            </w:r>
          </w:p>
        </w:tc>
      </w:tr>
      <w:tr>
        <w:tc>
          <w:tcPr>
            <w:tcW w:type="dxa" w:w="1584"/>
          </w:tcPr>
          <w:p>
            <w:r/>
            <w:r>
              <w:rPr>
                <w:b w:val="0"/>
                <w:i w:val="0"/>
                <w:sz w:val="17"/>
              </w:rPr>
              <w:t>Access roads</w:t>
            </w:r>
          </w:p>
        </w:tc>
        <w:tc>
          <w:tcPr>
            <w:tcW w:type="dxa" w:w="5184"/>
          </w:tcPr>
          <w:p>
            <w:r/>
            <w:r>
              <w:rPr>
                <w:b w:val="0"/>
                <w:i w:val="0"/>
                <w:sz w:val="17"/>
              </w:rPr>
              <w:t>Developer specs; min. 24-ft travel surface; aggregate; consult Landowner on routing; Landowner may use for agriculture (Sec. 7.3).</w:t>
            </w:r>
          </w:p>
        </w:tc>
        <w:tc>
          <w:tcPr>
            <w:tcW w:type="dxa" w:w="1872"/>
          </w:tcPr>
          <w:p>
            <w:r/>
            <w:r>
              <w:rPr>
                <w:b w:val="0"/>
                <w:i w:val="0"/>
                <w:sz w:val="17"/>
              </w:rPr>
              <w:t>24 ft, aggregate</w:t>
            </w:r>
          </w:p>
        </w:tc>
        <w:tc>
          <w:tcPr>
            <w:tcW w:type="dxa" w:w="1440"/>
            <w:shd w:val="clear" w:color="auto" w:fill="D9EAD3"/>
          </w:tcPr>
          <w:p>
            <w:r/>
            <w:r>
              <w:rPr>
                <w:b w:val="0"/>
                <w:i w:val="0"/>
                <w:sz w:val="17"/>
              </w:rPr>
              <w:t>Conforms</w:t>
            </w:r>
          </w:p>
        </w:tc>
      </w:tr>
      <w:tr>
        <w:tc>
          <w:tcPr>
            <w:tcW w:type="dxa" w:w="1584"/>
          </w:tcPr>
          <w:p>
            <w:r/>
            <w:r>
              <w:rPr>
                <w:b w:val="0"/>
                <w:i w:val="0"/>
                <w:sz w:val="17"/>
              </w:rPr>
              <w:t>Setbacks</w:t>
            </w:r>
          </w:p>
        </w:tc>
        <w:tc>
          <w:tcPr>
            <w:tcW w:type="dxa" w:w="5184"/>
          </w:tcPr>
          <w:p>
            <w:r/>
            <w:r>
              <w:rPr>
                <w:b w:val="0"/>
                <w:i w:val="0"/>
                <w:sz w:val="17"/>
              </w:rPr>
              <w:t>1,500 ft from any occupied dwelling existing on the Property as of the Effective Date; good-faith coordination on siting (Sec. 7.4).</w:t>
            </w:r>
          </w:p>
        </w:tc>
        <w:tc>
          <w:tcPr>
            <w:tcW w:type="dxa" w:w="1872"/>
          </w:tcPr>
          <w:p>
            <w:r/>
            <w:r>
              <w:rPr>
                <w:b w:val="0"/>
                <w:i w:val="0"/>
                <w:sz w:val="17"/>
              </w:rPr>
              <w:t>1,500 ft from dwellings on the property or adjacent properties; measured tower-center to exterior wall (V.A)</w:t>
            </w:r>
          </w:p>
        </w:tc>
        <w:tc>
          <w:tcPr>
            <w:tcW w:type="dxa" w:w="1440"/>
            <w:shd w:val="clear" w:color="auto" w:fill="F9D6A8"/>
          </w:tcPr>
          <w:p>
            <w:r/>
            <w:r>
              <w:rPr>
                <w:b w:val="0"/>
                <w:i w:val="0"/>
                <w:sz w:val="17"/>
              </w:rPr>
              <w:t>Deviation - adjacent dwellings and measurement method omitted</w:t>
            </w:r>
          </w:p>
        </w:tc>
      </w:tr>
      <w:tr>
        <w:tc>
          <w:tcPr>
            <w:tcW w:type="dxa" w:w="1584"/>
          </w:tcPr>
          <w:p>
            <w:r/>
            <w:r>
              <w:rPr>
                <w:b w:val="0"/>
                <w:i w:val="0"/>
                <w:sz w:val="17"/>
              </w:rPr>
              <w:t>Water</w:t>
            </w:r>
          </w:p>
        </w:tc>
        <w:tc>
          <w:tcPr>
            <w:tcW w:type="dxa" w:w="5184"/>
          </w:tcPr>
          <w:p>
            <w:r/>
            <w:r>
              <w:rPr>
                <w:b w:val="0"/>
                <w:i w:val="0"/>
                <w:sz w:val="17"/>
              </w:rPr>
              <w:t>No water rights conveyed; Developer obtains own supply unless separate consent (Sec. 7.5).</w:t>
            </w:r>
          </w:p>
        </w:tc>
        <w:tc>
          <w:tcPr>
            <w:tcW w:type="dxa" w:w="1872"/>
          </w:tcPr>
          <w:p>
            <w:r/>
            <w:r>
              <w:rPr>
                <w:b w:val="0"/>
                <w:i w:val="0"/>
                <w:sz w:val="17"/>
              </w:rPr>
              <w:t>Same (V.B)</w:t>
            </w:r>
          </w:p>
        </w:tc>
        <w:tc>
          <w:tcPr>
            <w:tcW w:type="dxa" w:w="1440"/>
            <w:shd w:val="clear" w:color="auto" w:fill="D9EAD3"/>
          </w:tcPr>
          <w:p>
            <w:r/>
            <w:r>
              <w:rPr>
                <w:b w:val="0"/>
                <w:i w:val="0"/>
                <w:sz w:val="17"/>
              </w:rPr>
              <w:t>Conforms</w:t>
            </w:r>
          </w:p>
        </w:tc>
      </w:tr>
      <w:tr>
        <w:tc>
          <w:tcPr>
            <w:tcW w:type="dxa" w:w="1584"/>
          </w:tcPr>
          <w:p>
            <w:r/>
            <w:r>
              <w:rPr>
                <w:b w:val="0"/>
                <w:i w:val="0"/>
                <w:sz w:val="17"/>
              </w:rPr>
              <w:t>Agriculture / hunting / fencing</w:t>
            </w:r>
          </w:p>
        </w:tc>
        <w:tc>
          <w:tcPr>
            <w:tcW w:type="dxa" w:w="5184"/>
          </w:tcPr>
          <w:p>
            <w:r/>
            <w:r>
              <w:rPr>
                <w:b w:val="0"/>
                <w:i w:val="0"/>
                <w:sz w:val="17"/>
              </w:rPr>
              <w:t>Landowner retains agricultural use (Sec. 8.1); hunting, fishing, recreation reserved; Developer personnel prohibited (Sec. 8.2); fences repaired within 10 business days to equal or better quality; gates kept closed (Sec. 8.3).</w:t>
            </w:r>
          </w:p>
        </w:tc>
        <w:tc>
          <w:tcPr>
            <w:tcW w:type="dxa" w:w="1872"/>
          </w:tcPr>
          <w:p>
            <w:r/>
            <w:r>
              <w:rPr>
                <w:b w:val="0"/>
                <w:i w:val="0"/>
                <w:sz w:val="17"/>
              </w:rPr>
              <w:t>Same (V.B)</w:t>
            </w:r>
          </w:p>
        </w:tc>
        <w:tc>
          <w:tcPr>
            <w:tcW w:type="dxa" w:w="1440"/>
            <w:shd w:val="clear" w:color="auto" w:fill="D9EAD3"/>
          </w:tcPr>
          <w:p>
            <w:r/>
            <w:r>
              <w:rPr>
                <w:b w:val="0"/>
                <w:i w:val="0"/>
                <w:sz w:val="17"/>
              </w:rPr>
              <w:t>Conforms</w:t>
            </w:r>
          </w:p>
        </w:tc>
      </w:tr>
    </w:tbl>
    <w:p>
      <w:pPr>
        <w:spacing w:after="40"/>
      </w:pPr>
    </w:p>
    <w:p>
      <w:pPr>
        <w:pStyle w:val="Heading2"/>
      </w:pPr>
      <w:r>
        <w:t>E. Risk Allocation, Security and Transfer</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1584"/>
            <w:shd w:val="clear" w:color="auto" w:fill="1F3A5F"/>
          </w:tcPr>
          <w:p>
            <w:r/>
            <w:r>
              <w:rPr>
                <w:b/>
                <w:color w:val="FFFFFF"/>
                <w:sz w:val="17"/>
              </w:rPr>
              <w:t>Term</w:t>
            </w:r>
          </w:p>
        </w:tc>
        <w:tc>
          <w:tcPr>
            <w:tcW w:type="dxa" w:w="5184"/>
            <w:shd w:val="clear" w:color="auto" w:fill="1F3A5F"/>
          </w:tcPr>
          <w:p>
            <w:r/>
            <w:r>
              <w:rPr>
                <w:b/>
                <w:color w:val="FFFFFF"/>
                <w:sz w:val="17"/>
              </w:rPr>
              <w:t>Agreement Provision</w:t>
            </w:r>
          </w:p>
        </w:tc>
        <w:tc>
          <w:tcPr>
            <w:tcW w:type="dxa" w:w="1872"/>
            <w:shd w:val="clear" w:color="auto" w:fill="1F3A5F"/>
          </w:tcPr>
          <w:p>
            <w:r/>
            <w:r>
              <w:rPr>
                <w:b/>
                <w:color w:val="FFFFFF"/>
                <w:sz w:val="17"/>
              </w:rPr>
              <w:t>Playbook</w:t>
            </w:r>
          </w:p>
        </w:tc>
        <w:tc>
          <w:tcPr>
            <w:tcW w:type="dxa" w:w="1440"/>
            <w:shd w:val="clear" w:color="auto" w:fill="1F3A5F"/>
          </w:tcPr>
          <w:p>
            <w:r/>
            <w:r>
              <w:rPr>
                <w:b/>
                <w:color w:val="FFFFFF"/>
                <w:sz w:val="17"/>
              </w:rPr>
              <w:t>Status</w:t>
            </w:r>
          </w:p>
        </w:tc>
      </w:tr>
      <w:tr>
        <w:tc>
          <w:tcPr>
            <w:tcW w:type="dxa" w:w="1584"/>
          </w:tcPr>
          <w:p>
            <w:r/>
            <w:r>
              <w:rPr>
                <w:b w:val="0"/>
                <w:i w:val="0"/>
                <w:sz w:val="17"/>
              </w:rPr>
              <w:t>Insurance - construction</w:t>
            </w:r>
          </w:p>
        </w:tc>
        <w:tc>
          <w:tcPr>
            <w:tcW w:type="dxa" w:w="5184"/>
          </w:tcPr>
          <w:p>
            <w:r/>
            <w:r>
              <w:rPr>
                <w:b w:val="0"/>
                <w:i w:val="0"/>
                <w:sz w:val="17"/>
              </w:rPr>
              <w:t>CGL $5M occ./$10M agg.; umbrella $25M; A.M. Best A- (VII) (Sec. 10.1).</w:t>
            </w:r>
          </w:p>
        </w:tc>
        <w:tc>
          <w:tcPr>
            <w:tcW w:type="dxa" w:w="1872"/>
          </w:tcPr>
          <w:p>
            <w:r/>
            <w:r>
              <w:rPr>
                <w:b w:val="0"/>
                <w:i w:val="0"/>
                <w:sz w:val="17"/>
              </w:rPr>
              <w:t>$5M/$10M; $25M (VIII)</w:t>
            </w:r>
          </w:p>
        </w:tc>
        <w:tc>
          <w:tcPr>
            <w:tcW w:type="dxa" w:w="1440"/>
            <w:shd w:val="clear" w:color="auto" w:fill="D9EAD3"/>
          </w:tcPr>
          <w:p>
            <w:r/>
            <w:r>
              <w:rPr>
                <w:b w:val="0"/>
                <w:i w:val="0"/>
                <w:sz w:val="17"/>
              </w:rPr>
              <w:t>Conforms</w:t>
            </w:r>
          </w:p>
        </w:tc>
      </w:tr>
      <w:tr>
        <w:tc>
          <w:tcPr>
            <w:tcW w:type="dxa" w:w="1584"/>
          </w:tcPr>
          <w:p>
            <w:r/>
            <w:r>
              <w:rPr>
                <w:b w:val="0"/>
                <w:i w:val="0"/>
                <w:sz w:val="17"/>
              </w:rPr>
              <w:t>Insurance - operations</w:t>
            </w:r>
          </w:p>
        </w:tc>
        <w:tc>
          <w:tcPr>
            <w:tcW w:type="dxa" w:w="5184"/>
          </w:tcPr>
          <w:p>
            <w:r/>
            <w:r>
              <w:rPr>
                <w:b w:val="0"/>
                <w:i w:val="0"/>
                <w:sz w:val="17"/>
              </w:rPr>
              <w:t>CGL $3M/$5M; umbrella $15M (Sec. 10.2).</w:t>
            </w:r>
          </w:p>
        </w:tc>
        <w:tc>
          <w:tcPr>
            <w:tcW w:type="dxa" w:w="1872"/>
          </w:tcPr>
          <w:p>
            <w:r/>
            <w:r>
              <w:rPr>
                <w:b w:val="0"/>
                <w:i w:val="0"/>
                <w:sz w:val="17"/>
              </w:rPr>
              <w:t>$3M/$5M; $15M</w:t>
            </w:r>
          </w:p>
        </w:tc>
        <w:tc>
          <w:tcPr>
            <w:tcW w:type="dxa" w:w="1440"/>
            <w:shd w:val="clear" w:color="auto" w:fill="D9EAD3"/>
          </w:tcPr>
          <w:p>
            <w:r/>
            <w:r>
              <w:rPr>
                <w:b w:val="0"/>
                <w:i w:val="0"/>
                <w:sz w:val="17"/>
              </w:rPr>
              <w:t>Conforms</w:t>
            </w:r>
          </w:p>
        </w:tc>
      </w:tr>
      <w:tr>
        <w:tc>
          <w:tcPr>
            <w:tcW w:type="dxa" w:w="1584"/>
          </w:tcPr>
          <w:p>
            <w:r/>
            <w:r>
              <w:rPr>
                <w:b w:val="0"/>
                <w:i w:val="0"/>
                <w:sz w:val="17"/>
              </w:rPr>
              <w:t>Environmental insurance</w:t>
            </w:r>
          </w:p>
        </w:tc>
        <w:tc>
          <w:tcPr>
            <w:tcW w:type="dxa" w:w="5184"/>
          </w:tcPr>
          <w:p>
            <w:r/>
            <w:r>
              <w:rPr>
                <w:b w:val="0"/>
                <w:i w:val="0"/>
                <w:sz w:val="17"/>
              </w:rPr>
              <w:t>$2M per occurrence incl. gradual pollution, through Lease and Renewal Terms (Sec. 10.3).</w:t>
            </w:r>
          </w:p>
        </w:tc>
        <w:tc>
          <w:tcPr>
            <w:tcW w:type="dxa" w:w="1872"/>
          </w:tcPr>
          <w:p>
            <w:r/>
            <w:r>
              <w:rPr>
                <w:b w:val="0"/>
                <w:i w:val="0"/>
                <w:sz w:val="17"/>
              </w:rPr>
              <w:t>$2M, all phases</w:t>
            </w:r>
          </w:p>
        </w:tc>
        <w:tc>
          <w:tcPr>
            <w:tcW w:type="dxa" w:w="1440"/>
            <w:shd w:val="clear" w:color="auto" w:fill="FFF2B3"/>
          </w:tcPr>
          <w:p>
            <w:r/>
            <w:r>
              <w:rPr>
                <w:b w:val="0"/>
                <w:i w:val="0"/>
                <w:sz w:val="17"/>
              </w:rPr>
              <w:t>Partial - no Option Period or post-term tail</w:t>
            </w:r>
          </w:p>
        </w:tc>
      </w:tr>
      <w:tr>
        <w:tc>
          <w:tcPr>
            <w:tcW w:type="dxa" w:w="1584"/>
          </w:tcPr>
          <w:p>
            <w:r/>
            <w:r>
              <w:rPr>
                <w:b w:val="0"/>
                <w:i w:val="0"/>
                <w:sz w:val="17"/>
              </w:rPr>
              <w:t>Additional insured / certificates</w:t>
            </w:r>
          </w:p>
        </w:tc>
        <w:tc>
          <w:tcPr>
            <w:tcW w:type="dxa" w:w="5184"/>
          </w:tcPr>
          <w:p>
            <w:r/>
            <w:r>
              <w:rPr>
                <w:b w:val="0"/>
                <w:i w:val="0"/>
                <w:sz w:val="17"/>
              </w:rPr>
              <w:t>Landowner (incl. Trustee, Successor Trustee, beneficiaries) additional insured on all Art. 10 policies; certificates within 30 days of Effective Date and each anniversary; available to lenders on request (Sec. 10.4). No cancellation-notice covenant; Highline not an additional insured.</w:t>
            </w:r>
          </w:p>
        </w:tc>
        <w:tc>
          <w:tcPr>
            <w:tcW w:type="dxa" w:w="1872"/>
          </w:tcPr>
          <w:p>
            <w:r/>
            <w:r>
              <w:rPr>
                <w:b w:val="0"/>
                <w:i w:val="0"/>
                <w:sz w:val="17"/>
              </w:rPr>
              <w:t>AI on CGL/umbrella; certificates to Landowner and Highline within 30 days of inception/renewal; 30 days' cancellation notice - must-have (VIII)</w:t>
            </w:r>
          </w:p>
        </w:tc>
        <w:tc>
          <w:tcPr>
            <w:tcW w:type="dxa" w:w="1440"/>
            <w:shd w:val="clear" w:color="auto" w:fill="F9D6A8"/>
          </w:tcPr>
          <w:p>
            <w:r/>
            <w:r>
              <w:rPr>
                <w:b w:val="0"/>
                <w:i w:val="0"/>
                <w:sz w:val="17"/>
              </w:rPr>
              <w:t>Deviation</w:t>
            </w:r>
          </w:p>
        </w:tc>
      </w:tr>
      <w:tr>
        <w:tc>
          <w:tcPr>
            <w:tcW w:type="dxa" w:w="1584"/>
          </w:tcPr>
          <w:p>
            <w:r/>
            <w:r>
              <w:rPr>
                <w:b w:val="0"/>
                <w:i w:val="0"/>
                <w:sz w:val="17"/>
              </w:rPr>
              <w:t>Developer indemnity</w:t>
            </w:r>
          </w:p>
        </w:tc>
        <w:tc>
          <w:tcPr>
            <w:tcW w:type="dxa" w:w="5184"/>
          </w:tcPr>
          <w:p>
            <w:r/>
            <w:r>
              <w:rPr>
                <w:b w:val="0"/>
                <w:i w:val="0"/>
                <w:sz w:val="17"/>
              </w:rPr>
              <w:t>Defend/indemnify Landowner Indemnified Parties for Developer activities, bodily injury/death related to Facilities, environmental contamination by Facilities; except Landowner gross negligence/willful misconduct (Sec. 11.1).</w:t>
            </w:r>
          </w:p>
        </w:tc>
        <w:tc>
          <w:tcPr>
            <w:tcW w:type="dxa" w:w="1872"/>
          </w:tcPr>
          <w:p>
            <w:r/>
            <w:r>
              <w:rPr>
                <w:b w:val="0"/>
                <w:i w:val="0"/>
                <w:sz w:val="17"/>
              </w:rPr>
              <w:t>Same (IX)</w:t>
            </w:r>
          </w:p>
        </w:tc>
        <w:tc>
          <w:tcPr>
            <w:tcW w:type="dxa" w:w="1440"/>
            <w:shd w:val="clear" w:color="auto" w:fill="D9EAD3"/>
          </w:tcPr>
          <w:p>
            <w:r/>
            <w:r>
              <w:rPr>
                <w:b w:val="0"/>
                <w:i w:val="0"/>
                <w:sz w:val="17"/>
              </w:rPr>
              <w:t>Conforms</w:t>
            </w:r>
          </w:p>
        </w:tc>
      </w:tr>
      <w:tr>
        <w:tc>
          <w:tcPr>
            <w:tcW w:type="dxa" w:w="1584"/>
          </w:tcPr>
          <w:p>
            <w:r/>
            <w:r>
              <w:rPr>
                <w:b w:val="0"/>
                <w:i w:val="0"/>
                <w:sz w:val="17"/>
              </w:rPr>
              <w:t>Landowner indemnity</w:t>
            </w:r>
          </w:p>
        </w:tc>
        <w:tc>
          <w:tcPr>
            <w:tcW w:type="dxa" w:w="5184"/>
          </w:tcPr>
          <w:p>
            <w:r/>
            <w:r>
              <w:rPr>
                <w:b w:val="0"/>
                <w:i w:val="0"/>
                <w:sz w:val="17"/>
              </w:rPr>
              <w:t>For Landowner's non-project use, except Developer negligence/willful misconduct (Sec. 11.2).</w:t>
            </w:r>
          </w:p>
        </w:tc>
        <w:tc>
          <w:tcPr>
            <w:tcW w:type="dxa" w:w="1872"/>
          </w:tcPr>
          <w:p>
            <w:r/>
            <w:r>
              <w:rPr>
                <w:b w:val="0"/>
                <w:i w:val="0"/>
                <w:sz w:val="17"/>
              </w:rPr>
              <w:t>Same</w:t>
            </w:r>
          </w:p>
        </w:tc>
        <w:tc>
          <w:tcPr>
            <w:tcW w:type="dxa" w:w="1440"/>
            <w:shd w:val="clear" w:color="auto" w:fill="D9EAD3"/>
          </w:tcPr>
          <w:p>
            <w:r/>
            <w:r>
              <w:rPr>
                <w:b w:val="0"/>
                <w:i w:val="0"/>
                <w:sz w:val="17"/>
              </w:rPr>
              <w:t>Conforms</w:t>
            </w:r>
          </w:p>
        </w:tc>
      </w:tr>
      <w:tr>
        <w:tc>
          <w:tcPr>
            <w:tcW w:type="dxa" w:w="1584"/>
          </w:tcPr>
          <w:p>
            <w:r/>
            <w:r>
              <w:rPr>
                <w:b w:val="0"/>
                <w:i w:val="0"/>
                <w:sz w:val="17"/>
              </w:rPr>
              <w:t>Indemnity survival</w:t>
            </w:r>
          </w:p>
        </w:tc>
        <w:tc>
          <w:tcPr>
            <w:tcW w:type="dxa" w:w="5184"/>
          </w:tcPr>
          <w:p>
            <w:r/>
            <w:r>
              <w:rPr>
                <w:b w:val="0"/>
                <w:i w:val="0"/>
                <w:sz w:val="17"/>
              </w:rPr>
              <w:t>3 years after expiration/termination (Sec. 11.3).</w:t>
            </w:r>
          </w:p>
        </w:tc>
        <w:tc>
          <w:tcPr>
            <w:tcW w:type="dxa" w:w="1872"/>
          </w:tcPr>
          <w:p>
            <w:r/>
            <w:r>
              <w:rPr>
                <w:b w:val="0"/>
                <w:i w:val="0"/>
                <w:sz w:val="17"/>
              </w:rPr>
              <w:t>3 yrs min.; consider 5-6 yrs (IX)</w:t>
            </w:r>
          </w:p>
        </w:tc>
        <w:tc>
          <w:tcPr>
            <w:tcW w:type="dxa" w:w="1440"/>
            <w:shd w:val="clear" w:color="auto" w:fill="D9EAD3"/>
          </w:tcPr>
          <w:p>
            <w:r/>
            <w:r>
              <w:rPr>
                <w:b w:val="0"/>
                <w:i w:val="0"/>
                <w:sz w:val="17"/>
              </w:rPr>
              <w:t>Conforms to minimum; below Lender expectation and L001/L002/L003/L006 (5 yrs)</w:t>
            </w:r>
          </w:p>
        </w:tc>
      </w:tr>
      <w:tr>
        <w:tc>
          <w:tcPr>
            <w:tcW w:type="dxa" w:w="1584"/>
          </w:tcPr>
          <w:p>
            <w:r/>
            <w:r>
              <w:rPr>
                <w:b w:val="0"/>
                <w:i w:val="0"/>
                <w:sz w:val="17"/>
              </w:rPr>
              <w:t>Decommissioning</w:t>
            </w:r>
          </w:p>
        </w:tc>
        <w:tc>
          <w:tcPr>
            <w:tcW w:type="dxa" w:w="5184"/>
          </w:tcPr>
          <w:p>
            <w:r/>
            <w:r>
              <w:rPr>
                <w:b w:val="0"/>
                <w:i w:val="0"/>
                <w:sz w:val="17"/>
              </w:rPr>
              <w:t>Remove all Facilities within 18 months of expiry/termination/Abandonment; foundations to 4 ft; underground cables to extent reasonably practicable (Sec. 13.1); restore to substantially similar agricultural condition, determined by Bridger, final absent manifest error (Sec. 13.2).</w:t>
            </w:r>
          </w:p>
        </w:tc>
        <w:tc>
          <w:tcPr>
            <w:tcW w:type="dxa" w:w="1872"/>
          </w:tcPr>
          <w:p>
            <w:r/>
            <w:r>
              <w:rPr>
                <w:b w:val="0"/>
                <w:i w:val="0"/>
                <w:sz w:val="17"/>
              </w:rPr>
              <w:t>18 months; 4 ft; roads removed unless Landowner elects to keep; decompaction (VII.A)</w:t>
            </w:r>
          </w:p>
        </w:tc>
        <w:tc>
          <w:tcPr>
            <w:tcW w:type="dxa" w:w="1440"/>
            <w:shd w:val="clear" w:color="auto" w:fill="FFF2B3"/>
          </w:tcPr>
          <w:p>
            <w:r/>
            <w:r>
              <w:rPr>
                <w:b w:val="0"/>
                <w:i w:val="0"/>
                <w:sz w:val="17"/>
              </w:rPr>
              <w:t>Partial</w:t>
            </w:r>
          </w:p>
        </w:tc>
      </w:tr>
      <w:tr>
        <w:tc>
          <w:tcPr>
            <w:tcW w:type="dxa" w:w="1584"/>
          </w:tcPr>
          <w:p>
            <w:r/>
            <w:r>
              <w:rPr>
                <w:b w:val="0"/>
                <w:i w:val="0"/>
                <w:sz w:val="17"/>
              </w:rPr>
              <w:t>Decommissioning security</w:t>
            </w:r>
          </w:p>
        </w:tc>
        <w:tc>
          <w:tcPr>
            <w:tcW w:type="dxa" w:w="5184"/>
          </w:tcPr>
          <w:p>
            <w:r/>
            <w:r>
              <w:rPr>
                <w:b w:val="0"/>
                <w:i w:val="0"/>
                <w:sz w:val="17"/>
              </w:rPr>
              <w:t>Surety bond or standby LC, $45,000/WTG (min. 35 = $1,575,000, verified), posted no later than 15th anniversary of COD; Pineridge Surety Co. or provider reasonably acceptable to Landowner; Landowner obligee/beneficiary (Sec. 13.3).</w:t>
            </w:r>
          </w:p>
        </w:tc>
        <w:tc>
          <w:tcPr>
            <w:tcW w:type="dxa" w:w="1872"/>
          </w:tcPr>
          <w:p>
            <w:r/>
            <w:r>
              <w:rPr>
                <w:b w:val="0"/>
                <w:i w:val="0"/>
                <w:sz w:val="17"/>
              </w:rPr>
              <w:t>No later than COD - MUST-HAVE; $40-50k/WTG validated by independent estimate; A-rated surety / BBB- LC bank (VII.B)</w:t>
            </w:r>
          </w:p>
        </w:tc>
        <w:tc>
          <w:tcPr>
            <w:tcW w:type="dxa" w:w="1440"/>
            <w:shd w:val="clear" w:color="auto" w:fill="F9D6A8"/>
          </w:tcPr>
          <w:p>
            <w:r/>
            <w:r>
              <w:rPr>
                <w:b w:val="0"/>
                <w:i w:val="0"/>
                <w:sz w:val="17"/>
              </w:rPr>
              <w:t>Deviation (Critical)</w:t>
            </w:r>
          </w:p>
        </w:tc>
      </w:tr>
      <w:tr>
        <w:tc>
          <w:tcPr>
            <w:tcW w:type="dxa" w:w="1584"/>
          </w:tcPr>
          <w:p>
            <w:r/>
            <w:r>
              <w:rPr>
                <w:b w:val="0"/>
                <w:i w:val="0"/>
                <w:sz w:val="17"/>
              </w:rPr>
              <w:t>Abandonment</w:t>
            </w:r>
          </w:p>
        </w:tc>
        <w:tc>
          <w:tcPr>
            <w:tcW w:type="dxa" w:w="5184"/>
          </w:tcPr>
          <w:p>
            <w:r/>
            <w:r>
              <w:rPr>
                <w:b w:val="0"/>
                <w:i w:val="0"/>
                <w:sz w:val="17"/>
              </w:rPr>
              <w:t>24 consecutive months of non-generation by all WTGs, excluding force majeure, scheduled maintenance/repair, grid curtailment (Sec. 1.1); Landowner notice + 180 days to resume or commence decommissioning; then Landowner may draw security (if posted) and self-perform at Developer cost (Sec. 13.4).</w:t>
            </w:r>
          </w:p>
        </w:tc>
        <w:tc>
          <w:tcPr>
            <w:tcW w:type="dxa" w:w="1872"/>
          </w:tcPr>
          <w:p>
            <w:r/>
            <w:r>
              <w:rPr>
                <w:b w:val="0"/>
                <w:i w:val="0"/>
                <w:sz w:val="17"/>
              </w:rPr>
              <w:t>24 months; project or any individual turbine (VII.A)</w:t>
            </w:r>
          </w:p>
        </w:tc>
        <w:tc>
          <w:tcPr>
            <w:tcW w:type="dxa" w:w="1440"/>
            <w:shd w:val="clear" w:color="auto" w:fill="D9EAD3"/>
          </w:tcPr>
          <w:p>
            <w:r/>
            <w:r>
              <w:rPr>
                <w:b w:val="0"/>
                <w:i w:val="0"/>
                <w:sz w:val="17"/>
              </w:rPr>
              <w:t>Conforms (more Developer-favorable: whole-project test)</w:t>
            </w:r>
          </w:p>
        </w:tc>
      </w:tr>
      <w:tr>
        <w:tc>
          <w:tcPr>
            <w:tcW w:type="dxa" w:w="1584"/>
          </w:tcPr>
          <w:p>
            <w:r/>
            <w:r>
              <w:rPr>
                <w:b w:val="0"/>
                <w:i w:val="0"/>
                <w:sz w:val="17"/>
              </w:rPr>
              <w:t>Assignment - affiliates</w:t>
            </w:r>
          </w:p>
        </w:tc>
        <w:tc>
          <w:tcPr>
            <w:tcW w:type="dxa" w:w="5184"/>
          </w:tcPr>
          <w:p>
            <w:r/>
            <w:r>
              <w:rPr>
                <w:b w:val="0"/>
                <w:i w:val="0"/>
                <w:sz w:val="17"/>
              </w:rPr>
              <w:t>Free assignment to Affiliates (50% equity or control, measured by reference to Developer) on 30 days' post-assignment notice; assignor released only to extent assumed (Secs. 1.2, 14.1).</w:t>
            </w:r>
          </w:p>
        </w:tc>
        <w:tc>
          <w:tcPr>
            <w:tcW w:type="dxa" w:w="1872"/>
          </w:tcPr>
          <w:p>
            <w:r/>
            <w:r>
              <w:rPr>
                <w:b w:val="0"/>
                <w:i w:val="0"/>
                <w:sz w:val="17"/>
              </w:rPr>
              <w:t>Free assignment to affiliates of Ridgeline or Cascade - must-have (VI.A)</w:t>
            </w:r>
          </w:p>
        </w:tc>
        <w:tc>
          <w:tcPr>
            <w:tcW w:type="dxa" w:w="1440"/>
            <w:shd w:val="clear" w:color="auto" w:fill="D9EAD3"/>
          </w:tcPr>
          <w:p>
            <w:r/>
            <w:r>
              <w:rPr>
                <w:b w:val="0"/>
                <w:i w:val="0"/>
                <w:sz w:val="17"/>
              </w:rPr>
              <w:t>Conforms (Cascade and sister entities fall within "common control")</w:t>
            </w:r>
          </w:p>
        </w:tc>
      </w:tr>
      <w:tr>
        <w:tc>
          <w:tcPr>
            <w:tcW w:type="dxa" w:w="1584"/>
          </w:tcPr>
          <w:p>
            <w:r/>
            <w:r>
              <w:rPr>
                <w:b w:val="0"/>
                <w:i w:val="0"/>
                <w:sz w:val="17"/>
              </w:rPr>
              <w:t>Assignment - non-affiliates</w:t>
            </w:r>
          </w:p>
        </w:tc>
        <w:tc>
          <w:tcPr>
            <w:tcW w:type="dxa" w:w="5184"/>
          </w:tcPr>
          <w:p>
            <w:r/>
            <w:r>
              <w:rPr>
                <w:b w:val="0"/>
                <w:i w:val="0"/>
                <w:sz w:val="17"/>
              </w:rPr>
              <w:t>Landowner consent, not unreasonably withheld, conditioned or delayed (Sec. 14.2). No deemed-consent mechanism.</w:t>
            </w:r>
          </w:p>
        </w:tc>
        <w:tc>
          <w:tcPr>
            <w:tcW w:type="dxa" w:w="1872"/>
          </w:tcPr>
          <w:p>
            <w:r/>
            <w:r>
              <w:rPr>
                <w:b w:val="0"/>
                <w:i w:val="0"/>
                <w:sz w:val="17"/>
              </w:rPr>
              <w:t>Same plus 30-day deemed consent (VI.A)</w:t>
            </w:r>
          </w:p>
        </w:tc>
        <w:tc>
          <w:tcPr>
            <w:tcW w:type="dxa" w:w="1440"/>
            <w:shd w:val="clear" w:color="auto" w:fill="F9D6A8"/>
          </w:tcPr>
          <w:p>
            <w:r/>
            <w:r>
              <w:rPr>
                <w:b w:val="0"/>
                <w:i w:val="0"/>
                <w:sz w:val="17"/>
              </w:rPr>
              <w:t>Deviation (minor)</w:t>
            </w:r>
          </w:p>
        </w:tc>
      </w:tr>
      <w:tr>
        <w:tc>
          <w:tcPr>
            <w:tcW w:type="dxa" w:w="1584"/>
          </w:tcPr>
          <w:p>
            <w:r/>
            <w:r>
              <w:rPr>
                <w:b w:val="0"/>
                <w:i w:val="0"/>
                <w:sz w:val="17"/>
              </w:rPr>
              <w:t>Qualified Transferee</w:t>
            </w:r>
          </w:p>
        </w:tc>
        <w:tc>
          <w:tcPr>
            <w:tcW w:type="dxa" w:w="5184"/>
          </w:tcPr>
          <w:p>
            <w:r/>
            <w:r>
              <w:rPr>
                <w:b w:val="0"/>
                <w:i w:val="0"/>
                <w:sz w:val="17"/>
              </w:rPr>
              <w:t>Net worth &gt;= $50M (GAAP) and experience developing, owning or operating &gt;= 200 MW wind; no consent; 30 days' post-notice with evidence (Sec. 14.3).</w:t>
            </w:r>
          </w:p>
        </w:tc>
        <w:tc>
          <w:tcPr>
            <w:tcW w:type="dxa" w:w="1872"/>
          </w:tcPr>
          <w:p>
            <w:r/>
            <w:r>
              <w:rPr>
                <w:b w:val="0"/>
                <w:i w:val="0"/>
                <w:sz w:val="17"/>
              </w:rPr>
              <w:t>$50M / 200 MW (VI.A)</w:t>
            </w:r>
          </w:p>
        </w:tc>
        <w:tc>
          <w:tcPr>
            <w:tcW w:type="dxa" w:w="1440"/>
            <w:shd w:val="clear" w:color="auto" w:fill="D9EAD3"/>
          </w:tcPr>
          <w:p>
            <w:r/>
            <w:r>
              <w:rPr>
                <w:b w:val="0"/>
                <w:i w:val="0"/>
                <w:sz w:val="17"/>
              </w:rPr>
              <w:t>Conforms (experience test broader than Playbook)</w:t>
            </w:r>
          </w:p>
        </w:tc>
      </w:tr>
      <w:tr>
        <w:tc>
          <w:tcPr>
            <w:tcW w:type="dxa" w:w="1584"/>
          </w:tcPr>
          <w:p>
            <w:r/>
            <w:r>
              <w:rPr>
                <w:b w:val="0"/>
                <w:i w:val="0"/>
                <w:sz w:val="17"/>
              </w:rPr>
              <w:t>Lender protections</w:t>
            </w:r>
          </w:p>
        </w:tc>
        <w:tc>
          <w:tcPr>
            <w:tcW w:type="dxa" w:w="5184"/>
          </w:tcPr>
          <w:p>
            <w:r/>
            <w:r>
              <w:rPr>
                <w:b w:val="0"/>
                <w:i w:val="0"/>
                <w:sz w:val="17"/>
              </w:rPr>
              <w:t>None (no collateral assignment right, lender notice/cure, step-in, new lease, estoppel, or non-disturbance provisions).</w:t>
            </w:r>
          </w:p>
        </w:tc>
        <w:tc>
          <w:tcPr>
            <w:tcW w:type="dxa" w:w="1872"/>
          </w:tcPr>
          <w:p>
            <w:r/>
            <w:r>
              <w:rPr>
                <w:b w:val="0"/>
                <w:i w:val="0"/>
                <w:sz w:val="17"/>
              </w:rPr>
              <w:t>Required by Highline (Lender Checklist Items 6-7)</w:t>
            </w:r>
          </w:p>
        </w:tc>
        <w:tc>
          <w:tcPr>
            <w:tcW w:type="dxa" w:w="1440"/>
            <w:shd w:val="clear" w:color="auto" w:fill="F4B6B6"/>
          </w:tcPr>
          <w:p>
            <w:r/>
            <w:r>
              <w:rPr>
                <w:b w:val="0"/>
                <w:i w:val="0"/>
                <w:sz w:val="17"/>
              </w:rPr>
              <w:t>Gap (Critical)</w:t>
            </w:r>
          </w:p>
        </w:tc>
      </w:tr>
      <w:tr>
        <w:tc>
          <w:tcPr>
            <w:tcW w:type="dxa" w:w="1584"/>
          </w:tcPr>
          <w:p>
            <w:r/>
            <w:r>
              <w:rPr>
                <w:b w:val="0"/>
                <w:i w:val="0"/>
                <w:sz w:val="17"/>
              </w:rPr>
              <w:t>Landowner transfer restriction</w:t>
            </w:r>
          </w:p>
        </w:tc>
        <w:tc>
          <w:tcPr>
            <w:tcW w:type="dxa" w:w="5184"/>
          </w:tcPr>
          <w:p>
            <w:r/>
            <w:r>
              <w:rPr>
                <w:b w:val="0"/>
                <w:i w:val="0"/>
                <w:sz w:val="17"/>
              </w:rPr>
              <w:t>No sale, transfer, encumbrance or mortgage without Developer consent in its sole discretion during Option, Lease and Renewal Terms; except transfers among trust beneficiaries or to a successor trustee who acknowledges the Agreement in writing (Sec. 14.4).</w:t>
            </w:r>
          </w:p>
        </w:tc>
        <w:tc>
          <w:tcPr>
            <w:tcW w:type="dxa" w:w="1872"/>
          </w:tcPr>
          <w:p>
            <w:r/>
            <w:r>
              <w:rPr>
                <w:b w:val="0"/>
                <w:i w:val="0"/>
                <w:sz w:val="17"/>
              </w:rPr>
              <w:t>Must-have; permitted transfers also include operation-of-law transfers and subordinate refinancing (VI.B)</w:t>
            </w:r>
          </w:p>
        </w:tc>
        <w:tc>
          <w:tcPr>
            <w:tcW w:type="dxa" w:w="1440"/>
            <w:shd w:val="clear" w:color="auto" w:fill="FFF2B3"/>
          </w:tcPr>
          <w:p>
            <w:r/>
            <w:r>
              <w:rPr>
                <w:b w:val="0"/>
                <w:i w:val="0"/>
                <w:sz w:val="17"/>
              </w:rPr>
              <w:t>Partial</w:t>
            </w:r>
          </w:p>
        </w:tc>
      </w:tr>
      <w:tr>
        <w:tc>
          <w:tcPr>
            <w:tcW w:type="dxa" w:w="1584"/>
          </w:tcPr>
          <w:p>
            <w:r/>
            <w:r>
              <w:rPr>
                <w:b w:val="0"/>
                <w:i w:val="0"/>
                <w:sz w:val="17"/>
              </w:rPr>
              <w:t>ROFR</w:t>
            </w:r>
          </w:p>
        </w:tc>
        <w:tc>
          <w:tcPr>
            <w:tcW w:type="dxa" w:w="5184"/>
          </w:tcPr>
          <w:p>
            <w:r/>
            <w:r>
              <w:rPr>
                <w:b w:val="0"/>
                <w:i w:val="0"/>
                <w:sz w:val="17"/>
              </w:rPr>
              <w:t>Bona fide written offer during Option/Lease/Renewal Terms; complete unredacted copy; 45 days to match; if not exercised, sale within 180 days on terms no more favorable to buyer, else ROFR revives (Sec. 15.1).</w:t>
            </w:r>
          </w:p>
        </w:tc>
        <w:tc>
          <w:tcPr>
            <w:tcW w:type="dxa" w:w="1872"/>
          </w:tcPr>
          <w:p>
            <w:r/>
            <w:r>
              <w:rPr>
                <w:b w:val="0"/>
                <w:i w:val="0"/>
                <w:sz w:val="17"/>
              </w:rPr>
              <w:t>45 days; sale subject to purchaser assumption of the Agreement (XII.D)</w:t>
            </w:r>
          </w:p>
        </w:tc>
        <w:tc>
          <w:tcPr>
            <w:tcW w:type="dxa" w:w="1440"/>
            <w:shd w:val="clear" w:color="auto" w:fill="FFF2B3"/>
          </w:tcPr>
          <w:p>
            <w:r/>
            <w:r>
              <w:rPr>
                <w:b w:val="0"/>
                <w:i w:val="0"/>
                <w:sz w:val="17"/>
              </w:rPr>
              <w:t>Partial - no express assumption requirement</w:t>
            </w:r>
          </w:p>
        </w:tc>
      </w:tr>
      <w:tr>
        <w:tc>
          <w:tcPr>
            <w:tcW w:type="dxa" w:w="1584"/>
          </w:tcPr>
          <w:p>
            <w:r/>
            <w:r>
              <w:rPr>
                <w:b w:val="0"/>
                <w:i w:val="0"/>
                <w:sz w:val="17"/>
              </w:rPr>
              <w:t>Memorandum</w:t>
            </w:r>
          </w:p>
        </w:tc>
        <w:tc>
          <w:tcPr>
            <w:tcW w:type="dxa" w:w="5184"/>
          </w:tcPr>
          <w:p>
            <w:r/>
            <w:r>
              <w:rPr>
                <w:b w:val="0"/>
                <w:i w:val="0"/>
                <w:sz w:val="17"/>
              </w:rPr>
              <w:t>Promptly record memorandum substantially in Exhibit B form; Columbia Basin Title &amp; Escrow as recording agent; Developer pays; release on termination after decommissioning (Sec. 14.5).</w:t>
            </w:r>
          </w:p>
        </w:tc>
        <w:tc>
          <w:tcPr>
            <w:tcW w:type="dxa" w:w="1872"/>
          </w:tcPr>
          <w:p>
            <w:r/>
            <w:r>
              <w:rPr>
                <w:b w:val="0"/>
                <w:i w:val="0"/>
                <w:sz w:val="17"/>
              </w:rPr>
              <w:t>Executed simultaneously with Agreement; no financial terms (XII.B)</w:t>
            </w:r>
          </w:p>
        </w:tc>
        <w:tc>
          <w:tcPr>
            <w:tcW w:type="dxa" w:w="1440"/>
            <w:shd w:val="clear" w:color="auto" w:fill="F4B6B6"/>
          </w:tcPr>
          <w:p>
            <w:r/>
            <w:r>
              <w:rPr>
                <w:b w:val="0"/>
                <w:i w:val="0"/>
                <w:sz w:val="17"/>
              </w:rPr>
              <w:t>Gap - form missing; recording unconfirmed</w:t>
            </w:r>
          </w:p>
        </w:tc>
      </w:tr>
      <w:tr>
        <w:tc>
          <w:tcPr>
            <w:tcW w:type="dxa" w:w="1584"/>
          </w:tcPr>
          <w:p>
            <w:r/>
            <w:r>
              <w:rPr>
                <w:b w:val="0"/>
                <w:i w:val="0"/>
                <w:sz w:val="17"/>
              </w:rPr>
              <w:t>Defaults / cure</w:t>
            </w:r>
          </w:p>
        </w:tc>
        <w:tc>
          <w:tcPr>
            <w:tcW w:type="dxa" w:w="5184"/>
          </w:tcPr>
          <w:p>
            <w:r/>
            <w:r>
              <w:rPr>
                <w:b w:val="0"/>
                <w:i w:val="0"/>
                <w:sz w:val="17"/>
              </w:rPr>
              <w:t>Payment: 60 days after notice; non-monetary: 90 days, extendable to 180 days if cure commenced and diligently pursued (Sec. 16.1).</w:t>
            </w:r>
          </w:p>
        </w:tc>
        <w:tc>
          <w:tcPr>
            <w:tcW w:type="dxa" w:w="1872"/>
          </w:tcPr>
          <w:p>
            <w:r/>
            <w:r>
              <w:rPr>
                <w:b w:val="0"/>
                <w:i w:val="0"/>
                <w:sz w:val="17"/>
              </w:rPr>
              <w:t>60 / 90 / 180 days, with periodic written progress reports (X.A)</w:t>
            </w:r>
          </w:p>
        </w:tc>
        <w:tc>
          <w:tcPr>
            <w:tcW w:type="dxa" w:w="1440"/>
            <w:shd w:val="clear" w:color="auto" w:fill="FFF2B3"/>
          </w:tcPr>
          <w:p>
            <w:r/>
            <w:r>
              <w:rPr>
                <w:b w:val="0"/>
                <w:i w:val="0"/>
                <w:sz w:val="17"/>
              </w:rPr>
              <w:t>Partial - no progress reports</w:t>
            </w:r>
          </w:p>
        </w:tc>
      </w:tr>
      <w:tr>
        <w:tc>
          <w:tcPr>
            <w:tcW w:type="dxa" w:w="1584"/>
          </w:tcPr>
          <w:p>
            <w:r/>
            <w:r>
              <w:rPr>
                <w:b w:val="0"/>
                <w:i w:val="0"/>
                <w:sz w:val="17"/>
              </w:rPr>
              <w:t>Developer remedies</w:t>
            </w:r>
          </w:p>
        </w:tc>
        <w:tc>
          <w:tcPr>
            <w:tcW w:type="dxa" w:w="5184"/>
          </w:tcPr>
          <w:p>
            <w:r/>
            <w:r>
              <w:rPr>
                <w:b w:val="0"/>
                <w:i w:val="0"/>
                <w:sz w:val="17"/>
              </w:rPr>
              <w:t>Specific performance, injunction, termination, damages including consequential; specific performance/injunction without proof of damages or bond (Sec. 16.2).</w:t>
            </w:r>
          </w:p>
        </w:tc>
        <w:tc>
          <w:tcPr>
            <w:tcW w:type="dxa" w:w="1872"/>
          </w:tcPr>
          <w:p>
            <w:r/>
            <w:r>
              <w:rPr>
                <w:b w:val="0"/>
                <w:i w:val="0"/>
                <w:sz w:val="17"/>
              </w:rPr>
              <w:t>Specific performance - must-have (X.B)</w:t>
            </w:r>
          </w:p>
        </w:tc>
        <w:tc>
          <w:tcPr>
            <w:tcW w:type="dxa" w:w="1440"/>
            <w:shd w:val="clear" w:color="auto" w:fill="D9EAD3"/>
          </w:tcPr>
          <w:p>
            <w:r/>
            <w:r>
              <w:rPr>
                <w:b w:val="0"/>
                <w:i w:val="0"/>
                <w:sz w:val="17"/>
              </w:rPr>
              <w:t>Conforms</w:t>
            </w:r>
          </w:p>
        </w:tc>
      </w:tr>
      <w:tr>
        <w:tc>
          <w:tcPr>
            <w:tcW w:type="dxa" w:w="1584"/>
          </w:tcPr>
          <w:p>
            <w:r/>
            <w:r>
              <w:rPr>
                <w:b w:val="0"/>
                <w:i w:val="0"/>
                <w:sz w:val="17"/>
              </w:rPr>
              <w:t>Landowner remedies</w:t>
            </w:r>
          </w:p>
        </w:tc>
        <w:tc>
          <w:tcPr>
            <w:tcW w:type="dxa" w:w="5184"/>
          </w:tcPr>
          <w:p>
            <w:r/>
            <w:r>
              <w:rPr>
                <w:b w:val="0"/>
                <w:i w:val="0"/>
                <w:sz w:val="17"/>
              </w:rPr>
              <w:t>Exclusive: termination and monetary damages (unpaid amounts and direct damages); no specific performance or injunction "under any circumstances" (Sec. 16.3).</w:t>
            </w:r>
          </w:p>
        </w:tc>
        <w:tc>
          <w:tcPr>
            <w:tcW w:type="dxa" w:w="1872"/>
          </w:tcPr>
          <w:p>
            <w:r/>
            <w:r>
              <w:rPr>
                <w:b w:val="0"/>
                <w:i w:val="0"/>
                <w:sz w:val="17"/>
              </w:rPr>
              <w:t>Monetary damages only (preferred); mutual SP acceptable (X.B)</w:t>
            </w:r>
          </w:p>
        </w:tc>
        <w:tc>
          <w:tcPr>
            <w:tcW w:type="dxa" w:w="1440"/>
            <w:shd w:val="clear" w:color="auto" w:fill="D9EAD3"/>
          </w:tcPr>
          <w:p>
            <w:r/>
            <w:r>
              <w:rPr>
                <w:b w:val="0"/>
                <w:i w:val="0"/>
                <w:sz w:val="17"/>
              </w:rPr>
              <w:t>Conforms (enforceability risk - Issue 9)</w:t>
            </w:r>
          </w:p>
        </w:tc>
      </w:tr>
      <w:tr>
        <w:tc>
          <w:tcPr>
            <w:tcW w:type="dxa" w:w="1584"/>
          </w:tcPr>
          <w:p>
            <w:r/>
            <w:r>
              <w:rPr>
                <w:b w:val="0"/>
                <w:i w:val="0"/>
                <w:sz w:val="17"/>
              </w:rPr>
              <w:t>Termination effects / survival</w:t>
            </w:r>
          </w:p>
        </w:tc>
        <w:tc>
          <w:tcPr>
            <w:tcW w:type="dxa" w:w="5184"/>
          </w:tcPr>
          <w:p>
            <w:r/>
            <w:r>
              <w:rPr>
                <w:b w:val="0"/>
                <w:i w:val="0"/>
                <w:sz w:val="17"/>
              </w:rPr>
              <w:t>On termination, decommission per Art. 13; Arts. 11, 13, 18, 19 survive (Sec. 17.3).</w:t>
            </w:r>
          </w:p>
        </w:tc>
        <w:tc>
          <w:tcPr>
            <w:tcW w:type="dxa" w:w="1872"/>
          </w:tcPr>
          <w:p>
            <w:r/>
            <w:r>
              <w:rPr>
                <w:b w:val="0"/>
                <w:i w:val="0"/>
                <w:sz w:val="17"/>
              </w:rPr>
              <w:t>-</w:t>
            </w:r>
          </w:p>
        </w:tc>
        <w:tc>
          <w:tcPr>
            <w:tcW w:type="dxa" w:w="1440"/>
            <w:shd w:val="clear" w:color="auto" w:fill="D9EAD3"/>
          </w:tcPr>
          <w:p>
            <w:r/>
            <w:r>
              <w:rPr>
                <w:b w:val="0"/>
                <w:i w:val="0"/>
                <w:sz w:val="17"/>
              </w:rPr>
              <w:t>Conforms</w:t>
            </w:r>
          </w:p>
        </w:tc>
      </w:tr>
      <w:tr>
        <w:tc>
          <w:tcPr>
            <w:tcW w:type="dxa" w:w="1584"/>
          </w:tcPr>
          <w:p>
            <w:r/>
            <w:r>
              <w:rPr>
                <w:b w:val="0"/>
                <w:i w:val="0"/>
                <w:sz w:val="17"/>
              </w:rPr>
              <w:t>Confidentiality</w:t>
            </w:r>
          </w:p>
        </w:tc>
        <w:tc>
          <w:tcPr>
            <w:tcW w:type="dxa" w:w="5184"/>
          </w:tcPr>
          <w:p>
            <w:r/>
            <w:r>
              <w:rPr>
                <w:b w:val="0"/>
                <w:i w:val="0"/>
                <w:sz w:val="17"/>
              </w:rPr>
              <w:t>Terms confidential; exceptions for law, professional advisors, Developer's lenders/investors and counsel, enforcement (Sec. 18.1).</w:t>
            </w:r>
          </w:p>
        </w:tc>
        <w:tc>
          <w:tcPr>
            <w:tcW w:type="dxa" w:w="1872"/>
          </w:tcPr>
          <w:p>
            <w:r/>
            <w:r>
              <w:rPr>
                <w:b w:val="0"/>
                <w:i w:val="0"/>
                <w:sz w:val="17"/>
              </w:rPr>
              <w:t>Also land agents (Trailhead) and appraisers (Bridger) (XII.C)</w:t>
            </w:r>
          </w:p>
        </w:tc>
        <w:tc>
          <w:tcPr>
            <w:tcW w:type="dxa" w:w="1440"/>
            <w:shd w:val="clear" w:color="auto" w:fill="FFF2B3"/>
          </w:tcPr>
          <w:p>
            <w:r/>
            <w:r>
              <w:rPr>
                <w:b w:val="0"/>
                <w:i w:val="0"/>
                <w:sz w:val="17"/>
              </w:rPr>
              <w:t>Partial</w:t>
            </w:r>
          </w:p>
        </w:tc>
      </w:tr>
      <w:tr>
        <w:tc>
          <w:tcPr>
            <w:tcW w:type="dxa" w:w="1584"/>
          </w:tcPr>
          <w:p>
            <w:r/>
            <w:r>
              <w:rPr>
                <w:b w:val="0"/>
                <w:i w:val="0"/>
                <w:sz w:val="17"/>
              </w:rPr>
              <w:t>Dispute resolution</w:t>
            </w:r>
          </w:p>
        </w:tc>
        <w:tc>
          <w:tcPr>
            <w:tcW w:type="dxa" w:w="5184"/>
          </w:tcPr>
          <w:p>
            <w:r/>
            <w:r>
              <w:rPr>
                <w:b w:val="0"/>
                <w:i w:val="0"/>
                <w:sz w:val="17"/>
              </w:rPr>
              <w:t>&gt; $100,000: AAA Commercial arbitration, Portland, single arbitrator, prevailing-party fees (Sec. 19.1); &lt;= $100,000: Gilliam County Circuit Court (Sec. 19.2).</w:t>
            </w:r>
          </w:p>
        </w:tc>
        <w:tc>
          <w:tcPr>
            <w:tcW w:type="dxa" w:w="1872"/>
          </w:tcPr>
          <w:p>
            <w:r/>
            <w:r>
              <w:rPr>
                <w:b w:val="0"/>
                <w:i w:val="0"/>
                <w:sz w:val="17"/>
              </w:rPr>
              <w:t>Same, but arbitrator with energy/real property experience (X.C)</w:t>
            </w:r>
          </w:p>
        </w:tc>
        <w:tc>
          <w:tcPr>
            <w:tcW w:type="dxa" w:w="1440"/>
            <w:shd w:val="clear" w:color="auto" w:fill="FFF2B3"/>
          </w:tcPr>
          <w:p>
            <w:r/>
            <w:r>
              <w:rPr>
                <w:b w:val="0"/>
                <w:i w:val="0"/>
                <w:sz w:val="17"/>
              </w:rPr>
              <w:t>Partial (minor)</w:t>
            </w:r>
          </w:p>
        </w:tc>
      </w:tr>
      <w:tr>
        <w:tc>
          <w:tcPr>
            <w:tcW w:type="dxa" w:w="1584"/>
          </w:tcPr>
          <w:p>
            <w:r/>
            <w:r>
              <w:rPr>
                <w:b w:val="0"/>
                <w:i w:val="0"/>
                <w:sz w:val="17"/>
              </w:rPr>
              <w:t>Force majeure</w:t>
            </w:r>
          </w:p>
        </w:tc>
        <w:tc>
          <w:tcPr>
            <w:tcW w:type="dxa" w:w="5184"/>
          </w:tcPr>
          <w:p>
            <w:r/>
            <w:r>
              <w:rPr>
                <w:b w:val="0"/>
                <w:i w:val="0"/>
                <w:sz w:val="17"/>
              </w:rPr>
              <w:t>Excuses non-monetary performance; broad definition incl. supply chain, grid/transmission failure (Secs. 1.9, 21.6). Does not extend Option Period.</w:t>
            </w:r>
          </w:p>
        </w:tc>
        <w:tc>
          <w:tcPr>
            <w:tcW w:type="dxa" w:w="1872"/>
          </w:tcPr>
          <w:p>
            <w:r/>
            <w:r>
              <w:rPr>
                <w:b w:val="0"/>
                <w:i w:val="0"/>
                <w:sz w:val="17"/>
              </w:rPr>
              <w:t>Same (XII.E)</w:t>
            </w:r>
          </w:p>
        </w:tc>
        <w:tc>
          <w:tcPr>
            <w:tcW w:type="dxa" w:w="1440"/>
            <w:shd w:val="clear" w:color="auto" w:fill="D9EAD3"/>
          </w:tcPr>
          <w:p>
            <w:r/>
            <w:r>
              <w:rPr>
                <w:b w:val="0"/>
                <w:i w:val="0"/>
                <w:sz w:val="17"/>
              </w:rPr>
              <w:t>Conforms</w:t>
            </w:r>
          </w:p>
        </w:tc>
      </w:tr>
      <w:tr>
        <w:tc>
          <w:tcPr>
            <w:tcW w:type="dxa" w:w="1584"/>
          </w:tcPr>
          <w:p>
            <w:r/>
            <w:r>
              <w:rPr>
                <w:b w:val="0"/>
                <w:i w:val="0"/>
                <w:sz w:val="17"/>
              </w:rPr>
              <w:t>MFN</w:t>
            </w:r>
          </w:p>
        </w:tc>
        <w:tc>
          <w:tcPr>
            <w:tcW w:type="dxa" w:w="5184"/>
          </w:tcPr>
          <w:p>
            <w:r/>
            <w:r>
              <w:rPr>
                <w:b w:val="0"/>
                <w:i w:val="0"/>
                <w:sz w:val="17"/>
              </w:rPr>
              <w:t>None.</w:t>
            </w:r>
          </w:p>
        </w:tc>
        <w:tc>
          <w:tcPr>
            <w:tcW w:type="dxa" w:w="1872"/>
          </w:tcPr>
          <w:p>
            <w:r/>
            <w:r>
              <w:rPr>
                <w:b w:val="0"/>
                <w:i w:val="0"/>
                <w:sz w:val="17"/>
              </w:rPr>
              <w:t>Preferred but optional; absence where 5+ landowner agreements requires escalation (XI, XIII.5)</w:t>
            </w:r>
          </w:p>
        </w:tc>
        <w:tc>
          <w:tcPr>
            <w:tcW w:type="dxa" w:w="1440"/>
            <w:shd w:val="clear" w:color="auto" w:fill="F9D6A8"/>
          </w:tcPr>
          <w:p>
            <w:r/>
            <w:r>
              <w:rPr>
                <w:b w:val="0"/>
                <w:i w:val="0"/>
                <w:sz w:val="17"/>
              </w:rPr>
              <w:t>Deviation</w:t>
            </w:r>
          </w:p>
        </w:tc>
      </w:tr>
    </w:tbl>
    <w:p>
      <w:pPr>
        <w:spacing w:after="40"/>
      </w:pPr>
    </w:p>
    <w:p>
      <w:pPr>
        <w:pStyle w:val="Heading1"/>
      </w:pPr>
      <w:r>
        <w:t>Part II - Issues Analysis</w:t>
      </w:r>
    </w:p>
    <w:p>
      <w:pPr>
        <w:spacing w:after="80"/>
      </w:pPr>
      <w:r>
        <w:rPr>
          <w:b w:val="0"/>
          <w:i w:val="0"/>
        </w:rPr>
        <w:t xml:space="preserve">Issues are grouped by severity. </w:t>
      </w:r>
      <w:r>
        <w:rPr>
          <w:b/>
          <w:i w:val="0"/>
        </w:rPr>
        <w:t>Critical</w:t>
      </w:r>
      <w:r>
        <w:rPr>
          <w:b w:val="0"/>
          <w:i w:val="0"/>
        </w:rPr>
        <w:t xml:space="preserve"> = blocks financing or threatens site control; </w:t>
      </w:r>
      <w:r>
        <w:rPr>
          <w:b/>
          <w:i w:val="0"/>
        </w:rPr>
        <w:t>High</w:t>
      </w:r>
      <w:r>
        <w:rPr>
          <w:b w:val="0"/>
          <w:i w:val="0"/>
        </w:rPr>
        <w:t xml:space="preserve"> = material Playbook must-have deviation or significant legal risk; </w:t>
      </w:r>
      <w:r>
        <w:rPr>
          <w:b/>
          <w:i w:val="0"/>
        </w:rPr>
        <w:t>Medium</w:t>
      </w:r>
      <w:r>
        <w:rPr>
          <w:b w:val="0"/>
          <w:i w:val="0"/>
        </w:rPr>
        <w:t xml:space="preserve"> = drafting gap to fix in the amendment; </w:t>
      </w:r>
      <w:r>
        <w:rPr>
          <w:b/>
          <w:i w:val="0"/>
        </w:rPr>
        <w:t>Low</w:t>
      </w:r>
      <w:r>
        <w:rPr>
          <w:b w:val="0"/>
          <w:i w:val="0"/>
        </w:rPr>
        <w:t xml:space="preserve"> = housekeeping.</w:t>
      </w:r>
    </w:p>
    <w:p>
      <w:pPr>
        <w:pStyle w:val="Heading2"/>
      </w:pPr>
      <w:r>
        <w:t>A. Critical Issues</w:t>
      </w:r>
    </w:p>
    <w:p>
      <w:pPr>
        <w:pStyle w:val="Heading2"/>
      </w:pPr>
      <w:r>
        <w:t>Issue 1: No Lender Protections; Collateral Assignment Not Clearly Permitted [Critical]</w:t>
      </w:r>
    </w:p>
    <w:p>
      <w:pPr>
        <w:spacing w:after="60"/>
      </w:pPr>
      <w:r>
        <w:rPr>
          <w:b/>
          <w:i w:val="0"/>
        </w:rPr>
        <w:t>Agreement.</w:t>
      </w:r>
      <w:r>
        <w:rPr>
          <w:b w:val="0"/>
          <w:i w:val="0"/>
        </w:rPr>
        <w:t xml:space="preserve"> Article 14 permits free assignment only to Affiliates (14.1) and Qualified Transferees (14.3); any other assignment of "all or any portion" of Developer's rights requires Landowner consent, not to be unreasonably withheld (14.2). There is no provision addressing collateral assignment, leasehold mortgages, lender notice and cure, step-in, new-lease rights following termination or rejection in bankruptcy, protection against amendment/surrender without lender consent, or estoppel certificates. Section 17.2 allows the Landowner to terminate on an uncured Developer default with no lender notice. Section 10.4's reference to lenders points only to Article 18, which is a confidentiality carve-out, not a lender-protection article.</w:t>
      </w:r>
    </w:p>
    <w:p>
      <w:pPr>
        <w:spacing w:after="60"/>
      </w:pPr>
      <w:r>
        <w:rPr>
          <w:b/>
          <w:i w:val="0"/>
        </w:rPr>
        <w:t>Why it matters.</w:t>
      </w:r>
      <w:r>
        <w:rPr>
          <w:b w:val="0"/>
          <w:i w:val="0"/>
        </w:rPr>
        <w:t xml:space="preserve"> Highline is a lender, not a wind owner/operator, and so very likely fails the 200 MW experience prong of Section 14.3(b); a collateral assignment or leasehold deed of trust is therefore arguably an "assignment" requiring consent under 14.2. Even with consent, a Landowner termination for an uncured Ridgeline default would extinguish Highline's collateral, including the only viable substation site. A foreclosure purchaser or lender designee also may not qualify as a Qualified Transferee. The Lender Checklist (Items 6 and 7) requires confirmation of collateral-assignment rights, simultaneous default notices to the lender and a separate lender cure period of at least 30 days beyond Ridgeline's cure period. The cure periods the Lender cited (60 / 90 / up to 180 days) are accurately stated in Section 16.1.</w:t>
      </w:r>
    </w:p>
    <w:p>
      <w:pPr>
        <w:spacing w:after="60"/>
      </w:pPr>
      <w:r>
        <w:rPr>
          <w:b/>
          <w:i w:val="0"/>
        </w:rPr>
        <w:t>Playbook.</w:t>
      </w:r>
      <w:r>
        <w:rPr>
          <w:b w:val="0"/>
          <w:i w:val="0"/>
        </w:rPr>
        <w:t xml:space="preserve"> The Playbook has no lender-protection must-have, but repeatedly identifies Highline financing as the purpose of key terms (IV.B personal property; VII.B; VIII). The omission is a gap rather than a negotiated deviation.</w:t>
      </w:r>
    </w:p>
    <w:p>
      <w:pPr>
        <w:spacing w:after="20"/>
      </w:pPr>
      <w:r>
        <w:rPr>
          <w:b/>
          <w:i w:val="0"/>
        </w:rPr>
        <w:t>Recommendation:</w:t>
      </w:r>
    </w:p>
    <w:p>
      <w:pPr>
        <w:pStyle w:val="ListBullet"/>
        <w:spacing w:after="40"/>
      </w:pPr>
      <w:r>
        <w:rPr>
          <w:b w:val="0"/>
          <w:i w:val="0"/>
        </w:rPr>
        <w:t>Add a Lender Protection article in the First Amendment: (i) express right to mortgage/collaterally assign the leasehold and easements without consent; (ii) Landowner copies of default notices to each lender; (iii) lender cure period of at least 30 days beyond Ridgeline's for monetary defaults and 60+ days plus time to obtain possession/foreclose for non-monetary defaults, with non-curable personal defaults waived for the lender; (iv) right of lender (or designee/foreclosure purchaser) to assume without consent and to assign onward to a Qualified Transferee; (v) new-lease right on termination or bankruptcy rejection; (vi) no amendment, surrender or voluntary termination without lender consent; (vii) estoppel certificates within 10-15 business days on request; (viii) lender not personally liable until it takes possession; (ix) right to partition the lease into separate leases/easements for financing.</w:t>
      </w:r>
    </w:p>
    <w:p>
      <w:pPr>
        <w:pStyle w:val="ListBullet"/>
        <w:spacing w:after="40"/>
      </w:pPr>
      <w:r>
        <w:rPr>
          <w:b w:val="0"/>
          <w:i w:val="0"/>
        </w:rPr>
        <w:t>Pending the amendment, request a Landowner consent and estoppel for the Highline collateral assignment under Section 14.2 (consent may not be unreasonably withheld, conditioned or delayed).</w:t>
      </w:r>
    </w:p>
    <w:p>
      <w:pPr>
        <w:pStyle w:val="ListBullet"/>
        <w:spacing w:after="40"/>
      </w:pPr>
      <w:r>
        <w:rPr>
          <w:b w:val="0"/>
          <w:i w:val="0"/>
        </w:rPr>
        <w:t>Respond to Lender Items 6-7 accurately describing the current position and the proposed amendment.</w:t>
      </w:r>
    </w:p>
    <w:p>
      <w:pPr>
        <w:pStyle w:val="Heading2"/>
      </w:pPr>
      <w:r>
        <w:t>Issue 2: Decommissioning Security Deferred to 15th Anniversary of COD [Critical]</w:t>
      </w:r>
    </w:p>
    <w:p>
      <w:pPr>
        <w:spacing w:after="60"/>
      </w:pPr>
      <w:r>
        <w:rPr>
          <w:b/>
          <w:i w:val="0"/>
        </w:rPr>
        <w:t>Agreement.</w:t>
      </w:r>
      <w:r>
        <w:rPr>
          <w:b w:val="0"/>
          <w:i w:val="0"/>
        </w:rPr>
        <w:t xml:space="preserve"> Section 13.3 requires a surety bond or standby LC of $45,000 per WTG (minimum $1,575,000 for 35 WTGs) only "no later than the fifteenth (15th) anniversary of the Commercial Operation Date." Section 13.4 allows the Landowner to draw only "to the extent such security has been posted." There is no interim security, reserve, or parent guaranty from Cascade Renewables Inc. The amount is not tied to an independent cost estimate and has no inflation adjuster; acceptable issuers are Pineridge Surety Co. or a provider "reasonably acceptable to Landowner" (no rating floor).</w:t>
      </w:r>
    </w:p>
    <w:p>
      <w:pPr>
        <w:spacing w:after="60"/>
      </w:pPr>
      <w:r>
        <w:rPr>
          <w:b/>
          <w:i w:val="0"/>
        </w:rPr>
        <w:t>Benchmarks.</w:t>
      </w:r>
      <w:r>
        <w:rPr>
          <w:b w:val="0"/>
          <w:i w:val="0"/>
        </w:rPr>
        <w:t xml:space="preserve"> Playbook VII.B: posting no later than COD is a MUST-HAVE; COD+5 is an acceptable compromise; anything later than COD+10 is "not recommended," requires prior written approval of Jordan Hale and the General Counsel, and must be logged in the Deviation Tracker (XIII.1). Comps: L001-L004 post at COD+10; L005-L006 at COD; Millard is the latest trigger in the portfolio. Highline term sheet: no later than COD+5 (Lender Checklist Item 3(c)). The amount ($45,000/WTG) is within the Playbook range ($40,000-$50,000) and in line with L005-L006.</w:t>
      </w:r>
    </w:p>
    <w:p>
      <w:pPr>
        <w:spacing w:after="60"/>
      </w:pPr>
      <w:r>
        <w:rPr>
          <w:b/>
          <w:i w:val="0"/>
        </w:rPr>
        <w:t>Risk.</w:t>
      </w:r>
      <w:r>
        <w:rPr>
          <w:b w:val="0"/>
          <w:i w:val="0"/>
        </w:rPr>
        <w:t xml:space="preserve"> For 15 years neither the Trust nor Highline has financial assurance of removal. If Ridgeline becomes insolvent or the Project is Abandoned before year 15, the Trust's only remedy is an unsecured claim against Ridgeline (13.4), and Facilities left in place (including the substation) impair the Property and the Lender's collateral position. The Playbook notes Oregon county planning authorities share this concern, so the deferral could surface in the Gilliam County conditional use permit process (Project Memo: application Q2-Q3 2025). Your January 10 email notes this was flagged in negotiation and may require a side letter or amendment.</w:t>
      </w:r>
    </w:p>
    <w:p>
      <w:pPr>
        <w:spacing w:after="20"/>
      </w:pPr>
      <w:r>
        <w:rPr>
          <w:b/>
          <w:i w:val="0"/>
        </w:rPr>
        <w:t>Recommendation:</w:t>
      </w:r>
    </w:p>
    <w:p>
      <w:pPr>
        <w:pStyle w:val="ListBullet"/>
        <w:spacing w:after="40"/>
      </w:pPr>
      <w:r>
        <w:rPr>
          <w:b w:val="0"/>
          <w:i w:val="0"/>
        </w:rPr>
        <w:t>Amend Section 13.3 to require posting at COD (Playbook must-have), or at minimum no later than COD+5 with an automatic inflation adjustment and re-validation by an independent decommissioning cost estimate (Bridger or another qualified firm) every 5 years.</w:t>
      </w:r>
    </w:p>
    <w:p>
      <w:pPr>
        <w:pStyle w:val="ListBullet"/>
        <w:spacing w:after="40"/>
      </w:pPr>
      <w:r>
        <w:rPr>
          <w:b w:val="0"/>
          <w:i w:val="0"/>
        </w:rPr>
        <w:t>Add issuer standards consistent with Playbook VII.B (A.M. Best "A" or better surety; LC from a BBB-/Baa3 or better bank) and a draw right on failure to renew or replace.</w:t>
      </w:r>
    </w:p>
    <w:p>
      <w:pPr>
        <w:pStyle w:val="ListBullet"/>
        <w:spacing w:after="40"/>
      </w:pPr>
      <w:r>
        <w:rPr>
          <w:b w:val="0"/>
          <w:i w:val="0"/>
        </w:rPr>
        <w:t>Offer a Cascade Renewables Inc. parent guaranty or a funded reserve as interim security if an amendment cannot be signed before financial close.</w:t>
      </w:r>
    </w:p>
    <w:p>
      <w:pPr>
        <w:pStyle w:val="ListBullet"/>
        <w:spacing w:after="40"/>
      </w:pPr>
      <w:r>
        <w:rPr>
          <w:b w:val="0"/>
          <w:i w:val="0"/>
        </w:rPr>
        <w:t>Obtain the written Hale/GC approval and Deviation Tracker entry for the existing term now, even while the amendment is pursued (Playbook XIII).</w:t>
      </w:r>
    </w:p>
    <w:p>
      <w:pPr>
        <w:pStyle w:val="ListBullet"/>
        <w:spacing w:after="40"/>
      </w:pPr>
      <w:r>
        <w:rPr>
          <w:b w:val="0"/>
          <w:i w:val="0"/>
        </w:rPr>
        <w:t>Because earlier posting benefits the Trust, use it as consideration for the lender-protection amendment.</w:t>
      </w:r>
    </w:p>
    <w:p>
      <w:pPr>
        <w:pStyle w:val="Heading2"/>
      </w:pPr>
      <w:r>
        <w:t>Issue 3: Section 4.1: Articles 5-19 Effective Only on Exercise [Critical]</w:t>
      </w:r>
    </w:p>
    <w:p>
      <w:pPr>
        <w:spacing w:after="60"/>
      </w:pPr>
      <w:r>
        <w:rPr>
          <w:b/>
          <w:i w:val="0"/>
        </w:rPr>
        <w:t>Agreement.</w:t>
      </w:r>
      <w:r>
        <w:rPr>
          <w:b w:val="0"/>
          <w:i w:val="0"/>
        </w:rPr>
        <w:t xml:space="preserve"> Section 4.1 provides that "[u]pon exercise of the Option, the lease provisions of this Agreement set forth in Articles 5 through 19 shall become effective as of the date of the Exercise Notice." Articles 5-19 include the representations (Art. 9), insurance (10), indemnity (11), taxes/personal property (12), decommissioning (13), assignment, Landowner transfer restriction and Memorandum (14), ROFR (15), defaults and remedies including specific performance (16), termination including Developer's Option-Period termination right (17.1), confidentiality (18) and arbitration (19).</w:t>
      </w:r>
    </w:p>
    <w:p>
      <w:pPr>
        <w:spacing w:after="60"/>
      </w:pPr>
      <w:r>
        <w:rPr>
          <w:b/>
          <w:i w:val="0"/>
        </w:rPr>
        <w:t>Conflict.</w:t>
      </w:r>
      <w:r>
        <w:rPr>
          <w:b w:val="0"/>
          <w:i w:val="0"/>
        </w:rPr>
        <w:t xml:space="preserve"> Several of those provisions expressly operate "during the Option Period" (14.4, 15.1, 17.1) or from the Effective Date (9.1/9.2 reps "as of the Effective Date," 10.4 certificates within 30 days of the Effective Date, 14.5 recording "[p]romptly following the Effective Date"). A court would likely harmonize the specific provisions over the general statement in Section 4.1, but a Landowner (or a competing developer or purchaser) could argue that during the Option Period Ridgeline has no enforceable transfer restriction, ROFR, specific performance remedy, arbitration clause or confidentiality protection. That is exactly the period in which the Project Memo identifies the greatest site-control risk. It also means no insurance or indemnity is clearly required for the Section 3.4 pre-development activities and met towers.</w:t>
      </w:r>
    </w:p>
    <w:p>
      <w:pPr>
        <w:spacing w:after="20"/>
      </w:pPr>
      <w:r>
        <w:rPr>
          <w:b/>
          <w:i w:val="0"/>
        </w:rPr>
        <w:t>Recommendation:</w:t>
      </w:r>
    </w:p>
    <w:p>
      <w:pPr>
        <w:pStyle w:val="ListBullet"/>
        <w:spacing w:after="40"/>
      </w:pPr>
      <w:r>
        <w:rPr>
          <w:b w:val="0"/>
          <w:i w:val="0"/>
        </w:rPr>
        <w:t>Amend Section 4.1 so that only the leasehold grant and lease-phase provisions (Arts. 5-8 and 13) commence on exercise, and Articles 9-12 and 14-21 apply from the Effective Date.</w:t>
      </w:r>
    </w:p>
    <w:p>
      <w:pPr>
        <w:pStyle w:val="ListBullet"/>
        <w:spacing w:after="40"/>
      </w:pPr>
      <w:r>
        <w:rPr>
          <w:b w:val="0"/>
          <w:i w:val="0"/>
        </w:rPr>
        <w:t>Add an Option-Period insurance and indemnity requirement covering Section 3.4 activities (e.g., CGL with Landowner as additional insured).</w:t>
      </w:r>
    </w:p>
    <w:p>
      <w:pPr>
        <w:pStyle w:val="Heading2"/>
      </w:pPr>
      <w:r>
        <w:t>Issue 4: Incomplete Exhibits, Execution Formalities and Unconfirmed Recording [Critical]</w:t>
      </w:r>
    </w:p>
    <w:p>
      <w:pPr>
        <w:spacing w:after="60"/>
      </w:pPr>
      <w:r>
        <w:rPr>
          <w:b/>
          <w:i w:val="0"/>
        </w:rPr>
        <w:t>Agreement.</w:t>
      </w:r>
      <w:r>
        <w:rPr>
          <w:b w:val="0"/>
          <w:i w:val="0"/>
        </w:rPr>
        <w:t xml:space="preserve"> Exhibit A contains only tax-lot references, with metes-and-bounds descriptions "to be provided" by Columbia Basin Title &amp; Escrow. Exhibit B is a bracketed placeholder, not a form. Section 14.5 requires prompt recording of a memorandum "substantially in the form of Exhibit B" - there is no form to conform to. The copy in our file has blank signature lines and incomplete notarial acknowledgments; the Lender says it received an "executed copy" (confirm it is the same version).</w:t>
      </w:r>
    </w:p>
    <w:p>
      <w:pPr>
        <w:spacing w:after="60"/>
      </w:pPr>
      <w:r>
        <w:rPr>
          <w:b/>
          <w:i w:val="0"/>
        </w:rPr>
        <w:t>Why it matters.</w:t>
      </w:r>
      <w:r>
        <w:rPr>
          <w:b w:val="0"/>
          <w:i w:val="0"/>
        </w:rPr>
        <w:t xml:space="preserve"> Under the Oregon recording statutes (ORS Chapter 93), an unrecorded interest is vulnerable to a subsequent bona fide purchaser or encumbrancer for value. The Playbook (VI.B, XII.B) requires the memorandum to be executed simultaneously with the Agreement, to include a legally sufficient description and all material rights (option, lease, renewal, easements, ROFR), and to omit financial terms. Recording is a Lender priority item (Item 1, due January 24, 2025) tied to conditions precedent, and a leasehold title policy will be required on exercise (Item 2). The memorandum must be acknowledged for recording, so the notarial blocks must be completed.</w:t>
      </w:r>
    </w:p>
    <w:p>
      <w:pPr>
        <w:spacing w:after="20"/>
      </w:pPr>
      <w:r>
        <w:rPr>
          <w:b/>
          <w:i w:val="0"/>
        </w:rPr>
        <w:t>Recommendation:</w:t>
      </w:r>
    </w:p>
    <w:p>
      <w:pPr>
        <w:pStyle w:val="ListBullet"/>
        <w:spacing w:after="40"/>
      </w:pPr>
      <w:r>
        <w:rPr>
          <w:b w:val="0"/>
          <w:i w:val="0"/>
        </w:rPr>
        <w:t>Confirm immediately with Jordan Hale and Columbia Basin Title &amp; Escrow whether a memorandum has been recorded; if so obtain recording data (instrument number or book/page, and date).</w:t>
      </w:r>
    </w:p>
    <w:p>
      <w:pPr>
        <w:pStyle w:val="ListBullet"/>
        <w:spacing w:after="40"/>
      </w:pPr>
      <w:r>
        <w:rPr>
          <w:b w:val="0"/>
          <w:i w:val="0"/>
        </w:rPr>
        <w:t>If not, prepare a Memorandum of Option, Lease and Easement now: parties; Property by full legal description for all three tax lots; Option Period (to Dec. 18, 2027, extendable to Dec. 18, 2029); 30-yr Lease Term from COD plus 20-yr renewal; transmission easement; exclusivity; ROFR; Landowner transfer restriction; no financial terms. Have Eleanor Millard (Trustee) and Jordan Hale sign and acknowledge; record in Gilliam County.</w:t>
      </w:r>
    </w:p>
    <w:p>
      <w:pPr>
        <w:pStyle w:val="ListBullet"/>
        <w:spacing w:after="40"/>
      </w:pPr>
      <w:r>
        <w:rPr>
          <w:b w:val="0"/>
          <w:i w:val="0"/>
        </w:rPr>
        <w:t>Order the legal descriptions and attach a completed Exhibit A by amendment; attach the recorded memorandum as Exhibit B.</w:t>
      </w:r>
    </w:p>
    <w:p>
      <w:pPr>
        <w:pStyle w:val="ListBullet"/>
        <w:spacing w:after="40"/>
      </w:pPr>
      <w:r>
        <w:rPr>
          <w:b w:val="0"/>
          <w:i w:val="0"/>
        </w:rPr>
        <w:t>Obtain a fully executed and acknowledged counterpart for the file and the Lender.</w:t>
      </w:r>
    </w:p>
    <w:p>
      <w:pPr>
        <w:pStyle w:val="Heading2"/>
      </w:pPr>
      <w:r>
        <w:t>Issue 5: MFN Cascade Created by Millard Terms; No MFN in Millard Agreement [Critical]</w:t>
      </w:r>
    </w:p>
    <w:p>
      <w:pPr>
        <w:spacing w:after="60"/>
      </w:pPr>
      <w:r>
        <w:rPr>
          <w:b/>
          <w:i w:val="0"/>
        </w:rPr>
        <w:t>Facts.</w:t>
      </w:r>
      <w:r>
        <w:rPr>
          <w:b w:val="0"/>
          <w:i w:val="0"/>
        </w:rPr>
        <w:t xml:space="preserve"> Per the Comps, Millard has the highest option rates ($18/$20/$22/$24), base rent ($1,200, tied with L002), capacity payment ($4,800) and royalty (3.5%) in the project. MFN clauses are in L001, L003, L005 and L006 and in 9 of the 14 prior project agreements; per the Comps they are "typically triggered by any new agreement executed after the relevant agreement's date." Millard (executed Dec. 18, 2024) post-dates them all.</w:t>
      </w:r>
    </w:p>
    <w:p>
      <w:pPr>
        <w:spacing w:after="60"/>
      </w:pPr>
      <w:r>
        <w:rPr>
          <w:b/>
          <w:i w:val="0"/>
        </w:rPr>
        <w:t>Estimated exposure (four comparables only; Playbook-scope MFN assumed):</w:t>
      </w:r>
      <w:r>
        <w:rPr>
          <w:b w:val="0"/>
          <w:i w:val="0"/>
        </w:rPr>
        <w:t xml:space="preserve"> </w:t>
      </w:r>
    </w:p>
    <w:tbl>
      <w:tblPr>
        <w:tblStyle w:val="TableGrid"/>
        <w:tblW w:type="auto" w:w="0"/>
        <w:tblLook w:firstColumn="1" w:firstRow="1" w:lastColumn="0" w:lastRow="0" w:noHBand="0" w:noVBand="1" w:val="04A0"/>
      </w:tblPr>
      <w:tblGrid>
        <w:gridCol w:w="1930"/>
        <w:gridCol w:w="1930"/>
        <w:gridCol w:w="1930"/>
        <w:gridCol w:w="1930"/>
        <w:gridCol w:w="1930"/>
      </w:tblGrid>
      <w:tr>
        <w:trPr>
          <w:tblHeader w:val="true"/>
        </w:trPr>
        <w:tc>
          <w:tcPr>
            <w:tcW w:type="dxa" w:w="2736"/>
            <w:shd w:val="clear" w:color="auto" w:fill="1F3A5F"/>
          </w:tcPr>
          <w:p>
            <w:r/>
            <w:r>
              <w:rPr>
                <w:b/>
                <w:color w:val="FFFFFF"/>
                <w:sz w:val="17"/>
              </w:rPr>
              <w:t>Agreement</w:t>
            </w:r>
          </w:p>
        </w:tc>
        <w:tc>
          <w:tcPr>
            <w:tcW w:type="dxa" w:w="1872"/>
            <w:shd w:val="clear" w:color="auto" w:fill="1F3A5F"/>
          </w:tcPr>
          <w:p>
            <w:r/>
            <w:r>
              <w:rPr>
                <w:b/>
                <w:color w:val="FFFFFF"/>
                <w:sz w:val="17"/>
              </w:rPr>
              <w:t>Base rent (min. turbines)</w:t>
            </w:r>
          </w:p>
        </w:tc>
        <w:tc>
          <w:tcPr>
            <w:tcW w:type="dxa" w:w="2016"/>
            <w:shd w:val="clear" w:color="auto" w:fill="1F3A5F"/>
          </w:tcPr>
          <w:p>
            <w:r/>
            <w:r>
              <w:rPr>
                <w:b/>
                <w:color w:val="FFFFFF"/>
                <w:sz w:val="17"/>
              </w:rPr>
              <w:t>Capacity payment (est. MW)</w:t>
            </w:r>
          </w:p>
        </w:tc>
        <w:tc>
          <w:tcPr>
            <w:tcW w:type="dxa" w:w="1440"/>
            <w:shd w:val="clear" w:color="auto" w:fill="1F3A5F"/>
          </w:tcPr>
          <w:p>
            <w:r/>
            <w:r>
              <w:rPr>
                <w:b/>
                <w:color w:val="FFFFFF"/>
                <w:sz w:val="17"/>
              </w:rPr>
              <w:t>Royalty</w:t>
            </w:r>
          </w:p>
        </w:tc>
        <w:tc>
          <w:tcPr>
            <w:tcW w:type="dxa" w:w="2016"/>
            <w:shd w:val="clear" w:color="auto" w:fill="1F3A5F"/>
          </w:tcPr>
          <w:p>
            <w:r/>
            <w:r>
              <w:rPr>
                <w:b/>
                <w:color w:val="FFFFFF"/>
                <w:sz w:val="17"/>
              </w:rPr>
              <w:t>Option rate uplift</w:t>
            </w:r>
          </w:p>
        </w:tc>
      </w:tr>
      <w:tr>
        <w:tc>
          <w:tcPr>
            <w:tcW w:type="dxa" w:w="2736"/>
          </w:tcPr>
          <w:p>
            <w:r/>
            <w:r>
              <w:rPr>
                <w:b w:val="0"/>
                <w:i w:val="0"/>
                <w:sz w:val="17"/>
              </w:rPr>
              <w:t>APW-L001 Hargrove (lease active; ~45 MW)</w:t>
            </w:r>
          </w:p>
        </w:tc>
        <w:tc>
          <w:tcPr>
            <w:tcW w:type="dxa" w:w="1872"/>
          </w:tcPr>
          <w:p>
            <w:r/>
            <w:r>
              <w:rPr>
                <w:b w:val="0"/>
                <w:i w:val="0"/>
                <w:sz w:val="17"/>
              </w:rPr>
              <w:t>+$2,000 (20 x $100)</w:t>
            </w:r>
          </w:p>
        </w:tc>
        <w:tc>
          <w:tcPr>
            <w:tcW w:type="dxa" w:w="2016"/>
          </w:tcPr>
          <w:p>
            <w:r/>
            <w:r>
              <w:rPr>
                <w:b w:val="0"/>
                <w:i w:val="0"/>
                <w:sz w:val="17"/>
              </w:rPr>
              <w:t>+$13,500 (45 x $300)</w:t>
            </w:r>
          </w:p>
        </w:tc>
        <w:tc>
          <w:tcPr>
            <w:tcW w:type="dxa" w:w="1440"/>
          </w:tcPr>
          <w:p>
            <w:r/>
            <w:r>
              <w:rPr>
                <w:b w:val="0"/>
                <w:i w:val="0"/>
                <w:sz w:val="17"/>
              </w:rPr>
              <w:t>3.0% -&gt; 3.5%</w:t>
            </w:r>
          </w:p>
        </w:tc>
        <w:tc>
          <w:tcPr>
            <w:tcW w:type="dxa" w:w="2016"/>
          </w:tcPr>
          <w:p>
            <w:r/>
            <w:r>
              <w:rPr>
                <w:b w:val="0"/>
                <w:i w:val="0"/>
                <w:sz w:val="17"/>
              </w:rPr>
              <w:t>N/A (exercised)</w:t>
            </w:r>
          </w:p>
        </w:tc>
      </w:tr>
      <w:tr>
        <w:tc>
          <w:tcPr>
            <w:tcW w:type="dxa" w:w="2736"/>
          </w:tcPr>
          <w:p>
            <w:r/>
            <w:r>
              <w:rPr>
                <w:b w:val="0"/>
                <w:i w:val="0"/>
                <w:sz w:val="17"/>
              </w:rPr>
              <w:t>APW-L003 Stenger Trust (~35 MW)</w:t>
            </w:r>
          </w:p>
        </w:tc>
        <w:tc>
          <w:tcPr>
            <w:tcW w:type="dxa" w:w="1872"/>
          </w:tcPr>
          <w:p>
            <w:r/>
            <w:r>
              <w:rPr>
                <w:b w:val="0"/>
                <w:i w:val="0"/>
                <w:sz w:val="17"/>
              </w:rPr>
              <w:t>+$750 (15 x $50)</w:t>
            </w:r>
          </w:p>
        </w:tc>
        <w:tc>
          <w:tcPr>
            <w:tcW w:type="dxa" w:w="2016"/>
          </w:tcPr>
          <w:p>
            <w:r/>
            <w:r>
              <w:rPr>
                <w:b w:val="0"/>
                <w:i w:val="0"/>
                <w:sz w:val="17"/>
              </w:rPr>
              <w:t>+$7,000 (35 x $200)</w:t>
            </w:r>
          </w:p>
        </w:tc>
        <w:tc>
          <w:tcPr>
            <w:tcW w:type="dxa" w:w="1440"/>
          </w:tcPr>
          <w:p>
            <w:r/>
            <w:r>
              <w:rPr>
                <w:b w:val="0"/>
                <w:i w:val="0"/>
                <w:sz w:val="17"/>
              </w:rPr>
              <w:t>3.25% -&gt; 3.5%</w:t>
            </w:r>
          </w:p>
        </w:tc>
        <w:tc>
          <w:tcPr>
            <w:tcW w:type="dxa" w:w="2016"/>
          </w:tcPr>
          <w:p>
            <w:r/>
            <w:r>
              <w:rPr>
                <w:b w:val="0"/>
                <w:i w:val="0"/>
                <w:sz w:val="17"/>
              </w:rPr>
              <w:t>+$2,670/yr (1,780 ac x $1.50)</w:t>
            </w:r>
          </w:p>
        </w:tc>
      </w:tr>
      <w:tr>
        <w:tc>
          <w:tcPr>
            <w:tcW w:type="dxa" w:w="2736"/>
          </w:tcPr>
          <w:p>
            <w:r/>
            <w:r>
              <w:rPr>
                <w:b w:val="0"/>
                <w:i w:val="0"/>
                <w:sz w:val="17"/>
              </w:rPr>
              <w:t>APW-L005 Pryor Creek (~65 MW)</w:t>
            </w:r>
          </w:p>
        </w:tc>
        <w:tc>
          <w:tcPr>
            <w:tcW w:type="dxa" w:w="1872"/>
          </w:tcPr>
          <w:p>
            <w:r/>
            <w:r>
              <w:rPr>
                <w:b w:val="0"/>
                <w:i w:val="0"/>
                <w:sz w:val="17"/>
              </w:rPr>
              <w:t>+$1,400 (28 x $50)</w:t>
            </w:r>
          </w:p>
        </w:tc>
        <w:tc>
          <w:tcPr>
            <w:tcW w:type="dxa" w:w="2016"/>
          </w:tcPr>
          <w:p>
            <w:r/>
            <w:r>
              <w:rPr>
                <w:b w:val="0"/>
                <w:i w:val="0"/>
                <w:sz w:val="17"/>
              </w:rPr>
              <w:t>+$9,750 (65 x $150)</w:t>
            </w:r>
          </w:p>
        </w:tc>
        <w:tc>
          <w:tcPr>
            <w:tcW w:type="dxa" w:w="1440"/>
          </w:tcPr>
          <w:p>
            <w:r/>
            <w:r>
              <w:rPr>
                <w:b w:val="0"/>
                <w:i w:val="0"/>
                <w:sz w:val="17"/>
              </w:rPr>
              <w:t>3.25% -&gt; 3.5%</w:t>
            </w:r>
          </w:p>
        </w:tc>
        <w:tc>
          <w:tcPr>
            <w:tcW w:type="dxa" w:w="2016"/>
          </w:tcPr>
          <w:p>
            <w:r/>
            <w:r>
              <w:rPr>
                <w:b w:val="0"/>
                <w:i w:val="0"/>
                <w:sz w:val="17"/>
              </w:rPr>
              <w:t>+$3,200/yr (3,200 ac x $1.00)</w:t>
            </w:r>
          </w:p>
        </w:tc>
      </w:tr>
      <w:tr>
        <w:tc>
          <w:tcPr>
            <w:tcW w:type="dxa" w:w="2736"/>
          </w:tcPr>
          <w:p>
            <w:r/>
            <w:r>
              <w:rPr>
                <w:b w:val="0"/>
                <w:i w:val="0"/>
                <w:sz w:val="17"/>
              </w:rPr>
              <w:t>APW-L006 Ridgeview (~55 MW)</w:t>
            </w:r>
          </w:p>
        </w:tc>
        <w:tc>
          <w:tcPr>
            <w:tcW w:type="dxa" w:w="1872"/>
          </w:tcPr>
          <w:p>
            <w:r/>
            <w:r>
              <w:rPr>
                <w:b w:val="0"/>
                <w:i w:val="0"/>
                <w:sz w:val="17"/>
              </w:rPr>
              <w:t>+$600 (24 x $25)</w:t>
            </w:r>
          </w:p>
        </w:tc>
        <w:tc>
          <w:tcPr>
            <w:tcW w:type="dxa" w:w="2016"/>
          </w:tcPr>
          <w:p>
            <w:r/>
            <w:r>
              <w:rPr>
                <w:b w:val="0"/>
                <w:i w:val="0"/>
                <w:sz w:val="17"/>
              </w:rPr>
              <w:t>+$5,500 (55 x $100)</w:t>
            </w:r>
          </w:p>
        </w:tc>
        <w:tc>
          <w:tcPr>
            <w:tcW w:type="dxa" w:w="1440"/>
          </w:tcPr>
          <w:p>
            <w:r/>
            <w:r>
              <w:rPr>
                <w:b w:val="0"/>
                <w:i w:val="0"/>
                <w:sz w:val="17"/>
              </w:rPr>
              <w:t>3.25% -&gt; 3.5%</w:t>
            </w:r>
          </w:p>
        </w:tc>
        <w:tc>
          <w:tcPr>
            <w:tcW w:type="dxa" w:w="2016"/>
          </w:tcPr>
          <w:p>
            <w:r/>
            <w:r>
              <w:rPr>
                <w:b w:val="0"/>
                <w:i w:val="0"/>
                <w:sz w:val="17"/>
              </w:rPr>
              <w:t>+$1,235/yr (2,470 ac x $0.50)</w:t>
            </w:r>
          </w:p>
        </w:tc>
      </w:tr>
      <w:tr>
        <w:tc>
          <w:tcPr>
            <w:tcW w:type="dxa" w:w="2736"/>
          </w:tcPr>
          <w:p>
            <w:r/>
            <w:r>
              <w:rPr>
                <w:b w:val="0"/>
                <w:i w:val="0"/>
                <w:sz w:val="17"/>
              </w:rPr>
              <w:t>Total (4 agreements)</w:t>
            </w:r>
          </w:p>
        </w:tc>
        <w:tc>
          <w:tcPr>
            <w:tcW w:type="dxa" w:w="1872"/>
          </w:tcPr>
          <w:p>
            <w:r/>
            <w:r>
              <w:rPr>
                <w:b w:val="0"/>
                <w:i w:val="0"/>
                <w:sz w:val="17"/>
              </w:rPr>
              <w:t>+$4,750/yr</w:t>
            </w:r>
          </w:p>
        </w:tc>
        <w:tc>
          <w:tcPr>
            <w:tcW w:type="dxa" w:w="2016"/>
          </w:tcPr>
          <w:p>
            <w:r/>
            <w:r>
              <w:rPr>
                <w:b w:val="0"/>
                <w:i w:val="0"/>
                <w:sz w:val="17"/>
              </w:rPr>
              <w:t>+$35,750/yr</w:t>
            </w:r>
          </w:p>
        </w:tc>
        <w:tc>
          <w:tcPr>
            <w:tcW w:type="dxa" w:w="1440"/>
          </w:tcPr>
          <w:p>
            <w:r/>
            <w:r>
              <w:rPr>
                <w:b w:val="0"/>
                <w:i w:val="0"/>
                <w:sz w:val="17"/>
              </w:rPr>
              <w:t>+0.25 to 0.50 pts</w:t>
            </w:r>
          </w:p>
        </w:tc>
        <w:tc>
          <w:tcPr>
            <w:tcW w:type="dxa" w:w="2016"/>
          </w:tcPr>
          <w:p>
            <w:r/>
            <w:r>
              <w:rPr>
                <w:b w:val="0"/>
                <w:i w:val="0"/>
                <w:sz w:val="17"/>
              </w:rPr>
              <w:t>~+$7,105/yr</w:t>
            </w:r>
          </w:p>
        </w:tc>
      </w:tr>
    </w:tbl>
    <w:p>
      <w:pPr>
        <w:spacing w:after="40"/>
      </w:pPr>
    </w:p>
    <w:p>
      <w:pPr>
        <w:spacing w:after="80"/>
      </w:pPr>
      <w:r>
        <w:rPr>
          <w:b w:val="0"/>
          <w:i w:val="0"/>
          <w:sz w:val="19"/>
        </w:rPr>
        <w:t xml:space="preserve">Fixed-rent uplift totals approximately </w:t>
      </w:r>
      <w:r>
        <w:rPr>
          <w:b/>
          <w:i w:val="0"/>
          <w:sz w:val="19"/>
        </w:rPr>
        <w:t>$40,500 per year</w:t>
      </w:r>
      <w:r>
        <w:rPr>
          <w:b w:val="0"/>
          <w:i w:val="0"/>
          <w:sz w:val="19"/>
        </w:rPr>
        <w:t xml:space="preserve"> before the 2% escalator - roughly $1.2 million undiscounted over a 30-year term before escalation - plus royalty uplift in years the royalty prong governs, and the five MFN agreements outside the Comps. Estimates use Comps MW estimates and minimum turbine counts and must be verified against each MFN clause.</w:t>
      </w:r>
    </w:p>
    <w:p>
      <w:pPr>
        <w:spacing w:after="60"/>
      </w:pPr>
      <w:r>
        <w:rPr>
          <w:b/>
          <w:i w:val="0"/>
        </w:rPr>
        <w:t>Confidentiality conflict.</w:t>
      </w:r>
      <w:r>
        <w:rPr>
          <w:b w:val="0"/>
          <w:i w:val="0"/>
        </w:rPr>
        <w:t xml:space="preserve"> Section 18.1 does not permit disclosure of Millard terms to other landowners except "as required by applicable law." Notifying MFN holders of the Millard terms could breach Section 18.1 unless the MFN true-up can be implemented without disclosing Millard's terms, or the Trust consents.</w:t>
      </w:r>
    </w:p>
    <w:p>
      <w:pPr>
        <w:spacing w:after="60"/>
      </w:pPr>
      <w:r>
        <w:rPr>
          <w:b/>
          <w:i w:val="0"/>
        </w:rPr>
        <w:t>No MFN for Millard.</w:t>
      </w:r>
      <w:r>
        <w:rPr>
          <w:b w:val="0"/>
          <w:i w:val="0"/>
        </w:rPr>
        <w:t xml:space="preserve"> Playbook XIII.5 requires escalation and documentation where an MFN is absent and the project has five or more landowner agreements. The Comps note the omission "despite trust structure similar to APW-L003 (Stenger) which has MFN." Practical risk is low today (Millard has the best terms), but rises if later agreements (the Lender references 15) or MFN true-ups produce better terms elsewhere, and is relevant to the Issue 9 fairness analysis.</w:t>
      </w:r>
    </w:p>
    <w:p>
      <w:r>
        <w:rPr>
          <w:b/>
          <w:i w:val="0"/>
        </w:rPr>
        <w:t>Recommendation:</w:t>
      </w:r>
    </w:p>
    <w:p>
      <w:pPr>
        <w:pStyle w:val="ListBullet"/>
        <w:spacing w:after="40"/>
      </w:pPr>
      <w:r>
        <w:rPr>
          <w:b w:val="0"/>
          <w:i w:val="0"/>
        </w:rPr>
        <w:t>Pull and review the MFN clauses in all nine MFN agreements (terms covered, look-back, notice obligations, package-versus-term comparison, carve-outs for substation hosting, cure mechanics) and quantify exposure before financial close; Highline's pro forma should reflect the result.</w:t>
      </w:r>
    </w:p>
    <w:p>
      <w:pPr>
        <w:pStyle w:val="ListBullet"/>
        <w:spacing w:after="40"/>
      </w:pPr>
      <w:r>
        <w:rPr>
          <w:b w:val="0"/>
          <w:i w:val="0"/>
        </w:rPr>
        <w:t>Evaluate whether Millard's parcel-specific characteristics (substation site, highest-capacity locations) support a position that the Millard rates are not comparable; note, however, that the Playbook MFN scope (option rates, per-turbine, per-MW and royalty) would capture these terms.</w:t>
      </w:r>
    </w:p>
    <w:p>
      <w:pPr>
        <w:pStyle w:val="ListBullet"/>
        <w:spacing w:after="40"/>
      </w:pPr>
      <w:r>
        <w:rPr>
          <w:b w:val="0"/>
          <w:i w:val="0"/>
        </w:rPr>
        <w:t>Seek Trust consent (in the First Amendment) to disclose terms as needed to satisfy MFN obligations in other project agreements.</w:t>
      </w:r>
    </w:p>
    <w:p>
      <w:pPr>
        <w:pStyle w:val="ListBullet"/>
        <w:spacing w:after="40"/>
      </w:pPr>
      <w:r>
        <w:rPr>
          <w:b w:val="0"/>
          <w:i w:val="0"/>
        </w:rPr>
        <w:t>Document the business rationale for omitting an MFN in Millard in the Deviation Tracker (XIII.5).</w:t>
      </w:r>
    </w:p>
    <w:p>
      <w:pPr>
        <w:pStyle w:val="Heading2"/>
      </w:pPr>
      <w:r>
        <w:t>B. High-Priority Issues</w:t>
      </w:r>
    </w:p>
    <w:p>
      <w:pPr>
        <w:pStyle w:val="Heading2"/>
      </w:pPr>
      <w:r>
        <w:t>Issue 6: Option Exercise Strategy, Extension Deadline Error and Year 4 Payment Question [High]</w:t>
      </w:r>
    </w:p>
    <w:p>
      <w:pPr>
        <w:spacing w:after="60"/>
      </w:pPr>
      <w:r>
        <w:rPr>
          <w:b/>
          <w:i w:val="0"/>
        </w:rPr>
        <w:t>Deadline error.</w:t>
      </w:r>
      <w:r>
        <w:rPr>
          <w:b w:val="0"/>
          <w:i w:val="0"/>
        </w:rPr>
        <w:t xml:space="preserve"> Section 3.2 requires notice "not less than ninety (90) days prior to the expiration" of the current period and then states that "[a]ccordingly" the deadlines are September 20, 2027 and September 20, 2028. The initial Option Period expires at 11:59 p.m. PT on Saturday, December 18, 2027; September 20, 2027 is only 89 days earlier. Ninety days before December 18 is </w:t>
      </w:r>
      <w:r>
        <w:rPr>
          <w:b/>
          <w:i w:val="0"/>
        </w:rPr>
        <w:t>Sunday, September 19, 2027</w:t>
      </w:r>
      <w:r>
        <w:rPr>
          <w:b w:val="0"/>
          <w:i w:val="0"/>
        </w:rPr>
        <w:t xml:space="preserve"> (and </w:t>
      </w:r>
      <w:r>
        <w:rPr>
          <w:b/>
          <w:i w:val="0"/>
        </w:rPr>
        <w:t>Tuesday, September 19, 2028</w:t>
      </w:r>
      <w:r>
        <w:rPr>
          <w:b w:val="0"/>
          <w:i w:val="0"/>
        </w:rPr>
        <w:t xml:space="preserve"> for the second extension). The Agreement has no business-day roll-forward. The Project Memo and the Playbook guidance note repeat the September 20 date. A Landowner could argue a September 20 notice is untimely under the 90-day formula, and failure of timely notice causes the Option to lapse (Sec. 3.2). Notice by certified mail is deemed delivered only 3 business days after deposit (Art. 20).</w:t>
      </w:r>
    </w:p>
    <w:p>
      <w:pPr>
        <w:spacing w:after="60"/>
      </w:pPr>
      <w:r>
        <w:rPr>
          <w:b/>
          <w:i w:val="0"/>
        </w:rPr>
        <w:t>Date misalignment.</w:t>
      </w:r>
      <w:r>
        <w:rPr>
          <w:b w:val="0"/>
          <w:i w:val="0"/>
        </w:rPr>
        <w:t xml:space="preserve"> Section 3.1 defines the First Extension Period as Dec. 19, 2027-Dec. 18, 2028, while the payment table in Section 3.3 runs Extension Year 4 from Dec. 18, 2027-Dec. 17, 2028 (and the Year 4 payment is due "on or before" Dec. 18, 2027 - the last day of the initial period). Harmless if Ridgeline pays early, but it should be conformed.</w:t>
      </w:r>
    </w:p>
    <w:p>
      <w:pPr>
        <w:spacing w:after="60"/>
      </w:pPr>
      <w:r>
        <w:rPr>
          <w:b/>
          <w:i w:val="0"/>
        </w:rPr>
        <w:t>Exercise timing - the Project Memo's premise needs correcting.</w:t>
      </w:r>
      <w:r>
        <w:rPr>
          <w:b w:val="0"/>
          <w:i w:val="0"/>
        </w:rPr>
        <w:t xml:space="preserve"> The Project Memo assumes Ridgeline would "exercise the option and convert to the lease upon achieving COD." That is not how the Agreement works. Section 3.4 pre-development rights are limited to studies and met towers; construction rights (Art. 7), the transmission easement (7.2) and the leasehold arise only upon exercise (4.1). The Project Memo schedule contemplates financial close in Q2 2026 and road/foundation construction beginning Q3 2026, and the Lender will require a leasehold title policy on exercise. Ridgeline therefore must exercise </w:t>
      </w:r>
      <w:r>
        <w:rPr>
          <w:b/>
          <w:i w:val="0"/>
        </w:rPr>
        <w:t>before construction begins and, practically, at or before financial close</w:t>
      </w:r>
      <w:r>
        <w:rPr>
          <w:b w:val="0"/>
          <w:i w:val="0"/>
        </w:rPr>
        <w:t xml:space="preserve"> - more than a year before the September 2027 extension deadline. Once exercised, the Lease Term runs from COD (5.1) and the Construction Period (5.3) has no outside date, so a COD slip past December 18, 2027 does not forfeit site control. The extension decision matters only if exercise is delayed beyond the planned construction start, in which case the Project Memo's protective-notice recommendation is correct (subject to the corrected date).</w:t>
      </w:r>
    </w:p>
    <w:p>
      <w:pPr>
        <w:spacing w:after="60"/>
      </w:pPr>
      <w:r>
        <w:rPr>
          <w:b/>
          <w:i w:val="0"/>
        </w:rPr>
        <w:t>Project Memo question 1 - exercise after an extension notice.</w:t>
      </w:r>
      <w:r>
        <w:rPr>
          <w:b w:val="0"/>
          <w:i w:val="0"/>
        </w:rPr>
        <w:t xml:space="preserve"> Yes. Section 3.2 expressly provides that "[n]o extension election shall affect or modify Developer's right to exercise the Option at any time during the then-current Option Period or Extension Period," and Section 4.1 permits exercise at any time during the Option Period "including any Extension Period." Exercise is effective on delivery of the Exercise Notice.</w:t>
      </w:r>
    </w:p>
    <w:p>
      <w:pPr>
        <w:spacing w:after="60"/>
      </w:pPr>
      <w:r>
        <w:rPr>
          <w:b/>
          <w:i w:val="0"/>
        </w:rPr>
        <w:t>Project Memo question 2 - Year 4 payment.</w:t>
      </w:r>
      <w:r>
        <w:rPr>
          <w:b w:val="0"/>
          <w:i w:val="0"/>
        </w:rPr>
        <w:t xml:space="preserve"> The Agreement does not answer this cleanly. Option Payments are payable in advance on or before each anniversary (3.3) and an extension notice is irrevocable (3.2), so a Landowner could claim the full $92,400 Year 4 payment once an extension notice is delivered. However, once the Option is exercised Section 5.3 replaces annual Option Payments with the "applicable Option Payment rate on a pro rata basis" until COD. If Ridgeline exercises before Dec. 18, 2027 and COD occurs before that date, the better reading is that no Year 4 payment is owed; if COD has not occurred by Dec. 18, 2027, Ridgeline will owe pro rata Construction Period payments at the Year 4 rate ($22/acre, ~$253/day) in any event. The Agreement also does not say whether a full-year Option Payment prepaid before exercise is credited against Section 5.3 pro rata payments, creating double-payment risk for the year of exercise.</w:t>
      </w:r>
    </w:p>
    <w:p>
      <w:pPr>
        <w:spacing w:after="20"/>
      </w:pPr>
      <w:r>
        <w:rPr>
          <w:b/>
          <w:i w:val="0"/>
        </w:rPr>
        <w:t>Recommendation:</w:t>
      </w:r>
    </w:p>
    <w:p>
      <w:pPr>
        <w:pStyle w:val="ListBullet"/>
        <w:spacing w:after="40"/>
      </w:pPr>
      <w:r>
        <w:rPr>
          <w:b w:val="0"/>
          <w:i w:val="0"/>
        </w:rPr>
        <w:t xml:space="preserve">Calendar the first extension deadline as </w:t>
      </w:r>
      <w:r>
        <w:rPr>
          <w:b/>
          <w:i w:val="0"/>
        </w:rPr>
        <w:t>Friday, September 17, 2027</w:t>
      </w:r>
      <w:r>
        <w:rPr>
          <w:b w:val="0"/>
          <w:i w:val="0"/>
        </w:rPr>
        <w:t xml:space="preserve"> (last business day before the Sunday 90-day date) with an internal target of early August 2027, using personal delivery or overnight courier; similarly September 19, 2028 (target August 2028).</w:t>
      </w:r>
    </w:p>
    <w:p>
      <w:pPr>
        <w:pStyle w:val="ListBullet"/>
        <w:spacing w:after="40"/>
      </w:pPr>
      <w:r>
        <w:rPr>
          <w:b w:val="0"/>
          <w:i w:val="0"/>
        </w:rPr>
        <w:t>Plan to deliver the Exercise Notice at or before financial close (Q2 2026) and in all events before construction starts; the Exercise Notice must identify the intended construction commencement date (4.1).</w:t>
      </w:r>
    </w:p>
    <w:p>
      <w:pPr>
        <w:pStyle w:val="ListBullet"/>
        <w:spacing w:after="40"/>
      </w:pPr>
      <w:r>
        <w:rPr>
          <w:b w:val="0"/>
          <w:i w:val="0"/>
        </w:rPr>
        <w:t>In the First Amendment: conform the deadline dates to the 90-day formula; align the period dates; clarify that exercise ends annual Option Payments other than Section 5.3 pro rata payments and credits any prepaid amount; state a Construction Period rate after Dec. 17, 2029; and consider day-for-day tolling of the Option Period for force majeure and permitting/interconnection delays (currently none).</w:t>
      </w:r>
    </w:p>
    <w:p>
      <w:pPr>
        <w:pStyle w:val="ListBullet"/>
        <w:spacing w:after="40"/>
      </w:pPr>
      <w:r>
        <w:rPr>
          <w:b w:val="0"/>
          <w:i w:val="0"/>
        </w:rPr>
        <w:t>Correct the Project Memo's analysis in our response to the client (Part V).</w:t>
      </w:r>
    </w:p>
    <w:p>
      <w:pPr>
        <w:pStyle w:val="Heading2"/>
      </w:pPr>
      <w:r>
        <w:t>Issue 7: Substation Hosting Fee Not Expressly "In Addition To" Lease Rent [High]</w:t>
      </w:r>
    </w:p>
    <w:p>
      <w:pPr>
        <w:spacing w:after="60"/>
      </w:pPr>
      <w:r>
        <w:rPr>
          <w:b/>
          <w:i w:val="0"/>
        </w:rPr>
        <w:t>Agreement.</w:t>
      </w:r>
      <w:r>
        <w:rPr>
          <w:b w:val="0"/>
          <w:i w:val="0"/>
        </w:rPr>
        <w:t xml:space="preserve"> Section 6.5 sets a $35,000/yr Substation Fee in a separate section and Section 6.4 defines "Lease Rent" as the greater of prong (a) or (b). Section 6.5 says "Developer shall pay" the fee but does not state that it is payable in addition to Lease Rent regardless of which prong applies, or that it is excluded from the comparison. The Comps flag the same issue ("not explicitly included in prong (a) or (b)"; note that the Comps cite "Section 5.4" and "Section 5.1," which are incorrect - the provisions are Sections 6.5 and 6.4).</w:t>
      </w:r>
    </w:p>
    <w:p>
      <w:pPr>
        <w:spacing w:after="60"/>
      </w:pPr>
      <w:r>
        <w:rPr>
          <w:b/>
          <w:i w:val="0"/>
        </w:rPr>
        <w:t>Playbook.</w:t>
      </w:r>
      <w:r>
        <w:rPr>
          <w:b w:val="0"/>
          <w:i w:val="0"/>
        </w:rPr>
        <w:t xml:space="preserve"> III.B labels this CRITICAL and requires language substantially similar to the model clause; omission is a listed deviation requiring approval (XIII.4). The Playbook notes the ambiguity has caused disputes in prior negotiations. The structure of Article 6 supports the better reading (the fee is separate consideration for a distinct use, with its own payment date and escalation), but the Playbook standard is unambiguous language.</w:t>
      </w:r>
    </w:p>
    <w:p>
      <w:pPr>
        <w:spacing w:after="20"/>
      </w:pPr>
      <w:r>
        <w:rPr>
          <w:b/>
          <w:i w:val="0"/>
        </w:rPr>
        <w:t>Recommendation:</w:t>
      </w:r>
    </w:p>
    <w:p>
      <w:pPr>
        <w:pStyle w:val="ListBullet"/>
        <w:spacing w:after="40"/>
      </w:pPr>
      <w:r>
        <w:rPr>
          <w:b w:val="0"/>
          <w:i w:val="0"/>
        </w:rPr>
        <w:t>Insert the Playbook model language in Section 6.5 via the First Amendment ("In addition to the Lease Rent calculated under Section 6.4 ... shall not be included in either prong for purposes of the greater-of comparison").</w:t>
      </w:r>
    </w:p>
    <w:p>
      <w:pPr>
        <w:pStyle w:val="ListBullet"/>
        <w:spacing w:after="40"/>
      </w:pPr>
      <w:r>
        <w:rPr>
          <w:b w:val="0"/>
          <w:i w:val="0"/>
        </w:rPr>
        <w:t>Log as a deviation pending amendment.</w:t>
      </w:r>
    </w:p>
    <w:p>
      <w:pPr>
        <w:pStyle w:val="Heading2"/>
      </w:pPr>
      <w:r>
        <w:t>Issue 8: Indemnity Survival and Environmental Insurance Tail [High]</w:t>
      </w:r>
    </w:p>
    <w:p>
      <w:pPr>
        <w:spacing w:after="60"/>
      </w:pPr>
      <w:r>
        <w:rPr>
          <w:b/>
          <w:i w:val="0"/>
        </w:rPr>
        <w:t>Agreement.</w:t>
      </w:r>
      <w:r>
        <w:rPr>
          <w:b w:val="0"/>
          <w:i w:val="0"/>
        </w:rPr>
        <w:t xml:space="preserve"> Article 11 indemnities survive 3 years after expiration or termination (11.3). Environmental insurance ($2M per occurrence) is required only through the Lease Term and any Renewal Term (10.3) - not during the Option Period and not after expiration while latent claims may surface. Decommissioning (up to 18 months) and restoration certification can extend well past expiration.</w:t>
      </w:r>
    </w:p>
    <w:p>
      <w:pPr>
        <w:spacing w:after="60"/>
      </w:pPr>
      <w:r>
        <w:rPr>
          <w:b/>
          <w:i w:val="0"/>
        </w:rPr>
        <w:t>Benchmarks.</w:t>
      </w:r>
      <w:r>
        <w:rPr>
          <w:b w:val="0"/>
          <w:i w:val="0"/>
        </w:rPr>
        <w:t xml:space="preserve"> Playbook IX accepts 3 years but flags that ORS 12.080 allows 6 years for property-damage claims and ORS 12.110 applies a discovery-based 2-year period for personal injury, and suggests 5-6 years for environmentally sensitive sites. L001, L002, L003 and L006 provide 5 years; L004 and L005 provide 3. Highline (Item 4) will likely require an extended survival period or environmental coverage coterminous with limitation periods.</w:t>
      </w:r>
    </w:p>
    <w:p>
      <w:pPr>
        <w:spacing w:after="60"/>
      </w:pPr>
      <w:r>
        <w:rPr>
          <w:b/>
          <w:i w:val="0"/>
        </w:rPr>
        <w:t>Scope summary for Lender Item 4.</w:t>
      </w:r>
      <w:r>
        <w:rPr>
          <w:b w:val="0"/>
          <w:i w:val="0"/>
        </w:rPr>
        <w:t xml:space="preserve"> (a) Scope: Developer indemnifies Landowner, Trustee, Successor Trustee, beneficiaries, agents, heirs and assigns for Developer's activities (construction through decommissioning), bodily injury/death related to the Facilities, and environmental contamination caused by the Facilities, including defense and reasonable attorneys' fees (11.1). (b) Carve-out: Landowner Indemnified Parties' gross negligence or willful misconduct; no cap or basket. Reciprocal Landowner indemnity for non-project use, excluding Developer's negligence (11.2). (c) Survival: 3 years (11.3).</w:t>
      </w:r>
    </w:p>
    <w:p>
      <w:pPr>
        <w:spacing w:after="20"/>
      </w:pPr>
      <w:r>
        <w:rPr>
          <w:b/>
          <w:i w:val="0"/>
        </w:rPr>
        <w:t>Recommendation:</w:t>
      </w:r>
    </w:p>
    <w:p>
      <w:pPr>
        <w:pStyle w:val="ListBullet"/>
        <w:spacing w:after="40"/>
      </w:pPr>
      <w:r>
        <w:rPr>
          <w:b w:val="0"/>
          <w:i w:val="0"/>
        </w:rPr>
        <w:t>Extend survival to 6 years (aligned with ORS 12.080), or to the later of 6 years and completion of decommissioning/restoration certification under Section 13.2, at least for environmental claims.</w:t>
      </w:r>
    </w:p>
    <w:p>
      <w:pPr>
        <w:pStyle w:val="ListBullet"/>
        <w:spacing w:after="40"/>
      </w:pPr>
      <w:r>
        <w:rPr>
          <w:b w:val="0"/>
          <w:i w:val="0"/>
        </w:rPr>
        <w:t>Require environmental coverage (or an extended reporting period/tail) for the survival period and add Option-Period coverage.</w:t>
      </w:r>
    </w:p>
    <w:p>
      <w:pPr>
        <w:pStyle w:val="ListBullet"/>
        <w:spacing w:after="40"/>
      </w:pPr>
      <w:r>
        <w:rPr>
          <w:b w:val="0"/>
          <w:i w:val="0"/>
        </w:rPr>
        <w:t>This is landowner-favorable and can be offered as part of the amendment package.</w:t>
      </w:r>
    </w:p>
    <w:p>
      <w:pPr>
        <w:pStyle w:val="Heading2"/>
      </w:pPr>
      <w:r>
        <w:t>Issue 9: Asymmetric Remedies - Enforceability Risk [High]</w:t>
      </w:r>
    </w:p>
    <w:p>
      <w:pPr>
        <w:spacing w:after="60"/>
      </w:pPr>
      <w:r>
        <w:rPr>
          <w:b/>
          <w:i w:val="0"/>
        </w:rPr>
        <w:t>Agreement.</w:t>
      </w:r>
      <w:r>
        <w:rPr>
          <w:b w:val="0"/>
          <w:i w:val="0"/>
        </w:rPr>
        <w:t xml:space="preserve"> Developer receives specific performance and injunctive relief without proof of damages or bond, plus monetary damages "including consequential damages" (16.2). Landowner's exclusive remedies are termination and direct damages; no specific performance or injunction "under any circumstances" (16.3).</w:t>
      </w:r>
    </w:p>
    <w:p>
      <w:pPr>
        <w:spacing w:after="60"/>
      </w:pPr>
      <w:r>
        <w:rPr>
          <w:b/>
          <w:i w:val="0"/>
        </w:rPr>
        <w:t>Risk.</w:t>
      </w:r>
      <w:r>
        <w:rPr>
          <w:b w:val="0"/>
          <w:i w:val="0"/>
        </w:rPr>
        <w:t xml:space="preserve"> This tracks the Playbook preferred position (X.B), but the Playbook itself warns that Oregon courts may decline to enforce one-sided remedy limitations deemed unconscionable where there is a disparity in bargaining power, particularly for an elderly individual or trust fiduciary. Here the Trustee is 74; the Agreement contains no acknowledgment of independent counsel (contrast Stenger Trust, L003, whose trustee was represented by independent counsel); there is no MFN; and L001, L003 and L006 grant mutual specific performance. The asymmetry is compounded by consequential damages flowing only to Ridgeline. Because Ridgeline's specific-performance right is what protects the irreplaceable substation site, a successful unconscionability challenge would undercut the provision Ridgeline most needs.</w:t>
      </w:r>
    </w:p>
    <w:p>
      <w:pPr>
        <w:spacing w:after="20"/>
      </w:pPr>
      <w:r>
        <w:rPr>
          <w:b/>
          <w:i w:val="0"/>
        </w:rPr>
        <w:t>Recommendation:</w:t>
      </w:r>
    </w:p>
    <w:p>
      <w:pPr>
        <w:pStyle w:val="ListBullet"/>
        <w:spacing w:after="40"/>
      </w:pPr>
      <w:r>
        <w:rPr>
          <w:b w:val="0"/>
          <w:i w:val="0"/>
        </w:rPr>
        <w:t>Do not concede without consulting you (Playbook X.B).</w:t>
      </w:r>
    </w:p>
    <w:p>
      <w:pPr>
        <w:pStyle w:val="ListBullet"/>
        <w:spacing w:after="40"/>
      </w:pPr>
      <w:r>
        <w:rPr>
          <w:b w:val="0"/>
          <w:i w:val="0"/>
        </w:rPr>
        <w:t>In the First Amendment, consider adding an acknowledgment that the Trust was advised to and had the opportunity to obtain independent counsel; confirm whether Trust counsel was involved.</w:t>
      </w:r>
    </w:p>
    <w:p>
      <w:pPr>
        <w:pStyle w:val="ListBullet"/>
        <w:spacing w:after="40"/>
      </w:pPr>
      <w:r>
        <w:rPr>
          <w:b w:val="0"/>
          <w:i w:val="0"/>
        </w:rPr>
        <w:t>Consider making the consequential-damages position mutual as a low-cost fairness improvement that strengthens enforceability of Section 16.2; mutual specific performance is a Playbook-acceptable fallback (requires approval, XIII.3).</w:t>
      </w:r>
    </w:p>
    <w:p>
      <w:pPr>
        <w:pStyle w:val="Heading2"/>
      </w:pPr>
      <w:r>
        <w:t>Issue 10: Insurance Provisions vs. Playbook Must-Have and Lender Item 5 [High]</w:t>
      </w:r>
    </w:p>
    <w:p>
      <w:pPr>
        <w:spacing w:after="60"/>
      </w:pPr>
      <w:r>
        <w:rPr>
          <w:b/>
          <w:i w:val="0"/>
        </w:rPr>
        <w:t>Agreement.</w:t>
      </w:r>
      <w:r>
        <w:rPr>
          <w:b w:val="0"/>
          <w:i w:val="0"/>
        </w:rPr>
        <w:t xml:space="preserve"> Limits match the Playbook and the Lender list exactly (construction CGL $5M/$10M, umbrella $25M; operations CGL $3M/$5M, umbrella $15M; environmental $2M). However: (i) no covenant to give 30 days' notice of cancellation, non-renewal or material modification (a Playbook VIII must-have); (ii) certificates are tied to the Effective Date and anniversaries rather than policy inception/renewal, and go to lenders only "upon request"; (iii) Highline is not required to be named as additional insured (Lender Item 5); (iv) no insurance is required during the Option Period although certificates are due within 30 days of the Effective Date; (v) the A- (VII) rating requirement applies only to construction policies.</w:t>
      </w:r>
    </w:p>
    <w:p>
      <w:pPr>
        <w:spacing w:after="20"/>
      </w:pPr>
      <w:r>
        <w:rPr>
          <w:b/>
          <w:i w:val="0"/>
        </w:rPr>
        <w:t>Recommendation:</w:t>
      </w:r>
    </w:p>
    <w:p>
      <w:pPr>
        <w:pStyle w:val="ListBullet"/>
        <w:spacing w:after="40"/>
      </w:pPr>
      <w:r>
        <w:rPr>
          <w:b w:val="0"/>
          <w:i w:val="0"/>
        </w:rPr>
        <w:t>Confirm what pre-construction liability coverage is in place for met tower and survey work and whether certificates were delivered by January 17, 2025 (30 days after the Effective Date).</w:t>
      </w:r>
    </w:p>
    <w:p>
      <w:pPr>
        <w:pStyle w:val="ListBullet"/>
        <w:spacing w:after="40"/>
      </w:pPr>
      <w:r>
        <w:rPr>
          <w:b w:val="0"/>
          <w:i w:val="0"/>
        </w:rPr>
        <w:t>Amend Article 10 to add the cancellation-notice covenant, lender additional-insured/loss-payee status, inception/renewal delivery to Landowner and Highline, a rating requirement for all policies, and Option-Period coverage.</w:t>
      </w:r>
    </w:p>
    <w:p>
      <w:pPr>
        <w:pStyle w:val="Heading2"/>
      </w:pPr>
      <w:r>
        <w:t>Issue 11: Trust Authority and Landowner Succession [High]</w:t>
      </w:r>
    </w:p>
    <w:p>
      <w:pPr>
        <w:spacing w:after="60"/>
      </w:pPr>
      <w:r>
        <w:rPr>
          <w:b/>
          <w:i w:val="0"/>
        </w:rPr>
        <w:t>Agreement.</w:t>
      </w:r>
      <w:r>
        <w:rPr>
          <w:b w:val="0"/>
          <w:i w:val="0"/>
        </w:rPr>
        <w:t xml:space="preserve"> The Trust represents that Eleanor Millard as Trustee may bind the trust without beneficiary, co-trustee or court consent (9.2(b)) and that it holds fee title (9.2(c)). Permitted Landowner transfers are limited to transfers among trust beneficiaries and to a successor trustee (14.4); there is no exception for transfers by operation of law, inheritance or court order, or subordinate refinancing, all of which Playbook VI.B lists as permitted.</w:t>
      </w:r>
    </w:p>
    <w:p>
      <w:pPr>
        <w:spacing w:after="60"/>
      </w:pPr>
      <w:r>
        <w:rPr>
          <w:b/>
          <w:i w:val="0"/>
        </w:rPr>
        <w:t>Risk.</w:t>
      </w:r>
      <w:r>
        <w:rPr>
          <w:b w:val="0"/>
          <w:i w:val="0"/>
        </w:rPr>
        <w:t xml:space="preserve"> Given the Trustee's age and a 50+ year term, the Lender and title insurer will require evidence of trustee authority and succession. Transfers by operation of law falling outside 14.4 would technically require Ridgeline's consent in its sole discretion, which a court could view as an unreasonable restraint on alienation; the exceptions also do not expressly bind transferees to the ROFR.</w:t>
      </w:r>
    </w:p>
    <w:p>
      <w:pPr>
        <w:spacing w:after="20"/>
      </w:pPr>
      <w:r>
        <w:rPr>
          <w:b/>
          <w:i w:val="0"/>
        </w:rPr>
        <w:t>Recommendation:</w:t>
      </w:r>
    </w:p>
    <w:p>
      <w:pPr>
        <w:pStyle w:val="ListBullet"/>
        <w:spacing w:after="40"/>
      </w:pPr>
      <w:r>
        <w:rPr>
          <w:b w:val="0"/>
          <w:i w:val="0"/>
        </w:rPr>
        <w:t>Obtain a certification of trust (Oregon Uniform Trust Code, ORS 130.860) and relevant trust excerpts confirming Eleanor Millard's sole trustee powers and Douglas Millard's successor status; have Douglas Millard countersign an acknowledgment of the Agreement.</w:t>
      </w:r>
    </w:p>
    <w:p>
      <w:pPr>
        <w:pStyle w:val="ListBullet"/>
        <w:spacing w:after="40"/>
      </w:pPr>
      <w:r>
        <w:rPr>
          <w:b w:val="0"/>
          <w:i w:val="0"/>
        </w:rPr>
        <w:t>Conform Section 14.4 to Playbook VI.B (operation-of-law transfers; refinancing subordinate to or recognizing the Memorandum), with every transferee bound to the Agreement.</w:t>
      </w:r>
    </w:p>
    <w:p>
      <w:pPr>
        <w:pStyle w:val="ListBullet"/>
        <w:spacing w:after="40"/>
      </w:pPr>
      <w:r>
        <w:rPr>
          <w:b w:val="0"/>
          <w:i w:val="0"/>
        </w:rPr>
        <w:t>Obtain the Developer-side managing-member resolution referenced in Section 9.1(c) for the Lender package.</w:t>
      </w:r>
    </w:p>
    <w:p>
      <w:pPr>
        <w:pStyle w:val="Heading2"/>
      </w:pPr>
      <w:r>
        <w:t>C. Medium and Low Priority Issues</w:t>
      </w:r>
    </w:p>
    <w:tbl>
      <w:tblPr>
        <w:tblStyle w:val="TableGrid"/>
        <w:tblW w:type="auto" w:w="0"/>
        <w:tblLook w:firstColumn="1" w:firstRow="1" w:lastColumn="0" w:lastRow="0" w:noHBand="0" w:noVBand="1" w:val="04A0"/>
      </w:tblPr>
      <w:tblGrid>
        <w:gridCol w:w="1930"/>
        <w:gridCol w:w="1930"/>
        <w:gridCol w:w="1930"/>
        <w:gridCol w:w="1930"/>
        <w:gridCol w:w="1930"/>
      </w:tblGrid>
      <w:tr>
        <w:trPr>
          <w:tblHeader w:val="true"/>
        </w:trPr>
        <w:tc>
          <w:tcPr>
            <w:tcW w:type="dxa" w:w="432"/>
            <w:shd w:val="clear" w:color="auto" w:fill="1F3A5F"/>
          </w:tcPr>
          <w:p>
            <w:r/>
            <w:r>
              <w:rPr>
                <w:b/>
                <w:color w:val="FFFFFF"/>
                <w:sz w:val="17"/>
              </w:rPr>
              <w:t>#</w:t>
            </w:r>
          </w:p>
        </w:tc>
        <w:tc>
          <w:tcPr>
            <w:tcW w:type="dxa" w:w="936"/>
            <w:shd w:val="clear" w:color="auto" w:fill="1F3A5F"/>
          </w:tcPr>
          <w:p>
            <w:r/>
            <w:r>
              <w:rPr>
                <w:b/>
                <w:color w:val="FFFFFF"/>
                <w:sz w:val="17"/>
              </w:rPr>
              <w:t>Severity</w:t>
            </w:r>
          </w:p>
        </w:tc>
        <w:tc>
          <w:tcPr>
            <w:tcW w:type="dxa" w:w="1872"/>
            <w:shd w:val="clear" w:color="auto" w:fill="1F3A5F"/>
          </w:tcPr>
          <w:p>
            <w:r/>
            <w:r>
              <w:rPr>
                <w:b/>
                <w:color w:val="FFFFFF"/>
                <w:sz w:val="17"/>
              </w:rPr>
              <w:t>Issue (Sec.)</w:t>
            </w:r>
          </w:p>
        </w:tc>
        <w:tc>
          <w:tcPr>
            <w:tcW w:type="dxa" w:w="4176"/>
            <w:shd w:val="clear" w:color="auto" w:fill="1F3A5F"/>
          </w:tcPr>
          <w:p>
            <w:r/>
            <w:r>
              <w:rPr>
                <w:b/>
                <w:color w:val="FFFFFF"/>
                <w:sz w:val="17"/>
              </w:rPr>
              <w:t>Analysis</w:t>
            </w:r>
          </w:p>
        </w:tc>
        <w:tc>
          <w:tcPr>
            <w:tcW w:type="dxa" w:w="2664"/>
            <w:shd w:val="clear" w:color="auto" w:fill="1F3A5F"/>
          </w:tcPr>
          <w:p>
            <w:r/>
            <w:r>
              <w:rPr>
                <w:b/>
                <w:color w:val="FFFFFF"/>
                <w:sz w:val="17"/>
              </w:rPr>
              <w:t>Recommendation</w:t>
            </w:r>
          </w:p>
        </w:tc>
      </w:tr>
      <w:tr>
        <w:tc>
          <w:tcPr>
            <w:tcW w:type="dxa" w:w="432"/>
          </w:tcPr>
          <w:p>
            <w:r/>
            <w:r>
              <w:rPr>
                <w:b w:val="0"/>
                <w:i w:val="0"/>
                <w:sz w:val="17"/>
              </w:rPr>
              <w:t>12</w:t>
            </w:r>
          </w:p>
        </w:tc>
        <w:tc>
          <w:tcPr>
            <w:tcW w:type="dxa" w:w="936"/>
            <w:shd w:val="clear" w:color="auto" w:fill="FFF2B3"/>
          </w:tcPr>
          <w:p>
            <w:r/>
            <w:r>
              <w:rPr>
                <w:b w:val="0"/>
                <w:i w:val="0"/>
                <w:sz w:val="17"/>
              </w:rPr>
              <w:t>Medium</w:t>
            </w:r>
          </w:p>
        </w:tc>
        <w:tc>
          <w:tcPr>
            <w:tcW w:type="dxa" w:w="1872"/>
          </w:tcPr>
          <w:p>
            <w:r/>
            <w:r>
              <w:rPr>
                <w:b w:val="0"/>
                <w:i w:val="0"/>
                <w:sz w:val="17"/>
              </w:rPr>
              <w:t>Lease Rent payment timing (6.1-6.4, 6.8)</w:t>
            </w:r>
          </w:p>
        </w:tc>
        <w:tc>
          <w:tcPr>
            <w:tcW w:type="dxa" w:w="4176"/>
          </w:tcPr>
          <w:p>
            <w:r/>
            <w:r>
              <w:rPr>
                <w:b w:val="0"/>
                <w:i w:val="0"/>
                <w:sz w:val="17"/>
              </w:rPr>
              <w:t>No due date is stated for Base Rent, Capacity Payment or Production Royalty (only a statement within 90 days after each Lease Year); Section 6.8 keys payment to "invoicing or the applicable due date, whichever is earlier," with 18% default interest. Risk of disputes over late-payment interest and the 60-day monetary default clock.</w:t>
            </w:r>
          </w:p>
        </w:tc>
        <w:tc>
          <w:tcPr>
            <w:tcW w:type="dxa" w:w="2664"/>
          </w:tcPr>
          <w:p>
            <w:r/>
            <w:r>
              <w:rPr>
                <w:b w:val="0"/>
                <w:i w:val="0"/>
                <w:sz w:val="17"/>
              </w:rPr>
              <w:t>Specify: prong (a) paid annually in advance (or quarterly) and prong (b) true-up within 90 days after Lease Year end, consistent with Playbook III.B; clarify 6.8.</w:t>
            </w:r>
          </w:p>
        </w:tc>
      </w:tr>
      <w:tr>
        <w:tc>
          <w:tcPr>
            <w:tcW w:type="dxa" w:w="432"/>
          </w:tcPr>
          <w:p>
            <w:r/>
            <w:r>
              <w:rPr>
                <w:b w:val="0"/>
                <w:i w:val="0"/>
                <w:sz w:val="17"/>
              </w:rPr>
              <w:t>13</w:t>
            </w:r>
          </w:p>
        </w:tc>
        <w:tc>
          <w:tcPr>
            <w:tcW w:type="dxa" w:w="936"/>
            <w:shd w:val="clear" w:color="auto" w:fill="FFF2B3"/>
          </w:tcPr>
          <w:p>
            <w:r/>
            <w:r>
              <w:rPr>
                <w:b w:val="0"/>
                <w:i w:val="0"/>
                <w:sz w:val="17"/>
              </w:rPr>
              <w:t>Medium</w:t>
            </w:r>
          </w:p>
        </w:tc>
        <w:tc>
          <w:tcPr>
            <w:tcW w:type="dxa" w:w="1872"/>
          </w:tcPr>
          <w:p>
            <w:r/>
            <w:r>
              <w:rPr>
                <w:b w:val="0"/>
                <w:i w:val="0"/>
                <w:sz w:val="17"/>
              </w:rPr>
              <w:t>Gross Revenue allocation (1.10, 6.3)</w:t>
            </w:r>
          </w:p>
        </w:tc>
        <w:tc>
          <w:tcPr>
            <w:tcW w:type="dxa" w:w="4176"/>
          </w:tcPr>
          <w:p>
            <w:r/>
            <w:r>
              <w:rPr>
                <w:b w:val="0"/>
                <w:i w:val="0"/>
                <w:sz w:val="17"/>
              </w:rPr>
              <w:t>Gross Revenue is limited to electricity from WTGs on the Property, but PPA/REC revenue is earned at project level. No allocation methodology (e.g., turbine-level metered output x project realized price). Affiliate offtake/transfer pricing not addressed.</w:t>
            </w:r>
          </w:p>
        </w:tc>
        <w:tc>
          <w:tcPr>
            <w:tcW w:type="dxa" w:w="2664"/>
          </w:tcPr>
          <w:p>
            <w:r/>
            <w:r>
              <w:rPr>
                <w:b w:val="0"/>
                <w:i w:val="0"/>
                <w:sz w:val="17"/>
              </w:rPr>
              <w:t>Add allocation by turbine-level metered output and arm's-length pricing for Affiliate sales.</w:t>
            </w:r>
          </w:p>
        </w:tc>
      </w:tr>
      <w:tr>
        <w:tc>
          <w:tcPr>
            <w:tcW w:type="dxa" w:w="432"/>
          </w:tcPr>
          <w:p>
            <w:r/>
            <w:r>
              <w:rPr>
                <w:b w:val="0"/>
                <w:i w:val="0"/>
                <w:sz w:val="17"/>
              </w:rPr>
              <w:t>14</w:t>
            </w:r>
          </w:p>
        </w:tc>
        <w:tc>
          <w:tcPr>
            <w:tcW w:type="dxa" w:w="936"/>
            <w:shd w:val="clear" w:color="auto" w:fill="FFF2B3"/>
          </w:tcPr>
          <w:p>
            <w:r/>
            <w:r>
              <w:rPr>
                <w:b w:val="0"/>
                <w:i w:val="0"/>
                <w:sz w:val="17"/>
              </w:rPr>
              <w:t>Medium</w:t>
            </w:r>
          </w:p>
        </w:tc>
        <w:tc>
          <w:tcPr>
            <w:tcW w:type="dxa" w:w="1872"/>
          </w:tcPr>
          <w:p>
            <w:r/>
            <w:r>
              <w:rPr>
                <w:b w:val="0"/>
                <w:i w:val="0"/>
                <w:sz w:val="17"/>
              </w:rPr>
              <w:t>Crop damage mechanics (6.7)</w:t>
            </w:r>
          </w:p>
        </w:tc>
        <w:tc>
          <w:tcPr>
            <w:tcW w:type="dxa" w:w="4176"/>
          </w:tcPr>
          <w:p>
            <w:r/>
            <w:r>
              <w:rPr>
                <w:b w:val="0"/>
                <w:i w:val="0"/>
                <w:sz w:val="17"/>
              </w:rPr>
              <w:t>Due 60 days after completion of initial construction (Playbook: 30 days after completion on affected acreage, confirmed by Ridgeline's construction manager); acreage fixed by Bridger, final and binding. Rate within $150-200 range. Bridger also determines restoration compliance (13.2) and release of security (13.3), so Ridgeline cedes three determinations to one appraiser with no procedure, fee allocation or successor mechanism.</w:t>
            </w:r>
          </w:p>
        </w:tc>
        <w:tc>
          <w:tcPr>
            <w:tcW w:type="dxa" w:w="2664"/>
          </w:tcPr>
          <w:p>
            <w:r/>
            <w:r>
              <w:rPr>
                <w:b w:val="0"/>
                <w:i w:val="0"/>
                <w:sz w:val="17"/>
              </w:rPr>
              <w:t>Accept economics; add process, cost-sharing and successor-appraiser mechanics.</w:t>
            </w:r>
          </w:p>
        </w:tc>
      </w:tr>
      <w:tr>
        <w:tc>
          <w:tcPr>
            <w:tcW w:type="dxa" w:w="432"/>
          </w:tcPr>
          <w:p>
            <w:r/>
            <w:r>
              <w:rPr>
                <w:b w:val="0"/>
                <w:i w:val="0"/>
                <w:sz w:val="17"/>
              </w:rPr>
              <w:t>15</w:t>
            </w:r>
          </w:p>
        </w:tc>
        <w:tc>
          <w:tcPr>
            <w:tcW w:type="dxa" w:w="936"/>
            <w:shd w:val="clear" w:color="auto" w:fill="FFF2B3"/>
          </w:tcPr>
          <w:p>
            <w:r/>
            <w:r>
              <w:rPr>
                <w:b w:val="0"/>
                <w:i w:val="0"/>
                <w:sz w:val="17"/>
              </w:rPr>
              <w:t>Medium</w:t>
            </w:r>
          </w:p>
        </w:tc>
        <w:tc>
          <w:tcPr>
            <w:tcW w:type="dxa" w:w="1872"/>
          </w:tcPr>
          <w:p>
            <w:r/>
            <w:r>
              <w:rPr>
                <w:b w:val="0"/>
                <w:i w:val="0"/>
                <w:sz w:val="17"/>
              </w:rPr>
              <w:t>Decommissioning scope (13.1-13.2)</w:t>
            </w:r>
          </w:p>
        </w:tc>
        <w:tc>
          <w:tcPr>
            <w:tcW w:type="dxa" w:w="4176"/>
          </w:tcPr>
          <w:p>
            <w:r/>
            <w:r>
              <w:rPr>
                <w:b w:val="0"/>
                <w:i w:val="0"/>
                <w:sz w:val="17"/>
              </w:rPr>
              <w:t>No express treatment of access roads (Playbook: removed unless Landowner elects to retain) or decompaction; underground cables removed "to the extent reasonably practicable" (Developer-favorable). Release of security requires Bridger written confirmation.</w:t>
            </w:r>
          </w:p>
        </w:tc>
        <w:tc>
          <w:tcPr>
            <w:tcW w:type="dxa" w:w="2664"/>
          </w:tcPr>
          <w:p>
            <w:r/>
            <w:r>
              <w:rPr>
                <w:b w:val="0"/>
                <w:i w:val="0"/>
                <w:sz w:val="17"/>
              </w:rPr>
              <w:t>Add Landowner road-retention election and decompaction; keep cable language.</w:t>
            </w:r>
          </w:p>
        </w:tc>
      </w:tr>
      <w:tr>
        <w:tc>
          <w:tcPr>
            <w:tcW w:type="dxa" w:w="432"/>
          </w:tcPr>
          <w:p>
            <w:r/>
            <w:r>
              <w:rPr>
                <w:b w:val="0"/>
                <w:i w:val="0"/>
                <w:sz w:val="17"/>
              </w:rPr>
              <w:t>16</w:t>
            </w:r>
          </w:p>
        </w:tc>
        <w:tc>
          <w:tcPr>
            <w:tcW w:type="dxa" w:w="936"/>
            <w:shd w:val="clear" w:color="auto" w:fill="FFF2B3"/>
          </w:tcPr>
          <w:p>
            <w:r/>
            <w:r>
              <w:rPr>
                <w:b w:val="0"/>
                <w:i w:val="0"/>
                <w:sz w:val="17"/>
              </w:rPr>
              <w:t>Medium</w:t>
            </w:r>
          </w:p>
        </w:tc>
        <w:tc>
          <w:tcPr>
            <w:tcW w:type="dxa" w:w="1872"/>
          </w:tcPr>
          <w:p>
            <w:r/>
            <w:r>
              <w:rPr>
                <w:b w:val="0"/>
                <w:i w:val="0"/>
                <w:sz w:val="17"/>
              </w:rPr>
              <w:t>Setback scope (7.4)</w:t>
            </w:r>
          </w:p>
        </w:tc>
        <w:tc>
          <w:tcPr>
            <w:tcW w:type="dxa" w:w="4176"/>
          </w:tcPr>
          <w:p>
            <w:r/>
            <w:r>
              <w:rPr>
                <w:b w:val="0"/>
                <w:i w:val="0"/>
                <w:sz w:val="17"/>
              </w:rPr>
              <w:t>Applies only to dwellings on the Property; Playbook V.A also covers adjacent-property dwellings and specifies measurement from tower center to nearest exterior wall.</w:t>
            </w:r>
          </w:p>
        </w:tc>
        <w:tc>
          <w:tcPr>
            <w:tcW w:type="dxa" w:w="2664"/>
          </w:tcPr>
          <w:p>
            <w:r/>
            <w:r>
              <w:rPr>
                <w:b w:val="0"/>
                <w:i w:val="0"/>
                <w:sz w:val="17"/>
              </w:rPr>
              <w:t>Conform in amendment; confirm the layout meets setbacks to neighboring dwellings and County CUP requirements.</w:t>
            </w:r>
          </w:p>
        </w:tc>
      </w:tr>
      <w:tr>
        <w:tc>
          <w:tcPr>
            <w:tcW w:type="dxa" w:w="432"/>
          </w:tcPr>
          <w:p>
            <w:r/>
            <w:r>
              <w:rPr>
                <w:b w:val="0"/>
                <w:i w:val="0"/>
                <w:sz w:val="17"/>
              </w:rPr>
              <w:t>17</w:t>
            </w:r>
          </w:p>
        </w:tc>
        <w:tc>
          <w:tcPr>
            <w:tcW w:type="dxa" w:w="936"/>
            <w:shd w:val="clear" w:color="auto" w:fill="FFF2B3"/>
          </w:tcPr>
          <w:p>
            <w:r/>
            <w:r>
              <w:rPr>
                <w:b w:val="0"/>
                <w:i w:val="0"/>
                <w:sz w:val="17"/>
              </w:rPr>
              <w:t>Medium</w:t>
            </w:r>
          </w:p>
        </w:tc>
        <w:tc>
          <w:tcPr>
            <w:tcW w:type="dxa" w:w="1872"/>
          </w:tcPr>
          <w:p>
            <w:r/>
            <w:r>
              <w:rPr>
                <w:b w:val="0"/>
                <w:i w:val="0"/>
                <w:sz w:val="17"/>
              </w:rPr>
              <w:t>ROFR (15.1)</w:t>
            </w:r>
          </w:p>
        </w:tc>
        <w:tc>
          <w:tcPr>
            <w:tcW w:type="dxa" w:w="4176"/>
          </w:tcPr>
          <w:p>
            <w:r/>
            <w:r>
              <w:rPr>
                <w:b w:val="0"/>
                <w:i w:val="0"/>
                <w:sz w:val="17"/>
              </w:rPr>
              <w:t>No requirement that a third-party purchaser take subject to/assume the Agreement (Playbook XII.D); a ROFR on a portion could split the substation parcel; interaction with Developer's sole-discretion consent under 14.4 is not addressed.</w:t>
            </w:r>
          </w:p>
        </w:tc>
        <w:tc>
          <w:tcPr>
            <w:tcW w:type="dxa" w:w="2664"/>
          </w:tcPr>
          <w:p>
            <w:r/>
            <w:r>
              <w:rPr>
                <w:b w:val="0"/>
                <w:i w:val="0"/>
                <w:sz w:val="17"/>
              </w:rPr>
              <w:t>Add assumption requirement and clarify that a ROFR waiver is not consent under 14.4.</w:t>
            </w:r>
          </w:p>
        </w:tc>
      </w:tr>
      <w:tr>
        <w:tc>
          <w:tcPr>
            <w:tcW w:type="dxa" w:w="432"/>
          </w:tcPr>
          <w:p>
            <w:r/>
            <w:r>
              <w:rPr>
                <w:b w:val="0"/>
                <w:i w:val="0"/>
                <w:sz w:val="17"/>
              </w:rPr>
              <w:t>18</w:t>
            </w:r>
          </w:p>
        </w:tc>
        <w:tc>
          <w:tcPr>
            <w:tcW w:type="dxa" w:w="936"/>
            <w:shd w:val="clear" w:color="auto" w:fill="FFF2B3"/>
          </w:tcPr>
          <w:p>
            <w:r/>
            <w:r>
              <w:rPr>
                <w:b w:val="0"/>
                <w:i w:val="0"/>
                <w:sz w:val="17"/>
              </w:rPr>
              <w:t>Medium</w:t>
            </w:r>
          </w:p>
        </w:tc>
        <w:tc>
          <w:tcPr>
            <w:tcW w:type="dxa" w:w="1872"/>
          </w:tcPr>
          <w:p>
            <w:r/>
            <w:r>
              <w:rPr>
                <w:b w:val="0"/>
                <w:i w:val="0"/>
                <w:sz w:val="17"/>
              </w:rPr>
              <w:t>Non-affiliate assignment (14.2)</w:t>
            </w:r>
          </w:p>
        </w:tc>
        <w:tc>
          <w:tcPr>
            <w:tcW w:type="dxa" w:w="4176"/>
          </w:tcPr>
          <w:p>
            <w:r/>
            <w:r>
              <w:rPr>
                <w:b w:val="0"/>
                <w:i w:val="0"/>
                <w:sz w:val="17"/>
              </w:rPr>
              <w:t>No 30-day deemed-consent mechanism (Playbook VI.A).</w:t>
            </w:r>
          </w:p>
        </w:tc>
        <w:tc>
          <w:tcPr>
            <w:tcW w:type="dxa" w:w="2664"/>
          </w:tcPr>
          <w:p>
            <w:r/>
            <w:r>
              <w:rPr>
                <w:b w:val="0"/>
                <w:i w:val="0"/>
                <w:sz w:val="17"/>
              </w:rPr>
              <w:t>Add deemed consent.</w:t>
            </w:r>
          </w:p>
        </w:tc>
      </w:tr>
      <w:tr>
        <w:tc>
          <w:tcPr>
            <w:tcW w:type="dxa" w:w="432"/>
          </w:tcPr>
          <w:p>
            <w:r/>
            <w:r>
              <w:rPr>
                <w:b w:val="0"/>
                <w:i w:val="0"/>
                <w:sz w:val="17"/>
              </w:rPr>
              <w:t>19</w:t>
            </w:r>
          </w:p>
        </w:tc>
        <w:tc>
          <w:tcPr>
            <w:tcW w:type="dxa" w:w="936"/>
            <w:shd w:val="clear" w:color="auto" w:fill="FFF2B3"/>
          </w:tcPr>
          <w:p>
            <w:r/>
            <w:r>
              <w:rPr>
                <w:b w:val="0"/>
                <w:i w:val="0"/>
                <w:sz w:val="17"/>
              </w:rPr>
              <w:t>Medium</w:t>
            </w:r>
          </w:p>
        </w:tc>
        <w:tc>
          <w:tcPr>
            <w:tcW w:type="dxa" w:w="1872"/>
          </w:tcPr>
          <w:p>
            <w:r/>
            <w:r>
              <w:rPr>
                <w:b w:val="0"/>
                <w:i w:val="0"/>
                <w:sz w:val="17"/>
              </w:rPr>
              <w:t>Default cure (16.1)</w:t>
            </w:r>
          </w:p>
        </w:tc>
        <w:tc>
          <w:tcPr>
            <w:tcW w:type="dxa" w:w="4176"/>
          </w:tcPr>
          <w:p>
            <w:r/>
            <w:r>
              <w:rPr>
                <w:b w:val="0"/>
                <w:i w:val="0"/>
                <w:sz w:val="17"/>
              </w:rPr>
              <w:t>No periodic written progress reports during the extended non-monetary cure (Playbook X.A). Cure periods otherwise conform and are correctly stated in Lender Item 7.</w:t>
            </w:r>
          </w:p>
        </w:tc>
        <w:tc>
          <w:tcPr>
            <w:tcW w:type="dxa" w:w="2664"/>
          </w:tcPr>
          <w:p>
            <w:r/>
            <w:r>
              <w:rPr>
                <w:b w:val="0"/>
                <w:i w:val="0"/>
                <w:sz w:val="17"/>
              </w:rPr>
              <w:t>Add reporting covenant (it protects Ridgeline's cure extension).</w:t>
            </w:r>
          </w:p>
        </w:tc>
      </w:tr>
      <w:tr>
        <w:tc>
          <w:tcPr>
            <w:tcW w:type="dxa" w:w="432"/>
          </w:tcPr>
          <w:p>
            <w:r/>
            <w:r>
              <w:rPr>
                <w:b w:val="0"/>
                <w:i w:val="0"/>
                <w:sz w:val="17"/>
              </w:rPr>
              <w:t>20</w:t>
            </w:r>
          </w:p>
        </w:tc>
        <w:tc>
          <w:tcPr>
            <w:tcW w:type="dxa" w:w="936"/>
            <w:shd w:val="clear" w:color="auto" w:fill="FFF2B3"/>
          </w:tcPr>
          <w:p>
            <w:r/>
            <w:r>
              <w:rPr>
                <w:b w:val="0"/>
                <w:i w:val="0"/>
                <w:sz w:val="17"/>
              </w:rPr>
              <w:t>Medium</w:t>
            </w:r>
          </w:p>
        </w:tc>
        <w:tc>
          <w:tcPr>
            <w:tcW w:type="dxa" w:w="1872"/>
          </w:tcPr>
          <w:p>
            <w:r/>
            <w:r>
              <w:rPr>
                <w:b w:val="0"/>
                <w:i w:val="0"/>
                <w:sz w:val="17"/>
              </w:rPr>
              <w:t>Title / existing encumbrances (9.2(c))</w:t>
            </w:r>
          </w:p>
        </w:tc>
        <w:tc>
          <w:tcPr>
            <w:tcW w:type="dxa" w:w="4176"/>
          </w:tcPr>
          <w:p>
            <w:r/>
            <w:r>
              <w:rPr>
                <w:b w:val="0"/>
                <w:i w:val="0"/>
                <w:sz w:val="17"/>
              </w:rPr>
              <w:t>Rep is "subject only to matters of public record" and limited to encumbrances that "materially interfere" - existing deeds of trust may be senior to Ridgeline's interest.</w:t>
            </w:r>
          </w:p>
        </w:tc>
        <w:tc>
          <w:tcPr>
            <w:tcW w:type="dxa" w:w="2664"/>
          </w:tcPr>
          <w:p>
            <w:r/>
            <w:r>
              <w:rPr>
                <w:b w:val="0"/>
                <w:i w:val="0"/>
                <w:sz w:val="17"/>
              </w:rPr>
              <w:t>Order title commitments for all three tax lots; obtain subordination/non-disturbance from any existing lender (Lender Item 2).</w:t>
            </w:r>
          </w:p>
        </w:tc>
      </w:tr>
      <w:tr>
        <w:tc>
          <w:tcPr>
            <w:tcW w:type="dxa" w:w="432"/>
          </w:tcPr>
          <w:p>
            <w:r/>
            <w:r>
              <w:rPr>
                <w:b w:val="0"/>
                <w:i w:val="0"/>
                <w:sz w:val="17"/>
              </w:rPr>
              <w:t>21</w:t>
            </w:r>
          </w:p>
        </w:tc>
        <w:tc>
          <w:tcPr>
            <w:tcW w:type="dxa" w:w="936"/>
            <w:shd w:val="clear" w:color="auto" w:fill="FFF2B3"/>
          </w:tcPr>
          <w:p>
            <w:r/>
            <w:r>
              <w:rPr>
                <w:b w:val="0"/>
                <w:i w:val="0"/>
                <w:sz w:val="17"/>
              </w:rPr>
              <w:t>Medium</w:t>
            </w:r>
          </w:p>
        </w:tc>
        <w:tc>
          <w:tcPr>
            <w:tcW w:type="dxa" w:w="1872"/>
          </w:tcPr>
          <w:p>
            <w:r/>
            <w:r>
              <w:rPr>
                <w:b w:val="0"/>
                <w:i w:val="0"/>
                <w:sz w:val="17"/>
              </w:rPr>
              <w:t>Construction Period open-ended (5.3)</w:t>
            </w:r>
          </w:p>
        </w:tc>
        <w:tc>
          <w:tcPr>
            <w:tcW w:type="dxa" w:w="4176"/>
          </w:tcPr>
          <w:p>
            <w:r/>
            <w:r>
              <w:rPr>
                <w:b w:val="0"/>
                <w:i w:val="0"/>
                <w:sz w:val="17"/>
              </w:rPr>
              <w:t>No COD outside date; pro rata option rate undefined after Dec. 17, 2029. Developer-favorable, but the Landowner may later argue the arrangement lacks a definite rate.</w:t>
            </w:r>
          </w:p>
        </w:tc>
        <w:tc>
          <w:tcPr>
            <w:tcW w:type="dxa" w:w="2664"/>
          </w:tcPr>
          <w:p>
            <w:r/>
            <w:r>
              <w:rPr>
                <w:b w:val="0"/>
                <w:i w:val="0"/>
                <w:sz w:val="17"/>
              </w:rPr>
              <w:t>Specify the rate after Year 5 (e.g., Year 5 rate escalating 2%).</w:t>
            </w:r>
          </w:p>
        </w:tc>
      </w:tr>
      <w:tr>
        <w:tc>
          <w:tcPr>
            <w:tcW w:type="dxa" w:w="432"/>
          </w:tcPr>
          <w:p>
            <w:r/>
            <w:r>
              <w:rPr>
                <w:b w:val="0"/>
                <w:i w:val="0"/>
                <w:sz w:val="17"/>
              </w:rPr>
              <w:t>22</w:t>
            </w:r>
          </w:p>
        </w:tc>
        <w:tc>
          <w:tcPr>
            <w:tcW w:type="dxa" w:w="936"/>
            <w:shd w:val="clear" w:color="auto" w:fill="D9EAD3"/>
          </w:tcPr>
          <w:p>
            <w:r/>
            <w:r>
              <w:rPr>
                <w:b w:val="0"/>
                <w:i w:val="0"/>
                <w:sz w:val="17"/>
              </w:rPr>
              <w:t>Low</w:t>
            </w:r>
          </w:p>
        </w:tc>
        <w:tc>
          <w:tcPr>
            <w:tcW w:type="dxa" w:w="1872"/>
          </w:tcPr>
          <w:p>
            <w:r/>
            <w:r>
              <w:rPr>
                <w:b w:val="0"/>
                <w:i w:val="0"/>
                <w:sz w:val="17"/>
              </w:rPr>
              <w:t>Confidentiality carve-outs (18.1)</w:t>
            </w:r>
          </w:p>
        </w:tc>
        <w:tc>
          <w:tcPr>
            <w:tcW w:type="dxa" w:w="4176"/>
          </w:tcPr>
          <w:p>
            <w:r/>
            <w:r>
              <w:rPr>
                <w:b w:val="0"/>
                <w:i w:val="0"/>
                <w:sz w:val="17"/>
              </w:rPr>
              <w:t>Land agents (Trailhead) and appraisers (Bridger) are not expressly covered (Playbook XII.C); no time limit (survives indefinitely under 17.3).</w:t>
            </w:r>
          </w:p>
        </w:tc>
        <w:tc>
          <w:tcPr>
            <w:tcW w:type="dxa" w:w="2664"/>
          </w:tcPr>
          <w:p>
            <w:r/>
            <w:r>
              <w:rPr>
                <w:b w:val="0"/>
                <w:i w:val="0"/>
                <w:sz w:val="17"/>
              </w:rPr>
              <w:t>Add Trailhead/Bridger; add MFN-disclosure consent (Issue 5).</w:t>
            </w:r>
          </w:p>
        </w:tc>
      </w:tr>
      <w:tr>
        <w:tc>
          <w:tcPr>
            <w:tcW w:type="dxa" w:w="432"/>
          </w:tcPr>
          <w:p>
            <w:r/>
            <w:r>
              <w:rPr>
                <w:b w:val="0"/>
                <w:i w:val="0"/>
                <w:sz w:val="17"/>
              </w:rPr>
              <w:t>23</w:t>
            </w:r>
          </w:p>
        </w:tc>
        <w:tc>
          <w:tcPr>
            <w:tcW w:type="dxa" w:w="936"/>
            <w:shd w:val="clear" w:color="auto" w:fill="D9EAD3"/>
          </w:tcPr>
          <w:p>
            <w:r/>
            <w:r>
              <w:rPr>
                <w:b w:val="0"/>
                <w:i w:val="0"/>
                <w:sz w:val="17"/>
              </w:rPr>
              <w:t>Low</w:t>
            </w:r>
          </w:p>
        </w:tc>
        <w:tc>
          <w:tcPr>
            <w:tcW w:type="dxa" w:w="1872"/>
          </w:tcPr>
          <w:p>
            <w:r/>
            <w:r>
              <w:rPr>
                <w:b w:val="0"/>
                <w:i w:val="0"/>
                <w:sz w:val="17"/>
              </w:rPr>
              <w:t>Arbitration (19.1)</w:t>
            </w:r>
          </w:p>
        </w:tc>
        <w:tc>
          <w:tcPr>
            <w:tcW w:type="dxa" w:w="4176"/>
          </w:tcPr>
          <w:p>
            <w:r/>
            <w:r>
              <w:rPr>
                <w:b w:val="0"/>
                <w:i w:val="0"/>
                <w:sz w:val="17"/>
              </w:rPr>
              <w:t>Arbitrator need not have energy/real-property experience (Playbook X.C).</w:t>
            </w:r>
          </w:p>
        </w:tc>
        <w:tc>
          <w:tcPr>
            <w:tcW w:type="dxa" w:w="2664"/>
          </w:tcPr>
          <w:p>
            <w:r/>
            <w:r>
              <w:rPr>
                <w:b w:val="0"/>
                <w:i w:val="0"/>
                <w:sz w:val="17"/>
              </w:rPr>
              <w:t>Add qualification.</w:t>
            </w:r>
          </w:p>
        </w:tc>
      </w:tr>
      <w:tr>
        <w:tc>
          <w:tcPr>
            <w:tcW w:type="dxa" w:w="432"/>
          </w:tcPr>
          <w:p>
            <w:r/>
            <w:r>
              <w:rPr>
                <w:b w:val="0"/>
                <w:i w:val="0"/>
                <w:sz w:val="17"/>
              </w:rPr>
              <w:t>24</w:t>
            </w:r>
          </w:p>
        </w:tc>
        <w:tc>
          <w:tcPr>
            <w:tcW w:type="dxa" w:w="936"/>
            <w:shd w:val="clear" w:color="auto" w:fill="D9EAD3"/>
          </w:tcPr>
          <w:p>
            <w:r/>
            <w:r>
              <w:rPr>
                <w:b w:val="0"/>
                <w:i w:val="0"/>
                <w:sz w:val="17"/>
              </w:rPr>
              <w:t>Low</w:t>
            </w:r>
          </w:p>
        </w:tc>
        <w:tc>
          <w:tcPr>
            <w:tcW w:type="dxa" w:w="1872"/>
          </w:tcPr>
          <w:p>
            <w:r/>
            <w:r>
              <w:rPr>
                <w:b w:val="0"/>
                <w:i w:val="0"/>
                <w:sz w:val="17"/>
              </w:rPr>
              <w:t>Hunting reservation (8.2)</w:t>
            </w:r>
          </w:p>
        </w:tc>
        <w:tc>
          <w:tcPr>
            <w:tcW w:type="dxa" w:w="4176"/>
          </w:tcPr>
          <w:p>
            <w:r/>
            <w:r>
              <w:rPr>
                <w:b w:val="0"/>
                <w:i w:val="0"/>
                <w:sz w:val="17"/>
              </w:rPr>
              <w:t>Reserves rights to Landowner but not expressly to Landowner's invitees; does not mention trapping (Playbook V.B).</w:t>
            </w:r>
          </w:p>
        </w:tc>
        <w:tc>
          <w:tcPr>
            <w:tcW w:type="dxa" w:w="2664"/>
          </w:tcPr>
          <w:p>
            <w:r/>
            <w:r>
              <w:rPr>
                <w:b w:val="0"/>
                <w:i w:val="0"/>
                <w:sz w:val="17"/>
              </w:rPr>
              <w:t>Housekeeping.</w:t>
            </w:r>
          </w:p>
        </w:tc>
      </w:tr>
      <w:tr>
        <w:tc>
          <w:tcPr>
            <w:tcW w:type="dxa" w:w="432"/>
          </w:tcPr>
          <w:p>
            <w:r/>
            <w:r>
              <w:rPr>
                <w:b w:val="0"/>
                <w:i w:val="0"/>
                <w:sz w:val="17"/>
              </w:rPr>
              <w:t>25</w:t>
            </w:r>
          </w:p>
        </w:tc>
        <w:tc>
          <w:tcPr>
            <w:tcW w:type="dxa" w:w="936"/>
            <w:shd w:val="clear" w:color="auto" w:fill="D9EAD3"/>
          </w:tcPr>
          <w:p>
            <w:r/>
            <w:r>
              <w:rPr>
                <w:b w:val="0"/>
                <w:i w:val="0"/>
                <w:sz w:val="17"/>
              </w:rPr>
              <w:t>Low</w:t>
            </w:r>
          </w:p>
        </w:tc>
        <w:tc>
          <w:tcPr>
            <w:tcW w:type="dxa" w:w="1872"/>
          </w:tcPr>
          <w:p>
            <w:r/>
            <w:r>
              <w:rPr>
                <w:b w:val="0"/>
                <w:i w:val="0"/>
                <w:sz w:val="17"/>
              </w:rPr>
              <w:t>Partial release</w:t>
            </w:r>
          </w:p>
        </w:tc>
        <w:tc>
          <w:tcPr>
            <w:tcW w:type="dxa" w:w="4176"/>
          </w:tcPr>
          <w:p>
            <w:r/>
            <w:r>
              <w:rPr>
                <w:b w:val="0"/>
                <w:i w:val="0"/>
                <w:sz w:val="17"/>
              </w:rPr>
              <w:t>No right to release unneeded acreage to reduce per-acre option payments on 4,200 acres.</w:t>
            </w:r>
          </w:p>
        </w:tc>
        <w:tc>
          <w:tcPr>
            <w:tcW w:type="dxa" w:w="2664"/>
          </w:tcPr>
          <w:p>
            <w:r/>
            <w:r>
              <w:rPr>
                <w:b w:val="0"/>
                <w:i w:val="0"/>
                <w:sz w:val="17"/>
              </w:rPr>
              <w:t>Consider adding a partial-release right.</w:t>
            </w:r>
          </w:p>
        </w:tc>
      </w:tr>
      <w:tr>
        <w:tc>
          <w:tcPr>
            <w:tcW w:type="dxa" w:w="432"/>
          </w:tcPr>
          <w:p>
            <w:r/>
            <w:r>
              <w:rPr>
                <w:b w:val="0"/>
                <w:i w:val="0"/>
                <w:sz w:val="17"/>
              </w:rPr>
              <w:t>26</w:t>
            </w:r>
          </w:p>
        </w:tc>
        <w:tc>
          <w:tcPr>
            <w:tcW w:type="dxa" w:w="936"/>
            <w:shd w:val="clear" w:color="auto" w:fill="D9EAD3"/>
          </w:tcPr>
          <w:p>
            <w:r/>
            <w:r>
              <w:rPr>
                <w:b w:val="0"/>
                <w:i w:val="0"/>
                <w:sz w:val="17"/>
              </w:rPr>
              <w:t>Low</w:t>
            </w:r>
          </w:p>
        </w:tc>
        <w:tc>
          <w:tcPr>
            <w:tcW w:type="dxa" w:w="1872"/>
          </w:tcPr>
          <w:p>
            <w:r/>
            <w:r>
              <w:rPr>
                <w:b w:val="0"/>
                <w:i w:val="0"/>
                <w:sz w:val="17"/>
              </w:rPr>
              <w:t>Repowering</w:t>
            </w:r>
          </w:p>
        </w:tc>
        <w:tc>
          <w:tcPr>
            <w:tcW w:type="dxa" w:w="4176"/>
          </w:tcPr>
          <w:p>
            <w:r/>
            <w:r>
              <w:rPr>
                <w:b w:val="0"/>
                <w:i w:val="0"/>
                <w:sz w:val="17"/>
              </w:rPr>
              <w:t>"Replace" and "upgrade" likely cover repowering; Playbook IV.B uses "repower."</w:t>
            </w:r>
          </w:p>
        </w:tc>
        <w:tc>
          <w:tcPr>
            <w:tcW w:type="dxa" w:w="2664"/>
          </w:tcPr>
          <w:p>
            <w:r/>
            <w:r>
              <w:rPr>
                <w:b w:val="0"/>
                <w:i w:val="0"/>
                <w:sz w:val="17"/>
              </w:rPr>
              <w:t>Add express term.</w:t>
            </w:r>
          </w:p>
        </w:tc>
      </w:tr>
    </w:tbl>
    <w:p>
      <w:pPr>
        <w:spacing w:after="40"/>
      </w:pPr>
    </w:p>
    <w:p>
      <w:pPr>
        <w:pStyle w:val="Heading1"/>
      </w:pPr>
      <w:r>
        <w:t>Part III - Lender Diligence Checklist Response Matrix (Stratton Whitaker / Highline)</w:t>
      </w:r>
    </w:p>
    <w:p>
      <w:pPr>
        <w:spacing w:after="80"/>
      </w:pPr>
      <w:r>
        <w:rPr>
          <w:b w:val="0"/>
          <w:i w:val="0"/>
        </w:rPr>
        <w:t xml:space="preserve">Priority items (1, 3, 4) are due </w:t>
      </w:r>
      <w:r>
        <w:rPr>
          <w:b/>
          <w:i w:val="0"/>
        </w:rPr>
        <w:t>Friday, January 24, 2025</w:t>
      </w:r>
      <w:r>
        <w:rPr>
          <w:b w:val="0"/>
          <w:i w:val="0"/>
        </w:rPr>
        <w:t xml:space="preserve"> and relate to conditions precedent under Highline's draft credit agreement; Items 2, 5, 6 and 7 are due </w:t>
      </w:r>
      <w:r>
        <w:rPr>
          <w:b/>
          <w:i w:val="0"/>
        </w:rPr>
        <w:t>Friday, February 7, 2025</w:t>
      </w:r>
      <w:r>
        <w:rPr>
          <w:b w:val="0"/>
          <w:i w:val="0"/>
        </w:rPr>
        <w:t>. The full checklist for all 15 land agreements is to follow.</w:t>
      </w:r>
    </w:p>
    <w:tbl>
      <w:tblPr>
        <w:tblStyle w:val="TableGrid"/>
        <w:tblW w:type="auto" w:w="0"/>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
              <w:rPr>
                <w:b/>
                <w:color w:val="FFFFFF"/>
                <w:sz w:val="17"/>
              </w:rPr>
              <w:t>Lender Item</w:t>
            </w:r>
          </w:p>
        </w:tc>
        <w:tc>
          <w:tcPr>
            <w:tcW w:type="dxa" w:w="1080"/>
            <w:shd w:val="clear" w:color="auto" w:fill="1F3A5F"/>
          </w:tcPr>
          <w:p>
            <w:r/>
            <w:r>
              <w:rPr>
                <w:b/>
                <w:color w:val="FFFFFF"/>
                <w:sz w:val="17"/>
              </w:rPr>
              <w:t>Due</w:t>
            </w:r>
          </w:p>
        </w:tc>
        <w:tc>
          <w:tcPr>
            <w:tcW w:type="dxa" w:w="3312"/>
            <w:shd w:val="clear" w:color="auto" w:fill="1F3A5F"/>
          </w:tcPr>
          <w:p>
            <w:r/>
            <w:r>
              <w:rPr>
                <w:b/>
                <w:color w:val="FFFFFF"/>
                <w:sz w:val="17"/>
              </w:rPr>
              <w:t>What the Agreement Provides</w:t>
            </w:r>
          </w:p>
        </w:tc>
        <w:tc>
          <w:tcPr>
            <w:tcW w:type="dxa" w:w="3240"/>
            <w:shd w:val="clear" w:color="auto" w:fill="1F3A5F"/>
          </w:tcPr>
          <w:p>
            <w:r/>
            <w:r>
              <w:rPr>
                <w:b/>
                <w:color w:val="FFFFFF"/>
                <w:sz w:val="17"/>
              </w:rPr>
              <w:t>Proposed Response / Action</w:t>
            </w:r>
          </w:p>
        </w:tc>
        <w:tc>
          <w:tcPr>
            <w:tcW w:type="dxa" w:w="864"/>
            <w:shd w:val="clear" w:color="auto" w:fill="1F3A5F"/>
          </w:tcPr>
          <w:p>
            <w:r/>
            <w:r>
              <w:rPr>
                <w:b/>
                <w:color w:val="FFFFFF"/>
                <w:sz w:val="17"/>
              </w:rPr>
              <w:t>Status</w:t>
            </w:r>
          </w:p>
        </w:tc>
      </w:tr>
      <w:tr>
        <w:tc>
          <w:tcPr>
            <w:tcW w:type="dxa" w:w="1584"/>
          </w:tcPr>
          <w:p>
            <w:r/>
            <w:r>
              <w:rPr>
                <w:b w:val="0"/>
                <w:i w:val="0"/>
                <w:sz w:val="17"/>
              </w:rPr>
              <w:t>1. Recorded Memorandum</w:t>
            </w:r>
          </w:p>
        </w:tc>
        <w:tc>
          <w:tcPr>
            <w:tcW w:type="dxa" w:w="1080"/>
          </w:tcPr>
          <w:p>
            <w:r/>
            <w:r>
              <w:rPr>
                <w:b w:val="0"/>
                <w:i w:val="0"/>
                <w:sz w:val="17"/>
              </w:rPr>
              <w:t>Priority - Jan. 24</w:t>
            </w:r>
          </w:p>
        </w:tc>
        <w:tc>
          <w:tcPr>
            <w:tcW w:type="dxa" w:w="3312"/>
          </w:tcPr>
          <w:p>
            <w:r/>
            <w:r>
              <w:rPr>
                <w:b w:val="0"/>
                <w:i w:val="0"/>
                <w:sz w:val="17"/>
              </w:rPr>
              <w:t>Sec. 14.5 requires prompt recording substantially in the Exhibit B form, but Exhibit B is only a placeholder and Exhibit A lacks metes and bounds. No recording information in file; copy shows blank signatures and acknowledgments.</w:t>
            </w:r>
          </w:p>
        </w:tc>
        <w:tc>
          <w:tcPr>
            <w:tcW w:type="dxa" w:w="3240"/>
          </w:tcPr>
          <w:p>
            <w:r/>
            <w:r>
              <w:rPr>
                <w:b w:val="0"/>
                <w:i w:val="0"/>
                <w:sz w:val="17"/>
              </w:rPr>
              <w:t>Cannot yet confirm recording. Confirm status with Columbia Basin Title &amp; Escrow; prepare, execute, acknowledge and record a compliant memorandum (Issue 4); provide recorded copy with recording data; advise that Exhibits A and B will be completed by amendment.</w:t>
            </w:r>
          </w:p>
        </w:tc>
        <w:tc>
          <w:tcPr>
            <w:tcW w:type="dxa" w:w="864"/>
            <w:shd w:val="clear" w:color="auto" w:fill="F4B6B6"/>
          </w:tcPr>
          <w:p>
            <w:r/>
            <w:r>
              <w:rPr>
                <w:b w:val="0"/>
                <w:i w:val="0"/>
                <w:sz w:val="17"/>
              </w:rPr>
              <w:t>Gap</w:t>
            </w:r>
          </w:p>
        </w:tc>
      </w:tr>
      <w:tr>
        <w:tc>
          <w:tcPr>
            <w:tcW w:type="dxa" w:w="1584"/>
          </w:tcPr>
          <w:p>
            <w:r/>
            <w:r>
              <w:rPr>
                <w:b w:val="0"/>
                <w:i w:val="0"/>
                <w:sz w:val="17"/>
              </w:rPr>
              <w:t>2. Title commitment / encumbrances</w:t>
            </w:r>
          </w:p>
        </w:tc>
        <w:tc>
          <w:tcPr>
            <w:tcW w:type="dxa" w:w="1080"/>
          </w:tcPr>
          <w:p>
            <w:r/>
            <w:r>
              <w:rPr>
                <w:b w:val="0"/>
                <w:i w:val="0"/>
                <w:sz w:val="17"/>
              </w:rPr>
              <w:t>Feb. 7</w:t>
            </w:r>
          </w:p>
        </w:tc>
        <w:tc>
          <w:tcPr>
            <w:tcW w:type="dxa" w:w="3312"/>
          </w:tcPr>
          <w:p>
            <w:r/>
            <w:r>
              <w:rPr>
                <w:b w:val="0"/>
                <w:i w:val="0"/>
                <w:sz w:val="17"/>
              </w:rPr>
              <w:t>Landowner rep 9.2(c) is subject to matters of public record; 9.2(e) no conflicting options/ROFRs/leases. 14.4 bars new encumbrances without Ridgeline consent (subject to the Section 4.1 effectiveness issue).</w:t>
            </w:r>
          </w:p>
        </w:tc>
        <w:tc>
          <w:tcPr>
            <w:tcW w:type="dxa" w:w="3240"/>
          </w:tcPr>
          <w:p>
            <w:r/>
            <w:r>
              <w:rPr>
                <w:b w:val="0"/>
                <w:i w:val="0"/>
                <w:sz w:val="17"/>
              </w:rPr>
              <w:t>Order commitments for Tax Lots 200, 400 and 150; identify senior deeds of trust and obtain SNDAs; confirm a leasehold policy can issue on exercise.</w:t>
            </w:r>
          </w:p>
        </w:tc>
        <w:tc>
          <w:tcPr>
            <w:tcW w:type="dxa" w:w="864"/>
            <w:shd w:val="clear" w:color="auto" w:fill="FFF2B3"/>
          </w:tcPr>
          <w:p>
            <w:r/>
            <w:r>
              <w:rPr>
                <w:b w:val="0"/>
                <w:i w:val="0"/>
                <w:sz w:val="17"/>
              </w:rPr>
              <w:t>Partial</w:t>
            </w:r>
          </w:p>
        </w:tc>
      </w:tr>
      <w:tr>
        <w:tc>
          <w:tcPr>
            <w:tcW w:type="dxa" w:w="1584"/>
          </w:tcPr>
          <w:p>
            <w:r/>
            <w:r>
              <w:rPr>
                <w:b w:val="0"/>
                <w:i w:val="0"/>
                <w:sz w:val="17"/>
              </w:rPr>
              <w:t>3. Decommissioning security</w:t>
            </w:r>
          </w:p>
        </w:tc>
        <w:tc>
          <w:tcPr>
            <w:tcW w:type="dxa" w:w="1080"/>
          </w:tcPr>
          <w:p>
            <w:r/>
            <w:r>
              <w:rPr>
                <w:b w:val="0"/>
                <w:i w:val="0"/>
                <w:sz w:val="17"/>
              </w:rPr>
              <w:t>Priority - Jan. 24</w:t>
            </w:r>
          </w:p>
        </w:tc>
        <w:tc>
          <w:tcPr>
            <w:tcW w:type="dxa" w:w="3312"/>
          </w:tcPr>
          <w:p>
            <w:r/>
            <w:r>
              <w:rPr>
                <w:b w:val="0"/>
                <w:i w:val="0"/>
                <w:sz w:val="17"/>
              </w:rPr>
              <w:t>$45,000/WTG (min. $1,575,000) posted by 15th anniversary of COD; no interim security, reserve, or Cascade guaranty; Landowner may draw only if posted (13.4).</w:t>
            </w:r>
          </w:p>
        </w:tc>
        <w:tc>
          <w:tcPr>
            <w:tcW w:type="dxa" w:w="3240"/>
          </w:tcPr>
          <w:p>
            <w:r/>
            <w:r>
              <w:rPr>
                <w:b w:val="0"/>
                <w:i w:val="0"/>
                <w:sz w:val="17"/>
              </w:rPr>
              <w:t>(a) No interim assurance exists. (b) No mechanism before year 15 other than Ridgeline's unsecured obligation. (c) Ridgeline will propose an amendment to post at COD (Playbook standard) or no later than COD+5, with inflation adjustment; interim parent guaranty as fallback (Issue 2).</w:t>
            </w:r>
          </w:p>
        </w:tc>
        <w:tc>
          <w:tcPr>
            <w:tcW w:type="dxa" w:w="864"/>
            <w:shd w:val="clear" w:color="auto" w:fill="F4B6B6"/>
          </w:tcPr>
          <w:p>
            <w:r/>
            <w:r>
              <w:rPr>
                <w:b w:val="0"/>
                <w:i w:val="0"/>
                <w:sz w:val="17"/>
              </w:rPr>
              <w:t>Gap</w:t>
            </w:r>
          </w:p>
        </w:tc>
      </w:tr>
      <w:tr>
        <w:tc>
          <w:tcPr>
            <w:tcW w:type="dxa" w:w="1584"/>
          </w:tcPr>
          <w:p>
            <w:r/>
            <w:r>
              <w:rPr>
                <w:b w:val="0"/>
                <w:i w:val="0"/>
                <w:sz w:val="17"/>
              </w:rPr>
              <w:t>4. Indemnification / survival</w:t>
            </w:r>
          </w:p>
        </w:tc>
        <w:tc>
          <w:tcPr>
            <w:tcW w:type="dxa" w:w="1080"/>
          </w:tcPr>
          <w:p>
            <w:r/>
            <w:r>
              <w:rPr>
                <w:b w:val="0"/>
                <w:i w:val="0"/>
                <w:sz w:val="17"/>
              </w:rPr>
              <w:t>Priority - Jan. 24</w:t>
            </w:r>
          </w:p>
        </w:tc>
        <w:tc>
          <w:tcPr>
            <w:tcW w:type="dxa" w:w="3312"/>
          </w:tcPr>
          <w:p>
            <w:r/>
            <w:r>
              <w:rPr>
                <w:b w:val="0"/>
                <w:i w:val="0"/>
                <w:sz w:val="17"/>
              </w:rPr>
              <w:t>Scope, carve-outs and 3-yr survival as summarized in Issue 8. Environmental insurance $2M/occurrence through Lease and Renewal Terms only.</w:t>
            </w:r>
          </w:p>
        </w:tc>
        <w:tc>
          <w:tcPr>
            <w:tcW w:type="dxa" w:w="3240"/>
          </w:tcPr>
          <w:p>
            <w:r/>
            <w:r>
              <w:rPr>
                <w:b w:val="0"/>
                <w:i w:val="0"/>
                <w:sz w:val="17"/>
              </w:rPr>
              <w:t>Confirm 3-yr survival; propose extension to 6 yrs (ORS 12.080) and environmental tail coverage (Issue 8).</w:t>
            </w:r>
          </w:p>
        </w:tc>
        <w:tc>
          <w:tcPr>
            <w:tcW w:type="dxa" w:w="864"/>
            <w:shd w:val="clear" w:color="auto" w:fill="FFF2B3"/>
          </w:tcPr>
          <w:p>
            <w:r/>
            <w:r>
              <w:rPr>
                <w:b w:val="0"/>
                <w:i w:val="0"/>
                <w:sz w:val="17"/>
              </w:rPr>
              <w:t>Partial</w:t>
            </w:r>
          </w:p>
        </w:tc>
      </w:tr>
      <w:tr>
        <w:tc>
          <w:tcPr>
            <w:tcW w:type="dxa" w:w="1584"/>
          </w:tcPr>
          <w:p>
            <w:r/>
            <w:r>
              <w:rPr>
                <w:b w:val="0"/>
                <w:i w:val="0"/>
                <w:sz w:val="17"/>
              </w:rPr>
              <w:t>5. Insurance certificates</w:t>
            </w:r>
          </w:p>
        </w:tc>
        <w:tc>
          <w:tcPr>
            <w:tcW w:type="dxa" w:w="1080"/>
          </w:tcPr>
          <w:p>
            <w:r/>
            <w:r>
              <w:rPr>
                <w:b w:val="0"/>
                <w:i w:val="0"/>
                <w:sz w:val="17"/>
              </w:rPr>
              <w:t>Feb. 7</w:t>
            </w:r>
          </w:p>
        </w:tc>
        <w:tc>
          <w:tcPr>
            <w:tcW w:type="dxa" w:w="3312"/>
          </w:tcPr>
          <w:p>
            <w:r/>
            <w:r>
              <w:rPr>
                <w:b w:val="0"/>
                <w:i w:val="0"/>
                <w:sz w:val="17"/>
              </w:rPr>
              <w:t>Limits in Secs. 10.1-10.3 match the Lender's list. Lender not an additional insured; no cancellation notice; no Option-Period coverage required.</w:t>
            </w:r>
          </w:p>
        </w:tc>
        <w:tc>
          <w:tcPr>
            <w:tcW w:type="dxa" w:w="3240"/>
          </w:tcPr>
          <w:p>
            <w:r/>
            <w:r>
              <w:rPr>
                <w:b w:val="0"/>
                <w:i w:val="0"/>
                <w:sz w:val="17"/>
              </w:rPr>
              <w:t>Provide current pre-construction certificates; confirm construction coverages will be bound at or before exercise/NTP; amend to add Highline as additional insured (Issue 10).</w:t>
            </w:r>
          </w:p>
        </w:tc>
        <w:tc>
          <w:tcPr>
            <w:tcW w:type="dxa" w:w="864"/>
            <w:shd w:val="clear" w:color="auto" w:fill="FFF2B3"/>
          </w:tcPr>
          <w:p>
            <w:r/>
            <w:r>
              <w:rPr>
                <w:b w:val="0"/>
                <w:i w:val="0"/>
                <w:sz w:val="17"/>
              </w:rPr>
              <w:t>Partial</w:t>
            </w:r>
          </w:p>
        </w:tc>
      </w:tr>
      <w:tr>
        <w:tc>
          <w:tcPr>
            <w:tcW w:type="dxa" w:w="1584"/>
          </w:tcPr>
          <w:p>
            <w:r/>
            <w:r>
              <w:rPr>
                <w:b w:val="0"/>
                <w:i w:val="0"/>
                <w:sz w:val="17"/>
              </w:rPr>
              <w:t>6. Assignment / lender protections</w:t>
            </w:r>
          </w:p>
        </w:tc>
        <w:tc>
          <w:tcPr>
            <w:tcW w:type="dxa" w:w="1080"/>
          </w:tcPr>
          <w:p>
            <w:r/>
            <w:r>
              <w:rPr>
                <w:b w:val="0"/>
                <w:i w:val="0"/>
                <w:sz w:val="17"/>
              </w:rPr>
              <w:t>Feb. 7</w:t>
            </w:r>
          </w:p>
        </w:tc>
        <w:tc>
          <w:tcPr>
            <w:tcW w:type="dxa" w:w="3312"/>
          </w:tcPr>
          <w:p>
            <w:r/>
            <w:r>
              <w:rPr>
                <w:b w:val="0"/>
                <w:i w:val="0"/>
                <w:sz w:val="17"/>
              </w:rPr>
              <w:t>Affiliate free assignment (14.1); non-affiliate consent not unreasonably withheld (14.2); Qualified Transferee $50M / 200 MW without consent (14.3). No express collateral-assignment right; Highline likely not a Qualified Transferee.</w:t>
            </w:r>
          </w:p>
        </w:tc>
        <w:tc>
          <w:tcPr>
            <w:tcW w:type="dxa" w:w="3240"/>
          </w:tcPr>
          <w:p>
            <w:r/>
            <w:r>
              <w:rPr>
                <w:b w:val="0"/>
                <w:i w:val="0"/>
                <w:sz w:val="17"/>
              </w:rPr>
              <w:t>Consent likely required for collateral assignment; Ridgeline to seek Landowner consent/estoppel now and the lender-protection amendment (Issue 1).</w:t>
            </w:r>
          </w:p>
        </w:tc>
        <w:tc>
          <w:tcPr>
            <w:tcW w:type="dxa" w:w="864"/>
            <w:shd w:val="clear" w:color="auto" w:fill="F4B6B6"/>
          </w:tcPr>
          <w:p>
            <w:r/>
            <w:r>
              <w:rPr>
                <w:b w:val="0"/>
                <w:i w:val="0"/>
                <w:sz w:val="17"/>
              </w:rPr>
              <w:t>Gap</w:t>
            </w:r>
          </w:p>
        </w:tc>
      </w:tr>
      <w:tr>
        <w:tc>
          <w:tcPr>
            <w:tcW w:type="dxa" w:w="1584"/>
          </w:tcPr>
          <w:p>
            <w:r/>
            <w:r>
              <w:rPr>
                <w:b w:val="0"/>
                <w:i w:val="0"/>
                <w:sz w:val="17"/>
              </w:rPr>
              <w:t>7. Cure and step-in rights</w:t>
            </w:r>
          </w:p>
        </w:tc>
        <w:tc>
          <w:tcPr>
            <w:tcW w:type="dxa" w:w="1080"/>
          </w:tcPr>
          <w:p>
            <w:r/>
            <w:r>
              <w:rPr>
                <w:b w:val="0"/>
                <w:i w:val="0"/>
                <w:sz w:val="17"/>
              </w:rPr>
              <w:t>Feb. 7</w:t>
            </w:r>
          </w:p>
        </w:tc>
        <w:tc>
          <w:tcPr>
            <w:tcW w:type="dxa" w:w="3312"/>
          </w:tcPr>
          <w:p>
            <w:r/>
            <w:r>
              <w:rPr>
                <w:b w:val="0"/>
                <w:i w:val="0"/>
                <w:sz w:val="17"/>
              </w:rPr>
              <w:t>Lender's understanding of cure periods is correct: 60 days monetary; 90 days non-monetary, extendable to 180 if diligently pursued (16.1). No lender notice, cure or step-in rights.</w:t>
            </w:r>
          </w:p>
        </w:tc>
        <w:tc>
          <w:tcPr>
            <w:tcW w:type="dxa" w:w="3240"/>
          </w:tcPr>
          <w:p>
            <w:r/>
            <w:r>
              <w:rPr>
                <w:b w:val="0"/>
                <w:i w:val="0"/>
                <w:sz w:val="17"/>
              </w:rPr>
              <w:t>Confirm current terms; propose lender-protection article with simultaneous notice and at least 30 days beyond Ridgeline's cure period (Issue 1).</w:t>
            </w:r>
          </w:p>
        </w:tc>
        <w:tc>
          <w:tcPr>
            <w:tcW w:type="dxa" w:w="864"/>
            <w:shd w:val="clear" w:color="auto" w:fill="F4B6B6"/>
          </w:tcPr>
          <w:p>
            <w:r/>
            <w:r>
              <w:rPr>
                <w:b w:val="0"/>
                <w:i w:val="0"/>
                <w:sz w:val="17"/>
              </w:rPr>
              <w:t>Gap</w:t>
            </w:r>
          </w:p>
        </w:tc>
      </w:tr>
    </w:tbl>
    <w:p>
      <w:pPr>
        <w:spacing w:after="40"/>
      </w:pPr>
    </w:p>
    <w:p>
      <w:pPr>
        <w:pStyle w:val="Heading1"/>
      </w:pPr>
      <w:r>
        <w:t>Part IV - Critical Dates</w:t>
      </w:r>
    </w:p>
    <w:tbl>
      <w:tblPr>
        <w:tblStyle w:val="TableGrid"/>
        <w:tblW w:type="auto" w:w="0"/>
        <w:tblLook w:firstColumn="1" w:firstRow="1" w:lastColumn="0" w:lastRow="0" w:noHBand="0" w:noVBand="1" w:val="04A0"/>
      </w:tblPr>
      <w:tblGrid>
        <w:gridCol w:w="4824"/>
        <w:gridCol w:w="4824"/>
      </w:tblGrid>
      <w:tr>
        <w:trPr>
          <w:tblHeader w:val="true"/>
        </w:trPr>
        <w:tc>
          <w:tcPr>
            <w:tcW w:type="dxa" w:w="2448"/>
            <w:shd w:val="clear" w:color="auto" w:fill="1F3A5F"/>
          </w:tcPr>
          <w:p>
            <w:r/>
            <w:r>
              <w:rPr>
                <w:b/>
                <w:color w:val="FFFFFF"/>
                <w:sz w:val="17"/>
              </w:rPr>
              <w:t>Date</w:t>
            </w:r>
          </w:p>
        </w:tc>
        <w:tc>
          <w:tcPr>
            <w:tcW w:type="dxa" w:w="7632"/>
            <w:shd w:val="clear" w:color="auto" w:fill="1F3A5F"/>
          </w:tcPr>
          <w:p>
            <w:r/>
            <w:r>
              <w:rPr>
                <w:b/>
                <w:color w:val="FFFFFF"/>
                <w:sz w:val="17"/>
              </w:rPr>
              <w:t>Event / Obligation</w:t>
            </w:r>
          </w:p>
        </w:tc>
      </w:tr>
      <w:tr>
        <w:tc>
          <w:tcPr>
            <w:tcW w:type="dxa" w:w="2448"/>
          </w:tcPr>
          <w:p>
            <w:r/>
            <w:r>
              <w:rPr>
                <w:b w:val="0"/>
                <w:i w:val="0"/>
                <w:sz w:val="17"/>
              </w:rPr>
              <w:t>Dec. 18, 2024</w:t>
            </w:r>
          </w:p>
        </w:tc>
        <w:tc>
          <w:tcPr>
            <w:tcW w:type="dxa" w:w="7632"/>
          </w:tcPr>
          <w:p>
            <w:r/>
            <w:r>
              <w:rPr>
                <w:b w:val="0"/>
                <w:i w:val="0"/>
                <w:sz w:val="17"/>
              </w:rPr>
              <w:t>Effective Date; Year 1 Option Payment $75,600 due on execution (3.3); Option Period commences.</w:t>
            </w:r>
          </w:p>
        </w:tc>
      </w:tr>
      <w:tr>
        <w:tc>
          <w:tcPr>
            <w:tcW w:type="dxa" w:w="2448"/>
          </w:tcPr>
          <w:p>
            <w:r/>
            <w:r>
              <w:rPr>
                <w:b w:val="0"/>
                <w:i w:val="0"/>
                <w:sz w:val="17"/>
              </w:rPr>
              <w:t>Jan. 17, 2025</w:t>
            </w:r>
          </w:p>
        </w:tc>
        <w:tc>
          <w:tcPr>
            <w:tcW w:type="dxa" w:w="7632"/>
          </w:tcPr>
          <w:p>
            <w:r/>
            <w:r>
              <w:rPr>
                <w:b w:val="0"/>
                <w:i w:val="0"/>
                <w:sz w:val="17"/>
              </w:rPr>
              <w:t>Certificates of insurance due to Landowner (30 days after Effective Date) (10.4) - confirm delivered.</w:t>
            </w:r>
          </w:p>
        </w:tc>
      </w:tr>
      <w:tr>
        <w:tc>
          <w:tcPr>
            <w:tcW w:type="dxa" w:w="2448"/>
          </w:tcPr>
          <w:p>
            <w:r/>
            <w:r>
              <w:rPr>
                <w:b w:val="0"/>
                <w:i w:val="0"/>
                <w:sz w:val="17"/>
              </w:rPr>
              <w:t>Jan. 24, 2025 (Fri)</w:t>
            </w:r>
          </w:p>
        </w:tc>
        <w:tc>
          <w:tcPr>
            <w:tcW w:type="dxa" w:w="7632"/>
          </w:tcPr>
          <w:p>
            <w:r/>
            <w:r>
              <w:rPr>
                <w:b w:val="0"/>
                <w:i w:val="0"/>
                <w:sz w:val="17"/>
              </w:rPr>
              <w:t>Lender priority responses: Items 1, 3, 4.</w:t>
            </w:r>
          </w:p>
        </w:tc>
      </w:tr>
      <w:tr>
        <w:tc>
          <w:tcPr>
            <w:tcW w:type="dxa" w:w="2448"/>
          </w:tcPr>
          <w:p>
            <w:r/>
            <w:r>
              <w:rPr>
                <w:b w:val="0"/>
                <w:i w:val="0"/>
                <w:sz w:val="17"/>
              </w:rPr>
              <w:t>Feb. 7, 2025 (Fri)</w:t>
            </w:r>
          </w:p>
        </w:tc>
        <w:tc>
          <w:tcPr>
            <w:tcW w:type="dxa" w:w="7632"/>
          </w:tcPr>
          <w:p>
            <w:r/>
            <w:r>
              <w:rPr>
                <w:b w:val="0"/>
                <w:i w:val="0"/>
                <w:sz w:val="17"/>
              </w:rPr>
              <w:t>Lender responses: Items 2, 5, 6, 7.</w:t>
            </w:r>
          </w:p>
        </w:tc>
      </w:tr>
      <w:tr>
        <w:tc>
          <w:tcPr>
            <w:tcW w:type="dxa" w:w="2448"/>
          </w:tcPr>
          <w:p>
            <w:r/>
            <w:r>
              <w:rPr>
                <w:b w:val="0"/>
                <w:i w:val="0"/>
                <w:sz w:val="17"/>
              </w:rPr>
              <w:t>Dec. 18, 2025 (Thu)</w:t>
            </w:r>
          </w:p>
        </w:tc>
        <w:tc>
          <w:tcPr>
            <w:tcW w:type="dxa" w:w="7632"/>
          </w:tcPr>
          <w:p>
            <w:r/>
            <w:r>
              <w:rPr>
                <w:b w:val="0"/>
                <w:i w:val="0"/>
                <w:sz w:val="17"/>
              </w:rPr>
              <w:t>Year 2 Option Payment $75,600; insurance certificates (anniversary).</w:t>
            </w:r>
          </w:p>
        </w:tc>
      </w:tr>
      <w:tr>
        <w:tc>
          <w:tcPr>
            <w:tcW w:type="dxa" w:w="2448"/>
          </w:tcPr>
          <w:p>
            <w:r/>
            <w:r>
              <w:rPr>
                <w:b w:val="0"/>
                <w:i w:val="0"/>
                <w:sz w:val="17"/>
              </w:rPr>
              <w:t>Q2 2026</w:t>
            </w:r>
          </w:p>
        </w:tc>
        <w:tc>
          <w:tcPr>
            <w:tcW w:type="dxa" w:w="7632"/>
          </w:tcPr>
          <w:p>
            <w:r/>
            <w:r>
              <w:rPr>
                <w:b w:val="0"/>
                <w:i w:val="0"/>
                <w:sz w:val="17"/>
              </w:rPr>
              <w:t>Planned financial close with Highline - target for Exercise Notice, recorded memorandum, lender amendment and estoppel.</w:t>
            </w:r>
          </w:p>
        </w:tc>
      </w:tr>
      <w:tr>
        <w:tc>
          <w:tcPr>
            <w:tcW w:type="dxa" w:w="2448"/>
          </w:tcPr>
          <w:p>
            <w:r/>
            <w:r>
              <w:rPr>
                <w:b w:val="0"/>
                <w:i w:val="0"/>
                <w:sz w:val="17"/>
              </w:rPr>
              <w:t>Before Q3 2026 construction start</w:t>
            </w:r>
          </w:p>
        </w:tc>
        <w:tc>
          <w:tcPr>
            <w:tcW w:type="dxa" w:w="7632"/>
          </w:tcPr>
          <w:p>
            <w:r/>
            <w:r>
              <w:rPr>
                <w:b w:val="0"/>
                <w:i w:val="0"/>
                <w:sz w:val="17"/>
              </w:rPr>
              <w:t>Latest practical date to deliver Exercise Notice identifying construction start date (4.1).</w:t>
            </w:r>
          </w:p>
        </w:tc>
      </w:tr>
      <w:tr>
        <w:tc>
          <w:tcPr>
            <w:tcW w:type="dxa" w:w="2448"/>
          </w:tcPr>
          <w:p>
            <w:r/>
            <w:r>
              <w:rPr>
                <w:b w:val="0"/>
                <w:i w:val="0"/>
                <w:sz w:val="17"/>
              </w:rPr>
              <w:t>Dec. 18, 2026 (Fri)</w:t>
            </w:r>
          </w:p>
        </w:tc>
        <w:tc>
          <w:tcPr>
            <w:tcW w:type="dxa" w:w="7632"/>
          </w:tcPr>
          <w:p>
            <w:r/>
            <w:r>
              <w:rPr>
                <w:b w:val="0"/>
                <w:i w:val="0"/>
                <w:sz w:val="17"/>
              </w:rPr>
              <w:t>Year 3 Option Payment $84,000 (if not yet exercised; otherwise Sec. 5.3 pro rata payments).</w:t>
            </w:r>
          </w:p>
        </w:tc>
      </w:tr>
      <w:tr>
        <w:tc>
          <w:tcPr>
            <w:tcW w:type="dxa" w:w="2448"/>
          </w:tcPr>
          <w:p>
            <w:r/>
            <w:r>
              <w:rPr>
                <w:b w:val="0"/>
                <w:i w:val="0"/>
                <w:sz w:val="17"/>
              </w:rPr>
              <w:t>Fri. Sept. 17, 2027</w:t>
            </w:r>
          </w:p>
        </w:tc>
        <w:tc>
          <w:tcPr>
            <w:tcW w:type="dxa" w:w="7632"/>
          </w:tcPr>
          <w:p>
            <w:r/>
            <w:r>
              <w:rPr>
                <w:b w:val="0"/>
                <w:i w:val="0"/>
                <w:sz w:val="17"/>
              </w:rPr>
              <w:t>Recommended last business day for First Extension notice (90-day date is Sun., Sept. 19, 2027; Sec. 3.2 states Sept. 20, which is only 89 days). Internal target: early August 2027.</w:t>
            </w:r>
          </w:p>
        </w:tc>
      </w:tr>
      <w:tr>
        <w:tc>
          <w:tcPr>
            <w:tcW w:type="dxa" w:w="2448"/>
          </w:tcPr>
          <w:p>
            <w:r/>
            <w:r>
              <w:rPr>
                <w:b w:val="0"/>
                <w:i w:val="0"/>
                <w:sz w:val="17"/>
              </w:rPr>
              <w:t>Dec. 18, 2027 (Sat)</w:t>
            </w:r>
          </w:p>
        </w:tc>
        <w:tc>
          <w:tcPr>
            <w:tcW w:type="dxa" w:w="7632"/>
          </w:tcPr>
          <w:p>
            <w:r/>
            <w:r>
              <w:rPr>
                <w:b w:val="0"/>
                <w:i w:val="0"/>
                <w:sz w:val="17"/>
              </w:rPr>
              <w:t>Initial Option Period expires 11:59 p.m. PT; Ext. Year 4 payment $92,400 due on or before this date if extended. Target COD Q4 2027.</w:t>
            </w:r>
          </w:p>
        </w:tc>
      </w:tr>
      <w:tr>
        <w:tc>
          <w:tcPr>
            <w:tcW w:type="dxa" w:w="2448"/>
          </w:tcPr>
          <w:p>
            <w:r/>
            <w:r>
              <w:rPr>
                <w:b w:val="0"/>
                <w:i w:val="0"/>
                <w:sz w:val="17"/>
              </w:rPr>
              <w:t>Tue. Sept. 19, 2028</w:t>
            </w:r>
          </w:p>
        </w:tc>
        <w:tc>
          <w:tcPr>
            <w:tcW w:type="dxa" w:w="7632"/>
          </w:tcPr>
          <w:p>
            <w:r/>
            <w:r>
              <w:rPr>
                <w:b w:val="0"/>
                <w:i w:val="0"/>
                <w:sz w:val="17"/>
              </w:rPr>
              <w:t>Second Extension notice (90-day date; Sec. 3.2 states Sept. 20, 2028).</w:t>
            </w:r>
          </w:p>
        </w:tc>
      </w:tr>
      <w:tr>
        <w:tc>
          <w:tcPr>
            <w:tcW w:type="dxa" w:w="2448"/>
          </w:tcPr>
          <w:p>
            <w:r/>
            <w:r>
              <w:rPr>
                <w:b w:val="0"/>
                <w:i w:val="0"/>
                <w:sz w:val="17"/>
              </w:rPr>
              <w:t>Dec. 18, 2029 (Tue)</w:t>
            </w:r>
          </w:p>
        </w:tc>
        <w:tc>
          <w:tcPr>
            <w:tcW w:type="dxa" w:w="7632"/>
          </w:tcPr>
          <w:p>
            <w:r/>
            <w:r>
              <w:rPr>
                <w:b w:val="0"/>
                <w:i w:val="0"/>
                <w:sz w:val="17"/>
              </w:rPr>
              <w:t>Outside expiration of Option Period with both extensions.</w:t>
            </w:r>
          </w:p>
        </w:tc>
      </w:tr>
      <w:tr>
        <w:tc>
          <w:tcPr>
            <w:tcW w:type="dxa" w:w="2448"/>
          </w:tcPr>
          <w:p>
            <w:r/>
            <w:r>
              <w:rPr>
                <w:b w:val="0"/>
                <w:i w:val="0"/>
                <w:sz w:val="17"/>
              </w:rPr>
              <w:t>60 days after completion of initial construction</w:t>
            </w:r>
          </w:p>
        </w:tc>
        <w:tc>
          <w:tcPr>
            <w:tcW w:type="dxa" w:w="7632"/>
          </w:tcPr>
          <w:p>
            <w:r/>
            <w:r>
              <w:rPr>
                <w:b w:val="0"/>
                <w:i w:val="0"/>
                <w:sz w:val="17"/>
              </w:rPr>
              <w:t>Crop Damage Payment (~$49,000) (6.7).</w:t>
            </w:r>
          </w:p>
        </w:tc>
      </w:tr>
      <w:tr>
        <w:tc>
          <w:tcPr>
            <w:tcW w:type="dxa" w:w="2448"/>
          </w:tcPr>
          <w:p>
            <w:r/>
            <w:r>
              <w:rPr>
                <w:b w:val="0"/>
                <w:i w:val="0"/>
                <w:sz w:val="17"/>
              </w:rPr>
              <w:t>Each Lease Year end + 30 / 90 days</w:t>
            </w:r>
          </w:p>
        </w:tc>
        <w:tc>
          <w:tcPr>
            <w:tcW w:type="dxa" w:w="7632"/>
          </w:tcPr>
          <w:p>
            <w:r/>
            <w:r>
              <w:rPr>
                <w:b w:val="0"/>
                <w:i w:val="0"/>
                <w:sz w:val="17"/>
              </w:rPr>
              <w:t>Substation Fee in arrears (+30 days) (6.5); annual rent statement (+90 days) (6.4).</w:t>
            </w:r>
          </w:p>
        </w:tc>
      </w:tr>
      <w:tr>
        <w:tc>
          <w:tcPr>
            <w:tcW w:type="dxa" w:w="2448"/>
          </w:tcPr>
          <w:p>
            <w:r/>
            <w:r>
              <w:rPr>
                <w:b w:val="0"/>
                <w:i w:val="0"/>
                <w:sz w:val="17"/>
              </w:rPr>
              <w:t>3rd anniversary of COD</w:t>
            </w:r>
          </w:p>
        </w:tc>
        <w:tc>
          <w:tcPr>
            <w:tcW w:type="dxa" w:w="7632"/>
          </w:tcPr>
          <w:p>
            <w:r/>
            <w:r>
              <w:rPr>
                <w:b w:val="0"/>
                <w:i w:val="0"/>
                <w:sz w:val="17"/>
              </w:rPr>
              <w:t>2.0% Escalator begins (6.6).</w:t>
            </w:r>
          </w:p>
        </w:tc>
      </w:tr>
      <w:tr>
        <w:tc>
          <w:tcPr>
            <w:tcW w:type="dxa" w:w="2448"/>
          </w:tcPr>
          <w:p>
            <w:r/>
            <w:r>
              <w:rPr>
                <w:b w:val="0"/>
                <w:i w:val="0"/>
                <w:sz w:val="17"/>
              </w:rPr>
              <w:t>15th anniversary of COD</w:t>
            </w:r>
          </w:p>
        </w:tc>
        <w:tc>
          <w:tcPr>
            <w:tcW w:type="dxa" w:w="7632"/>
          </w:tcPr>
          <w:p>
            <w:r/>
            <w:r>
              <w:rPr>
                <w:b w:val="0"/>
                <w:i w:val="0"/>
                <w:sz w:val="17"/>
              </w:rPr>
              <w:t>Decommissioning Security posting deadline as drafted (13.3) - to be accelerated.</w:t>
            </w:r>
          </w:p>
        </w:tc>
      </w:tr>
      <w:tr>
        <w:tc>
          <w:tcPr>
            <w:tcW w:type="dxa" w:w="2448"/>
          </w:tcPr>
          <w:p>
            <w:r/>
            <w:r>
              <w:rPr>
                <w:b w:val="0"/>
                <w:i w:val="0"/>
                <w:sz w:val="17"/>
              </w:rPr>
              <w:t>COD + 29 years</w:t>
            </w:r>
          </w:p>
        </w:tc>
        <w:tc>
          <w:tcPr>
            <w:tcW w:type="dxa" w:w="7632"/>
          </w:tcPr>
          <w:p>
            <w:r/>
            <w:r>
              <w:rPr>
                <w:b w:val="0"/>
                <w:i w:val="0"/>
                <w:sz w:val="17"/>
              </w:rPr>
              <w:t>Renewal notice due 12 months before expiry of 30-yr Lease Term (5.2).</w:t>
            </w:r>
          </w:p>
        </w:tc>
      </w:tr>
    </w:tbl>
    <w:p>
      <w:pPr>
        <w:spacing w:after="40"/>
      </w:pPr>
    </w:p>
    <w:p>
      <w:pPr>
        <w:pStyle w:val="Heading1"/>
      </w:pPr>
      <w:r>
        <w:t>Part V - Corrections to Internal Work Product</w:t>
      </w:r>
    </w:p>
    <w:p>
      <w:pPr>
        <w:spacing w:after="80"/>
      </w:pPr>
      <w:r>
        <w:rPr>
          <w:b w:val="0"/>
          <w:i w:val="0"/>
        </w:rPr>
        <w:t>Before the Project Memo or Comps are relied on in lender responses, the following points should be corrected or clarified:</w:t>
      </w:r>
    </w:p>
    <w:tbl>
      <w:tblPr>
        <w:tblStyle w:val="TableGrid"/>
        <w:tblW w:type="auto" w:w="0"/>
        <w:tblLook w:firstColumn="1" w:firstRow="1" w:lastColumn="0" w:lastRow="0" w:noHBand="0" w:noVBand="1" w:val="04A0"/>
      </w:tblPr>
      <w:tblGrid>
        <w:gridCol w:w="3216"/>
        <w:gridCol w:w="3216"/>
        <w:gridCol w:w="3216"/>
      </w:tblGrid>
      <w:tr>
        <w:trPr>
          <w:tblHeader w:val="true"/>
        </w:trPr>
        <w:tc>
          <w:tcPr>
            <w:tcW w:type="dxa" w:w="2016"/>
            <w:shd w:val="clear" w:color="auto" w:fill="1F3A5F"/>
          </w:tcPr>
          <w:p>
            <w:r/>
            <w:r>
              <w:rPr>
                <w:b/>
                <w:color w:val="FFFFFF"/>
                <w:sz w:val="17"/>
              </w:rPr>
              <w:t>Source</w:t>
            </w:r>
          </w:p>
        </w:tc>
        <w:tc>
          <w:tcPr>
            <w:tcW w:type="dxa" w:w="3456"/>
            <w:shd w:val="clear" w:color="auto" w:fill="1F3A5F"/>
          </w:tcPr>
          <w:p>
            <w:r/>
            <w:r>
              <w:rPr>
                <w:b/>
                <w:color w:val="FFFFFF"/>
                <w:sz w:val="17"/>
              </w:rPr>
              <w:t>Statement</w:t>
            </w:r>
          </w:p>
        </w:tc>
        <w:tc>
          <w:tcPr>
            <w:tcW w:type="dxa" w:w="4608"/>
            <w:shd w:val="clear" w:color="auto" w:fill="1F3A5F"/>
          </w:tcPr>
          <w:p>
            <w:r/>
            <w:r>
              <w:rPr>
                <w:b/>
                <w:color w:val="FFFFFF"/>
                <w:sz w:val="17"/>
              </w:rPr>
              <w:t>Correction</w:t>
            </w:r>
          </w:p>
        </w:tc>
      </w:tr>
      <w:tr>
        <w:tc>
          <w:tcPr>
            <w:tcW w:type="dxa" w:w="2016"/>
          </w:tcPr>
          <w:p>
            <w:r/>
            <w:r>
              <w:rPr>
                <w:b w:val="0"/>
                <w:i w:val="0"/>
                <w:sz w:val="17"/>
              </w:rPr>
              <w:t>Project Memo Sec. 5.2 / 6.1</w:t>
            </w:r>
          </w:p>
        </w:tc>
        <w:tc>
          <w:tcPr>
            <w:tcW w:type="dxa" w:w="3456"/>
          </w:tcPr>
          <w:p>
            <w:r/>
            <w:r>
              <w:rPr>
                <w:b w:val="0"/>
                <w:i w:val="0"/>
                <w:sz w:val="17"/>
              </w:rPr>
              <w:t>Extension notice deadline stated as Sept. 20, 2027.</w:t>
            </w:r>
          </w:p>
        </w:tc>
        <w:tc>
          <w:tcPr>
            <w:tcW w:type="dxa" w:w="4608"/>
          </w:tcPr>
          <w:p>
            <w:r/>
            <w:r>
              <w:rPr>
                <w:b w:val="0"/>
                <w:i w:val="0"/>
                <w:sz w:val="17"/>
              </w:rPr>
              <w:t>Sept. 20 is 89 days before Dec. 18, 2027; use Sept. 17, 2027 (last business day before the 90-day date of Sun., Sept. 19). Same correction for Sept. 2028 (and Playbook II.A guidance note).</w:t>
            </w:r>
          </w:p>
        </w:tc>
      </w:tr>
      <w:tr>
        <w:tc>
          <w:tcPr>
            <w:tcW w:type="dxa" w:w="2016"/>
          </w:tcPr>
          <w:p>
            <w:r/>
            <w:r>
              <w:rPr>
                <w:b w:val="0"/>
                <w:i w:val="0"/>
                <w:sz w:val="17"/>
              </w:rPr>
              <w:t>Project Memo Sec. 5.2 (Scenario A)</w:t>
            </w:r>
          </w:p>
        </w:tc>
        <w:tc>
          <w:tcPr>
            <w:tcW w:type="dxa" w:w="3456"/>
          </w:tcPr>
          <w:p>
            <w:r/>
            <w:r>
              <w:rPr>
                <w:b w:val="0"/>
                <w:i w:val="0"/>
                <w:sz w:val="17"/>
              </w:rPr>
              <w:t>Assumes Ridgeline exercises "upon achieving COD."</w:t>
            </w:r>
          </w:p>
        </w:tc>
        <w:tc>
          <w:tcPr>
            <w:tcW w:type="dxa" w:w="4608"/>
          </w:tcPr>
          <w:p>
            <w:r/>
            <w:r>
              <w:rPr>
                <w:b w:val="0"/>
                <w:i w:val="0"/>
                <w:sz w:val="17"/>
              </w:rPr>
              <w:t>Exercise must precede construction (Art. 7 rights arise only on exercise) and is needed for financial close; Lease Term then runs from COD and there is no COD outside date, so a COD slip does not forfeit the parcels once exercised.</w:t>
            </w:r>
          </w:p>
        </w:tc>
      </w:tr>
      <w:tr>
        <w:tc>
          <w:tcPr>
            <w:tcW w:type="dxa" w:w="2016"/>
          </w:tcPr>
          <w:p>
            <w:r/>
            <w:r>
              <w:rPr>
                <w:b w:val="0"/>
                <w:i w:val="0"/>
                <w:sz w:val="17"/>
              </w:rPr>
              <w:t>Project Memo Sec. 4</w:t>
            </w:r>
          </w:p>
        </w:tc>
        <w:tc>
          <w:tcPr>
            <w:tcW w:type="dxa" w:w="3456"/>
          </w:tcPr>
          <w:p>
            <w:r/>
            <w:r>
              <w:rPr>
                <w:b w:val="0"/>
                <w:i w:val="0"/>
                <w:sz w:val="17"/>
              </w:rPr>
              <w:t>"Bridger Appraisal &amp; Consulting was referenced in the agreement in connection with property valuation matters."</w:t>
            </w:r>
          </w:p>
        </w:tc>
        <w:tc>
          <w:tcPr>
            <w:tcW w:type="dxa" w:w="4608"/>
          </w:tcPr>
          <w:p>
            <w:r/>
            <w:r>
              <w:rPr>
                <w:b w:val="0"/>
                <w:i w:val="0"/>
                <w:sz w:val="17"/>
              </w:rPr>
              <w:t>Bridger's roles are binding determinations of permanently disturbed acreage (6.7), restoration compliance (13.2) and completion of decommissioning for release of security (13.3).</w:t>
            </w:r>
          </w:p>
        </w:tc>
      </w:tr>
      <w:tr>
        <w:tc>
          <w:tcPr>
            <w:tcW w:type="dxa" w:w="2016"/>
          </w:tcPr>
          <w:p>
            <w:r/>
            <w:r>
              <w:rPr>
                <w:b w:val="0"/>
                <w:i w:val="0"/>
                <w:sz w:val="17"/>
              </w:rPr>
              <w:t>Project Memo Sec. 4</w:t>
            </w:r>
          </w:p>
        </w:tc>
        <w:tc>
          <w:tcPr>
            <w:tcW w:type="dxa" w:w="3456"/>
          </w:tcPr>
          <w:p>
            <w:r/>
            <w:r>
              <w:rPr>
                <w:b w:val="0"/>
                <w:i w:val="0"/>
                <w:sz w:val="17"/>
              </w:rPr>
              <w:t>Key-terms summary omits decommissioning security timing, absence of lender protections, the Section 4.1 effectiveness issue and the Substation Fee drafting issue.</w:t>
            </w:r>
          </w:p>
        </w:tc>
        <w:tc>
          <w:tcPr>
            <w:tcW w:type="dxa" w:w="4608"/>
          </w:tcPr>
          <w:p>
            <w:r/>
            <w:r>
              <w:rPr>
                <w:b w:val="0"/>
                <w:i w:val="0"/>
                <w:sz w:val="17"/>
              </w:rPr>
              <w:t>See Issues 1-3 and 7.</w:t>
            </w:r>
          </w:p>
        </w:tc>
      </w:tr>
      <w:tr>
        <w:tc>
          <w:tcPr>
            <w:tcW w:type="dxa" w:w="2016"/>
          </w:tcPr>
          <w:p>
            <w:r/>
            <w:r>
              <w:rPr>
                <w:b w:val="0"/>
                <w:i w:val="0"/>
                <w:sz w:val="17"/>
              </w:rPr>
              <w:t>Project Memo Sec. 6.3</w:t>
            </w:r>
          </w:p>
        </w:tc>
        <w:tc>
          <w:tcPr>
            <w:tcW w:type="dxa" w:w="3456"/>
          </w:tcPr>
          <w:p>
            <w:r/>
            <w:r>
              <w:rPr>
                <w:b w:val="0"/>
                <w:i w:val="0"/>
                <w:sz w:val="17"/>
              </w:rPr>
              <w:t>Plans two additional met towers (Parcels B and C) in addition to the existing tower on Parcel B.</w:t>
            </w:r>
          </w:p>
        </w:tc>
        <w:tc>
          <w:tcPr>
            <w:tcW w:type="dxa" w:w="4608"/>
          </w:tcPr>
          <w:p>
            <w:r/>
            <w:r>
              <w:rPr>
                <w:b w:val="0"/>
                <w:i w:val="0"/>
                <w:sz w:val="17"/>
              </w:rPr>
              <w:t>Permitted (3 of 4 allowed under 3.4) but 72 hours' written notice to the Trustee is required for each entry; confirm whether the existing Parcel B tower pre-dates the Agreement and is counted.</w:t>
            </w:r>
          </w:p>
        </w:tc>
      </w:tr>
      <w:tr>
        <w:tc>
          <w:tcPr>
            <w:tcW w:type="dxa" w:w="2016"/>
          </w:tcPr>
          <w:p>
            <w:r/>
            <w:r>
              <w:rPr>
                <w:b w:val="0"/>
                <w:i w:val="0"/>
                <w:sz w:val="17"/>
              </w:rPr>
              <w:t>Comps "Notes &amp; Data Sources"</w:t>
            </w:r>
          </w:p>
        </w:tc>
        <w:tc>
          <w:tcPr>
            <w:tcW w:type="dxa" w:w="3456"/>
          </w:tcPr>
          <w:p>
            <w:r/>
            <w:r>
              <w:rPr>
                <w:b w:val="0"/>
                <w:i w:val="0"/>
                <w:sz w:val="17"/>
              </w:rPr>
              <w:t>Cites Millard Substation Fee as "Section 5.4" and greater-of rent as "Section 5.1."</w:t>
            </w:r>
          </w:p>
        </w:tc>
        <w:tc>
          <w:tcPr>
            <w:tcW w:type="dxa" w:w="4608"/>
          </w:tcPr>
          <w:p>
            <w:r/>
            <w:r>
              <w:rPr>
                <w:b w:val="0"/>
                <w:i w:val="0"/>
                <w:sz w:val="17"/>
              </w:rPr>
              <w:t>Correct references are Sections 6.5 and 6.4.</w:t>
            </w:r>
          </w:p>
        </w:tc>
      </w:tr>
      <w:tr>
        <w:tc>
          <w:tcPr>
            <w:tcW w:type="dxa" w:w="2016"/>
          </w:tcPr>
          <w:p>
            <w:r/>
            <w:r>
              <w:rPr>
                <w:b w:val="0"/>
                <w:i w:val="0"/>
                <w:sz w:val="17"/>
              </w:rPr>
              <w:t>Lender Checklist Item 3</w:t>
            </w:r>
          </w:p>
        </w:tc>
        <w:tc>
          <w:tcPr>
            <w:tcW w:type="dxa" w:w="3456"/>
          </w:tcPr>
          <w:p>
            <w:r/>
            <w:r>
              <w:rPr>
                <w:b w:val="0"/>
                <w:i w:val="0"/>
                <w:sz w:val="17"/>
              </w:rPr>
              <w:t>Describes security as from "Pineridge Surety Co. or equivalent provider."</w:t>
            </w:r>
          </w:p>
        </w:tc>
        <w:tc>
          <w:tcPr>
            <w:tcW w:type="dxa" w:w="4608"/>
          </w:tcPr>
          <w:p>
            <w:r/>
            <w:r>
              <w:rPr>
                <w:b w:val="0"/>
                <w:i w:val="0"/>
                <w:sz w:val="17"/>
              </w:rPr>
              <w:t>Agreement standard is Pineridge or a surety/financial institution "reasonably acceptable to Landowner" (13.3) - no objective rating standard.</w:t>
            </w:r>
          </w:p>
        </w:tc>
      </w:tr>
    </w:tbl>
    <w:p>
      <w:pPr>
        <w:spacing w:after="40"/>
      </w:pPr>
    </w:p>
    <w:p>
      <w:pPr>
        <w:pStyle w:val="Heading1"/>
      </w:pPr>
      <w:r>
        <w:t>Part VI - Escalations, Proposed Amendment and Next Steps</w:t>
      </w:r>
    </w:p>
    <w:p>
      <w:pPr>
        <w:pStyle w:val="Heading2"/>
      </w:pPr>
      <w:r>
        <w:t>A. Playbook Deviation Tracker Entries (approval of Jordan Hale or General Counsel required, Playbook XIII)</w:t>
      </w:r>
    </w:p>
    <w:tbl>
      <w:tblPr>
        <w:tblStyle w:val="TableGrid"/>
        <w:tblW w:type="auto" w:w="0"/>
        <w:tblLook w:firstColumn="1" w:firstRow="1" w:lastColumn="0" w:lastRow="0" w:noHBand="0" w:noVBand="1" w:val="04A0"/>
      </w:tblPr>
      <w:tblGrid>
        <w:gridCol w:w="3216"/>
        <w:gridCol w:w="3216"/>
        <w:gridCol w:w="3216"/>
      </w:tblGrid>
      <w:tr>
        <w:trPr>
          <w:tblHeader w:val="true"/>
        </w:trPr>
        <w:tc>
          <w:tcPr>
            <w:tcW w:type="dxa" w:w="4608"/>
            <w:shd w:val="clear" w:color="auto" w:fill="1F3A5F"/>
          </w:tcPr>
          <w:p>
            <w:r/>
            <w:r>
              <w:rPr>
                <w:b/>
                <w:color w:val="FFFFFF"/>
                <w:sz w:val="17"/>
              </w:rPr>
              <w:t>Deviation</w:t>
            </w:r>
          </w:p>
        </w:tc>
        <w:tc>
          <w:tcPr>
            <w:tcW w:type="dxa" w:w="1872"/>
            <w:shd w:val="clear" w:color="auto" w:fill="1F3A5F"/>
          </w:tcPr>
          <w:p>
            <w:r/>
            <w:r>
              <w:rPr>
                <w:b/>
                <w:color w:val="FFFFFF"/>
                <w:sz w:val="17"/>
              </w:rPr>
              <w:t>Playbook Ref.</w:t>
            </w:r>
          </w:p>
        </w:tc>
        <w:tc>
          <w:tcPr>
            <w:tcW w:type="dxa" w:w="3600"/>
            <w:shd w:val="clear" w:color="auto" w:fill="1F3A5F"/>
          </w:tcPr>
          <w:p>
            <w:r/>
            <w:r>
              <w:rPr>
                <w:b/>
                <w:color w:val="FFFFFF"/>
                <w:sz w:val="17"/>
              </w:rPr>
              <w:t>Recommended Disposition</w:t>
            </w:r>
          </w:p>
        </w:tc>
      </w:tr>
      <w:tr>
        <w:tc>
          <w:tcPr>
            <w:tcW w:type="dxa" w:w="4608"/>
          </w:tcPr>
          <w:p>
            <w:r/>
            <w:r>
              <w:rPr>
                <w:b w:val="0"/>
                <w:i w:val="0"/>
                <w:sz w:val="17"/>
              </w:rPr>
              <w:t>Decommissioning security deferred beyond COD+10 (to COD+15)</w:t>
            </w:r>
          </w:p>
        </w:tc>
        <w:tc>
          <w:tcPr>
            <w:tcW w:type="dxa" w:w="1872"/>
          </w:tcPr>
          <w:p>
            <w:r/>
            <w:r>
              <w:rPr>
                <w:b w:val="0"/>
                <w:i w:val="0"/>
                <w:sz w:val="17"/>
              </w:rPr>
              <w:t>VII.B must-have; XIII.1</w:t>
            </w:r>
          </w:p>
        </w:tc>
        <w:tc>
          <w:tcPr>
            <w:tcW w:type="dxa" w:w="3600"/>
          </w:tcPr>
          <w:p>
            <w:r/>
            <w:r>
              <w:rPr>
                <w:b w:val="0"/>
                <w:i w:val="0"/>
                <w:sz w:val="17"/>
              </w:rPr>
              <w:t>Approve only on interim basis pending amendment; record rationale.</w:t>
            </w:r>
          </w:p>
        </w:tc>
      </w:tr>
      <w:tr>
        <w:tc>
          <w:tcPr>
            <w:tcW w:type="dxa" w:w="4608"/>
          </w:tcPr>
          <w:p>
            <w:r/>
            <w:r>
              <w:rPr>
                <w:b w:val="0"/>
                <w:i w:val="0"/>
                <w:sz w:val="17"/>
              </w:rPr>
              <w:t>Substation Hosting Fee not expressly separated from greater-of</w:t>
            </w:r>
          </w:p>
        </w:tc>
        <w:tc>
          <w:tcPr>
            <w:tcW w:type="dxa" w:w="1872"/>
          </w:tcPr>
          <w:p>
            <w:r/>
            <w:r>
              <w:rPr>
                <w:b w:val="0"/>
                <w:i w:val="0"/>
                <w:sz w:val="17"/>
              </w:rPr>
              <w:t>III.B; XIII.4</w:t>
            </w:r>
          </w:p>
        </w:tc>
        <w:tc>
          <w:tcPr>
            <w:tcW w:type="dxa" w:w="3600"/>
          </w:tcPr>
          <w:p>
            <w:r/>
            <w:r>
              <w:rPr>
                <w:b w:val="0"/>
                <w:i w:val="0"/>
                <w:sz w:val="17"/>
              </w:rPr>
              <w:t>Cure by amendment.</w:t>
            </w:r>
          </w:p>
        </w:tc>
      </w:tr>
      <w:tr>
        <w:tc>
          <w:tcPr>
            <w:tcW w:type="dxa" w:w="4608"/>
          </w:tcPr>
          <w:p>
            <w:r/>
            <w:r>
              <w:rPr>
                <w:b w:val="0"/>
                <w:i w:val="0"/>
                <w:sz w:val="17"/>
              </w:rPr>
              <w:t>No MFN clause; project has 15 landowner agreements</w:t>
            </w:r>
          </w:p>
        </w:tc>
        <w:tc>
          <w:tcPr>
            <w:tcW w:type="dxa" w:w="1872"/>
          </w:tcPr>
          <w:p>
            <w:r/>
            <w:r>
              <w:rPr>
                <w:b w:val="0"/>
                <w:i w:val="0"/>
                <w:sz w:val="17"/>
              </w:rPr>
              <w:t>XI; XIII.5</w:t>
            </w:r>
          </w:p>
        </w:tc>
        <w:tc>
          <w:tcPr>
            <w:tcW w:type="dxa" w:w="3600"/>
          </w:tcPr>
          <w:p>
            <w:r/>
            <w:r>
              <w:rPr>
                <w:b w:val="0"/>
                <w:i w:val="0"/>
                <w:sz w:val="17"/>
              </w:rPr>
              <w:t>Document rationale; analyze MFN cascade.</w:t>
            </w:r>
          </w:p>
        </w:tc>
      </w:tr>
      <w:tr>
        <w:tc>
          <w:tcPr>
            <w:tcW w:type="dxa" w:w="4608"/>
          </w:tcPr>
          <w:p>
            <w:r/>
            <w:r>
              <w:rPr>
                <w:b w:val="0"/>
                <w:i w:val="0"/>
                <w:sz w:val="17"/>
              </w:rPr>
              <w:t>No 30-day cancellation notice; certificates not delivered to Highline</w:t>
            </w:r>
          </w:p>
        </w:tc>
        <w:tc>
          <w:tcPr>
            <w:tcW w:type="dxa" w:w="1872"/>
          </w:tcPr>
          <w:p>
            <w:r/>
            <w:r>
              <w:rPr>
                <w:b w:val="0"/>
                <w:i w:val="0"/>
                <w:sz w:val="17"/>
              </w:rPr>
              <w:t>VIII must-have</w:t>
            </w:r>
          </w:p>
        </w:tc>
        <w:tc>
          <w:tcPr>
            <w:tcW w:type="dxa" w:w="3600"/>
          </w:tcPr>
          <w:p>
            <w:r/>
            <w:r>
              <w:rPr>
                <w:b w:val="0"/>
                <w:i w:val="0"/>
                <w:sz w:val="17"/>
              </w:rPr>
              <w:t>Cure by amendment.</w:t>
            </w:r>
          </w:p>
        </w:tc>
      </w:tr>
      <w:tr>
        <w:tc>
          <w:tcPr>
            <w:tcW w:type="dxa" w:w="4608"/>
          </w:tcPr>
          <w:p>
            <w:r/>
            <w:r>
              <w:rPr>
                <w:b w:val="0"/>
                <w:i w:val="0"/>
                <w:sz w:val="17"/>
              </w:rPr>
              <w:t>Landowner permitted transfers narrower than Playbook (no operation-of-law or refinancing exceptions)</w:t>
            </w:r>
          </w:p>
        </w:tc>
        <w:tc>
          <w:tcPr>
            <w:tcW w:type="dxa" w:w="1872"/>
          </w:tcPr>
          <w:p>
            <w:r/>
            <w:r>
              <w:rPr>
                <w:b w:val="0"/>
                <w:i w:val="0"/>
                <w:sz w:val="17"/>
              </w:rPr>
              <w:t>VI.B must-have</w:t>
            </w:r>
          </w:p>
        </w:tc>
        <w:tc>
          <w:tcPr>
            <w:tcW w:type="dxa" w:w="3600"/>
          </w:tcPr>
          <w:p>
            <w:r/>
            <w:r>
              <w:rPr>
                <w:b w:val="0"/>
                <w:i w:val="0"/>
                <w:sz w:val="17"/>
              </w:rPr>
              <w:t>Cure by amendment.</w:t>
            </w:r>
          </w:p>
        </w:tc>
      </w:tr>
      <w:tr>
        <w:tc>
          <w:tcPr>
            <w:tcW w:type="dxa" w:w="4608"/>
          </w:tcPr>
          <w:p>
            <w:r/>
            <w:r>
              <w:rPr>
                <w:b w:val="0"/>
                <w:i w:val="0"/>
                <w:sz w:val="17"/>
              </w:rPr>
              <w:t>Setback limited to on-Property dwellings</w:t>
            </w:r>
          </w:p>
        </w:tc>
        <w:tc>
          <w:tcPr>
            <w:tcW w:type="dxa" w:w="1872"/>
          </w:tcPr>
          <w:p>
            <w:r/>
            <w:r>
              <w:rPr>
                <w:b w:val="0"/>
                <w:i w:val="0"/>
                <w:sz w:val="17"/>
              </w:rPr>
              <w:t>V.A</w:t>
            </w:r>
          </w:p>
        </w:tc>
        <w:tc>
          <w:tcPr>
            <w:tcW w:type="dxa" w:w="3600"/>
          </w:tcPr>
          <w:p>
            <w:r/>
            <w:r>
              <w:rPr>
                <w:b w:val="0"/>
                <w:i w:val="0"/>
                <w:sz w:val="17"/>
              </w:rPr>
              <w:t>Cure by amendment / confirm layout.</w:t>
            </w:r>
          </w:p>
        </w:tc>
      </w:tr>
      <w:tr>
        <w:tc>
          <w:tcPr>
            <w:tcW w:type="dxa" w:w="4608"/>
          </w:tcPr>
          <w:p>
            <w:r/>
            <w:r>
              <w:rPr>
                <w:b w:val="0"/>
                <w:i w:val="0"/>
                <w:sz w:val="17"/>
              </w:rPr>
              <w:t>No deemed consent for non-affiliate assignment; no cure progress reports; arbitrator qualifications</w:t>
            </w:r>
          </w:p>
        </w:tc>
        <w:tc>
          <w:tcPr>
            <w:tcW w:type="dxa" w:w="1872"/>
          </w:tcPr>
          <w:p>
            <w:r/>
            <w:r>
              <w:rPr>
                <w:b w:val="0"/>
                <w:i w:val="0"/>
                <w:sz w:val="17"/>
              </w:rPr>
              <w:t>VI.A; X.A; X.C</w:t>
            </w:r>
          </w:p>
        </w:tc>
        <w:tc>
          <w:tcPr>
            <w:tcW w:type="dxa" w:w="3600"/>
          </w:tcPr>
          <w:p>
            <w:r/>
            <w:r>
              <w:rPr>
                <w:b w:val="0"/>
                <w:i w:val="0"/>
                <w:sz w:val="17"/>
              </w:rPr>
              <w:t>Housekeeping in amendment.</w:t>
            </w:r>
          </w:p>
        </w:tc>
      </w:tr>
    </w:tbl>
    <w:p>
      <w:pPr>
        <w:spacing w:after="40"/>
      </w:pPr>
    </w:p>
    <w:p>
      <w:pPr>
        <w:pStyle w:val="Heading2"/>
      </w:pPr>
      <w:r>
        <w:t>B. Proposed First Amendment - Term Checklist</w:t>
      </w:r>
    </w:p>
    <w:p>
      <w:pPr>
        <w:pStyle w:val="ListBullet"/>
        <w:spacing w:after="40"/>
      </w:pPr>
      <w:r>
        <w:rPr>
          <w:b w:val="0"/>
          <w:i w:val="0"/>
        </w:rPr>
        <w:t>Lender protection article (collateral assignment, notice/cure, step-in, new lease, no amendment/termination without lender consent, estoppels, partition) - Issue 1.</w:t>
      </w:r>
    </w:p>
    <w:p>
      <w:pPr>
        <w:pStyle w:val="ListBullet"/>
        <w:spacing w:after="40"/>
      </w:pPr>
      <w:r>
        <w:rPr>
          <w:b w:val="0"/>
          <w:i w:val="0"/>
        </w:rPr>
        <w:t>Decommissioning security at COD (fallback COD+5) with inflation adjuster, independent cost estimate, issuer rating standards - Issue 2.</w:t>
      </w:r>
    </w:p>
    <w:p>
      <w:pPr>
        <w:pStyle w:val="ListBullet"/>
        <w:spacing w:after="40"/>
      </w:pPr>
      <w:r>
        <w:rPr>
          <w:b w:val="0"/>
          <w:i w:val="0"/>
        </w:rPr>
        <w:t>Restate Section 4.1 so Articles 9-12 and 14-21 apply from the Effective Date; add Option-Period insurance/indemnity - Issue 3.</w:t>
      </w:r>
    </w:p>
    <w:p>
      <w:pPr>
        <w:pStyle w:val="ListBullet"/>
        <w:spacing w:after="40"/>
      </w:pPr>
      <w:r>
        <w:rPr>
          <w:b w:val="0"/>
          <w:i w:val="0"/>
        </w:rPr>
        <w:t>Complete Exhibit A legal descriptions; attach recorded memorandum as Exhibit B - Issue 4.</w:t>
      </w:r>
    </w:p>
    <w:p>
      <w:pPr>
        <w:pStyle w:val="ListBullet"/>
        <w:spacing w:after="40"/>
      </w:pPr>
      <w:r>
        <w:rPr>
          <w:b w:val="0"/>
          <w:i w:val="0"/>
        </w:rPr>
        <w:t>Trust consent to MFN-related disclosure; optional narrow MFN for Millard if useful as consideration - Issue 5.</w:t>
      </w:r>
    </w:p>
    <w:p>
      <w:pPr>
        <w:pStyle w:val="ListBullet"/>
        <w:spacing w:after="40"/>
      </w:pPr>
      <w:r>
        <w:rPr>
          <w:b w:val="0"/>
          <w:i w:val="0"/>
        </w:rPr>
        <w:t>Conform extension deadlines and period dates; clarify Year 4/Construction Period payment and credit for prepaid Option Payments; post-2029 rate; force majeure tolling of the Option Period - Issue 6.</w:t>
      </w:r>
    </w:p>
    <w:p>
      <w:pPr>
        <w:pStyle w:val="ListBullet"/>
        <w:spacing w:after="40"/>
      </w:pPr>
      <w:r>
        <w:rPr>
          <w:b w:val="0"/>
          <w:i w:val="0"/>
        </w:rPr>
        <w:t>Substation Hosting Fee "in addition to" language - Issue 7.</w:t>
      </w:r>
    </w:p>
    <w:p>
      <w:pPr>
        <w:pStyle w:val="ListBullet"/>
        <w:spacing w:after="40"/>
      </w:pPr>
      <w:r>
        <w:rPr>
          <w:b w:val="0"/>
          <w:i w:val="0"/>
        </w:rPr>
        <w:t>6-year indemnity survival and environmental tail - Issue 8.</w:t>
      </w:r>
    </w:p>
    <w:p>
      <w:pPr>
        <w:pStyle w:val="ListBullet"/>
        <w:spacing w:after="40"/>
      </w:pPr>
      <w:r>
        <w:rPr>
          <w:b w:val="0"/>
          <w:i w:val="0"/>
        </w:rPr>
        <w:t>Independent counsel acknowledgment; mutual consequential-damages treatment - Issue 9.</w:t>
      </w:r>
    </w:p>
    <w:p>
      <w:pPr>
        <w:pStyle w:val="ListBullet"/>
        <w:spacing w:after="40"/>
      </w:pPr>
      <w:r>
        <w:rPr>
          <w:b w:val="0"/>
          <w:i w:val="0"/>
        </w:rPr>
        <w:t>Insurance clean-up incl. Highline as additional insured, 30-day cancellation notice - Issue 10.</w:t>
      </w:r>
    </w:p>
    <w:p>
      <w:pPr>
        <w:pStyle w:val="ListBullet"/>
        <w:spacing w:after="40"/>
      </w:pPr>
      <w:r>
        <w:rPr>
          <w:b w:val="0"/>
          <w:i w:val="0"/>
        </w:rPr>
        <w:t>Permitted Landowner transfers conformed to Playbook VI.B; successor trustee acknowledgment - Issue 11.</w:t>
      </w:r>
    </w:p>
    <w:p>
      <w:pPr>
        <w:pStyle w:val="ListBullet"/>
        <w:spacing w:after="40"/>
      </w:pPr>
      <w:r>
        <w:rPr>
          <w:b w:val="0"/>
          <w:i w:val="0"/>
        </w:rPr>
        <w:t>Medium/Low items 12-26 (rent payment dates, revenue allocation, decommissioning scope, setbacks, ROFR assumption, deemed consent, progress reports, confidentiality carve-outs, arbitrator qualifications).</w:t>
      </w:r>
    </w:p>
    <w:p>
      <w:pPr>
        <w:spacing w:after="80"/>
      </w:pPr>
      <w:r>
        <w:rPr>
          <w:b w:val="0"/>
          <w:i w:val="0"/>
        </w:rPr>
        <w:t>Negotiation note: several changes (earlier decommissioning security, longer indemnity survival, insurance improvements, setbacks, decompaction/road election) are landowner-favorable and can be packaged as consideration for the lender-protection, Section 4.1 and clean-up changes, which a Trustee may otherwise view as one-sided. Given the strategic importance of the parcels and the Trustee's age, recommend including Douglas Millard (Successor Trustee) in amendment discussions, consistent with the Project Memo.</w:t>
      </w:r>
    </w:p>
    <w:p>
      <w:pPr>
        <w:pStyle w:val="Heading2"/>
      </w:pPr>
      <w:r>
        <w:t>C. Immediate Next Steps (by January 24, 2025)</w:t>
      </w:r>
    </w:p>
    <w:p>
      <w:pPr>
        <w:pStyle w:val="ListNumber"/>
        <w:spacing w:after="40"/>
      </w:pPr>
      <w:r>
        <w:rPr>
          <w:b w:val="0"/>
          <w:i w:val="0"/>
        </w:rPr>
        <w:t>Confirm recording status and obtain a fully executed, acknowledged counterpart; order legal descriptions and title commitments from Columbia Basin Title &amp; Escrow (Issue 4; Lender Items 1-2).</w:t>
      </w:r>
    </w:p>
    <w:p>
      <w:pPr>
        <w:pStyle w:val="ListNumber"/>
        <w:spacing w:after="40"/>
      </w:pPr>
      <w:r>
        <w:rPr>
          <w:b w:val="0"/>
          <w:i w:val="0"/>
        </w:rPr>
        <w:t>Send priority responses on Lender Items 1, 3 and 4 consistent with Part III, accurately disclosing the current terms and the proposed amendment.</w:t>
      </w:r>
    </w:p>
    <w:p>
      <w:pPr>
        <w:pStyle w:val="ListNumber"/>
        <w:spacing w:after="40"/>
      </w:pPr>
      <w:r>
        <w:rPr>
          <w:b w:val="0"/>
          <w:i w:val="0"/>
        </w:rPr>
        <w:t>Escalate the Deviation Tracker items in Part VI.A to Jordan Hale / General Counsel.</w:t>
      </w:r>
    </w:p>
    <w:p>
      <w:pPr>
        <w:pStyle w:val="ListNumber"/>
        <w:spacing w:after="40"/>
      </w:pPr>
      <w:r>
        <w:rPr>
          <w:b w:val="0"/>
          <w:i w:val="0"/>
        </w:rPr>
        <w:t>Calendar Sept. 17, 2027 and Sept. 19, 2028 extension deadlines (with August internal targets) and correct the September 20 dates in the project schedule; build the Exercise Notice into the financial-close checklist.</w:t>
      </w:r>
    </w:p>
    <w:p>
      <w:pPr>
        <w:pStyle w:val="ListNumber"/>
        <w:spacing w:after="40"/>
      </w:pPr>
      <w:r>
        <w:rPr>
          <w:b w:val="0"/>
          <w:i w:val="0"/>
        </w:rPr>
        <w:t>Request copies of the nine MFN clauses and model MFN exposure for the Highline pro forma.</w:t>
      </w:r>
    </w:p>
    <w:p>
      <w:pPr>
        <w:pStyle w:val="ListNumber"/>
        <w:spacing w:after="40"/>
      </w:pPr>
      <w:r>
        <w:rPr>
          <w:b w:val="0"/>
          <w:i w:val="0"/>
        </w:rPr>
        <w:t>Obtain certification of trust and trust excerpts; obtain the Ridgeline managing-member resolution authorizing Jordan Hale.</w:t>
      </w:r>
    </w:p>
    <w:p>
      <w:pPr>
        <w:pStyle w:val="ListNumber"/>
        <w:spacing w:after="40"/>
      </w:pPr>
      <w:r>
        <w:rPr>
          <w:b w:val="0"/>
          <w:i w:val="0"/>
        </w:rPr>
        <w:t>Prepare the First Amendment and Landowner consent/estoppel for the Highline collateral assignment.</w:t>
      </w:r>
    </w:p>
    <w:p>
      <w:pPr>
        <w:spacing w:after="80"/>
      </w:pPr>
    </w:p>
    <w:p>
      <w:pPr>
        <w:spacing w:after="80"/>
      </w:pPr>
      <w:r>
        <w:rPr>
          <w:b w:val="0"/>
          <w:i/>
          <w:sz w:val="18"/>
        </w:rPr>
        <w:t>This memorandum is based solely on the documents listed above. It does not reflect review of the trust instrument, title, survey, the other project land agreements, or the Highline term sheet and draft credit agreement, and the MFN exposure figures are estimates derived from the Comps. Statutory references (ORS Chapter 93, ORS 12.080, ORS 12.110, ORS 130.860) should be confirmed before they are cited to the Lender.</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