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pPr>
        <w:jc w:val="center"/>
      </w:pPr>
      <w:r>
        <w:rPr>
          <w:b/>
          <w:sz w:val="24"/>
        </w:rPr>
        <w:t>Stark Law Compliance Review of Greenfield Health Partners, LLC: Issues, Exposure, and Remediation</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D9E2F3"/>
          </w:tcPr>
          <w:p>
            <w:r/>
            <w:r>
              <w:rPr>
                <w:b/>
                <w:sz w:val="19"/>
              </w:rPr>
            </w:r>
          </w:p>
        </w:tc>
        <w:tc>
          <w:tcPr>
            <w:tcW w:type="dxa" w:w="7920"/>
            <w:shd w:val="clear" w:color="auto" w:fill="D9E2F3"/>
          </w:tcPr>
          <w:p>
            <w:r/>
            <w:r>
              <w:rPr>
                <w:b/>
                <w:sz w:val="19"/>
              </w:rPr>
            </w:r>
          </w:p>
        </w:tc>
      </w:tr>
      <w:tr>
        <w:tc>
          <w:tcPr>
            <w:tcW w:type="dxa" w:w="1440"/>
          </w:tcPr>
          <w:p>
            <w:r>
              <w:rPr>
                <w:sz w:val="19"/>
              </w:rPr>
            </w:r>
            <w:r>
              <w:rPr>
                <w:sz w:val="19"/>
              </w:rPr>
              <w:t>TO</w:t>
            </w:r>
          </w:p>
        </w:tc>
        <w:tc>
          <w:tcPr>
            <w:tcW w:type="dxa" w:w="7920"/>
          </w:tcPr>
          <w:p>
            <w:r>
              <w:rPr>
                <w:sz w:val="19"/>
              </w:rPr>
            </w:r>
            <w:r>
              <w:rPr>
                <w:sz w:val="19"/>
              </w:rPr>
              <w:t>Supervising Partner; Greenfield Health Partners, LLC engagement team</w:t>
            </w:r>
          </w:p>
        </w:tc>
      </w:tr>
      <w:tr>
        <w:tc>
          <w:tcPr>
            <w:tcW w:type="dxa" w:w="1440"/>
          </w:tcPr>
          <w:p>
            <w:r>
              <w:rPr>
                <w:sz w:val="19"/>
              </w:rPr>
            </w:r>
            <w:r>
              <w:rPr>
                <w:sz w:val="19"/>
              </w:rPr>
              <w:t>FROM</w:t>
            </w:r>
          </w:p>
        </w:tc>
        <w:tc>
          <w:tcPr>
            <w:tcW w:type="dxa" w:w="7920"/>
          </w:tcPr>
          <w:p>
            <w:r>
              <w:rPr>
                <w:sz w:val="19"/>
              </w:rPr>
            </w:r>
            <w:r>
              <w:rPr>
                <w:sz w:val="19"/>
              </w:rPr>
              <w:t>Health Care Regulatory / FCA Defense Team</w:t>
            </w:r>
          </w:p>
        </w:tc>
      </w:tr>
      <w:tr>
        <w:tc>
          <w:tcPr>
            <w:tcW w:type="dxa" w:w="1440"/>
          </w:tcPr>
          <w:p>
            <w:r>
              <w:rPr>
                <w:sz w:val="19"/>
              </w:rPr>
            </w:r>
            <w:r>
              <w:rPr>
                <w:sz w:val="19"/>
              </w:rPr>
              <w:t>DATE</w:t>
            </w:r>
          </w:p>
        </w:tc>
        <w:tc>
          <w:tcPr>
            <w:tcW w:type="dxa" w:w="7920"/>
          </w:tcPr>
          <w:p>
            <w:r>
              <w:rPr>
                <w:sz w:val="19"/>
              </w:rPr>
            </w:r>
            <w:r>
              <w:rPr>
                <w:sz w:val="19"/>
              </w:rPr>
              <w:t>October 15, 2026</w:t>
            </w:r>
          </w:p>
        </w:tc>
      </w:tr>
      <w:tr>
        <w:tc>
          <w:tcPr>
            <w:tcW w:type="dxa" w:w="1440"/>
          </w:tcPr>
          <w:p>
            <w:r>
              <w:rPr>
                <w:sz w:val="19"/>
              </w:rPr>
            </w:r>
            <w:r>
              <w:rPr>
                <w:sz w:val="19"/>
              </w:rPr>
              <w:t>CLIENT</w:t>
            </w:r>
          </w:p>
        </w:tc>
        <w:tc>
          <w:tcPr>
            <w:tcW w:type="dxa" w:w="7920"/>
          </w:tcPr>
          <w:p>
            <w:r>
              <w:rPr>
                <w:sz w:val="19"/>
              </w:rPr>
            </w:r>
            <w:r>
              <w:rPr>
                <w:sz w:val="19"/>
              </w:rPr>
              <w:t>Greenfield Health Partners, LLC (EIN 31-4527893), 2800 Riverside Medical Plaza, Suite 400, Columbus, OH 43215, and its affiliate Buckeye Surgical Center, LLC</w:t>
            </w:r>
          </w:p>
        </w:tc>
      </w:tr>
      <w:tr>
        <w:tc>
          <w:tcPr>
            <w:tcW w:type="dxa" w:w="1440"/>
          </w:tcPr>
          <w:p>
            <w:r>
              <w:rPr>
                <w:sz w:val="19"/>
              </w:rPr>
            </w:r>
            <w:r>
              <w:rPr>
                <w:sz w:val="19"/>
              </w:rPr>
              <w:t>RE</w:t>
            </w:r>
          </w:p>
        </w:tc>
        <w:tc>
          <w:tcPr>
            <w:tcW w:type="dxa" w:w="7920"/>
          </w:tcPr>
          <w:p>
            <w:r>
              <w:rPr>
                <w:sz w:val="19"/>
              </w:rPr>
            </w:r>
            <w:r>
              <w:rPr>
                <w:sz w:val="19"/>
              </w:rPr>
              <w:t xml:space="preserve">Physician self-referral (Stark Law) issues found in the compliance file, related Anti-Kickback Statute (AKS) and False Claims Act (FCA) exposure, and recommended remediation, including in light of </w:t>
            </w:r>
            <w:r>
              <w:rPr>
                <w:i/>
                <w:sz w:val="19"/>
              </w:rPr>
              <w:t>United States ex rel. Hale v. Greenfield Health Partners, LLC et al.</w:t>
            </w:r>
            <w:r>
              <w:rPr>
                <w:sz w:val="19"/>
              </w:rPr>
              <w:t>, No. 2:24-cv-04187 (S.D. Ohio, filed under seal Oct. 18, 2024)</w:t>
            </w:r>
          </w:p>
        </w:tc>
      </w:tr>
    </w:tbl>
    <w:p/>
    <w:p>
      <w:r>
        <w:rPr>
          <w:b/>
        </w:rPr>
        <w:t>Record-currency caveat.</w:t>
      </w:r>
      <w:r>
        <w:t xml:space="preserve"> The documents we reviewed run through about October 2024. The latest are the Hale complaint (filed Oct. 18, 2024) and the CCO’s October 2024 confirmation, noted in Exhibit B to the Greenfield Operating Agreement, that no Compensation Committee charter exists. Several arrangements discussed below have since expired by their own terms: the Pinnacle lease on Feb. 28, 2025, the ClearView lease on Dec. 31, 2025, and the Wellford employment agreement on Jan. 14, 2024. Some may be in holdover or may have been renewed or restructured. We have no documents after October 2024 and no information on the status of the qui tam (seal, intervention decision or service). Each conclusion below must be re-checked against the current facts before it is acted on. Where this memorandum refers to the “current” state of an arrangement, it means as of the last document in the file.</w:t>
      </w:r>
    </w:p>
    <w:p>
      <w:pPr>
        <w:pStyle w:val="Heading1"/>
      </w:pPr>
      <w:r>
        <w:t>I. Questions Presented and Short Answers</w:t>
      </w:r>
    </w:p>
    <w:p>
      <w:r>
        <w:rPr>
          <w:b/>
        </w:rPr>
        <w:t>1. Do Greenfield’s physician compensation, ownership, lease and in-kind arrangements comply with the Stark Law, 42 U.S.C. § 1395nn, and 42 C.F.R. Part 411, Subpart J?</w:t>
      </w:r>
      <w:r>
        <w:t xml:space="preserve"> No. Several do not, and one defect reaches the whole practice. The “Referral Quality Bonus” (RQB) pays employed physicians $150 per completed internal referral, including referrals to Greenfield’s own laboratory and imaging services. That is a per-referral payment that takes into account the volume of designated health services (DHS) referrals. It is fatal to the employment exception for every employed physician who receives it (42 C.F.R. § 411.357(c)). More important, it very likely disqualifies Greenfield as a “group practice” under 42 C.F.R. § 411.352(g). If Greenfield is not a group practice, the in-office ancillary services exception (IOASE, § 411.355(b)) is unavailable to all 87 physicians, members and employees alike, for every Medicare DHS referral to Greenfield’s in-house laboratory and imaging services from January 1, 2022 forward. Other material issues:</w:t>
      </w:r>
    </w:p>
    <w:p>
      <w:pPr>
        <w:pStyle w:val="ListBullet"/>
      </w:pPr>
      <w:r>
        <w:t>the Pinnacle Reference Laboratory lease, which is below fair market value (FMV) and rests on a stale appraisal that the lease misdescribes;</w:t>
      </w:r>
    </w:p>
    <w:p>
      <w:pPr>
        <w:pStyle w:val="ListBullet"/>
      </w:pPr>
      <w:r>
        <w:t>an undocumented free courier service that Pinnacle provides to all 12 Greenfield locations;</w:t>
      </w:r>
    </w:p>
    <w:p>
      <w:pPr>
        <w:pStyle w:val="ListBullet"/>
      </w:pPr>
      <w:r>
        <w:t>referral-based profit distributions at Buckeye Surgical Center and the “Referral Credit” allocation inside Greenfield (mainly AKS, with some Stark spillover);</w:t>
      </w:r>
    </w:p>
    <w:p>
      <w:pPr>
        <w:pStyle w:val="ListBullet"/>
      </w:pPr>
      <w:r>
        <w:t>an unbenchmarked $120,000-per-year medical directorship held by the Managing Member, about $1,250 per contracted hour;</w:t>
      </w:r>
    </w:p>
    <w:p>
      <w:pPr>
        <w:pStyle w:val="ListBullet"/>
      </w:pPr>
      <w:r>
        <w:t>IOASE location and supervision gaps at the Hilliard and Dublin satellites;</w:t>
      </w:r>
    </w:p>
    <w:p>
      <w:pPr>
        <w:pStyle w:val="ListBullet"/>
      </w:pPr>
      <w:r>
        <w:t>the billing and IOASE posture of four independent-contractor radiologists;</w:t>
      </w:r>
    </w:p>
    <w:p>
      <w:pPr>
        <w:pStyle w:val="ListBullet"/>
      </w:pPr>
      <w:r>
        <w:t>a compliance program that has largely stopped operating.</w:t>
      </w:r>
    </w:p>
    <w:p>
      <w:r>
        <w:rPr>
          <w:b/>
        </w:rPr>
        <w:t>2. What is the likely exposure?</w:t>
      </w:r>
      <w:r>
        <w:t xml:space="preserve"> Stark is a strict-liability statute. Medicare may not pay for DHS furnished on a prohibited referral, and amounts collected must be refunded (42 U.S.C. § 1395nn(g)(1)–(2)). Civil monetary penalties apply per service and per circumvention scheme (§ 1395nn(g)(3)–(4)). If the claims were knowingly submitted, the FCA adds treble damages and per-claim penalties. The relator alleges more than $30 million in tainted Medicare claims for 2023 alone (Compl. ¶ 107). Several of the relator’s theories are overstated or legally flawed (Part VI). But the group-practice consequence of the RQB, which the relator has not yet pleaded clearly, could support an even larger refund base than she alleges. That base is all Greenfield DHS from January 2022, not just DHS traceable to referrals by RQB recipients. Exposure cannot be quantified from the file. Medicare DHS revenue by service line and year is the critical missing data point.</w:t>
      </w:r>
    </w:p>
    <w:p>
      <w:r>
        <w:rPr>
          <w:b/>
        </w:rPr>
        <w:t>3. What should Greenfield do?</w:t>
      </w:r>
      <w:r>
        <w:t xml:space="preserve"> Act immediately, under privilege and through outside counsel:</w:t>
      </w:r>
    </w:p>
    <w:p>
      <w:pPr>
        <w:pStyle w:val="ListBullet"/>
      </w:pPr>
      <w:r>
        <w:t>suspend the RQB and the Buckeye Referral Credit;</w:t>
      </w:r>
    </w:p>
    <w:p>
      <w:pPr>
        <w:pStyle w:val="ListBullet"/>
      </w:pPr>
      <w:r>
        <w:t>impose a litigation hold;</w:t>
      </w:r>
    </w:p>
    <w:p>
      <w:pPr>
        <w:pStyle w:val="ListBullet"/>
      </w:pPr>
      <w:r>
        <w:t>protect the relator against any appearance of retaliation;</w:t>
      </w:r>
    </w:p>
    <w:p>
      <w:pPr>
        <w:pStyle w:val="ListBullet"/>
      </w:pPr>
      <w:r>
        <w:t>remove conflicted fiduciaries from compliance oversight;</w:t>
      </w:r>
    </w:p>
    <w:p>
      <w:pPr>
        <w:pStyle w:val="ListBullet"/>
      </w:pPr>
      <w:r>
        <w:t>commission an independent, privileged look-back (claims, FMV and data reconciliation);</w:t>
      </w:r>
    </w:p>
    <w:p>
      <w:pPr>
        <w:pStyle w:val="ListBullet"/>
      </w:pPr>
      <w:r>
        <w:t>restructure each defective arrangement on a documented FMV basis;</w:t>
      </w:r>
    </w:p>
    <w:p>
      <w:pPr>
        <w:pStyle w:val="ListBullet"/>
      </w:pPr>
      <w:r>
        <w:t>make a disclosure decision promptly, under the 60-day overpayment rule and in light of the pending qui tam. Disclosure options include the CMS Self-Referral Disclosure Protocol (SRDP), the OIG Self-Disclosure Protocol (SDP), and direct engagement with the U.S. Attorney’s Office for credit under the DOJ’s FCA cooperation policy.</w:t>
      </w:r>
    </w:p>
    <w:p>
      <w:r>
        <w:t>A prioritized remediation plan appears in Part VII.</w:t>
      </w:r>
    </w:p>
    <w:p>
      <w:pPr>
        <w:pStyle w:val="Heading1"/>
      </w:pPr>
      <w:r>
        <w:t>II. Executive Risk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60"/>
            <w:shd w:val="clear" w:color="auto" w:fill="D9E2F3"/>
          </w:tcPr>
          <w:p>
            <w:r/>
            <w:r>
              <w:rPr>
                <w:b/>
                <w:sz w:val="15"/>
              </w:rPr>
              <w:t>#</w:t>
            </w:r>
          </w:p>
        </w:tc>
        <w:tc>
          <w:tcPr>
            <w:tcW w:type="dxa" w:w="2088"/>
            <w:shd w:val="clear" w:color="auto" w:fill="D9E2F3"/>
          </w:tcPr>
          <w:p>
            <w:r/>
            <w:r>
              <w:rPr>
                <w:b/>
                <w:sz w:val="15"/>
              </w:rPr>
              <w:t>Issue</w:t>
            </w:r>
          </w:p>
        </w:tc>
        <w:tc>
          <w:tcPr>
            <w:tcW w:type="dxa" w:w="1728"/>
            <w:shd w:val="clear" w:color="auto" w:fill="D9E2F3"/>
          </w:tcPr>
          <w:p>
            <w:r/>
            <w:r>
              <w:rPr>
                <w:b/>
                <w:sz w:val="15"/>
              </w:rPr>
              <w:t>Primary legal hook</w:t>
            </w:r>
          </w:p>
        </w:tc>
        <w:tc>
          <w:tcPr>
            <w:tcW w:type="dxa" w:w="936"/>
            <w:shd w:val="clear" w:color="auto" w:fill="D9E2F3"/>
          </w:tcPr>
          <w:p>
            <w:r/>
            <w:r>
              <w:rPr>
                <w:b/>
                <w:sz w:val="15"/>
              </w:rPr>
              <w:t>Risk</w:t>
            </w:r>
          </w:p>
        </w:tc>
        <w:tc>
          <w:tcPr>
            <w:tcW w:type="dxa" w:w="2232"/>
            <w:shd w:val="clear" w:color="auto" w:fill="D9E2F3"/>
          </w:tcPr>
          <w:p>
            <w:r/>
            <w:r>
              <w:rPr>
                <w:b/>
                <w:sz w:val="15"/>
              </w:rPr>
              <w:t>Key facts / documents</w:t>
            </w:r>
          </w:p>
        </w:tc>
        <w:tc>
          <w:tcPr>
            <w:tcW w:type="dxa" w:w="2016"/>
            <w:shd w:val="clear" w:color="auto" w:fill="D9E2F3"/>
          </w:tcPr>
          <w:p>
            <w:r/>
            <w:r>
              <w:rPr>
                <w:b/>
                <w:sz w:val="15"/>
              </w:rPr>
              <w:t>Immediate action</w:t>
            </w:r>
          </w:p>
        </w:tc>
      </w:tr>
      <w:tr>
        <w:tc>
          <w:tcPr>
            <w:tcW w:type="dxa" w:w="360"/>
          </w:tcPr>
          <w:p>
            <w:r>
              <w:rPr>
                <w:sz w:val="15"/>
              </w:rPr>
            </w:r>
            <w:r>
              <w:rPr>
                <w:sz w:val="15"/>
              </w:rPr>
              <w:t>1</w:t>
            </w:r>
          </w:p>
        </w:tc>
        <w:tc>
          <w:tcPr>
            <w:tcW w:type="dxa" w:w="2088"/>
          </w:tcPr>
          <w:p>
            <w:r>
              <w:rPr>
                <w:sz w:val="15"/>
              </w:rPr>
            </w:r>
            <w:r>
              <w:rPr>
                <w:sz w:val="15"/>
              </w:rPr>
              <w:t>Referral Quality Bonus: $150 per internal referral, cap $90,000; $1,260,000 paid to 31 employed physicians in 2023</w:t>
            </w:r>
          </w:p>
        </w:tc>
        <w:tc>
          <w:tcPr>
            <w:tcW w:type="dxa" w:w="1728"/>
          </w:tcPr>
          <w:p>
            <w:r>
              <w:rPr>
                <w:sz w:val="15"/>
              </w:rPr>
            </w:r>
            <w:r>
              <w:rPr>
                <w:sz w:val="15"/>
              </w:rPr>
              <w:t>§ 411.357(c) (employment exception); § 411.352(g) (group practice); § 411.354(d)(5); AKS</w:t>
            </w:r>
          </w:p>
        </w:tc>
        <w:tc>
          <w:tcPr>
            <w:tcW w:type="dxa" w:w="936"/>
            <w:shd w:val="clear" w:color="auto" w:fill="F4CCCC"/>
          </w:tcPr>
          <w:p>
            <w:r>
              <w:rPr>
                <w:sz w:val="15"/>
              </w:rPr>
            </w:r>
            <w:r>
              <w:rPr>
                <w:sz w:val="15"/>
              </w:rPr>
              <w:t>Critical</w:t>
            </w:r>
          </w:p>
        </w:tc>
        <w:tc>
          <w:tcPr>
            <w:tcW w:type="dxa" w:w="2232"/>
          </w:tcPr>
          <w:p>
            <w:r>
              <w:rPr>
                <w:sz w:val="15"/>
              </w:rPr>
            </w:r>
            <w:r>
              <w:rPr>
                <w:sz w:val="15"/>
              </w:rPr>
              <w:t>Comp. Plan Update Memo §§ 4–5; OA § 7.5(c); 2023 Comp. Summary rows 53–83; Hotline #2023-07</w:t>
            </w:r>
          </w:p>
        </w:tc>
        <w:tc>
          <w:tcPr>
            <w:tcW w:type="dxa" w:w="2016"/>
          </w:tcPr>
          <w:p>
            <w:r>
              <w:rPr>
                <w:sz w:val="15"/>
              </w:rPr>
            </w:r>
            <w:r>
              <w:rPr>
                <w:sz w:val="15"/>
              </w:rPr>
              <w:t>Suspend now; do not pay accrued amounts; privileged claims look-back; disclosure analysis</w:t>
            </w:r>
          </w:p>
        </w:tc>
      </w:tr>
      <w:tr>
        <w:tc>
          <w:tcPr>
            <w:tcW w:type="dxa" w:w="360"/>
          </w:tcPr>
          <w:p>
            <w:r>
              <w:rPr>
                <w:sz w:val="15"/>
              </w:rPr>
            </w:r>
            <w:r>
              <w:rPr>
                <w:sz w:val="15"/>
              </w:rPr>
              <w:t>2</w:t>
            </w:r>
          </w:p>
        </w:tc>
        <w:tc>
          <w:tcPr>
            <w:tcW w:type="dxa" w:w="2088"/>
          </w:tcPr>
          <w:p>
            <w:r>
              <w:rPr>
                <w:sz w:val="15"/>
              </w:rPr>
            </w:r>
            <w:r>
              <w:rPr>
                <w:sz w:val="15"/>
              </w:rPr>
              <w:t>Loss of group-practice status, so the IOASE is unavailable for all in-house lab and imaging DHS</w:t>
            </w:r>
          </w:p>
        </w:tc>
        <w:tc>
          <w:tcPr>
            <w:tcW w:type="dxa" w:w="1728"/>
          </w:tcPr>
          <w:p>
            <w:r>
              <w:rPr>
                <w:sz w:val="15"/>
              </w:rPr>
            </w:r>
            <w:r>
              <w:rPr>
                <w:sz w:val="15"/>
              </w:rPr>
              <w:t>§§ 411.352(g), 411.355(b)</w:t>
            </w:r>
          </w:p>
        </w:tc>
        <w:tc>
          <w:tcPr>
            <w:tcW w:type="dxa" w:w="936"/>
            <w:shd w:val="clear" w:color="auto" w:fill="F4CCCC"/>
          </w:tcPr>
          <w:p>
            <w:r>
              <w:rPr>
                <w:sz w:val="15"/>
              </w:rPr>
            </w:r>
            <w:r>
              <w:rPr>
                <w:sz w:val="15"/>
              </w:rPr>
              <w:t>Critical</w:t>
            </w:r>
          </w:p>
        </w:tc>
        <w:tc>
          <w:tcPr>
            <w:tcW w:type="dxa" w:w="2232"/>
          </w:tcPr>
          <w:p>
            <w:r>
              <w:rPr>
                <w:sz w:val="15"/>
              </w:rPr>
            </w:r>
            <w:r>
              <w:rPr>
                <w:sz w:val="15"/>
              </w:rPr>
              <w:t>Follows from Issue 1; OA § 10.2 (lab at 8 of 12 sites); audit memo § III</w:t>
            </w:r>
          </w:p>
        </w:tc>
        <w:tc>
          <w:tcPr>
            <w:tcW w:type="dxa" w:w="2016"/>
          </w:tcPr>
          <w:p>
            <w:r>
              <w:rPr>
                <w:sz w:val="15"/>
              </w:rPr>
            </w:r>
            <w:r>
              <w:rPr>
                <w:sz w:val="15"/>
              </w:rPr>
              <w:t>Quantify Medicare DHS since 1/1/2022; restore compliance prospectively</w:t>
            </w:r>
          </w:p>
        </w:tc>
      </w:tr>
      <w:tr>
        <w:tc>
          <w:tcPr>
            <w:tcW w:type="dxa" w:w="360"/>
          </w:tcPr>
          <w:p>
            <w:r>
              <w:rPr>
                <w:sz w:val="15"/>
              </w:rPr>
            </w:r>
            <w:r>
              <w:rPr>
                <w:sz w:val="15"/>
              </w:rPr>
              <w:t>3</w:t>
            </w:r>
          </w:p>
        </w:tc>
        <w:tc>
          <w:tcPr>
            <w:tcW w:type="dxa" w:w="2088"/>
          </w:tcPr>
          <w:p>
            <w:r>
              <w:rPr>
                <w:sz w:val="15"/>
              </w:rPr>
            </w:r>
            <w:r>
              <w:rPr>
                <w:sz w:val="15"/>
              </w:rPr>
              <w:t>Pinnacle lease: $22/sf on base-year (modified-gross) terms vs. $28–$32/sf full-service-gross FMV; 18-month-old appraisal misdescribed as “triple-net”</w:t>
            </w:r>
          </w:p>
        </w:tc>
        <w:tc>
          <w:tcPr>
            <w:tcW w:type="dxa" w:w="1728"/>
          </w:tcPr>
          <w:p>
            <w:r>
              <w:rPr>
                <w:sz w:val="15"/>
              </w:rPr>
            </w:r>
            <w:r>
              <w:rPr>
                <w:sz w:val="15"/>
              </w:rPr>
              <w:t>§ 411.357(a); stand-in-the-shoes, § 411.354(c); AKS § 1001.952(b)</w:t>
            </w:r>
          </w:p>
        </w:tc>
        <w:tc>
          <w:tcPr>
            <w:tcW w:type="dxa" w:w="936"/>
            <w:shd w:val="clear" w:color="auto" w:fill="FCE5CD"/>
          </w:tcPr>
          <w:p>
            <w:r>
              <w:rPr>
                <w:sz w:val="15"/>
              </w:rPr>
            </w:r>
            <w:r>
              <w:rPr>
                <w:sz w:val="15"/>
              </w:rPr>
              <w:t>High</w:t>
            </w:r>
          </w:p>
        </w:tc>
        <w:tc>
          <w:tcPr>
            <w:tcW w:type="dxa" w:w="2232"/>
          </w:tcPr>
          <w:p>
            <w:r>
              <w:rPr>
                <w:sz w:val="15"/>
              </w:rPr>
            </w:r>
            <w:r>
              <w:rPr>
                <w:sz w:val="15"/>
              </w:rPr>
              <w:t>Pinnacle Lease §§ 3.1–3.6, 10.3, Ex. B; Lakeshore Appraisal §§ 1, 2, 7</w:t>
            </w:r>
          </w:p>
        </w:tc>
        <w:tc>
          <w:tcPr>
            <w:tcW w:type="dxa" w:w="2016"/>
          </w:tcPr>
          <w:p>
            <w:r>
              <w:rPr>
                <w:sz w:val="15"/>
              </w:rPr>
            </w:r>
            <w:r>
              <w:rPr>
                <w:sz w:val="15"/>
              </w:rPr>
              <w:t>New FMV appraisal; amend or terminate; check holdover status after 2/28/2025</w:t>
            </w:r>
          </w:p>
        </w:tc>
      </w:tr>
      <w:tr>
        <w:tc>
          <w:tcPr>
            <w:tcW w:type="dxa" w:w="360"/>
          </w:tcPr>
          <w:p>
            <w:r>
              <w:rPr>
                <w:sz w:val="15"/>
              </w:rPr>
            </w:r>
            <w:r>
              <w:rPr>
                <w:sz w:val="15"/>
              </w:rPr>
              <w:t>4</w:t>
            </w:r>
          </w:p>
        </w:tc>
        <w:tc>
          <w:tcPr>
            <w:tcW w:type="dxa" w:w="2088"/>
          </w:tcPr>
          <w:p>
            <w:r>
              <w:rPr>
                <w:sz w:val="15"/>
              </w:rPr>
            </w:r>
            <w:r>
              <w:rPr>
                <w:sz w:val="15"/>
              </w:rPr>
              <w:t>Free Pinnacle courier to all 12 sites (~$50,400/yr; no writing); Pinnacle gets ~55% of its specimens from Greenfield</w:t>
            </w:r>
          </w:p>
        </w:tc>
        <w:tc>
          <w:tcPr>
            <w:tcW w:type="dxa" w:w="1728"/>
          </w:tcPr>
          <w:p>
            <w:r>
              <w:rPr>
                <w:sz w:val="15"/>
              </w:rPr>
            </w:r>
            <w:r>
              <w:rPr>
                <w:sz w:val="15"/>
              </w:rPr>
              <w:t>Remuneration, § 411.351; AKS; Manual § 4.2</w:t>
            </w:r>
          </w:p>
        </w:tc>
        <w:tc>
          <w:tcPr>
            <w:tcW w:type="dxa" w:w="936"/>
            <w:shd w:val="clear" w:color="auto" w:fill="FCE5CD"/>
          </w:tcPr>
          <w:p>
            <w:r>
              <w:rPr>
                <w:sz w:val="15"/>
              </w:rPr>
            </w:r>
            <w:r>
              <w:rPr>
                <w:sz w:val="15"/>
              </w:rPr>
              <w:t>High</w:t>
            </w:r>
          </w:p>
        </w:tc>
        <w:tc>
          <w:tcPr>
            <w:tcW w:type="dxa" w:w="2232"/>
          </w:tcPr>
          <w:p>
            <w:r>
              <w:rPr>
                <w:sz w:val="15"/>
              </w:rPr>
            </w:r>
            <w:r>
              <w:rPr>
                <w:sz w:val="15"/>
              </w:rPr>
              <w:t>Courier tracking workbook (2023); Notes tab</w:t>
            </w:r>
          </w:p>
        </w:tc>
        <w:tc>
          <w:tcPr>
            <w:tcW w:type="dxa" w:w="2016"/>
          </w:tcPr>
          <w:p>
            <w:r>
              <w:rPr>
                <w:sz w:val="15"/>
              </w:rPr>
            </w:r>
            <w:r>
              <w:rPr>
                <w:sz w:val="15"/>
              </w:rPr>
              <w:t>Find out what the courier actually carries; written FMV agreement or stop</w:t>
            </w:r>
          </w:p>
        </w:tc>
      </w:tr>
      <w:tr>
        <w:tc>
          <w:tcPr>
            <w:tcW w:type="dxa" w:w="360"/>
          </w:tcPr>
          <w:p>
            <w:r>
              <w:rPr>
                <w:sz w:val="15"/>
              </w:rPr>
            </w:r>
            <w:r>
              <w:rPr>
                <w:sz w:val="15"/>
              </w:rPr>
              <w:t>5</w:t>
            </w:r>
          </w:p>
        </w:tc>
        <w:tc>
          <w:tcPr>
            <w:tcW w:type="dxa" w:w="2088"/>
          </w:tcPr>
          <w:p>
            <w:r>
              <w:rPr>
                <w:sz w:val="15"/>
              </w:rPr>
            </w:r>
            <w:r>
              <w:rPr>
                <w:sz w:val="15"/>
              </w:rPr>
              <w:t>Buckeye ASC: distributions by “Referral Percentage”; Greenfield “Referral Credit” of 0.5% of facility fees per referred case</w:t>
            </w:r>
          </w:p>
        </w:tc>
        <w:tc>
          <w:tcPr>
            <w:tcW w:type="dxa" w:w="1728"/>
          </w:tcPr>
          <w:p>
            <w:r>
              <w:rPr>
                <w:sz w:val="15"/>
              </w:rPr>
            </w:r>
            <w:r>
              <w:rPr>
                <w:sz w:val="15"/>
              </w:rPr>
              <w:t>AKS / ASC safe harbor § 1001.952(r); § 411.352(g)/(i) spillover; FCA</w:t>
            </w:r>
          </w:p>
        </w:tc>
        <w:tc>
          <w:tcPr>
            <w:tcW w:type="dxa" w:w="936"/>
            <w:shd w:val="clear" w:color="auto" w:fill="F4CCCC"/>
          </w:tcPr>
          <w:p>
            <w:r>
              <w:rPr>
                <w:sz w:val="15"/>
              </w:rPr>
            </w:r>
            <w:r>
              <w:rPr>
                <w:sz w:val="15"/>
              </w:rPr>
              <w:t>Critical (AKS) / Medium (Stark)</w:t>
            </w:r>
          </w:p>
        </w:tc>
        <w:tc>
          <w:tcPr>
            <w:tcW w:type="dxa" w:w="2232"/>
          </w:tcPr>
          <w:p>
            <w:r>
              <w:rPr>
                <w:sz w:val="15"/>
              </w:rPr>
            </w:r>
            <w:r>
              <w:rPr>
                <w:sz w:val="15"/>
              </w:rPr>
              <w:t>Buckeye OA §§ 1.9, 1.25–1.26, 4.1–4.5, 6.2; Greenfield OA § 8.4; Comp. Summary</w:t>
            </w:r>
          </w:p>
        </w:tc>
        <w:tc>
          <w:tcPr>
            <w:tcW w:type="dxa" w:w="2016"/>
          </w:tcPr>
          <w:p>
            <w:r>
              <w:rPr>
                <w:sz w:val="15"/>
              </w:rPr>
            </w:r>
            <w:r>
              <w:rPr>
                <w:sz w:val="15"/>
              </w:rPr>
              <w:t>Suspend credit; amend both operating agreements to pro rata ownership; consider OIG SDP</w:t>
            </w:r>
          </w:p>
        </w:tc>
      </w:tr>
      <w:tr>
        <w:tc>
          <w:tcPr>
            <w:tcW w:type="dxa" w:w="360"/>
          </w:tcPr>
          <w:p>
            <w:r>
              <w:rPr>
                <w:sz w:val="15"/>
              </w:rPr>
            </w:r>
            <w:r>
              <w:rPr>
                <w:sz w:val="15"/>
              </w:rPr>
              <w:t>6</w:t>
            </w:r>
          </w:p>
        </w:tc>
        <w:tc>
          <w:tcPr>
            <w:tcW w:type="dxa" w:w="2088"/>
          </w:tcPr>
          <w:p>
            <w:r>
              <w:rPr>
                <w:sz w:val="15"/>
              </w:rPr>
            </w:r>
            <w:r>
              <w:rPr>
                <w:sz w:val="15"/>
              </w:rPr>
              <w:t>Stein Medical Director Agreement: $120,000/yr for 96 hrs (= $1,250/hr) since 2016, never re-benchmarked; conflicted approvals</w:t>
            </w:r>
          </w:p>
        </w:tc>
        <w:tc>
          <w:tcPr>
            <w:tcW w:type="dxa" w:w="1728"/>
          </w:tcPr>
          <w:p>
            <w:r>
              <w:rPr>
                <w:sz w:val="15"/>
              </w:rPr>
            </w:r>
            <w:r>
              <w:rPr>
                <w:sz w:val="15"/>
              </w:rPr>
              <w:t>AKS § 1001.952(d); possible indirect compensation under § 411.354(c)(2)</w:t>
            </w:r>
          </w:p>
        </w:tc>
        <w:tc>
          <w:tcPr>
            <w:tcW w:type="dxa" w:w="936"/>
            <w:shd w:val="clear" w:color="auto" w:fill="FCE5CD"/>
          </w:tcPr>
          <w:p>
            <w:r>
              <w:rPr>
                <w:sz w:val="15"/>
              </w:rPr>
            </w:r>
            <w:r>
              <w:rPr>
                <w:sz w:val="15"/>
              </w:rPr>
              <w:t>High</w:t>
            </w:r>
          </w:p>
        </w:tc>
        <w:tc>
          <w:tcPr>
            <w:tcW w:type="dxa" w:w="2232"/>
          </w:tcPr>
          <w:p>
            <w:r>
              <w:rPr>
                <w:sz w:val="15"/>
              </w:rPr>
            </w:r>
            <w:r>
              <w:rPr>
                <w:sz w:val="15"/>
              </w:rPr>
              <w:t>MDA §§ 2.2–2.3, 3.2, 4.1, Ex. A; Buckeye OA § 5.4; Greenfield OA § 10.1</w:t>
            </w:r>
          </w:p>
        </w:tc>
        <w:tc>
          <w:tcPr>
            <w:tcW w:type="dxa" w:w="2016"/>
          </w:tcPr>
          <w:p>
            <w:r>
              <w:rPr>
                <w:sz w:val="15"/>
              </w:rPr>
            </w:r>
            <w:r>
              <w:rPr>
                <w:sz w:val="15"/>
              </w:rPr>
              <w:t>Independent FMV review; collect time logs; recusal; amend</w:t>
            </w:r>
          </w:p>
        </w:tc>
      </w:tr>
      <w:tr>
        <w:tc>
          <w:tcPr>
            <w:tcW w:type="dxa" w:w="360"/>
          </w:tcPr>
          <w:p>
            <w:r>
              <w:rPr>
                <w:sz w:val="15"/>
              </w:rPr>
            </w:r>
            <w:r>
              <w:rPr>
                <w:sz w:val="15"/>
              </w:rPr>
              <w:t>7</w:t>
            </w:r>
          </w:p>
        </w:tc>
        <w:tc>
          <w:tcPr>
            <w:tcW w:type="dxa" w:w="2088"/>
          </w:tcPr>
          <w:p>
            <w:r>
              <w:rPr>
                <w:sz w:val="15"/>
              </w:rPr>
            </w:r>
            <w:r>
              <w:rPr>
                <w:sz w:val="15"/>
              </w:rPr>
              <w:t>Hilliard and Dublin satellites: daily lab testing; physician on site ~2 days/wk (Hilliard) and ~3 half-days/wk (Dublin)</w:t>
            </w:r>
          </w:p>
        </w:tc>
        <w:tc>
          <w:tcPr>
            <w:tcW w:type="dxa" w:w="1728"/>
          </w:tcPr>
          <w:p>
            <w:r>
              <w:rPr>
                <w:sz w:val="15"/>
              </w:rPr>
            </w:r>
            <w:r>
              <w:rPr>
                <w:sz w:val="15"/>
              </w:rPr>
              <w:t>§ 411.355(b)(1)–(2) (furnishing, supervision, “same building”); CLIA; Manual § 5.2</w:t>
            </w:r>
          </w:p>
        </w:tc>
        <w:tc>
          <w:tcPr>
            <w:tcW w:type="dxa" w:w="936"/>
            <w:shd w:val="clear" w:color="auto" w:fill="FCE5CD"/>
          </w:tcPr>
          <w:p>
            <w:r>
              <w:rPr>
                <w:sz w:val="15"/>
              </w:rPr>
            </w:r>
            <w:r>
              <w:rPr>
                <w:sz w:val="15"/>
              </w:rPr>
              <w:t>High</w:t>
            </w:r>
          </w:p>
        </w:tc>
        <w:tc>
          <w:tcPr>
            <w:tcW w:type="dxa" w:w="2232"/>
          </w:tcPr>
          <w:p>
            <w:r>
              <w:rPr>
                <w:sz w:val="15"/>
              </w:rPr>
            </w:r>
            <w:r>
              <w:rPr>
                <w:sz w:val="15"/>
              </w:rPr>
              <w:t>Audit memo § III.A (Mar. 2022), not remediated</w:t>
            </w:r>
          </w:p>
        </w:tc>
        <w:tc>
          <w:tcPr>
            <w:tcW w:type="dxa" w:w="2016"/>
          </w:tcPr>
          <w:p>
            <w:r>
              <w:rPr>
                <w:sz w:val="15"/>
              </w:rPr>
            </w:r>
            <w:r>
              <w:rPr>
                <w:sz w:val="15"/>
              </w:rPr>
              <w:t>Restrict testing; quantify; CLIA and building-test review</w:t>
            </w:r>
          </w:p>
        </w:tc>
      </w:tr>
      <w:tr>
        <w:tc>
          <w:tcPr>
            <w:tcW w:type="dxa" w:w="360"/>
          </w:tcPr>
          <w:p>
            <w:r>
              <w:rPr>
                <w:sz w:val="15"/>
              </w:rPr>
            </w:r>
            <w:r>
              <w:rPr>
                <w:sz w:val="15"/>
              </w:rPr>
              <w:t>8</w:t>
            </w:r>
          </w:p>
        </w:tc>
        <w:tc>
          <w:tcPr>
            <w:tcW w:type="dxa" w:w="2088"/>
          </w:tcPr>
          <w:p>
            <w:r>
              <w:rPr>
                <w:sz w:val="15"/>
              </w:rPr>
            </w:r>
            <w:r>
              <w:rPr>
                <w:sz w:val="15"/>
              </w:rPr>
              <w:t>Four 1099 radiologists (~60% of their time at Greenfield; ~30% of imaging reads) billed under the group NPI</w:t>
            </w:r>
          </w:p>
        </w:tc>
        <w:tc>
          <w:tcPr>
            <w:tcW w:type="dxa" w:w="1728"/>
          </w:tcPr>
          <w:p>
            <w:r>
              <w:rPr>
                <w:sz w:val="15"/>
              </w:rPr>
            </w:r>
            <w:r>
              <w:rPr>
                <w:sz w:val="15"/>
              </w:rPr>
              <w:t>§ 411.351 / § 411.355(b); anti-markup rule § 414.50; reassignment § 424.80</w:t>
            </w:r>
          </w:p>
        </w:tc>
        <w:tc>
          <w:tcPr>
            <w:tcW w:type="dxa" w:w="936"/>
            <w:shd w:val="clear" w:color="auto" w:fill="FFF2CC"/>
          </w:tcPr>
          <w:p>
            <w:r>
              <w:rPr>
                <w:sz w:val="15"/>
              </w:rPr>
            </w:r>
            <w:r>
              <w:rPr>
                <w:sz w:val="15"/>
              </w:rPr>
              <w:t>Medium</w:t>
            </w:r>
          </w:p>
        </w:tc>
        <w:tc>
          <w:tcPr>
            <w:tcW w:type="dxa" w:w="2232"/>
          </w:tcPr>
          <w:p>
            <w:r>
              <w:rPr>
                <w:sz w:val="15"/>
              </w:rPr>
            </w:r>
            <w:r>
              <w:rPr>
                <w:sz w:val="15"/>
              </w:rPr>
              <w:t>Audit memo § III.B; Hotline #2023-11; Comp. Summary rows 84–87</w:t>
            </w:r>
          </w:p>
        </w:tc>
        <w:tc>
          <w:tcPr>
            <w:tcW w:type="dxa" w:w="2016"/>
          </w:tcPr>
          <w:p>
            <w:r>
              <w:rPr>
                <w:sz w:val="15"/>
              </w:rPr>
            </w:r>
            <w:r>
              <w:rPr>
                <w:sz w:val="15"/>
              </w:rPr>
              <w:t>Review contracts and CMS-855R; anti-markup analysis; restructure</w:t>
            </w:r>
          </w:p>
        </w:tc>
      </w:tr>
      <w:tr>
        <w:tc>
          <w:tcPr>
            <w:tcW w:type="dxa" w:w="360"/>
          </w:tcPr>
          <w:p>
            <w:r>
              <w:rPr>
                <w:sz w:val="15"/>
              </w:rPr>
            </w:r>
            <w:r>
              <w:rPr>
                <w:sz w:val="15"/>
              </w:rPr>
              <w:t>9</w:t>
            </w:r>
          </w:p>
        </w:tc>
        <w:tc>
          <w:tcPr>
            <w:tcW w:type="dxa" w:w="2088"/>
          </w:tcPr>
          <w:p>
            <w:r>
              <w:rPr>
                <w:sz w:val="15"/>
              </w:rPr>
            </w:r>
            <w:r>
              <w:rPr>
                <w:sz w:val="15"/>
              </w:rPr>
              <w:t>ClearView lease: $18/sf triple-net vs. FSG appraisal; FMV likely defensible but undocumented</w:t>
            </w:r>
          </w:p>
        </w:tc>
        <w:tc>
          <w:tcPr>
            <w:tcW w:type="dxa" w:w="1728"/>
          </w:tcPr>
          <w:p>
            <w:r>
              <w:rPr>
                <w:sz w:val="15"/>
              </w:rPr>
            </w:r>
            <w:r>
              <w:rPr>
                <w:sz w:val="15"/>
              </w:rPr>
              <w:t>§ 411.357(a); AKS</w:t>
            </w:r>
          </w:p>
        </w:tc>
        <w:tc>
          <w:tcPr>
            <w:tcW w:type="dxa" w:w="936"/>
            <w:shd w:val="clear" w:color="auto" w:fill="FFF2CC"/>
          </w:tcPr>
          <w:p>
            <w:r>
              <w:rPr>
                <w:sz w:val="15"/>
              </w:rPr>
            </w:r>
            <w:r>
              <w:rPr>
                <w:sz w:val="15"/>
              </w:rPr>
              <w:t>Medium</w:t>
            </w:r>
          </w:p>
        </w:tc>
        <w:tc>
          <w:tcPr>
            <w:tcW w:type="dxa" w:w="2232"/>
          </w:tcPr>
          <w:p>
            <w:r>
              <w:rPr>
                <w:sz w:val="15"/>
              </w:rPr>
            </w:r>
            <w:r>
              <w:rPr>
                <w:sz w:val="15"/>
              </w:rPr>
              <w:t>ClearView Lease §§ 4.1–4.6, 5.1–5.3, 7.1, Ex. B; Hotline #2023-14</w:t>
            </w:r>
          </w:p>
        </w:tc>
        <w:tc>
          <w:tcPr>
            <w:tcW w:type="dxa" w:w="2016"/>
          </w:tcPr>
          <w:p>
            <w:r>
              <w:rPr>
                <w:sz w:val="15"/>
              </w:rPr>
            </w:r>
            <w:r>
              <w:rPr>
                <w:sz w:val="15"/>
              </w:rPr>
              <w:t>Document gross-equivalent FMV; confirm operating expenses were collected; renewal on FMV terms</w:t>
            </w:r>
          </w:p>
        </w:tc>
      </w:tr>
      <w:tr>
        <w:tc>
          <w:tcPr>
            <w:tcW w:type="dxa" w:w="360"/>
          </w:tcPr>
          <w:p>
            <w:r>
              <w:rPr>
                <w:sz w:val="15"/>
              </w:rPr>
            </w:r>
            <w:r>
              <w:rPr>
                <w:sz w:val="15"/>
              </w:rPr>
              <w:t>10</w:t>
            </w:r>
          </w:p>
        </w:tc>
        <w:tc>
          <w:tcPr>
            <w:tcW w:type="dxa" w:w="2088"/>
          </w:tcPr>
          <w:p>
            <w:r>
              <w:rPr>
                <w:sz w:val="15"/>
              </w:rPr>
            </w:r>
            <w:r>
              <w:rPr>
                <w:sz w:val="15"/>
              </w:rPr>
              <w:t>Member compensation governance: self-approval; quality bonuses above the 25% cap for both physician Compensation Committee members; 2019 benchmarks</w:t>
            </w:r>
          </w:p>
        </w:tc>
        <w:tc>
          <w:tcPr>
            <w:tcW w:type="dxa" w:w="1728"/>
          </w:tcPr>
          <w:p>
            <w:r>
              <w:rPr>
                <w:sz w:val="15"/>
              </w:rPr>
            </w:r>
            <w:r>
              <w:rPr>
                <w:sz w:val="15"/>
              </w:rPr>
              <w:t>AKS; § 411.352(i) documentation; fiduciary</w:t>
            </w:r>
          </w:p>
        </w:tc>
        <w:tc>
          <w:tcPr>
            <w:tcW w:type="dxa" w:w="936"/>
            <w:shd w:val="clear" w:color="auto" w:fill="FFF2CC"/>
          </w:tcPr>
          <w:p>
            <w:r>
              <w:rPr>
                <w:sz w:val="15"/>
              </w:rPr>
            </w:r>
            <w:r>
              <w:rPr>
                <w:sz w:val="15"/>
              </w:rPr>
              <w:t>Medium</w:t>
            </w:r>
          </w:p>
        </w:tc>
        <w:tc>
          <w:tcPr>
            <w:tcW w:type="dxa" w:w="2232"/>
          </w:tcPr>
          <w:p>
            <w:r>
              <w:rPr>
                <w:sz w:val="15"/>
              </w:rPr>
            </w:r>
            <w:r>
              <w:rPr>
                <w:sz w:val="15"/>
              </w:rPr>
              <w:t>OA §§ 7.2–7.3; Comp. Summary rows 1–2</w:t>
            </w:r>
          </w:p>
        </w:tc>
        <w:tc>
          <w:tcPr>
            <w:tcW w:type="dxa" w:w="2016"/>
          </w:tcPr>
          <w:p>
            <w:r>
              <w:rPr>
                <w:sz w:val="15"/>
              </w:rPr>
            </w:r>
            <w:r>
              <w:rPr>
                <w:sz w:val="15"/>
              </w:rPr>
              <w:t>Independent comp review; recusal; true-up</w:t>
            </w:r>
          </w:p>
        </w:tc>
      </w:tr>
      <w:tr>
        <w:tc>
          <w:tcPr>
            <w:tcW w:type="dxa" w:w="360"/>
          </w:tcPr>
          <w:p>
            <w:r>
              <w:rPr>
                <w:sz w:val="15"/>
              </w:rPr>
            </w:r>
            <w:r>
              <w:rPr>
                <w:sz w:val="15"/>
              </w:rPr>
              <w:t>11</w:t>
            </w:r>
          </w:p>
        </w:tc>
        <w:tc>
          <w:tcPr>
            <w:tcW w:type="dxa" w:w="2088"/>
          </w:tcPr>
          <w:p>
            <w:r>
              <w:rPr>
                <w:sz w:val="15"/>
              </w:rPr>
            </w:r>
            <w:r>
              <w:rPr>
                <w:sz w:val="15"/>
              </w:rPr>
              <w:t>Compliance program breakdown: Stark hotline reports closed without Committee or counsel review; no training or risk assessments; meetings skipped</w:t>
            </w:r>
          </w:p>
        </w:tc>
        <w:tc>
          <w:tcPr>
            <w:tcW w:type="dxa" w:w="1728"/>
          </w:tcPr>
          <w:p>
            <w:r>
              <w:rPr>
                <w:sz w:val="15"/>
              </w:rPr>
            </w:r>
            <w:r>
              <w:rPr>
                <w:sz w:val="15"/>
              </w:rPr>
              <w:t>OIG GCPG (2023); FCA scienter; Manual §§ 2, 6–8</w:t>
            </w:r>
          </w:p>
        </w:tc>
        <w:tc>
          <w:tcPr>
            <w:tcW w:type="dxa" w:w="936"/>
            <w:shd w:val="clear" w:color="auto" w:fill="FCE5CD"/>
          </w:tcPr>
          <w:p>
            <w:r>
              <w:rPr>
                <w:sz w:val="15"/>
              </w:rPr>
            </w:r>
            <w:r>
              <w:rPr>
                <w:sz w:val="15"/>
              </w:rPr>
              <w:t>High</w:t>
            </w:r>
          </w:p>
        </w:tc>
        <w:tc>
          <w:tcPr>
            <w:tcW w:type="dxa" w:w="2232"/>
          </w:tcPr>
          <w:p>
            <w:r>
              <w:rPr>
                <w:sz w:val="15"/>
              </w:rPr>
            </w:r>
            <w:r>
              <w:rPr>
                <w:sz w:val="15"/>
              </w:rPr>
              <w:t>Hotline log 2023; email chain Sept. 2024; audit memo</w:t>
            </w:r>
          </w:p>
        </w:tc>
        <w:tc>
          <w:tcPr>
            <w:tcW w:type="dxa" w:w="2016"/>
          </w:tcPr>
          <w:p>
            <w:r>
              <w:rPr>
                <w:sz w:val="15"/>
              </w:rPr>
            </w:r>
            <w:r>
              <w:rPr>
                <w:sz w:val="15"/>
              </w:rPr>
              <w:t>Reconstitute oversight; reopen hotline matters under counsel</w:t>
            </w:r>
          </w:p>
        </w:tc>
      </w:tr>
      <w:tr>
        <w:tc>
          <w:tcPr>
            <w:tcW w:type="dxa" w:w="360"/>
          </w:tcPr>
          <w:p>
            <w:r>
              <w:rPr>
                <w:sz w:val="15"/>
              </w:rPr>
            </w:r>
            <w:r>
              <w:rPr>
                <w:sz w:val="15"/>
              </w:rPr>
              <w:t>12</w:t>
            </w:r>
          </w:p>
        </w:tc>
        <w:tc>
          <w:tcPr>
            <w:tcW w:type="dxa" w:w="2088"/>
          </w:tcPr>
          <w:p>
            <w:r>
              <w:rPr>
                <w:sz w:val="15"/>
              </w:rPr>
            </w:r>
            <w:r>
              <w:rPr>
                <w:sz w:val="15"/>
              </w:rPr>
              <w:t>Records and data integrity (ownership tables, counts, totals)</w:t>
            </w:r>
          </w:p>
        </w:tc>
        <w:tc>
          <w:tcPr>
            <w:tcW w:type="dxa" w:w="1728"/>
          </w:tcPr>
          <w:p>
            <w:r>
              <w:rPr>
                <w:sz w:val="15"/>
              </w:rPr>
            </w:r>
            <w:r>
              <w:rPr>
                <w:sz w:val="15"/>
              </w:rPr>
              <w:t>Evidence and credibility; § 411.352(i)(4) documentation</w:t>
            </w:r>
          </w:p>
        </w:tc>
        <w:tc>
          <w:tcPr>
            <w:tcW w:type="dxa" w:w="936"/>
            <w:shd w:val="clear" w:color="auto" w:fill="FFF2CC"/>
          </w:tcPr>
          <w:p>
            <w:r>
              <w:rPr>
                <w:sz w:val="15"/>
              </w:rPr>
            </w:r>
            <w:r>
              <w:rPr>
                <w:sz w:val="15"/>
              </w:rPr>
              <w:t>Medium</w:t>
            </w:r>
          </w:p>
        </w:tc>
        <w:tc>
          <w:tcPr>
            <w:tcW w:type="dxa" w:w="2232"/>
          </w:tcPr>
          <w:p>
            <w:r>
              <w:rPr>
                <w:sz w:val="15"/>
              </w:rPr>
            </w:r>
            <w:r>
              <w:rPr>
                <w:sz w:val="15"/>
              </w:rPr>
              <w:t>Comp. Summary; Buckeye OA Ex. A; OA § 3.1</w:t>
            </w:r>
          </w:p>
        </w:tc>
        <w:tc>
          <w:tcPr>
            <w:tcW w:type="dxa" w:w="2016"/>
          </w:tcPr>
          <w:p>
            <w:r>
              <w:rPr>
                <w:sz w:val="15"/>
              </w:rPr>
            </w:r>
            <w:r>
              <w:rPr>
                <w:sz w:val="15"/>
              </w:rPr>
              <w:t>Forensic reconciliation under privilege</w:t>
            </w:r>
          </w:p>
        </w:tc>
      </w:tr>
    </w:tbl>
    <w:p/>
    <w:p>
      <w:pPr>
        <w:pStyle w:val="Heading1"/>
      </w:pPr>
      <w:r>
        <w:t>III. Background and Documents Reviewed</w:t>
      </w:r>
    </w:p>
    <w:p>
      <w:pPr>
        <w:pStyle w:val="Heading2"/>
      </w:pPr>
      <w:r>
        <w:t>A. The organization</w:t>
      </w:r>
    </w:p>
    <w:p>
      <w:r>
        <w:t>Greenfield Health Partners, LLC is an Ohio LLC formed March 14, 2009. Its Amended and Restated Operating Agreement is effective January 1, 2020 (“OA”). It is a multispecialty group: orthopedics, cardiology, internal medicine, radiology, general surgery, urology and neurology. It has 12 Columbus-area locations and reports 87 physicians. The governing documents count 52 members and 35 employed physicians. The 2023 compensation summary lists 52 members, 31 employed physicians and 4 independent-contractor (IC) radiologists. Greenfield bills all services under a single group NPI and TIN. It operates in-office clinical laboratory and point-of-care testing at 8 of 12 sites and diagnostic imaging (OA § 10.2; audit memo § III). It relies on the IOASE for those DHS. Greenfield also owns and is landlord of the 48,000 sf Riverside Medical Plaza. It leases space there to ClearView Diagnostic Imaging (Suite 210), Pinnacle Reference Laboratory (Suite 105) and Ohio Heart &amp; Vascular Associates (Suite 310).</w:t>
      </w:r>
    </w:p>
    <w:p>
      <w:r>
        <w:t>Greenfield owns 60% of Buckeye Surgical Center, LLC (the ASC), formed August 22, 2016, and serves as its Manager. Dr. Raymond K. Stein owns 25% personally and Dr. Priya Narayan owns 15% (Buckeye OA § 3.1). Dr. Stein is Greenfield’s Managing Member and CMO (4.2% interest), Buckeye’s Medical Director, chair of Greenfield’s Compensation Committee, and chair of its Compliance Committee. Dr. Narayan (3.1% interest) sits on both committees. The CFO, identified in the documents as “Alan Cromdale Consulting”, sits on both committees and negotiated the ClearView and Pinnacle leases. The CFO’s e-mail address is amercer@greenfieldhealth.com. Whether the CFO is an individual employee or an outsourced consulting firm should be confirmed, because it bears on governance, privilege and witness planning. Patricia Langford has been CCO since April 2021.</w:t>
      </w:r>
    </w:p>
    <w:p>
      <w:pPr>
        <w:pStyle w:val="Heading2"/>
      </w:pPr>
      <w:r>
        <w:t>B. Documents reviewed</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D9E2F3"/>
          </w:tcPr>
          <w:p>
            <w:r/>
            <w:r>
              <w:rPr>
                <w:b/>
                <w:sz w:val="16"/>
              </w:rPr>
              <w:t>Document</w:t>
            </w:r>
          </w:p>
        </w:tc>
        <w:tc>
          <w:tcPr>
            <w:tcW w:type="dxa" w:w="2016"/>
            <w:shd w:val="clear" w:color="auto" w:fill="D9E2F3"/>
          </w:tcPr>
          <w:p>
            <w:r/>
            <w:r>
              <w:rPr>
                <w:b/>
                <w:sz w:val="16"/>
              </w:rPr>
              <w:t>Date</w:t>
            </w:r>
          </w:p>
        </w:tc>
        <w:tc>
          <w:tcPr>
            <w:tcW w:type="dxa" w:w="3888"/>
            <w:shd w:val="clear" w:color="auto" w:fill="D9E2F3"/>
          </w:tcPr>
          <w:p>
            <w:r/>
            <w:r>
              <w:rPr>
                <w:b/>
                <w:sz w:val="16"/>
              </w:rPr>
              <w:t>Relevance</w:t>
            </w:r>
          </w:p>
        </w:tc>
      </w:tr>
      <w:tr>
        <w:tc>
          <w:tcPr>
            <w:tcW w:type="dxa" w:w="3456"/>
          </w:tcPr>
          <w:p>
            <w:r>
              <w:rPr>
                <w:sz w:val="16"/>
              </w:rPr>
            </w:r>
            <w:r>
              <w:rPr>
                <w:sz w:val="16"/>
              </w:rPr>
              <w:t>Amended &amp; Restated Operating Agreement of Greenfield (excerpts)</w:t>
            </w:r>
          </w:p>
        </w:tc>
        <w:tc>
          <w:tcPr>
            <w:tcW w:type="dxa" w:w="2016"/>
          </w:tcPr>
          <w:p>
            <w:r>
              <w:rPr>
                <w:sz w:val="16"/>
              </w:rPr>
            </w:r>
            <w:r>
              <w:rPr>
                <w:sz w:val="16"/>
              </w:rPr>
              <w:t>Eff. Jan. 1, 2020</w:t>
            </w:r>
          </w:p>
        </w:tc>
        <w:tc>
          <w:tcPr>
            <w:tcW w:type="dxa" w:w="3888"/>
          </w:tcPr>
          <w:p>
            <w:r>
              <w:rPr>
                <w:sz w:val="16"/>
              </w:rPr>
            </w:r>
            <w:r>
              <w:rPr>
                <w:sz w:val="16"/>
              </w:rPr>
              <w:t>Member compensation, Compensation and Compliance Committees, RQB authorization (§ 7.5(c)), Buckeye Referral Credit (§ 8.4), leases (Art. IX), Buckeye (Art. X)</w:t>
            </w:r>
          </w:p>
        </w:tc>
      </w:tr>
      <w:tr>
        <w:tc>
          <w:tcPr>
            <w:tcW w:type="dxa" w:w="3456"/>
          </w:tcPr>
          <w:p>
            <w:r>
              <w:rPr>
                <w:sz w:val="16"/>
              </w:rPr>
            </w:r>
            <w:r>
              <w:rPr>
                <w:sz w:val="16"/>
              </w:rPr>
              <w:t>Amended &amp; Restated Operating Agreement of Buckeye Surgical Center (excerpts)</w:t>
            </w:r>
          </w:p>
        </w:tc>
        <w:tc>
          <w:tcPr>
            <w:tcW w:type="dxa" w:w="2016"/>
          </w:tcPr>
          <w:p>
            <w:r>
              <w:rPr>
                <w:sz w:val="16"/>
              </w:rPr>
            </w:r>
            <w:r>
              <w:rPr>
                <w:sz w:val="16"/>
              </w:rPr>
              <w:t>Eff. Aug. 22, 2016 (never amended)</w:t>
            </w:r>
          </w:p>
        </w:tc>
        <w:tc>
          <w:tcPr>
            <w:tcW w:type="dxa" w:w="3888"/>
          </w:tcPr>
          <w:p>
            <w:r>
              <w:rPr>
                <w:sz w:val="16"/>
              </w:rPr>
            </w:r>
            <w:r>
              <w:rPr>
                <w:sz w:val="16"/>
              </w:rPr>
              <w:t>Referral-Percentage allocations and distributions; Greenfield internal referral-credit representation; Medical Director</w:t>
            </w:r>
          </w:p>
        </w:tc>
      </w:tr>
      <w:tr>
        <w:tc>
          <w:tcPr>
            <w:tcW w:type="dxa" w:w="3456"/>
          </w:tcPr>
          <w:p>
            <w:r>
              <w:rPr>
                <w:sz w:val="16"/>
              </w:rPr>
            </w:r>
            <w:r>
              <w:rPr>
                <w:sz w:val="16"/>
              </w:rPr>
              <w:t>Medical Director Agreement, Buckeye–Dr. Stein</w:t>
            </w:r>
          </w:p>
        </w:tc>
        <w:tc>
          <w:tcPr>
            <w:tcW w:type="dxa" w:w="2016"/>
          </w:tcPr>
          <w:p>
            <w:r>
              <w:rPr>
                <w:sz w:val="16"/>
              </w:rPr>
            </w:r>
            <w:r>
              <w:rPr>
                <w:sz w:val="16"/>
              </w:rPr>
              <w:t>Aug. 22, 2016</w:t>
            </w:r>
          </w:p>
        </w:tc>
        <w:tc>
          <w:tcPr>
            <w:tcW w:type="dxa" w:w="3888"/>
          </w:tcPr>
          <w:p>
            <w:r>
              <w:rPr>
                <w:sz w:val="16"/>
              </w:rPr>
            </w:r>
            <w:r>
              <w:rPr>
                <w:sz w:val="16"/>
              </w:rPr>
              <w:t>$120,000/yr; 96 hrs/yr; evergreen renewal on identical terms</w:t>
            </w:r>
          </w:p>
        </w:tc>
      </w:tr>
      <w:tr>
        <w:tc>
          <w:tcPr>
            <w:tcW w:type="dxa" w:w="3456"/>
          </w:tcPr>
          <w:p>
            <w:r>
              <w:rPr>
                <w:sz w:val="16"/>
              </w:rPr>
            </w:r>
            <w:r>
              <w:rPr>
                <w:sz w:val="16"/>
              </w:rPr>
              <w:t>2022 Compensation Plan Update Memorandum (Stein / CFO)</w:t>
            </w:r>
          </w:p>
        </w:tc>
        <w:tc>
          <w:tcPr>
            <w:tcW w:type="dxa" w:w="2016"/>
          </w:tcPr>
          <w:p>
            <w:r>
              <w:rPr>
                <w:sz w:val="16"/>
              </w:rPr>
            </w:r>
            <w:r>
              <w:rPr>
                <w:sz w:val="16"/>
              </w:rPr>
              <w:t>Jan. 10, 2022 (eff. Jan. 1, 2022)</w:t>
            </w:r>
          </w:p>
        </w:tc>
        <w:tc>
          <w:tcPr>
            <w:tcW w:type="dxa" w:w="3888"/>
          </w:tcPr>
          <w:p>
            <w:r>
              <w:rPr>
                <w:sz w:val="16"/>
              </w:rPr>
            </w:r>
            <w:r>
              <w:rPr>
                <w:sz w:val="16"/>
              </w:rPr>
              <w:t>Creates the RQB</w:t>
            </w:r>
          </w:p>
        </w:tc>
      </w:tr>
      <w:tr>
        <w:tc>
          <w:tcPr>
            <w:tcW w:type="dxa" w:w="3456"/>
          </w:tcPr>
          <w:p>
            <w:r>
              <w:rPr>
                <w:sz w:val="16"/>
              </w:rPr>
            </w:r>
            <w:r>
              <w:rPr>
                <w:sz w:val="16"/>
              </w:rPr>
              <w:t>Employment Agreement, Dr. Thomas Wellford (Internal Medicine)</w:t>
            </w:r>
          </w:p>
        </w:tc>
        <w:tc>
          <w:tcPr>
            <w:tcW w:type="dxa" w:w="2016"/>
          </w:tcPr>
          <w:p>
            <w:r>
              <w:rPr>
                <w:sz w:val="16"/>
              </w:rPr>
            </w:r>
            <w:r>
              <w:rPr>
                <w:sz w:val="16"/>
              </w:rPr>
              <w:t>Jan. 15, 2022 (term to Jan. 14, 2024)</w:t>
            </w:r>
          </w:p>
        </w:tc>
        <w:tc>
          <w:tcPr>
            <w:tcW w:type="dxa" w:w="3888"/>
          </w:tcPr>
          <w:p>
            <w:r>
              <w:rPr>
                <w:sz w:val="16"/>
              </w:rPr>
            </w:r>
            <w:r>
              <w:rPr>
                <w:sz w:val="16"/>
              </w:rPr>
              <w:t>Representative employed-physician agreement; omits the RQB</w:t>
            </w:r>
          </w:p>
        </w:tc>
      </w:tr>
      <w:tr>
        <w:tc>
          <w:tcPr>
            <w:tcW w:type="dxa" w:w="3456"/>
          </w:tcPr>
          <w:p>
            <w:r>
              <w:rPr>
                <w:sz w:val="16"/>
              </w:rPr>
            </w:r>
            <w:r>
              <w:rPr>
                <w:sz w:val="16"/>
              </w:rPr>
              <w:t>Physician Compensation Summary 2023 (CFO office)</w:t>
            </w:r>
          </w:p>
        </w:tc>
        <w:tc>
          <w:tcPr>
            <w:tcW w:type="dxa" w:w="2016"/>
          </w:tcPr>
          <w:p>
            <w:r>
              <w:rPr>
                <w:sz w:val="16"/>
              </w:rPr>
            </w:r>
            <w:r>
              <w:rPr>
                <w:sz w:val="16"/>
              </w:rPr>
              <w:t>Prepared Feb. 15, 2024</w:t>
            </w:r>
          </w:p>
        </w:tc>
        <w:tc>
          <w:tcPr>
            <w:tcW w:type="dxa" w:w="3888"/>
          </w:tcPr>
          <w:p>
            <w:r>
              <w:rPr>
                <w:sz w:val="16"/>
              </w:rPr>
            </w:r>
            <w:r>
              <w:rPr>
                <w:sz w:val="16"/>
              </w:rPr>
              <w:t>Physician-level 2023 compensation, RQB, Referral Credits, ownership</w:t>
            </w:r>
          </w:p>
        </w:tc>
      </w:tr>
      <w:tr>
        <w:tc>
          <w:tcPr>
            <w:tcW w:type="dxa" w:w="3456"/>
          </w:tcPr>
          <w:p>
            <w:r>
              <w:rPr>
                <w:sz w:val="16"/>
              </w:rPr>
            </w:r>
            <w:r>
              <w:rPr>
                <w:sz w:val="16"/>
              </w:rPr>
              <w:t>ClearView lease (Suite 210)</w:t>
            </w:r>
          </w:p>
        </w:tc>
        <w:tc>
          <w:tcPr>
            <w:tcW w:type="dxa" w:w="2016"/>
          </w:tcPr>
          <w:p>
            <w:r>
              <w:rPr>
                <w:sz w:val="16"/>
              </w:rPr>
            </w:r>
            <w:r>
              <w:rPr>
                <w:sz w:val="16"/>
              </w:rPr>
              <w:t>Jan. 1, 2021 – Dec. 31, 2025</w:t>
            </w:r>
          </w:p>
        </w:tc>
        <w:tc>
          <w:tcPr>
            <w:tcW w:type="dxa" w:w="3888"/>
          </w:tcPr>
          <w:p>
            <w:r>
              <w:rPr>
                <w:sz w:val="16"/>
              </w:rPr>
            </w:r>
            <w:r>
              <w:rPr>
                <w:sz w:val="16"/>
              </w:rPr>
              <w:t>$18/sf triple-net plus pro rata operating expenses</w:t>
            </w:r>
          </w:p>
        </w:tc>
      </w:tr>
      <w:tr>
        <w:tc>
          <w:tcPr>
            <w:tcW w:type="dxa" w:w="3456"/>
          </w:tcPr>
          <w:p>
            <w:r>
              <w:rPr>
                <w:sz w:val="16"/>
              </w:rPr>
            </w:r>
            <w:r>
              <w:rPr>
                <w:sz w:val="16"/>
              </w:rPr>
              <w:t>Pinnacle lease (Suite 105)</w:t>
            </w:r>
          </w:p>
        </w:tc>
        <w:tc>
          <w:tcPr>
            <w:tcW w:type="dxa" w:w="2016"/>
          </w:tcPr>
          <w:p>
            <w:r>
              <w:rPr>
                <w:sz w:val="16"/>
              </w:rPr>
            </w:r>
            <w:r>
              <w:rPr>
                <w:sz w:val="16"/>
              </w:rPr>
              <w:t>Mar. 1, 2022 – Feb. 28, 2025</w:t>
            </w:r>
          </w:p>
        </w:tc>
        <w:tc>
          <w:tcPr>
            <w:tcW w:type="dxa" w:w="3888"/>
          </w:tcPr>
          <w:p>
            <w:r>
              <w:rPr>
                <w:sz w:val="16"/>
              </w:rPr>
            </w:r>
            <w:r>
              <w:rPr>
                <w:sz w:val="16"/>
              </w:rPr>
              <w:t>$22/sf with 2022 base-year expense stop</w:t>
            </w:r>
          </w:p>
        </w:tc>
      </w:tr>
      <w:tr>
        <w:tc>
          <w:tcPr>
            <w:tcW w:type="dxa" w:w="3456"/>
          </w:tcPr>
          <w:p>
            <w:r>
              <w:rPr>
                <w:sz w:val="16"/>
              </w:rPr>
            </w:r>
            <w:r>
              <w:rPr>
                <w:sz w:val="16"/>
              </w:rPr>
              <w:t>Lakeshore Valuation Group FMV appraisal (LVG-2020-0347)</w:t>
            </w:r>
          </w:p>
        </w:tc>
        <w:tc>
          <w:tcPr>
            <w:tcW w:type="dxa" w:w="2016"/>
          </w:tcPr>
          <w:p>
            <w:r>
              <w:rPr>
                <w:sz w:val="16"/>
              </w:rPr>
            </w:r>
            <w:r>
              <w:rPr>
                <w:sz w:val="16"/>
              </w:rPr>
              <w:t>Report Sept. 15, 2020; value as of Sept. 1, 2020</w:t>
            </w:r>
          </w:p>
        </w:tc>
        <w:tc>
          <w:tcPr>
            <w:tcW w:type="dxa" w:w="3888"/>
          </w:tcPr>
          <w:p>
            <w:r>
              <w:rPr>
                <w:sz w:val="16"/>
              </w:rPr>
            </w:r>
            <w:r>
              <w:rPr>
                <w:sz w:val="16"/>
              </w:rPr>
              <w:t>$28–$32/sf full-service gross; update advised after 12 months</w:t>
            </w:r>
          </w:p>
        </w:tc>
      </w:tr>
      <w:tr>
        <w:tc>
          <w:tcPr>
            <w:tcW w:type="dxa" w:w="3456"/>
          </w:tcPr>
          <w:p>
            <w:r>
              <w:rPr>
                <w:sz w:val="16"/>
              </w:rPr>
            </w:r>
            <w:r>
              <w:rPr>
                <w:sz w:val="16"/>
              </w:rPr>
              <w:t>Pinnacle courier tracking workbook</w:t>
            </w:r>
          </w:p>
        </w:tc>
        <w:tc>
          <w:tcPr>
            <w:tcW w:type="dxa" w:w="2016"/>
          </w:tcPr>
          <w:p>
            <w:r>
              <w:rPr>
                <w:sz w:val="16"/>
              </w:rPr>
            </w:r>
            <w:r>
              <w:rPr>
                <w:sz w:val="16"/>
              </w:rPr>
              <w:t>Prepared Jan. 15, 2024 (CY2023)</w:t>
            </w:r>
          </w:p>
        </w:tc>
        <w:tc>
          <w:tcPr>
            <w:tcW w:type="dxa" w:w="3888"/>
          </w:tcPr>
          <w:p>
            <w:r>
              <w:rPr>
                <w:sz w:val="16"/>
              </w:rPr>
            </w:r>
            <w:r>
              <w:rPr>
                <w:sz w:val="16"/>
              </w:rPr>
              <w:t>Free courier, ~$4,200/mo, no writing</w:t>
            </w:r>
          </w:p>
        </w:tc>
      </w:tr>
      <w:tr>
        <w:tc>
          <w:tcPr>
            <w:tcW w:type="dxa" w:w="3456"/>
          </w:tcPr>
          <w:p>
            <w:r>
              <w:rPr>
                <w:sz w:val="16"/>
              </w:rPr>
            </w:r>
            <w:r>
              <w:rPr>
                <w:sz w:val="16"/>
              </w:rPr>
              <w:t>Internal Compliance Audit Memorandum (CCO)</w:t>
            </w:r>
          </w:p>
        </w:tc>
        <w:tc>
          <w:tcPr>
            <w:tcW w:type="dxa" w:w="2016"/>
          </w:tcPr>
          <w:p>
            <w:r>
              <w:rPr>
                <w:sz w:val="16"/>
              </w:rPr>
            </w:r>
            <w:r>
              <w:rPr>
                <w:sz w:val="16"/>
              </w:rPr>
              <w:t>Mar. 31, 2022</w:t>
            </w:r>
          </w:p>
        </w:tc>
        <w:tc>
          <w:tcPr>
            <w:tcW w:type="dxa" w:w="3888"/>
          </w:tcPr>
          <w:p>
            <w:r>
              <w:rPr>
                <w:sz w:val="16"/>
              </w:rPr>
            </w:r>
            <w:r>
              <w:rPr>
                <w:sz w:val="16"/>
              </w:rPr>
              <w:t>Satellite supervision; IC radiologists; lease-rate variance; RQB “no concerns”</w:t>
            </w:r>
          </w:p>
        </w:tc>
      </w:tr>
      <w:tr>
        <w:tc>
          <w:tcPr>
            <w:tcW w:type="dxa" w:w="3456"/>
          </w:tcPr>
          <w:p>
            <w:r>
              <w:rPr>
                <w:sz w:val="16"/>
              </w:rPr>
            </w:r>
            <w:r>
              <w:rPr>
                <w:sz w:val="16"/>
              </w:rPr>
              <w:t>Compliance Program Manual</w:t>
            </w:r>
          </w:p>
        </w:tc>
        <w:tc>
          <w:tcPr>
            <w:tcW w:type="dxa" w:w="2016"/>
          </w:tcPr>
          <w:p>
            <w:r>
              <w:rPr>
                <w:sz w:val="16"/>
              </w:rPr>
            </w:r>
            <w:r>
              <w:rPr>
                <w:sz w:val="16"/>
              </w:rPr>
              <w:t>Adopted Apr. 15, 2021</w:t>
            </w:r>
          </w:p>
        </w:tc>
        <w:tc>
          <w:tcPr>
            <w:tcW w:type="dxa" w:w="3888"/>
          </w:tcPr>
          <w:p>
            <w:r>
              <w:rPr>
                <w:sz w:val="16"/>
              </w:rPr>
            </w:r>
            <w:r>
              <w:rPr>
                <w:sz w:val="16"/>
              </w:rPr>
              <w:t>Internal policy standards (several legal misstatements)</w:t>
            </w:r>
          </w:p>
        </w:tc>
      </w:tr>
      <w:tr>
        <w:tc>
          <w:tcPr>
            <w:tcW w:type="dxa" w:w="3456"/>
          </w:tcPr>
          <w:p>
            <w:r>
              <w:rPr>
                <w:sz w:val="16"/>
              </w:rPr>
            </w:r>
            <w:r>
              <w:rPr>
                <w:sz w:val="16"/>
              </w:rPr>
              <w:t>Compliance Hotline Log 2023</w:t>
            </w:r>
          </w:p>
        </w:tc>
        <w:tc>
          <w:tcPr>
            <w:tcW w:type="dxa" w:w="2016"/>
          </w:tcPr>
          <w:p>
            <w:r>
              <w:rPr>
                <w:sz w:val="16"/>
              </w:rPr>
            </w:r>
            <w:r>
              <w:rPr>
                <w:sz w:val="16"/>
              </w:rPr>
              <w:t>CY2023</w:t>
            </w:r>
          </w:p>
        </w:tc>
        <w:tc>
          <w:tcPr>
            <w:tcW w:type="dxa" w:w="3888"/>
          </w:tcPr>
          <w:p>
            <w:r>
              <w:rPr>
                <w:sz w:val="16"/>
              </w:rPr>
            </w:r>
            <w:r>
              <w:rPr>
                <w:sz w:val="16"/>
              </w:rPr>
              <w:t>Three Stark-related reports closed with “no action”</w:t>
            </w:r>
          </w:p>
        </w:tc>
      </w:tr>
      <w:tr>
        <w:tc>
          <w:tcPr>
            <w:tcW w:type="dxa" w:w="3456"/>
          </w:tcPr>
          <w:p>
            <w:r>
              <w:rPr>
                <w:sz w:val="16"/>
              </w:rPr>
            </w:r>
            <w:r>
              <w:rPr>
                <w:sz w:val="16"/>
              </w:rPr>
              <w:t>Compliance Committee e-mail chain</w:t>
            </w:r>
          </w:p>
        </w:tc>
        <w:tc>
          <w:tcPr>
            <w:tcW w:type="dxa" w:w="2016"/>
          </w:tcPr>
          <w:p>
            <w:r>
              <w:rPr>
                <w:sz w:val="16"/>
              </w:rPr>
            </w:r>
            <w:r>
              <w:rPr>
                <w:sz w:val="16"/>
              </w:rPr>
              <w:t>Sept. 3–4, 2024</w:t>
            </w:r>
          </w:p>
        </w:tc>
        <w:tc>
          <w:tcPr>
            <w:tcW w:type="dxa" w:w="3888"/>
          </w:tcPr>
          <w:p>
            <w:r>
              <w:rPr>
                <w:sz w:val="16"/>
              </w:rPr>
            </w:r>
            <w:r>
              <w:rPr>
                <w:sz w:val="16"/>
              </w:rPr>
              <w:t>Q3 2024 meeting postponed; no training in 2023–24; no risk assessment in 3+ years</w:t>
            </w:r>
          </w:p>
        </w:tc>
      </w:tr>
      <w:tr>
        <w:tc>
          <w:tcPr>
            <w:tcW w:type="dxa" w:w="3456"/>
          </w:tcPr>
          <w:p>
            <w:r>
              <w:rPr>
                <w:sz w:val="16"/>
              </w:rPr>
            </w:r>
            <w:r>
              <w:rPr>
                <w:sz w:val="16"/>
              </w:rPr>
              <w:t>Hale qui tam complaint (excerpts)</w:t>
            </w:r>
          </w:p>
        </w:tc>
        <w:tc>
          <w:tcPr>
            <w:tcW w:type="dxa" w:w="2016"/>
          </w:tcPr>
          <w:p>
            <w:r>
              <w:rPr>
                <w:sz w:val="16"/>
              </w:rPr>
            </w:r>
            <w:r>
              <w:rPr>
                <w:sz w:val="16"/>
              </w:rPr>
              <w:t>Filed Oct. 18, 2024, under seal</w:t>
            </w:r>
          </w:p>
        </w:tc>
        <w:tc>
          <w:tcPr>
            <w:tcW w:type="dxa" w:w="3888"/>
          </w:tcPr>
          <w:p>
            <w:r>
              <w:rPr>
                <w:sz w:val="16"/>
              </w:rPr>
            </w:r>
            <w:r>
              <w:rPr>
                <w:sz w:val="16"/>
              </w:rPr>
              <w:t>Counts I–III: RQB, leases, Buckeye distributions</w:t>
            </w:r>
          </w:p>
        </w:tc>
      </w:tr>
    </w:tbl>
    <w:p/>
    <w:p>
      <w:pPr>
        <w:pStyle w:val="Heading1"/>
      </w:pPr>
      <w:r>
        <w:t>IV. Governing Legal Framework (Summary)</w:t>
      </w:r>
    </w:p>
    <w:p>
      <w:r>
        <w:rPr>
          <w:b/>
        </w:rPr>
        <w:t>Stark Law.</w:t>
      </w:r>
      <w:r>
        <w:t xml:space="preserve"> Absent an applicable exception, a physician may not refer a Medicare patient for DHS to an entity with which the physician (or an immediate family member) has a financial relationship. The entity may not bill Medicare for DHS furnished on a prohibited referral (42 U.S.C. § 1395nn(a)(1); 42 C.F.R. § 411.353). Clinical laboratory and radiology/imaging services are DHS. Services paid as part of the ASC composite rate are excluded from DHS (42 C.F.R. § 411.351, definition of “designated health services”). A “referral” includes a request for a consultation with another physician and any test or procedure ordered by that consultant (§ 411.351). The statute imposes strict liability. The sanctions are:</w:t>
      </w:r>
    </w:p>
    <w:p>
      <w:pPr>
        <w:pStyle w:val="ListBullet"/>
      </w:pPr>
      <w:r>
        <w:t>denial of payment and an obligation to refund (§ 1395nn(g)(1)–(2));</w:t>
      </w:r>
    </w:p>
    <w:p>
      <w:pPr>
        <w:pStyle w:val="ListBullet"/>
      </w:pPr>
      <w:r>
        <w:t>civil monetary penalties per service billed with knowledge, and per circumvention scheme (§ 1395nn(g)(3)–(4)), as inflation-adjusted under 45 C.F.R. Part 102;</w:t>
      </w:r>
    </w:p>
    <w:p>
      <w:pPr>
        <w:pStyle w:val="ListBullet"/>
      </w:pPr>
      <w:r>
        <w:t>exclusion.</w:t>
      </w:r>
    </w:p>
    <w:p>
      <w:r>
        <w:t>The Medicaid analogue is 42 U.S.C. § 1396b(s). Since the CMS final rule effective January 19, 2021, compensation “takes into account” the volume or value of referrals only if the formula uses referrals as a variable and the compensation rises or falls with them (§ 411.354(d)(5)–(6)). A per-referral payment is the paradigm case.</w:t>
      </w:r>
    </w:p>
    <w:p>
      <w:r>
        <w:rPr>
          <w:b/>
        </w:rPr>
        <w:t>Group practice and IOASE.</w:t>
      </w:r>
      <w:r>
        <w:t xml:space="preserve"> The IOASE (§ 411.355(b)) protects both ownership and compensation relationships for in-office DHS. It is available only if Greenfield qualifies as a “group practice” under § 411.352. Among other requirements:</w:t>
      </w:r>
    </w:p>
    <w:p>
      <w:pPr>
        <w:pStyle w:val="ListBullet"/>
      </w:pPr>
      <w:r>
        <w:t>the members of the group, taken in the aggregate, must furnish at least 75% of their total patient care services through the group (§ 411.352(d));</w:t>
      </w:r>
    </w:p>
    <w:p>
      <w:pPr>
        <w:pStyle w:val="ListBullet"/>
      </w:pPr>
      <w:r>
        <w:t>no physician who is a member of the group may receive compensation directly or indirectly based on the volume or value of his or her DHS referrals, except through a profit share or productivity bonus that meets § 411.352(i) (§ 411.352(g)).</w:t>
      </w:r>
    </w:p>
    <w:p>
      <w:r>
        <w:t>“Members of the group” are owners and employees. Independent contractors are not members; they may be “physicians in the group practice” (§ 411.351). The IOASE also requires that the DHS be:</w:t>
      </w:r>
    </w:p>
    <w:p>
      <w:pPr>
        <w:pStyle w:val="ListBullet"/>
      </w:pPr>
      <w:r>
        <w:t>furnished personally by the referring physician or a group member, or by individuals supervised in accordance with applicable Medicare payment and coverage rules (§ 411.355(b)(1));</w:t>
      </w:r>
    </w:p>
    <w:p>
      <w:pPr>
        <w:pStyle w:val="ListBullet"/>
      </w:pPr>
      <w:r>
        <w:t>furnished in the “same building” under one of three alternative tests, or in a “centralized building” (§ 411.355(b)(2));</w:t>
      </w:r>
    </w:p>
    <w:p>
      <w:pPr>
        <w:pStyle w:val="ListBullet"/>
      </w:pPr>
      <w:r>
        <w:t>billed by the group under its billing number (§ 411.355(b)(3)).</w:t>
      </w:r>
    </w:p>
    <w:p>
      <w:r>
        <w:rPr>
          <w:b/>
        </w:rPr>
        <w:t>Other relevant Stark exceptions.</w:t>
      </w:r>
    </w:p>
    <w:p>
      <w:pPr>
        <w:pStyle w:val="ListBullet"/>
      </w:pPr>
      <w:r>
        <w:t>Bona fide employment, § 411.357(c): identifiable services; FMV; not determined in any manner that takes into account the volume or value of referrals; commercially reasonable. There is no writing or “set in advance” element, but the directed-referral rules in § 411.354(d)(4) require a writing if compensation is conditioned on referrals to a particular provider.</w:t>
      </w:r>
    </w:p>
    <w:p>
      <w:pPr>
        <w:pStyle w:val="ListBullet"/>
      </w:pPr>
      <w:r>
        <w:t>Rental of office space, § 411.357(a): signed writing, term of at least one year, exclusive use, rental charges set in advance and consistent with FMV, not tied to referrals, commercially reasonable, holdover protection.</w:t>
      </w:r>
    </w:p>
    <w:p>
      <w:pPr>
        <w:pStyle w:val="ListBullet"/>
      </w:pPr>
      <w:r>
        <w:t>Personal service arrangements and FMV compensation, § 411.357(d) and (l).</w:t>
      </w:r>
    </w:p>
    <w:p>
      <w:r>
        <w:t>Physician owners of a “physician organization” (Greenfield) “stand in the shoes” of that organization. A Greenfield lease with a DHS entity is therefore analyzed as a direct compensation arrangement between each Greenfield owner and that DHS entity (§ 411.354(c)).</w:t>
      </w:r>
    </w:p>
    <w:p>
      <w:r>
        <w:rPr>
          <w:b/>
        </w:rPr>
        <w:t>AKS and FCA.</w:t>
      </w:r>
      <w:r>
        <w:t xml:space="preserve"> The AKS, 42 U.S.C. § 1320a-7b(b), is an intent-based felony statute. In most circuits it is violated if </w:t>
      </w:r>
      <w:r>
        <w:rPr>
          <w:i/>
        </w:rPr>
        <w:t>one purpose</w:t>
      </w:r>
      <w:r>
        <w:t xml:space="preserve"> of the remuneration is to induce referrals. Safe harbors appear at 42 C.F.R. § 1001.952, including (b) space rental, (d) personal services, (i) employees and (r) ASCs. Claims “resulting from” an AKS violation are false under the FCA (42 U.S.C. § 1320a-7b(g)). Circuits are split on the causation standard for AKS-tainted claims, and the current Sixth Circuit position should be confirmed. Stark-tainted claims are false without any intent showing for the underlying violation, but FCA liability requires that the claims be submitted “knowingly” (31 U.S.C. § 3729(b)(1)). Under 42 U.S.C. § 1320a-7k(d) and 42 C.F.R. § 401.305, an identified overpayment must be reported and returned within 60 days of identification, subject to the six-year lookback. The rule as amended effective January 1, 2025 allows up to 180 days of suspension for a timely, good-faith investigation. An overpayment that is retained becomes an FCA “reverse false claim” (31 U.S.C. § 3729(a)(1)(G)).</w:t>
      </w:r>
    </w:p>
    <w:p>
      <w:pPr>
        <w:pStyle w:val="Heading1"/>
      </w:pPr>
      <w:r>
        <w:t>V. Analysis of Issues</w:t>
      </w:r>
    </w:p>
    <w:p>
      <w:pPr>
        <w:pStyle w:val="Heading2"/>
      </w:pPr>
      <w:r>
        <w:t>Issue 1 — The “Referral Quality Bonus” Is a Per-Referral Payment That Defeats the Employment Exception (Critical)</w:t>
      </w:r>
    </w:p>
    <w:p>
      <w:pPr>
        <w:pStyle w:val="Heading3"/>
      </w:pPr>
      <w:r>
        <w:t>Facts</w:t>
      </w:r>
    </w:p>
    <w:p>
      <w:pPr>
        <w:pStyle w:val="ListBullet"/>
      </w:pPr>
      <w:r>
        <w:t xml:space="preserve">The Compensation Plan Update Memorandum is dated January 10, 2022 and is signed by Dr. Stein and the CFO. It says the plan was approved by the Compensation Committee on December 14, 2021 and is effective January 1, 2022, i.e., retroactively. It pays every employed (non-member) physician </w:t>
      </w:r>
      <w:r>
        <w:rPr>
          <w:b/>
        </w:rPr>
        <w:t>$150 per “Qualified Internal Referral”</w:t>
      </w:r>
      <w:r>
        <w:t xml:space="preserve">, calculated and paid quarterly, capped at </w:t>
      </w:r>
      <w:r>
        <w:rPr>
          <w:b/>
        </w:rPr>
        <w:t>$90,000 per physician per year (600 referrals)</w:t>
      </w:r>
      <w:r>
        <w:t xml:space="preserve"> (§§ 4.1–4.4).</w:t>
      </w:r>
    </w:p>
    <w:p>
      <w:pPr>
        <w:pStyle w:val="ListBullet"/>
      </w:pPr>
      <w:r>
        <w:t xml:space="preserve">A “Qualified Internal Referral” is a referral to (a) a Greenfield member or employed specialist, (b) Buckeye Surgical Center, or (c) </w:t>
      </w:r>
      <w:r>
        <w:rPr>
          <w:b/>
        </w:rPr>
        <w:t>Greenfield’s in-office ancillary services: clinical laboratory, point-of-care testing and diagnostic imaging</w:t>
      </w:r>
      <w:r>
        <w:t xml:space="preserve"> (§ 4.2). The referral counts only if the service is </w:t>
      </w:r>
      <w:r>
        <w:rPr>
          <w:b/>
        </w:rPr>
        <w:t>completed and billed</w:t>
      </w:r>
      <w:r>
        <w:t xml:space="preserve"> (§§ 4.2, 5(c)). The billing department tracks referrals by category: specialist, Buckeye, ancillary (§ 5).</w:t>
      </w:r>
    </w:p>
    <w:p>
      <w:pPr>
        <w:pStyle w:val="ListBullet"/>
      </w:pPr>
      <w:r>
        <w:t>There is no quality component. Payment is triggered by the referral order, the patient’s appearance and the billing of the service. Nothing in the memo measures clinical appropriateness, outcomes or guideline adherence. The memo’s own rationale is to “compensat[e] physicians for each Qualified Internal Referral” (§ 4.5).</w:t>
      </w:r>
    </w:p>
    <w:p>
      <w:pPr>
        <w:pStyle w:val="ListBullet"/>
      </w:pPr>
      <w:r>
        <w:t>The memo states that “[n]o amendment to your individual employment agreement is required” (§ 7). The Wellford agreement, signed five days after the memo, does not mention the RQB:</w:t>
      </w:r>
    </w:p>
    <w:p>
      <w:pPr>
        <w:pStyle w:val="ListBullet2"/>
      </w:pPr>
      <w:r>
        <w:t>§ 4.3 permits added compensation only by written amendment or by a plan “consistent with … 42 U.S.C. § 1395nn”;</w:t>
      </w:r>
    </w:p>
    <w:p>
      <w:pPr>
        <w:pStyle w:val="ListBullet2"/>
      </w:pPr>
      <w:r>
        <w:t>§ 4.6 prohibits any remuneration “in connection with … Physician’s referral of patients for designated health services”;</w:t>
      </w:r>
    </w:p>
    <w:p>
      <w:pPr>
        <w:pStyle w:val="ListBullet2"/>
      </w:pPr>
      <w:r>
        <w:t>Exhibit B describes base salary, productivity bonus and benefits as “all compensation payable.”</w:t>
      </w:r>
    </w:p>
    <w:p>
      <w:pPr>
        <w:pStyle w:val="ListBullet"/>
      </w:pPr>
      <w:r>
        <w:t>OA § 7.5(c) authorizes the RQB “to reward Employed Physicians who maintain robust referral networks.” The OA is stated to be effective January 1, 2020, two years before the December 2021 approval, and also defines “Qualified Internal Referral.” Either the OA was changed without the two-thirds written amendment that OA § 14.1 requires, or a referral-based bonus was contemplated (and possibly paid) before 2022. Either way, the look-back may need to start before 2022.</w:t>
      </w:r>
    </w:p>
    <w:p>
      <w:pPr>
        <w:pStyle w:val="ListBullet"/>
      </w:pPr>
      <w:r>
        <w:rPr>
          <w:b/>
        </w:rPr>
        <w:t>2023 payments:</w:t>
      </w:r>
      <w:r>
        <w:t xml:space="preserve"> $1,260,000 to 31 employed physicians, equal to </w:t>
      </w:r>
      <w:r>
        <w:rPr>
          <w:b/>
        </w:rPr>
        <w:t>8,400 paid referrals</w:t>
      </w:r>
      <w:r>
        <w:t>. Of that, $712,500 (57%) went to 12 internal-medicine physicians. Examples:</w:t>
      </w:r>
    </w:p>
    <w:p>
      <w:pPr>
        <w:pStyle w:val="ListBullet2"/>
      </w:pPr>
      <w:r>
        <w:t>Dr. Martinez was paid at the $90,000 cap;</w:t>
      </w:r>
    </w:p>
    <w:p>
      <w:pPr>
        <w:pStyle w:val="ListBullet2"/>
      </w:pPr>
      <w:r>
        <w:t>Dr. Wellford received $78,000 (520 referrals). That is 27% of his $285,000 base and almost double his $42,000 productivity bonus.</w:t>
      </w:r>
    </w:p>
    <w:p>
      <w:pPr>
        <w:pStyle w:val="ListBullet"/>
      </w:pPr>
      <w:r>
        <w:t>The March 31, 2022 internal audit reviewed the RQB and found “[n]o compliance concerns” (§ V). Hotline report #2023-07 (Apr. 12, 2023) called the RQB “a kickback for referrals.” The CCO closed it in 16 days as “a legitimate quality metric,” with no Compliance Committee review and no counsel. That violated Manual § 6.3, Steps 3 and 6 (Committee notice within five business days for Stark/AKS reports; Committee review of findings).</w:t>
      </w:r>
    </w:p>
    <w:p>
      <w:pPr>
        <w:pStyle w:val="Heading3"/>
      </w:pPr>
      <w:r>
        <w:t>Analysis</w:t>
      </w:r>
    </w:p>
    <w:p>
      <w:r>
        <w:rPr>
          <w:b/>
        </w:rPr>
        <w:t>Employment exception fails.</w:t>
      </w:r>
      <w:r>
        <w:t xml:space="preserve"> Compensation that pays a fixed dollar amount for each referral uses referrals as a variable and rises with them. Under § 411.354(d)(5)(i) it “takes into account the volume or value of referrals” per se. The RQB counts DHS referrals in two ways:</w:t>
      </w:r>
    </w:p>
    <w:p>
      <w:pPr>
        <w:pStyle w:val="ListBullet"/>
      </w:pPr>
      <w:r>
        <w:t>directly, through referrals to Greenfield’s in-house laboratory and imaging;</w:t>
      </w:r>
    </w:p>
    <w:p>
      <w:pPr>
        <w:pStyle w:val="ListBullet"/>
      </w:pPr>
      <w:r>
        <w:t>indirectly, through referrals to Greenfield specialists. Under § 411.351, any test the consulting specialist orders is itself a referral by the requesting physician.</w:t>
      </w:r>
    </w:p>
    <w:p>
      <w:r>
        <w:t xml:space="preserve">No employed physician receiving the RQB can satisfy § 411.357(c)(4) (the volume/value standard), and the productivity carve-out applies only to personally performed services. The RQB is also not FMV for any identifiable service. It pays for the referral, not for work, and the only benchmarking study (Lakeshore, November 2019) predates the program and did not evaluate it (Compl. ¶ 39; Comp. Memo § 1). The directed-referral rule (§ 411.354(d)(4)) does not help. It permits an employer to </w:t>
      </w:r>
      <w:r>
        <w:rPr>
          <w:i/>
        </w:rPr>
        <w:t>require</w:t>
      </w:r>
      <w:r>
        <w:t xml:space="preserve"> referrals within limits, through a written agreement with carve-outs for patient choice, insurer determination and medical judgment. It does not permit paying per referral.</w:t>
      </w:r>
    </w:p>
    <w:p>
      <w:r>
        <w:rPr>
          <w:b/>
        </w:rPr>
        <w:t>Consequences.</w:t>
      </w:r>
    </w:p>
    <w:p>
      <w:pPr>
        <w:pStyle w:val="ListBullet"/>
      </w:pPr>
      <w:r>
        <w:rPr>
          <w:b/>
        </w:rPr>
        <w:t>Stark.</w:t>
      </w:r>
      <w:r>
        <w:t xml:space="preserve"> Every Medicare DHS referral by an RQB-eligible employed physician to Greenfield since January 1, 2022 is prohibited unless another exception applies. The IOASE does not apply (Issue 2).</w:t>
      </w:r>
    </w:p>
    <w:p>
      <w:pPr>
        <w:pStyle w:val="ListBullet"/>
      </w:pPr>
      <w:r>
        <w:rPr>
          <w:b/>
        </w:rPr>
        <w:t>AKS.</w:t>
      </w:r>
      <w:r>
        <w:t xml:space="preserve"> A per-referral cash payment for referrals of federal program business, including to the ASC, is the paradigm AKS violation. The bona fide employee safe harbor (§ 1001.952(i)) does not protect payments for referrals as opposed to services. The memo’s stated purpose (“incentivize the care coordination practices…” and “strengthen the Greenfield network”) and the 2023 hotline complaint make intent hard to contest.</w:t>
      </w:r>
    </w:p>
    <w:p>
      <w:pPr>
        <w:pStyle w:val="ListBullet"/>
      </w:pPr>
      <w:r>
        <w:rPr>
          <w:b/>
        </w:rPr>
        <w:t>Scienter.</w:t>
      </w:r>
      <w:r>
        <w:t xml:space="preserve"> The program was designed and signed by the Managing Member and CFO. It was reviewed by the CCO in 2022 and again in 2023, each time without counsel, despite contrary language in Greenfield’s own employment agreements. Those facts support at least reckless disregard under the FCA.</w:t>
      </w:r>
    </w:p>
    <w:p>
      <w:pPr>
        <w:pStyle w:val="ListBullet"/>
      </w:pPr>
      <w:r>
        <w:rPr>
          <w:b/>
        </w:rPr>
        <w:t>Possible link to utilization.</w:t>
      </w:r>
      <w:r>
        <w:t xml:space="preserve"> Hotline #2023-13 (Oct. 25, 2023) reported a “standard panel” of ECG, lipid panel and BMP for all new cardiology patients. Four employed cardiologists received RQB payments, and in-house laboratory tests are qualifying referrals. The CCO’s medical-necessity review was limited (30 charts). Counsel should consider whether referral-driven ordering affected utilization.</w:t>
      </w:r>
    </w:p>
    <w:p>
      <w:r>
        <w:rPr>
          <w:b/>
        </w:rPr>
        <w:t>Defense observations.</w:t>
      </w:r>
      <w:r>
        <w:t xml:space="preserve"> The relator overstates parts of Count I (see Part VI): the rate ($200 versus $150), the population (“all 87 physicians” versus employed physicians only), and “set in advance” and “writing” elements that the employment exception does not contain. None of these errors cures the core defect.</w:t>
      </w:r>
    </w:p>
    <w:p>
      <w:pPr>
        <w:pStyle w:val="Heading3"/>
      </w:pPr>
      <w:r>
        <w:t>Remediation</w:t>
      </w:r>
    </w:p>
    <w:p>
      <w:pPr>
        <w:ind w:left="504" w:hanging="360"/>
      </w:pPr>
      <w:r>
        <w:t xml:space="preserve">1.  </w:t>
      </w:r>
      <w:r>
        <w:t xml:space="preserve">By Compensation Committee action under OA § 7.5(c) (“sole discretion to … suspend, or terminate”), with Dr. Stein and Dr. Narayan recused, </w:t>
      </w:r>
      <w:r>
        <w:rPr>
          <w:b/>
        </w:rPr>
        <w:t>suspend the RQB immediately and stop all accrued and future payments.</w:t>
      </w:r>
      <w:r>
        <w:t xml:space="preserve"> Do not make the next quarterly payment. Communicate the change carefully and under counsel’s supervision. Instruct that physicians are not to be told to “make up” the lost income through referrals.</w:t>
      </w:r>
    </w:p>
    <w:p>
      <w:pPr>
        <w:ind w:left="504" w:hanging="360"/>
      </w:pPr>
      <w:r>
        <w:t xml:space="preserve">2.  </w:t>
      </w:r>
      <w:r>
        <w:t>Do not try to recharacterize past RQB payments as productivity or quality pay. Counsel should decide whether to seek repayment from physicians, considering the period-of-disallowance rules (§ 411.353(c)), employment-law constraints, and the effect on physicians who will be witnesses.</w:t>
      </w:r>
    </w:p>
    <w:p>
      <w:pPr>
        <w:ind w:left="504" w:hanging="360"/>
      </w:pPr>
      <w:r>
        <w:t xml:space="preserve">3.  </w:t>
      </w:r>
      <w:r>
        <w:t>Replace the RQB with compensation that complies with the exception:</w:t>
      </w:r>
    </w:p>
    <w:p>
      <w:pPr>
        <w:pStyle w:val="ListBullet2"/>
      </w:pPr>
      <w:r>
        <w:t>wRVU productivity for personally performed services, including “incident to” services only as § 411.352(i) permits;</w:t>
      </w:r>
    </w:p>
    <w:p>
      <w:pPr>
        <w:pStyle w:val="ListBullet2"/>
      </w:pPr>
      <w:r>
        <w:t>quality metrics that are objective, verifiable and not referral-based (HEDIS gap closure, patient experience, documentation). Consider the value-based exceptions (§ 411.357(aa)) only with counsel and a documented value-based enterprise.</w:t>
      </w:r>
    </w:p>
    <w:p>
      <w:pPr>
        <w:ind w:left="504" w:hanging="360"/>
      </w:pPr>
      <w:r>
        <w:t xml:space="preserve">4.  </w:t>
      </w:r>
      <w:r>
        <w:t xml:space="preserve">Obtain an </w:t>
      </w:r>
      <w:r>
        <w:rPr>
          <w:b/>
        </w:rPr>
        <w:t>independent, current FMV and commercial-reasonableness opinion</w:t>
      </w:r>
      <w:r>
        <w:t xml:space="preserve"> on total employed-physician compensation before any new plan takes effect. Document the plan in signed amendments to each employment agreement.</w:t>
      </w:r>
    </w:p>
    <w:p>
      <w:pPr>
        <w:ind w:left="504" w:hanging="360"/>
      </w:pPr>
      <w:r>
        <w:t xml:space="preserve">5.  </w:t>
      </w:r>
      <w:r>
        <w:t>Amend the OA (two-thirds written vote, § 14.1) to delete § 7.5(c) and the “Qualified Internal Referral” definition. Determine when and how that language entered the January 1, 2020 OA.</w:t>
      </w:r>
    </w:p>
    <w:p>
      <w:pPr>
        <w:ind w:left="504" w:hanging="360"/>
      </w:pPr>
      <w:r>
        <w:t xml:space="preserve">6.  </w:t>
      </w:r>
      <w:r>
        <w:t>Quantify, under privilege, all RQB payments (2020 or 2022 forward) and the Medicare and Medicaid DHS claims tied to RQB recipients’ referrals. Feed the results into the disclosure analysis (Part VII).</w:t>
      </w:r>
    </w:p>
    <w:p>
      <w:pPr>
        <w:pStyle w:val="Heading2"/>
      </w:pPr>
      <w:r>
        <w:t>Issue 2 — The RQB Very Likely Destroys “Group Practice” Status, So the IOASE Fails for All Physicians (Critical)</w:t>
      </w:r>
    </w:p>
    <w:p>
      <w:pPr>
        <w:pStyle w:val="Heading3"/>
      </w:pPr>
      <w:r>
        <w:t>Facts</w:t>
      </w:r>
    </w:p>
    <w:p>
      <w:r>
        <w:t>Greenfield claims the IOASE for all in-house laboratory and imaging DHS billed under its group NPI (audit memo § III.A; OA § 10.2; Manual §§ 3.2.4, 5.1). The RQB is paid to the 31 employed physicians, who are “members of the group” under § 411.351. Member physicians receive Buckeye Referral Credits (Issue 5).</w:t>
      </w:r>
    </w:p>
    <w:p>
      <w:pPr>
        <w:pStyle w:val="Heading3"/>
      </w:pPr>
      <w:r>
        <w:t>Analysis</w:t>
      </w:r>
    </w:p>
    <w:p>
      <w:r>
        <w:t>To be a “group practice”, a group must, among other things, ensure that “no physician who is a member of the group practice directly or indirectly receives compensation based on the volume or value of his or her referrals,” except as permitted for productivity bonuses and profit shares under § 411.352(i) (§ 411.352(g)). The RQB pays employed group members per DHS referral to the group’s own ancillaries. It is neither a productivity bonus for personally performed services nor an overall profit share. On the face of the regulation, Greenfield therefore did not qualify as a group practice for any period in which the RQB was in effect.</w:t>
      </w:r>
    </w:p>
    <w:p>
      <w:r>
        <w:t>The group-practice definition is a threshold for the IOASE (§ 411.355(b)(1)(ii), (b)(2)(ii), (b)(3)). Losing it has three consequences:</w:t>
      </w:r>
    </w:p>
    <w:p>
      <w:pPr>
        <w:pStyle w:val="ListBullet"/>
      </w:pPr>
      <w:r>
        <w:t xml:space="preserve">the IOASE is unavailable to </w:t>
      </w:r>
      <w:r>
        <w:rPr>
          <w:b/>
        </w:rPr>
        <w:t>every</w:t>
      </w:r>
      <w:r>
        <w:t xml:space="preserve"> referring physician, including the 52 members who never received the RQB;</w:t>
      </w:r>
    </w:p>
    <w:p>
      <w:pPr>
        <w:pStyle w:val="ListBullet"/>
      </w:pPr>
      <w:r>
        <w:t>members’ ownership interests in Greenfield are then unprotected. No other exception covers ownership of a group that furnishes in-office laboratory and imaging services;</w:t>
      </w:r>
    </w:p>
    <w:p>
      <w:pPr>
        <w:pStyle w:val="ListBullet"/>
      </w:pPr>
      <w:r>
        <w:t>the analysis applies to all Medicare (and, through § 1396b(s), Medicaid) laboratory and imaging DHS billed by Greenfield from January 1, 2022, and earlier if the RQB or a predecessor existed.</w:t>
      </w:r>
    </w:p>
    <w:p>
      <w:r>
        <w:t>This is potentially the largest single exposure in the file. The relator has not clearly pleaded it: Count I focuses on referrals “generated under” the RQB (Compl. ¶¶ 44–46). An amended complaint or the government could plead it. The 2023 figure of roughly $98.3 million in Medicare and Medicaid claims (Compl. ¶ 10) covers all services, most of which are not DHS (e.g., E/M visits and surgeons’ professional services). The DHS subset must be quantified.</w:t>
      </w:r>
    </w:p>
    <w:p>
      <w:r>
        <w:t>Possible arguments to narrow the exposure are limited and should be tested by counsel:</w:t>
      </w:r>
    </w:p>
    <w:p>
      <w:pPr>
        <w:pStyle w:val="ListBullet"/>
      </w:pPr>
      <w:r>
        <w:rPr>
          <w:b/>
        </w:rPr>
        <w:t>Employed physicians’ referrals.</w:t>
      </w:r>
      <w:r>
        <w:t xml:space="preserve"> Their compensation from their own employer may separately meet no exception, so the IOASE question matters mostly for members. Members do not receive the RQB, but group-practice status is assessed at the entity level.</w:t>
      </w:r>
    </w:p>
    <w:p>
      <w:pPr>
        <w:pStyle w:val="ListBullet"/>
      </w:pPr>
      <w:r>
        <w:rPr>
          <w:b/>
        </w:rPr>
        <w:t>Divisible periods.</w:t>
      </w:r>
      <w:r>
        <w:t xml:space="preserve"> Status may be restored prospectively once the RQB ends and any other § 411.352(g) issue is corrected.</w:t>
      </w:r>
    </w:p>
    <w:p>
      <w:pPr>
        <w:pStyle w:val="ListBullet"/>
      </w:pPr>
      <w:r>
        <w:rPr>
          <w:b/>
        </w:rPr>
        <w:t>Remedies.</w:t>
      </w:r>
      <w:r>
        <w:t xml:space="preserve"> The defect is structural. The 90-day special rule for reconciling compensation discrepancies (§ 411.353(h)) is unlikely to help.</w:t>
      </w:r>
    </w:p>
    <w:p>
      <w:pPr>
        <w:pStyle w:val="Heading3"/>
      </w:pPr>
      <w:r>
        <w:t>Remediation</w:t>
      </w:r>
    </w:p>
    <w:p>
      <w:pPr>
        <w:ind w:left="504" w:hanging="360"/>
      </w:pPr>
      <w:r>
        <w:t xml:space="preserve">1.  </w:t>
      </w:r>
      <w:r>
        <w:t>Terminate the RQB (Issue 1). Remove the Buckeye Referral Credit from member compensation (Issue 5). Confirm that no other member compensation varies with DHS referrals.</w:t>
      </w:r>
    </w:p>
    <w:p>
      <w:pPr>
        <w:ind w:left="504" w:hanging="360"/>
      </w:pPr>
      <w:r>
        <w:t xml:space="preserve">2.  </w:t>
      </w:r>
      <w:r>
        <w:t xml:space="preserve">Document </w:t>
      </w:r>
      <w:r>
        <w:rPr>
          <w:b/>
        </w:rPr>
        <w:t>overall-profits</w:t>
      </w:r>
      <w:r>
        <w:t xml:space="preserve"> and </w:t>
      </w:r>
      <w:r>
        <w:rPr>
          <w:b/>
        </w:rPr>
        <w:t>productivity</w:t>
      </w:r>
      <w:r>
        <w:t xml:space="preserve"> methods that meet § 411.352(i), with supporting documentation kept as § 411.352(i)(4) requires. Have counsel certify that group-practice status has been restored, as of a stated date.</w:t>
      </w:r>
    </w:p>
    <w:p>
      <w:pPr>
        <w:ind w:left="504" w:hanging="360"/>
      </w:pPr>
      <w:r>
        <w:t xml:space="preserve">3.  </w:t>
      </w:r>
      <w:r>
        <w:t>Obtain Medicare and Medicaid DHS billing data by CPT, site and year (2019–present) to size the refund base. Model scenarios: all DHS, DHS ordered by RQB recipients only, and DHS by site.</w:t>
      </w:r>
    </w:p>
    <w:p>
      <w:pPr>
        <w:pStyle w:val="Heading2"/>
      </w:pPr>
      <w:r>
        <w:t>Issue 3 — Pinnacle Reference Laboratory Lease: Below FMV, Stale and Misdescribed Appraisal (High)</w:t>
      </w:r>
    </w:p>
    <w:p>
      <w:pPr>
        <w:pStyle w:val="Heading3"/>
      </w:pPr>
      <w:r>
        <w:t>Facts</w:t>
      </w:r>
    </w:p>
    <w:p>
      <w:pPr>
        <w:pStyle w:val="ListBullet"/>
      </w:pPr>
      <w:r>
        <w:rPr>
          <w:b/>
        </w:rPr>
        <w:t>Space and term.</w:t>
      </w:r>
      <w:r>
        <w:t xml:space="preserve"> Suite 105, 1,800 sf, March 1, 2022 to February 28, 2025. The lease has no renewal or holdover provision.</w:t>
      </w:r>
    </w:p>
    <w:p>
      <w:pPr>
        <w:pStyle w:val="ListBullet"/>
      </w:pPr>
      <w:r>
        <w:rPr>
          <w:b/>
        </w:rPr>
        <w:t>Rent.</w:t>
      </w:r>
      <w:r>
        <w:t xml:space="preserve"> Base rent is </w:t>
      </w:r>
      <w:r>
        <w:rPr>
          <w:b/>
        </w:rPr>
        <w:t>$22.00/sf ($39,600/yr)</w:t>
      </w:r>
      <w:r>
        <w:t xml:space="preserve">, fixed with no escalation (§§ 3.1, 3.3). The tenant pays only its share of </w:t>
      </w:r>
      <w:r>
        <w:rPr>
          <w:i/>
        </w:rPr>
        <w:t>increases</w:t>
      </w:r>
      <w:r>
        <w:t xml:space="preserve"> in taxes and operating expenses over a 2022 base year (§ 3.4). In substance this is a modified-gross lease. The landlord also supplies HVAC, water, sewer, trash, common-area maintenance and five-day janitorial service (§§ 5.1, 5.3).</w:t>
      </w:r>
    </w:p>
    <w:p>
      <w:pPr>
        <w:pStyle w:val="ListBullet"/>
      </w:pPr>
      <w:r>
        <w:rPr>
          <w:b/>
        </w:rPr>
        <w:t>Appraisal.</w:t>
      </w:r>
      <w:r>
        <w:t xml:space="preserve"> The Lakeshore appraisal, by David Cho, MAI, ASA, concluded </w:t>
      </w:r>
      <w:r>
        <w:rPr>
          <w:b/>
        </w:rPr>
        <w:t>$28–$32/sf on a full-service-gross (FSG) basis</w:t>
      </w:r>
      <w:r>
        <w:t xml:space="preserve"> as of September 1, 2020. It advised that any lease executed more than 12 months after that date should be supported by an update (transmittal letter; § 7). The Pinnacle lease was signed about 18 months after the value date. No update was obtained.</w:t>
      </w:r>
    </w:p>
    <w:p>
      <w:pPr>
        <w:pStyle w:val="ListBullet"/>
      </w:pPr>
      <w:r>
        <w:rPr>
          <w:b/>
        </w:rPr>
        <w:t>Suite-specific analysis.</w:t>
      </w:r>
      <w:r>
        <w:t xml:space="preserve"> The appraisal priced Suite 105 at </w:t>
      </w:r>
      <w:r>
        <w:rPr>
          <w:b/>
        </w:rPr>
        <w:t>$50,400–$57,600/yr</w:t>
      </w:r>
      <w:r>
        <w:t>. It noted that existing lab-suitable plumbing “may support upper end of range due to reduced TI burden.”</w:t>
      </w:r>
    </w:p>
    <w:p>
      <w:pPr>
        <w:pStyle w:val="ListBullet"/>
      </w:pPr>
      <w:r>
        <w:rPr>
          <w:b/>
        </w:rPr>
        <w:t>Misdescription of the appraisal.</w:t>
      </w:r>
      <w:r>
        <w:t xml:space="preserve"> The lease’s Exhibit B summary of the appraisal states the conclusion on a “</w:t>
      </w:r>
      <w:r>
        <w:rPr>
          <w:b/>
        </w:rPr>
        <w:t>triple-net equivalent basis</w:t>
      </w:r>
      <w:r>
        <w:t>” and describes the methodology as “sales comparison approach and income approach.” Both are inaccurate. The appraisal is FSG, and it relied primarily on market rent comparables, using sales comparison only as a check. The lease nonetheless recites that rent was “established with reference to” the appraisal (§ 3.2) and that the parties relied on it for FMV (§ 10.3).</w:t>
      </w:r>
    </w:p>
    <w:p>
      <w:pPr>
        <w:pStyle w:val="ListBullet"/>
      </w:pPr>
      <w:r>
        <w:rPr>
          <w:b/>
        </w:rPr>
        <w:t>Arm’s-length recital.</w:t>
      </w:r>
      <w:r>
        <w:t xml:space="preserve"> Section 3.6 recites “arm’s-length negotiation between unrelated parties.” Pinnacle’s CEO is Sandra Cho; the appraiser is David Cho. We have no evidence of any relationship, and the shared surname may be coincidental. It should be checked because it affects the appraisal’s independence and the § 3.6 representation.</w:t>
      </w:r>
    </w:p>
    <w:p>
      <w:pPr>
        <w:pStyle w:val="ListBullet"/>
      </w:pPr>
      <w:r>
        <w:rPr>
          <w:b/>
        </w:rPr>
        <w:t>Referral dependence.</w:t>
      </w:r>
      <w:r>
        <w:t xml:space="preserve"> Greenfield physicians are the source of about 55% of Pinnacle’s specimen volume. Greenfield is Pinnacle’s largest referral source (courier workbook, Notes tab; Compl. ¶ 64).</w:t>
      </w:r>
    </w:p>
    <w:p>
      <w:pPr>
        <w:pStyle w:val="ListBullet"/>
      </w:pPr>
      <w:r>
        <w:rPr>
          <w:b/>
        </w:rPr>
        <w:t>Management’s explanation.</w:t>
      </w:r>
      <w:r>
        <w:t xml:space="preserve"> Management attributed the rate to “tenant improvement credits and market conditions” (audit memo § IV). The lease contains no TI credit; the premises were taken “as-is” (§ 2.3).</w:t>
      </w:r>
    </w:p>
    <w:p>
      <w:pPr>
        <w:pStyle w:val="Heading3"/>
      </w:pPr>
      <w:r>
        <w:t>Analysis</w:t>
      </w:r>
    </w:p>
    <w:p>
      <w:r>
        <w:t xml:space="preserve">Pinnacle furnishes clinical laboratory DHS. Under the stand-in-the-shoes rule, each Greenfield owner has a direct compensation arrangement with Pinnacle through the lease. The rental of office space exception therefore must be met for any Greenfield owner’s Medicare referral to Pinnacle. The writing, term and premises elements appear to be satisfied, subject to confirming fully executed copies; the file copies show blank signature lines. The </w:t>
      </w:r>
      <w:r>
        <w:rPr>
          <w:b/>
        </w:rPr>
        <w:t>FMV element fails on the record</w:t>
      </w:r>
      <w:r>
        <w:t>:</w:t>
      </w:r>
    </w:p>
    <w:p>
      <w:pPr>
        <w:pStyle w:val="ListBullet"/>
      </w:pPr>
      <w:r>
        <w:t xml:space="preserve">a modified-gross rent of $22/sf against a $28–$32/sf FSG range is </w:t>
      </w:r>
      <w:r>
        <w:rPr>
          <w:b/>
        </w:rPr>
        <w:t>$6–$10/sf (21–31%) below market</w:t>
      </w:r>
      <w:r>
        <w:t>;</w:t>
      </w:r>
    </w:p>
    <w:p>
      <w:pPr>
        <w:pStyle w:val="ListBullet"/>
      </w:pPr>
      <w:r>
        <w:t xml:space="preserve">that is </w:t>
      </w:r>
      <w:r>
        <w:rPr>
          <w:b/>
        </w:rPr>
        <w:t>$10,800–$18,000 per year</w:t>
      </w:r>
      <w:r>
        <w:t xml:space="preserve">, or </w:t>
      </w:r>
      <w:r>
        <w:rPr>
          <w:b/>
        </w:rPr>
        <w:t>$32,400–$54,000 over the term</w:t>
      </w:r>
      <w:r>
        <w:t>, before any upward adjustment for the lab-ready suite or for market growth from 2020 to 2022, which the appraisal put at 2.5–3% per year pre-pandemic.</w:t>
      </w:r>
    </w:p>
    <w:p>
      <w:r>
        <w:t>Commercial reasonableness and the “not determined in a manner that takes into account referrals” element are also at risk. Below-market rent to a tenant that depends on the landlord’s referrals, together with free courier services (Issue 4), invites the inference that the discount reflects referrals. The Exhibit B misdescription will be cited as evidence of knowledge.</w:t>
      </w:r>
    </w:p>
    <w:p>
      <w:r>
        <w:rPr>
          <w:b/>
        </w:rPr>
        <w:t>Who bears the Stark consequence.</w:t>
      </w:r>
      <w:r>
        <w:t xml:space="preserve"> The denial-of-payment and refund consequences fall on </w:t>
      </w:r>
      <w:r>
        <w:rPr>
          <w:b/>
        </w:rPr>
        <w:t>Pinnacle</w:t>
      </w:r>
      <w:r>
        <w:t>, the DHS entity that bills Medicare for the tests. Greenfield’s exposure is derivative but real:</w:t>
      </w:r>
    </w:p>
    <w:p>
      <w:pPr>
        <w:pStyle w:val="ListBullet"/>
      </w:pPr>
      <w:r>
        <w:t>FCA “causing” liability (31 U.S.C. § 3729(a)(1)(A)–(B));</w:t>
      </w:r>
    </w:p>
    <w:p>
      <w:pPr>
        <w:pStyle w:val="ListBullet"/>
      </w:pPr>
      <w:r>
        <w:t>the AKS, because below-FMV rent to a referral recipient is classic remuneration and the space rental safe harbor (§ 1001.952(b)) requires FMV;</w:t>
      </w:r>
    </w:p>
    <w:p>
      <w:pPr>
        <w:pStyle w:val="ListBullet"/>
      </w:pPr>
      <w:r>
        <w:t>Stark CMPs if a circumvention scheme is found.</w:t>
      </w:r>
    </w:p>
    <w:p>
      <w:r>
        <w:t>The lease expired February 28, 2025 with no holdover clause. If Pinnacle has continued in occupancy, the holdover protection in § 411.357(a)(7) applies only if the holdover is on the same terms and the arrangement otherwise met the exception, which it did not.</w:t>
      </w:r>
    </w:p>
    <w:p>
      <w:pPr>
        <w:pStyle w:val="Heading3"/>
      </w:pPr>
      <w:r>
        <w:t>Remediation</w:t>
      </w:r>
    </w:p>
    <w:p>
      <w:pPr>
        <w:ind w:left="504" w:hanging="360"/>
      </w:pPr>
      <w:r>
        <w:t xml:space="preserve">1.  </w:t>
      </w:r>
      <w:r>
        <w:t>Determine Pinnacle’s current occupancy status and the rent paid since March 1, 2025.</w:t>
      </w:r>
    </w:p>
    <w:p>
      <w:pPr>
        <w:ind w:left="504" w:hanging="360"/>
      </w:pPr>
      <w:r>
        <w:t xml:space="preserve">2.  </w:t>
      </w:r>
      <w:r>
        <w:t xml:space="preserve">Commission a </w:t>
      </w:r>
      <w:r>
        <w:rPr>
          <w:b/>
        </w:rPr>
        <w:t>new, independent FMV appraisal</w:t>
      </w:r>
      <w:r>
        <w:t>, gross and net, with an appraiser independent of Lakeshore (given the surname question). Enter a new signed lease of at least one year at FMV, with a valid holdover clause, approved by an unconflicted body.</w:t>
      </w:r>
    </w:p>
    <w:p>
      <w:pPr>
        <w:ind w:left="504" w:hanging="360"/>
      </w:pPr>
      <w:r>
        <w:t xml:space="preserve">3.  </w:t>
      </w:r>
      <w:r>
        <w:t>Do not attempt to collect retroactive “catch-up” rent outside a counsel-directed disclosure, because a unilateral true-up can be characterized as an admission without curing the past period. Quantify the historical shortfall for the disclosure analysis.</w:t>
      </w:r>
    </w:p>
    <w:p>
      <w:pPr>
        <w:ind w:left="504" w:hanging="360"/>
      </w:pPr>
      <w:r>
        <w:t xml:space="preserve">4.  </w:t>
      </w:r>
      <w:r>
        <w:t>Investigate any relationship between Sandra Cho and David Cho, and how the Exhibit B summary was prepared and by whom.</w:t>
      </w:r>
    </w:p>
    <w:p>
      <w:pPr>
        <w:ind w:left="504" w:hanging="360"/>
      </w:pPr>
      <w:r>
        <w:t xml:space="preserve">5.  </w:t>
      </w:r>
      <w:r>
        <w:t>Coordinate with Pinnacle through counsel. Pinnacle is the billing entity, faces its own refund exposure, and may be a witness or a co-subject.</w:t>
      </w:r>
    </w:p>
    <w:p>
      <w:pPr>
        <w:pStyle w:val="Heading2"/>
      </w:pPr>
      <w:r>
        <w:t>Issue 4 — Free Courier Services from Pinnacle to All 12 Greenfield Locations (High)</w:t>
      </w:r>
    </w:p>
    <w:p>
      <w:pPr>
        <w:pStyle w:val="Heading3"/>
      </w:pPr>
      <w:r>
        <w:t>Facts</w:t>
      </w:r>
    </w:p>
    <w:p>
      <w:r>
        <w:t xml:space="preserve">Greenfield Operations tracked 2,897 specimen pickups by Pinnacle in 2023 across all 12 Greenfield locations, including the 8 with Greenfield’s own in-office laboratories. Pinnacle sent </w:t>
      </w:r>
      <w:r>
        <w:rPr>
          <w:b/>
        </w:rPr>
        <w:t>no invoices</w:t>
      </w:r>
      <w:r>
        <w:t xml:space="preserve"> in 2023 or any prior period. Greenfield estimates the service at $4,200 per month, or </w:t>
      </w:r>
      <w:r>
        <w:rPr>
          <w:b/>
        </w:rPr>
        <w:t>$50,400 per year</w:t>
      </w:r>
      <w:r>
        <w:t xml:space="preserve">, based on an informal Q1 2022 quote. There is </w:t>
      </w:r>
      <w:r>
        <w:rPr>
          <w:b/>
        </w:rPr>
        <w:t>no written agreement</w:t>
      </w:r>
      <w:r>
        <w:t>, and the lease does not mention the service. Operations believes the arrangement began about when Pinnacle moved in (early 2022). The workbook itself describes the service as provided “at no charge per informal arrangement” and the value as “unreimbursed.” The Compliance Manual lists “[f]ree courier services, specimen pick-up, or delivery services” as remuneration and prohibits in-kind benefits without a written FMV agreement (§ 4.2).</w:t>
      </w:r>
    </w:p>
    <w:p>
      <w:pPr>
        <w:pStyle w:val="Heading3"/>
      </w:pPr>
      <w:r>
        <w:t>Analysis</w:t>
      </w:r>
    </w:p>
    <w:p>
      <w:r>
        <w:t xml:space="preserve">The legal character of the service turns on </w:t>
      </w:r>
      <w:r>
        <w:rPr>
          <w:b/>
        </w:rPr>
        <w:t>what the courier carries and for whom</w:t>
      </w:r>
      <w:r>
        <w:t>.</w:t>
      </w:r>
    </w:p>
    <w:p>
      <w:pPr>
        <w:pStyle w:val="ListBullet"/>
      </w:pPr>
      <w:r>
        <w:t>A laboratory that collects specimens it will itself test, solely to perform its own service, is generally not viewed as conferring independent value on the referring physician. The Stark definition of remuneration also excludes items, devices and supplies used solely to collect, transport, process or store specimens for the entity furnishing them (§ 411.351).</w:t>
      </w:r>
    </w:p>
    <w:p>
      <w:pPr>
        <w:pStyle w:val="ListBullet"/>
      </w:pPr>
      <w:r>
        <w:t xml:space="preserve">That exclusion covers </w:t>
      </w:r>
      <w:r>
        <w:rPr>
          <w:b/>
        </w:rPr>
        <w:t>items</w:t>
      </w:r>
      <w:r>
        <w:t>, not services. Government guidance has long treated courier services that do more than transport the lab’s own specimens as suspect: carrying specimens to other labs, moving specimens or records between the physician’s offices, delivering supplies, or relieving the practice of its own transport costs.</w:t>
      </w:r>
    </w:p>
    <w:p>
      <w:r>
        <w:t>Greenfield runs in-house laboratories at 8 sites. Daily pickups at all 12 sites therefore raise a real question whether Pinnacle’s couriers also move Greenfield’s own specimens (for example, from satellite sites without labs to Greenfield’s in-house labs), records or supplies. If they do, the service is remuneration from a DHS entity to Greenfield. No exception applies to an unwritten, no-charge service arrangement, so each owner’s Pinnacle referrals would be prohibited. This would be independent of the lease defect, and the AKS problem would be stronger still. Greenfield’s own description of the value as “unreimbursed” is unhelpful.</w:t>
      </w:r>
    </w:p>
    <w:p>
      <w:pPr>
        <w:pStyle w:val="Heading3"/>
      </w:pPr>
      <w:r>
        <w:t>Remediation</w:t>
      </w:r>
    </w:p>
    <w:p>
      <w:pPr>
        <w:ind w:left="504" w:hanging="360"/>
      </w:pPr>
      <w:r>
        <w:t xml:space="preserve">1.  </w:t>
      </w:r>
      <w:r>
        <w:t>Under privilege, interview Operations and site managers and obtain Pinnacle route manifests to establish the scope of the courier service. Determine whether any non-Pinnacle specimens, inter-office transfers, records or supplies were carried.</w:t>
      </w:r>
    </w:p>
    <w:p>
      <w:pPr>
        <w:ind w:left="504" w:hanging="360"/>
      </w:pPr>
      <w:r>
        <w:t xml:space="preserve">2.  </w:t>
      </w:r>
      <w:r>
        <w:t>If the service is limited to Pinnacle-tested specimens, document that in a written protocol signed by both parties. If it is broader, either end the non-Pinnacle uses or have Greenfield pay FMV under a signed services agreement.</w:t>
      </w:r>
    </w:p>
    <w:p>
      <w:pPr>
        <w:ind w:left="504" w:hanging="360"/>
      </w:pPr>
      <w:r>
        <w:t xml:space="preserve">3.  </w:t>
      </w:r>
      <w:r>
        <w:t>Quantify any non-exempt value (about $4,200 per month is the internal estimate) for the disclosure analysis. Treat Issues 3 and 4 together as the “Pinnacle relationship.”</w:t>
      </w:r>
    </w:p>
    <w:p>
      <w:pPr>
        <w:pStyle w:val="Heading2"/>
      </w:pPr>
      <w:r>
        <w:t>Issue 5 — Buckeye Surgical Center: Referral-Based Distributions and the Greenfield “Referral Credit” (Critical under AKS; Medium under Stark)</w:t>
      </w:r>
    </w:p>
    <w:p>
      <w:pPr>
        <w:pStyle w:val="Heading3"/>
      </w:pPr>
      <w:r>
        <w:t>Facts</w:t>
      </w:r>
    </w:p>
    <w:p>
      <w:pPr>
        <w:pStyle w:val="ListBullet"/>
      </w:pPr>
      <w:r>
        <w:rPr>
          <w:b/>
        </w:rPr>
        <w:t>Buckeye level.</w:t>
      </w:r>
      <w:r>
        <w:t xml:space="preserve"> The Buckeye OA allocates net profits and losses “exclusively” by each member’s </w:t>
      </w:r>
      <w:r>
        <w:rPr>
          <w:b/>
        </w:rPr>
        <w:t>Referral Percentage</w:t>
      </w:r>
      <w:r>
        <w:t>, “not … in proportion to Membership Interests” (§ 4.1(a)–(b)). It distributes cash quarterly the same way (§ 4.2), as well as released reserves (§ 4.4). Referral Percentage is each member’s share of surgical cases referred to the Center. For Greenfield, that means cases referred by its physicians (§§ 1.9, 1.25–1.26).</w:t>
      </w:r>
    </w:p>
    <w:p>
      <w:pPr>
        <w:pStyle w:val="ListBullet"/>
      </w:pPr>
      <w:r>
        <w:rPr>
          <w:b/>
        </w:rPr>
        <w:t>Monitoring.</w:t>
      </w:r>
      <w:r>
        <w:t xml:space="preserve"> Greenfield, as Manager, tracks referrals, and members must report referral data (§§ 4.2(b), 6.2).</w:t>
      </w:r>
    </w:p>
    <w:p>
      <w:pPr>
        <w:pStyle w:val="ListBullet"/>
      </w:pPr>
      <w:r>
        <w:rPr>
          <w:b/>
        </w:rPr>
        <w:t>Utilization.</w:t>
      </w:r>
      <w:r>
        <w:t xml:space="preserve"> Physician members must “use commercially reasonable efforts … to utilize the Center” (§ 6.1). This sits awkwardly beside § 5.5(b), which disclaims any referral requirement “provided, however, that distributions … shall be allocated based on Referral Percentage.”</w:t>
      </w:r>
    </w:p>
    <w:p>
      <w:pPr>
        <w:pStyle w:val="ListBullet"/>
      </w:pPr>
      <w:r>
        <w:rPr>
          <w:b/>
        </w:rPr>
        <w:t>Greenfield’s representation.</w:t>
      </w:r>
      <w:r>
        <w:t xml:space="preserve"> In the Buckeye OA, Greenfield represented that it would pass Buckeye distributions to referring physicians through a “referral credit” (§ 4.5).</w:t>
      </w:r>
    </w:p>
    <w:p>
      <w:pPr>
        <w:pStyle w:val="ListBullet"/>
      </w:pPr>
      <w:r>
        <w:rPr>
          <w:b/>
        </w:rPr>
        <w:t>Greenfield level.</w:t>
      </w:r>
      <w:r>
        <w:t xml:space="preserve"> Under the Greenfield OA, Greenfield’s Buckeye returns are allocated first as </w:t>
      </w:r>
      <w:r>
        <w:rPr>
          <w:b/>
        </w:rPr>
        <w:t>Referral Credits</w:t>
      </w:r>
      <w:r>
        <w:t xml:space="preserve"> equal to </w:t>
      </w:r>
      <w:r>
        <w:rPr>
          <w:b/>
        </w:rPr>
        <w:t>0.5% of the facility fee revenue of each case a member refers to Buckeye</w:t>
      </w:r>
      <w:r>
        <w:t>. Only the remainder is distributed pro rata (§ 8.4(b)). The credit is said to “align Member incentives with the success of the Company’s affiliated surgical center.”</w:t>
      </w:r>
    </w:p>
    <w:p>
      <w:pPr>
        <w:pStyle w:val="ListBullet"/>
      </w:pPr>
      <w:r>
        <w:rPr>
          <w:b/>
        </w:rPr>
        <w:t>2023 Referral Credits:</w:t>
      </w:r>
      <w:r>
        <w:t xml:space="preserve"> $36,900 on 900 cases at an average $8,200 facility fee. Dr. Stein received $14,022 on 342 cases.</w:t>
      </w:r>
    </w:p>
    <w:p>
      <w:pPr>
        <w:pStyle w:val="ListBullet"/>
      </w:pPr>
      <w:r>
        <w:rPr>
          <w:b/>
        </w:rPr>
        <w:t>Employed physicians.</w:t>
      </w:r>
      <w:r>
        <w:t xml:space="preserve"> Separately, they earn $150 RQB payments for Buckeye referrals (Issue 1).</w:t>
      </w:r>
    </w:p>
    <w:p>
      <w:pPr>
        <w:pStyle w:val="ListBullet"/>
      </w:pPr>
      <w:r>
        <w:rPr>
          <w:b/>
        </w:rPr>
        <w:t>Medical directorship.</w:t>
      </w:r>
      <w:r>
        <w:t xml:space="preserve"> Dr. Stein, a 25% personal owner, is also Buckeye’s paid Medical Director (Issue 6).</w:t>
      </w:r>
    </w:p>
    <w:p>
      <w:pPr>
        <w:pStyle w:val="ListBullet"/>
      </w:pPr>
      <w:r>
        <w:rPr>
          <w:b/>
        </w:rPr>
        <w:t>Contradictory internal statements.</w:t>
      </w:r>
      <w:r>
        <w:t xml:space="preserve"> The January 2022 Compensation Plan memo tells physicians that member profit distributions are “ownership-proportional and are not allocated on the basis of referral activity” (§ 6). The 2023 compensation notes repeat that statement (citing OA § 8.1). Both are contradicted by OA § 8.4 and by the Referral Credit column in the same workbook.</w:t>
      </w:r>
    </w:p>
    <w:p>
      <w:pPr>
        <w:pStyle w:val="Heading3"/>
      </w:pPr>
      <w:r>
        <w:t>Analysis</w:t>
      </w:r>
    </w:p>
    <w:p>
      <w:r>
        <w:rPr>
          <w:b/>
        </w:rPr>
        <w:t>Stark.</w:t>
      </w:r>
      <w:r>
        <w:t xml:space="preserve"> The relator alleges that the surgical procedures are DHS (Compl. ¶¶ 73, 87). That is wrong as a general matter. ASC facility services paid under the ASC payment system are excluded from the DHS definition (§ 411.351), so ownership of Buckeye is not, by itself, an ownership interest in a DHS entity. Count III’s Stark theory is therefore weak, and its “group practice” citation to § 411.352(i) concerns profit shares from the group’s DHS, not ASC returns. The Stark spillover risks are narrower:</w:t>
      </w:r>
    </w:p>
    <w:p>
      <w:pPr>
        <w:pStyle w:val="ListBullet"/>
      </w:pPr>
      <w:r>
        <w:t>if Buckeye bills any items or services outside the ASC composite rate that are DHS (e.g., certain separately paid drugs, prosthetics or DME), referral-based distributions would implicate Stark directly;</w:t>
      </w:r>
    </w:p>
    <w:p>
      <w:pPr>
        <w:pStyle w:val="ListBullet"/>
      </w:pPr>
      <w:r>
        <w:t>member compensation from Greenfield that turns on referrals to an affiliate gives the government a § 411.352(g) argument, because Referral Credits are part of member “compensation” from the group. It is also poor optics for any claim that Greenfield’s compensation design is referral-neutral.</w:t>
      </w:r>
    </w:p>
    <w:p>
      <w:r>
        <w:t>These points must be confirmed with Buckeye’s claims data.</w:t>
      </w:r>
    </w:p>
    <w:p>
      <w:r>
        <w:rPr>
          <w:b/>
        </w:rPr>
        <w:t>AKS (the principal exposure).</w:t>
      </w:r>
      <w:r>
        <w:t xml:space="preserve"> Returns on investment tied to the investor’s referrals are a central concern of the AKS. The ASC safe harbor (§ 1001.952(r)) requires, among other things, that returns be </w:t>
      </w:r>
      <w:r>
        <w:rPr>
          <w:b/>
        </w:rPr>
        <w:t>directly proportional to capital invested</w:t>
      </w:r>
      <w:r>
        <w:t xml:space="preserve">. It also contains investor-qualification, “one-third” income and practice tests, and requires that investors not be required or encouraged to refer. The Buckeye OA does the opposite in express terms: it makes referrals the </w:t>
      </w:r>
      <w:r>
        <w:rPr>
          <w:i/>
        </w:rPr>
        <w:t>exclusive</w:t>
      </w:r>
      <w:r>
        <w:t xml:space="preserve"> measure of return and imposes a utilization covenant. Greenfield’s 0.5%-per-case credit converts each referral into a traceable personal payment, with the CFO tracking cases and reporting them quarterly (OA § 8.4(c)). These provisions have been in place since 2016 (Buckeye) and since at least 2020 (Greenfield). Buckeye’s Medicare and Medicaid facility claims for patients referred by Greenfield physicians are at risk as AKS-tainted FCA claims. The relator alleges about $16.8 million in Medicare and Medicaid revenue for Buckeye in 2023 (Compl. ¶ 11). Ohio fee-splitting and related professional-conduct provisions (Ohio Rev. Code Chapter 4731) should also be reviewed.</w:t>
      </w:r>
    </w:p>
    <w:p>
      <w:r>
        <w:rPr>
          <w:b/>
        </w:rPr>
        <w:t>Ownership records do not reconcile.</w:t>
      </w:r>
      <w:r>
        <w:t xml:space="preserve"> The Buckeye OA (never amended; transfers need the consent of all members, § 8.1) shows only three members: Greenfield 60%, Stein 25%, Narayan 15%. The 2023 compensation summary instead reports Buckeye ownership percentages for some 30 other Greenfield members, e.g., Adler 5.0%, Castillo 4.5%, Banerjee 4.0%. With Stein’s 25% and Narayan’s 15%, individual percentages total </w:t>
      </w:r>
      <w:r>
        <w:rPr>
          <w:b/>
        </w:rPr>
        <w:t>113.5%</w:t>
      </w:r>
      <w:r>
        <w:t>. Possible explanations:</w:t>
      </w:r>
    </w:p>
    <w:p>
      <w:pPr>
        <w:pStyle w:val="ListBullet"/>
      </w:pPr>
      <w:r>
        <w:t>look-through attributions of Greenfield’s 60%, although those would not total 73.5%;</w:t>
      </w:r>
    </w:p>
    <w:p>
      <w:pPr>
        <w:pStyle w:val="ListBullet"/>
      </w:pPr>
      <w:r>
        <w:t>undocumented transfers;</w:t>
      </w:r>
    </w:p>
    <w:p>
      <w:pPr>
        <w:pStyle w:val="ListBullet"/>
      </w:pPr>
      <w:r>
        <w:t>data errors.</w:t>
      </w:r>
    </w:p>
    <w:p>
      <w:r>
        <w:t>Each has different AKS consequences, and the figures must be reconciled. The 900 credited cases are attributed entirely to 14 member physicians, while the relator alleges 702 Greenfield-referred cases (78%). The Buckeye OA’s “hypothetical” illustration uses exactly 702/342/56, and 342 is Dr. Stein’s actual 2023 count. This tends to undercut the label “hypothetical” and will be used to show that the drafters modeled actual referrals.</w:t>
      </w:r>
    </w:p>
    <w:p>
      <w:pPr>
        <w:pStyle w:val="Heading3"/>
      </w:pPr>
      <w:r>
        <w:t>Remediation</w:t>
      </w:r>
    </w:p>
    <w:p>
      <w:pPr>
        <w:ind w:left="504" w:hanging="360"/>
      </w:pPr>
      <w:r>
        <w:t xml:space="preserve">1.  </w:t>
      </w:r>
      <w:r>
        <w:rPr>
          <w:b/>
        </w:rPr>
        <w:t>Immediately suspend</w:t>
      </w:r>
      <w:r>
        <w:t xml:space="preserve"> Referral Credit allocations (OA § 8.4(b)). Hold Greenfield’s Buckeye returns in a segregated account pending counsel’s advice.</w:t>
      </w:r>
    </w:p>
    <w:p>
      <w:pPr>
        <w:ind w:left="504" w:hanging="360"/>
      </w:pPr>
      <w:r>
        <w:t xml:space="preserve">2.  </w:t>
      </w:r>
      <w:r>
        <w:t xml:space="preserve">Amend the </w:t>
      </w:r>
      <w:r>
        <w:rPr>
          <w:b/>
        </w:rPr>
        <w:t>Buckeye OA</w:t>
      </w:r>
      <w:r>
        <w:t xml:space="preserve"> (all-member written consent, § 12.2(b)) so that allocations and distributions are strictly pro rata to capital and Membership Interests. Delete §§ 1.9, 1.25, 1.26, 4.5 and 6.2 and the utilization covenant in § 6.1. Restructure toward the ASC safe harbor, recognizing that a hospital-free, multispecialty, group-practice-investor ASC must meet the specific investor and income tests in § 1001.952(r).</w:t>
      </w:r>
    </w:p>
    <w:p>
      <w:pPr>
        <w:ind w:left="504" w:hanging="360"/>
      </w:pPr>
      <w:r>
        <w:t xml:space="preserve">3.  </w:t>
      </w:r>
      <w:r>
        <w:t xml:space="preserve">Amend the </w:t>
      </w:r>
      <w:r>
        <w:rPr>
          <w:b/>
        </w:rPr>
        <w:t>Greenfield OA</w:t>
      </w:r>
      <w:r>
        <w:t xml:space="preserve"> (two-thirds vote) to delete § 8.4(b) and the Referral Credit definition, and to distribute Buckeye returns by Membership Interest. Correct the inaccurate statements in the 2022 Compensation memo.</w:t>
      </w:r>
    </w:p>
    <w:p>
      <w:pPr>
        <w:ind w:left="504" w:hanging="360"/>
      </w:pPr>
      <w:r>
        <w:t xml:space="preserve">4.  </w:t>
      </w:r>
      <w:r>
        <w:t>Reconcile Buckeye’s capitalization and ownership history. Obtain capital-contribution records (redacted in Ex. A) and all distribution statements since 2016. Determine whether any DHS is billed by Buckeye.</w:t>
      </w:r>
    </w:p>
    <w:p>
      <w:pPr>
        <w:ind w:left="504" w:hanging="360"/>
      </w:pPr>
      <w:r>
        <w:t xml:space="preserve">5.  </w:t>
      </w:r>
      <w:r>
        <w:t xml:space="preserve">Evaluate an </w:t>
      </w:r>
      <w:r>
        <w:rPr>
          <w:b/>
        </w:rPr>
        <w:t>OIG Self-Disclosure Protocol</w:t>
      </w:r>
      <w:r>
        <w:t xml:space="preserve"> submission for the Buckeye conduct, coordinated with the overall strategy (Part VII). The CMS SRDP covers only Stark and is not the right vehicle for AKS conduct.</w:t>
      </w:r>
    </w:p>
    <w:p>
      <w:pPr>
        <w:ind w:left="504" w:hanging="360"/>
      </w:pPr>
      <w:r>
        <w:t xml:space="preserve">6.  </w:t>
      </w:r>
      <w:r>
        <w:t xml:space="preserve">Advise Dr. Stein and Dr. Narayan to retain </w:t>
      </w:r>
      <w:r>
        <w:rPr>
          <w:b/>
        </w:rPr>
        <w:t>separate counsel</w:t>
      </w:r>
      <w:r>
        <w:t>. They are named defendants and personally received referral-based Buckeye distributions.</w:t>
      </w:r>
    </w:p>
    <w:p>
      <w:pPr>
        <w:pStyle w:val="Heading2"/>
      </w:pPr>
      <w:r>
        <w:t>Issue 6 — Dr. Stein’s Buckeye Medical Director Agreement (High)</w:t>
      </w:r>
    </w:p>
    <w:p>
      <w:pPr>
        <w:pStyle w:val="Heading3"/>
      </w:pPr>
      <w:r>
        <w:t>Facts</w:t>
      </w:r>
    </w:p>
    <w:p>
      <w:pPr>
        <w:pStyle w:val="ListBullet"/>
      </w:pPr>
      <w:r>
        <w:rPr>
          <w:b/>
        </w:rPr>
        <w:t>Terms.</w:t>
      </w:r>
      <w:r>
        <w:t xml:space="preserve"> The agreement is dated August 22, 2016, the same day Buckeye was formed. It pays </w:t>
      </w:r>
      <w:r>
        <w:rPr>
          <w:b/>
        </w:rPr>
        <w:t>$120,000 per year</w:t>
      </w:r>
      <w:r>
        <w:t xml:space="preserve"> ($10,000 per month) for a </w:t>
      </w:r>
      <w:r>
        <w:rPr>
          <w:b/>
        </w:rPr>
        <w:t>minimum of 8 hours per month (96 hours per year)</w:t>
      </w:r>
      <w:r>
        <w:t xml:space="preserve"> (§§ 3.2, 4.1). That is </w:t>
      </w:r>
      <w:r>
        <w:rPr>
          <w:b/>
        </w:rPr>
        <w:t>$1,250 per contracted hour</w:t>
      </w:r>
      <w:r>
        <w:t>.</w:t>
      </w:r>
    </w:p>
    <w:p>
      <w:pPr>
        <w:pStyle w:val="ListBullet"/>
      </w:pPr>
      <w:r>
        <w:rPr>
          <w:b/>
        </w:rPr>
        <w:t>Itemized duties.</w:t>
      </w:r>
      <w:r>
        <w:t xml:space="preserve"> Exhibit A itemizes only about </w:t>
      </w:r>
      <w:r>
        <w:rPr>
          <w:b/>
        </w:rPr>
        <w:t>40 hours per year</w:t>
      </w:r>
      <w:r>
        <w:t>: 8 for meetings, 24 for monthly metrics review and 8 for policy review. The rest is “as needed.” Measured against itemized hours alone, the rate is $3,000 per hour.</w:t>
      </w:r>
    </w:p>
    <w:p>
      <w:pPr>
        <w:pStyle w:val="ListBullet"/>
      </w:pPr>
      <w:r>
        <w:rPr>
          <w:b/>
        </w:rPr>
        <w:t>Renewal.</w:t>
      </w:r>
      <w:r>
        <w:t xml:space="preserve"> The agreement renews automatically each year “on the same terms … as of the Effective Date” with “[n]o additional action, approval, or documentation” (§§ 2.2–2.3). The Buckeye OA bars any change without the Medical Director’s consent (§ 5.4(d)).</w:t>
      </w:r>
    </w:p>
    <w:p>
      <w:pPr>
        <w:pStyle w:val="ListBullet"/>
      </w:pPr>
      <w:r>
        <w:rPr>
          <w:b/>
        </w:rPr>
        <w:t>Time records.</w:t>
      </w:r>
      <w:r>
        <w:t xml:space="preserve"> Dr. Stein must keep contemporaneous time records (§ 3.2). None are in the file.</w:t>
      </w:r>
    </w:p>
    <w:p>
      <w:pPr>
        <w:pStyle w:val="ListBullet"/>
      </w:pPr>
      <w:r>
        <w:rPr>
          <w:b/>
        </w:rPr>
        <w:t>Approvals.</w:t>
      </w:r>
      <w:r>
        <w:t xml:space="preserve"> Dr. Narayan, a 15% co-owner and Dr. Stein’s fellow Compensation Committee member, signed for Buckeye. Greenfield’s OA says the agreement “was approved by the Compensation Committee” (§ 10.1), which Dr. Stein chairs. The file copy shows blank signature lines for both parties.</w:t>
      </w:r>
    </w:p>
    <w:p>
      <w:pPr>
        <w:pStyle w:val="ListBullet"/>
      </w:pPr>
      <w:r>
        <w:rPr>
          <w:b/>
        </w:rPr>
        <w:t>FMV support.</w:t>
      </w:r>
      <w:r>
        <w:t xml:space="preserve"> We found no FMV opinion for the medical directorship. The 2019 Lakeshore study covered physician compensation, not this arrangement. The $120,000 has been paid unchanged for over eight years, about $960,000 through August 2024.</w:t>
      </w:r>
    </w:p>
    <w:p>
      <w:pPr>
        <w:pStyle w:val="ListBullet"/>
      </w:pPr>
      <w:r>
        <w:rPr>
          <w:b/>
        </w:rPr>
        <w:t>Complaint.</w:t>
      </w:r>
      <w:r>
        <w:t xml:space="preserve"> The relator alleges “over $200,000 annually” (Compl. ¶ 12). The documents show $120,000.</w:t>
      </w:r>
    </w:p>
    <w:p>
      <w:pPr>
        <w:pStyle w:val="Heading3"/>
      </w:pPr>
      <w:r>
        <w:t>Analysis</w:t>
      </w:r>
    </w:p>
    <w:p>
      <w:r>
        <w:rPr>
          <w:b/>
        </w:rPr>
        <w:t>Stark.</w:t>
      </w:r>
      <w:r>
        <w:t xml:space="preserve"> Because Buckeye is an ASC rather than a DHS entity, the agreement is not itself a Stark compensation arrangement with a DHS entity. An indirect compensation arrangement with Greenfield, which owns 60% of Buckeye, would require Dr. Stein’s aggregate compensation from Buckeye to vary with or take into account his referrals to Greenfield (§ 411.354(c)(2)). A flat fee generally does not. Stark risk is therefore secondary, but that conclusion depends on the fee being fixed and on there being no side payments.</w:t>
      </w:r>
    </w:p>
    <w:p>
      <w:r>
        <w:rPr>
          <w:b/>
        </w:rPr>
        <w:t>AKS.</w:t>
      </w:r>
      <w:r>
        <w:t xml:space="preserve"> This is the principal exposure. The personal services safe harbor (§ 1001.952(d)) requires that compensation be consistent with FMV and not determined by referrals. The agreement presents a high-risk profile:</w:t>
      </w:r>
    </w:p>
    <w:p>
      <w:pPr>
        <w:pStyle w:val="ListBullet"/>
      </w:pPr>
      <w:r>
        <w:t>an hourly-equivalent rate that appears well above typical administrative medical director benchmarks;</w:t>
      </w:r>
    </w:p>
    <w:p>
      <w:pPr>
        <w:pStyle w:val="ListBullet"/>
      </w:pPr>
      <w:r>
        <w:t>duties that substantially overlap with those of an owner and ASC governing-body leader;</w:t>
      </w:r>
    </w:p>
    <w:p>
      <w:pPr>
        <w:pStyle w:val="ListBullet"/>
      </w:pPr>
      <w:r>
        <w:t>no documented time;</w:t>
      </w:r>
    </w:p>
    <w:p>
      <w:pPr>
        <w:pStyle w:val="ListBullet"/>
      </w:pPr>
      <w:r>
        <w:t>no re-benchmarking in eight years;</w:t>
      </w:r>
    </w:p>
    <w:p>
      <w:pPr>
        <w:pStyle w:val="ListBullet"/>
      </w:pPr>
      <w:r>
        <w:t>approval by conflicted insiders;</w:t>
      </w:r>
    </w:p>
    <w:p>
      <w:pPr>
        <w:pStyle w:val="ListBullet"/>
      </w:pPr>
      <w:r>
        <w:t>a recipient who is the ASC’s largest individual referral source (342 of 900 cases in 2023).</w:t>
      </w:r>
    </w:p>
    <w:p>
      <w:r>
        <w:t>Together these support an inference that the fee is a disguised return to a referral source. The fee also adds to Dr. Stein’s total compensation of about $1,358,022 in 2023. The relator’s figure of $1,224,000 omits the directorship fee and the Referral Credits.</w:t>
      </w:r>
    </w:p>
    <w:p>
      <w:pPr>
        <w:pStyle w:val="Heading3"/>
      </w:pPr>
      <w:r>
        <w:t>Remediation</w:t>
      </w:r>
    </w:p>
    <w:p>
      <w:pPr>
        <w:ind w:left="504" w:hanging="360"/>
      </w:pPr>
      <w:r>
        <w:t xml:space="preserve">1.  </w:t>
      </w:r>
      <w:r>
        <w:t>Obtain Dr. Stein’s time logs for 2016 to the present, and Medical Advisory Committee minutes, credentialing files and quality reports, to substantiate the services.</w:t>
      </w:r>
    </w:p>
    <w:p>
      <w:pPr>
        <w:ind w:left="504" w:hanging="360"/>
      </w:pPr>
      <w:r>
        <w:t xml:space="preserve">2.  </w:t>
      </w:r>
      <w:r>
        <w:t>Commission an independent FMV and commercial-reasonableness opinion on the directorship, based on the hours actually needed and documented.</w:t>
      </w:r>
    </w:p>
    <w:p>
      <w:pPr>
        <w:ind w:left="504" w:hanging="360"/>
      </w:pPr>
      <w:r>
        <w:t xml:space="preserve">3.  </w:t>
      </w:r>
      <w:r>
        <w:t>Restate the agreement with: hourly or capped compensation at FMV; mandatory monthly time sheets as a condition of payment; a defined duty list; a fixed term with renewal only on documented FMV review; and approval by unconflicted Buckeye members, or an independent manager if none are available. Remove the consent lock in Buckeye OA § 5.4(d).</w:t>
      </w:r>
    </w:p>
    <w:p>
      <w:pPr>
        <w:ind w:left="504" w:hanging="360"/>
      </w:pPr>
      <w:r>
        <w:t xml:space="preserve">4.  </w:t>
      </w:r>
      <w:r>
        <w:t>Evaluate whether payments exceeding documented FMV must be repaid as part of the disclosure strategy.</w:t>
      </w:r>
    </w:p>
    <w:p>
      <w:pPr>
        <w:pStyle w:val="Heading2"/>
      </w:pPr>
      <w:r>
        <w:t>Issue 7 — IOASE “Same Building” and Supervision Gaps at Hilliard (Loc. 7) and Dublin (Loc. 9) (High)</w:t>
      </w:r>
    </w:p>
    <w:p>
      <w:pPr>
        <w:pStyle w:val="Heading3"/>
      </w:pPr>
      <w:r>
        <w:t>Facts</w:t>
      </w:r>
    </w:p>
    <w:p>
      <w:pPr>
        <w:pStyle w:val="ListBullet"/>
      </w:pPr>
      <w:r>
        <w:rPr>
          <w:b/>
        </w:rPr>
        <w:t>Testing.</w:t>
      </w:r>
      <w:r>
        <w:t xml:space="preserve"> Laboratory and point-of-care testing (blood draws, urinalysis, glucose and lipid panels) runs </w:t>
      </w:r>
      <w:r>
        <w:rPr>
          <w:b/>
        </w:rPr>
        <w:t>daily</w:t>
      </w:r>
      <w:r>
        <w:t>, performed by medical assistants and lab technicians.</w:t>
      </w:r>
    </w:p>
    <w:p>
      <w:pPr>
        <w:pStyle w:val="ListBullet"/>
      </w:pPr>
      <w:r>
        <w:rPr>
          <w:b/>
        </w:rPr>
        <w:t>Physician presence.</w:t>
      </w:r>
      <w:r>
        <w:t xml:space="preserve"> A physician is on site about </w:t>
      </w:r>
      <w:r>
        <w:rPr>
          <w:b/>
        </w:rPr>
        <w:t>2 days per week at Hilliard</w:t>
      </w:r>
      <w:r>
        <w:t xml:space="preserve"> and </w:t>
      </w:r>
      <w:r>
        <w:rPr>
          <w:b/>
        </w:rPr>
        <w:t>3 half-days per week at Dublin</w:t>
      </w:r>
      <w:r>
        <w:t>. The designated supervising physicians were at the main campus, 14 and 17 miles away, during the March 2022 site visits. Staff reported that “we call if we have questions” (audit memo § III.A).</w:t>
      </w:r>
    </w:p>
    <w:p>
      <w:pPr>
        <w:pStyle w:val="ListBullet"/>
      </w:pPr>
      <w:r>
        <w:rPr>
          <w:b/>
        </w:rPr>
        <w:t>Internal policy.</w:t>
      </w:r>
      <w:r>
        <w:t xml:space="preserve"> Manual § 5.2 requires direct, on-site supervision for all DHS. It forbids furnishing DHS when a supervising physician is absent and requires supervision logs.</w:t>
      </w:r>
    </w:p>
    <w:p>
      <w:pPr>
        <w:pStyle w:val="ListBullet"/>
      </w:pPr>
      <w:r>
        <w:rPr>
          <w:b/>
        </w:rPr>
        <w:t>Follow-up.</w:t>
      </w:r>
      <w:r>
        <w:t xml:space="preserve"> The audit recommended corrective action in March 2022. The file contains no evidence of remediation, supervision logs, or quantification of affected volume.</w:t>
      </w:r>
    </w:p>
    <w:p>
      <w:pPr>
        <w:pStyle w:val="Heading3"/>
      </w:pPr>
      <w:r>
        <w:t>Analysis</w:t>
      </w:r>
    </w:p>
    <w:p>
      <w:r>
        <w:rPr>
          <w:b/>
        </w:rPr>
        <w:t>Supervision.</w:t>
      </w:r>
      <w:r>
        <w:t xml:space="preserve"> The IOASE requires that DHS be furnished by the referring physician, by a group member, or by individuals supervised “in accordance with” applicable Medicare payment and coverage rules (§ 411.355(b)(1)). For most clinical laboratory tests, Medicare’s physician-supervision levels for diagnostic tests do not apply in the way they do to imaging; laboratory oversight is governed by CLIA. Remote laboratory oversight may therefore not, by itself, defeat the IOASE. It would, however, breach Greenfield’s own stricter policy, which matters for scienter and credibility. Counsel should confirm:</w:t>
      </w:r>
    </w:p>
    <w:p>
      <w:pPr>
        <w:pStyle w:val="ListBullet"/>
      </w:pPr>
      <w:r>
        <w:t>that each site holds a CLIA certificate (or waiver) appropriate to the tests performed;</w:t>
      </w:r>
    </w:p>
    <w:p>
      <w:pPr>
        <w:pStyle w:val="ListBullet"/>
      </w:pPr>
      <w:r>
        <w:t>that the CLIA laboratory director requirements are met;</w:t>
      </w:r>
    </w:p>
    <w:p>
      <w:pPr>
        <w:pStyle w:val="ListBullet"/>
      </w:pPr>
      <w:r>
        <w:t>that no imaging or other non-laboratory DHS at these sites requires direct supervision.</w:t>
      </w:r>
    </w:p>
    <w:p>
      <w:r>
        <w:rPr>
          <w:b/>
        </w:rPr>
        <w:t>“Same building” test (the more serious IOASE risk).</w:t>
      </w:r>
      <w:r>
        <w:t xml:space="preserve"> Each referral must meet one of three alternatives in § 411.355(b)(2)(i):</w:t>
      </w:r>
    </w:p>
    <w:p>
      <w:pPr>
        <w:pStyle w:val="ListBullet"/>
      </w:pPr>
      <w:r>
        <w:t xml:space="preserve">(A) the office is open at least 35 hours per week </w:t>
      </w:r>
      <w:r>
        <w:rPr>
          <w:b/>
        </w:rPr>
        <w:t>and</w:t>
      </w:r>
      <w:r>
        <w:t xml:space="preserve"> the referring physician or group members regularly practice there at least 30 hours per week, part of it furnishing non-DHS physician services;</w:t>
      </w:r>
    </w:p>
    <w:p>
      <w:pPr>
        <w:pStyle w:val="ListBullet"/>
      </w:pPr>
      <w:r>
        <w:t xml:space="preserve">(B) the office is open at least 8 hours per week </w:t>
      </w:r>
      <w:r>
        <w:rPr>
          <w:b/>
        </w:rPr>
        <w:t>and</w:t>
      </w:r>
      <w:r>
        <w:t xml:space="preserve"> the </w:t>
      </w:r>
      <w:r>
        <w:rPr>
          <w:i/>
        </w:rPr>
        <w:t>referring</w:t>
      </w:r>
      <w:r>
        <w:t xml:space="preserve"> physician regularly practices there at least 6 hours per week;</w:t>
      </w:r>
    </w:p>
    <w:p>
      <w:pPr>
        <w:pStyle w:val="ListBullet"/>
      </w:pPr>
      <w:r>
        <w:t xml:space="preserve">(C) the office is open at least 8 hours per week </w:t>
      </w:r>
      <w:r>
        <w:rPr>
          <w:b/>
        </w:rPr>
        <w:t>and</w:t>
      </w:r>
      <w:r>
        <w:t xml:space="preserve"> the referring physician or a group member is present and orders the DHS during a patient visit, or is present while the DHS is furnished.</w:t>
      </w:r>
    </w:p>
    <w:p>
      <w:r>
        <w:t>With roughly 16 physician hours per week at Hilliard and about 12 at Dublin, test (A) appears unmet. Test (B) protects only referrals by physicians who regularly practice at the site. Test (C) fails on days when no physician is present. Specimens collected on physician-absent days, or ordered by physicians who do not regularly practice at the site (for example, orders from the main campus or orders by non-physician practitioners acting for absent physicians), are likely outside the IOASE. The “centralized building” alternative requires full-time exclusive use by the group and is unlikely to apply to these offices.</w:t>
      </w:r>
    </w:p>
    <w:p>
      <w:pPr>
        <w:pStyle w:val="Heading3"/>
      </w:pPr>
      <w:r>
        <w:t>Remediation</w:t>
      </w:r>
    </w:p>
    <w:p>
      <w:pPr>
        <w:ind w:left="504" w:hanging="360"/>
      </w:pPr>
      <w:r>
        <w:t xml:space="preserve">1.  </w:t>
      </w:r>
      <w:r>
        <w:t>Immediately limit testing at Hilliard and Dublin to sessions when an ordering physician or group member is present, or to physicians who meet test (B). Alternatively, route specimens to a centralized building or to the main-campus laboratory.</w:t>
      </w:r>
    </w:p>
    <w:p>
      <w:pPr>
        <w:ind w:left="504" w:hanging="360"/>
      </w:pPr>
      <w:r>
        <w:t xml:space="preserve">2.  </w:t>
      </w:r>
      <w:r>
        <w:t>Implement the supervision logs Manual § 5.2 requires. Audit them quarterly.</w:t>
      </w:r>
    </w:p>
    <w:p>
      <w:pPr>
        <w:ind w:left="504" w:hanging="360"/>
      </w:pPr>
      <w:r>
        <w:t xml:space="preserve">3.  </w:t>
      </w:r>
      <w:r>
        <w:t>Quantify Medicare and Medicaid laboratory DHS at both sites since 2019 by date, ordering physician and physician presence. Include the results in the overpayment analysis. Note that all post-2022 DHS is already exposed under Issue 2, so this analysis matters most for the pre-RQB period and for any period after the RQB ends.</w:t>
      </w:r>
    </w:p>
    <w:p>
      <w:pPr>
        <w:ind w:left="504" w:hanging="360"/>
      </w:pPr>
      <w:r>
        <w:t xml:space="preserve">4.  </w:t>
      </w:r>
      <w:r>
        <w:t>Survey the other six laboratory sites for the same pattern.</w:t>
      </w:r>
    </w:p>
    <w:p>
      <w:pPr>
        <w:pStyle w:val="Heading2"/>
      </w:pPr>
      <w:r>
        <w:t>Issue 8 — Independent-Contractor Radiologists Billed Under the Group NPI (Medium)</w:t>
      </w:r>
    </w:p>
    <w:p>
      <w:pPr>
        <w:pStyle w:val="Heading3"/>
      </w:pPr>
      <w:r>
        <w:t>Facts</w:t>
      </w:r>
    </w:p>
    <w:p>
      <w:r>
        <w:t xml:space="preserve">Four 1099 radiologists (Drs. Okafor, Tanaka, Brooks and Rivas; $290,000–$310,000 each in 2023) read about </w:t>
      </w:r>
      <w:r>
        <w:rPr>
          <w:b/>
        </w:rPr>
        <w:t>30% of Greenfield’s imaging studies</w:t>
      </w:r>
      <w:r>
        <w:t xml:space="preserve">. They furnish about </w:t>
      </w:r>
      <w:r>
        <w:rPr>
          <w:b/>
        </w:rPr>
        <w:t>60%</w:t>
      </w:r>
      <w:r>
        <w:t xml:space="preserve"> of their professional services through Greenfield and the rest through other facilities and teleradiology. All of their professional interpretations are billed under Greenfield’s group NPI and TIN. The 2022 audit concluded that they fail the 75% “substantially all” test, which would defeat the IOASE for their reads. It recommended conversion to employment or membership, or billing under individual NPIs. Hotline #2023-11 (Aug. 2023) raised the same concern. It was closed with “no further action” because the radiologists “provide services per contract,” without Committee or counsel review.</w:t>
      </w:r>
    </w:p>
    <w:p>
      <w:pPr>
        <w:pStyle w:val="Heading3"/>
      </w:pPr>
      <w:r>
        <w:t>Analysis</w:t>
      </w:r>
    </w:p>
    <w:p>
      <w:r>
        <w:t xml:space="preserve">The audit memo and Manual §§ 3.2.5 and 5.4 </w:t>
      </w:r>
      <w:r>
        <w:rPr>
          <w:b/>
        </w:rPr>
        <w:t>misstate the law</w:t>
      </w:r>
      <w:r>
        <w:t>, and the misstatement cuts both ways.</w:t>
      </w:r>
    </w:p>
    <w:p>
      <w:pPr>
        <w:pStyle w:val="ListBullet"/>
      </w:pPr>
      <w:r>
        <w:rPr>
          <w:b/>
        </w:rPr>
        <w:t>The test is an aggregate measure of members only.</w:t>
      </w:r>
      <w:r>
        <w:t xml:space="preserve"> The “substantially all” test in § 411.352(d) asks whether at least 75% of the total patient care services of all group </w:t>
      </w:r>
      <w:r>
        <w:rPr>
          <w:i/>
        </w:rPr>
        <w:t>members</w:t>
      </w:r>
      <w:r>
        <w:t xml:space="preserve"> (owners and employees) are furnished through the group. It is not a per-physician threshold, and IC physicians are not “members of the group” (§ 411.351). The four ICs’ 60% share therefore does not by itself defeat group-practice status. On the audit’s data (52 members assumed at the threshold; 31 of 35 employees at or above 75%; 4 employees at about 50%), the aggregate test appears satisfied, subject to verification.</w:t>
      </w:r>
    </w:p>
    <w:p>
      <w:pPr>
        <w:pStyle w:val="ListBullet"/>
      </w:pPr>
      <w:r>
        <w:rPr>
          <w:b/>
        </w:rPr>
        <w:t>The real risks lie elsewhere.</w:t>
      </w:r>
    </w:p>
    <w:p>
      <w:pPr>
        <w:pStyle w:val="ListBullet2"/>
      </w:pPr>
      <w:r>
        <w:t xml:space="preserve">(i) </w:t>
      </w:r>
      <w:r>
        <w:rPr>
          <w:b/>
        </w:rPr>
        <w:t>IOASE furnishing element.</w:t>
      </w:r>
      <w:r>
        <w:t xml:space="preserve"> ICs may be “physicians in the group practice” only for the time they furnish services to group patients in the group’s facilities under a contractual arrangement (§ 411.351). Whether a professional component personally performed by a non-member IC, particularly one read remotely, fits § 411.355(b)(1) and the location requirements requires analysis. Off-site teleradiology reads are the most exposed.</w:t>
      </w:r>
    </w:p>
    <w:p>
      <w:pPr>
        <w:pStyle w:val="ListBullet2"/>
      </w:pPr>
      <w:r>
        <w:t xml:space="preserve">(ii) </w:t>
      </w:r>
      <w:r>
        <w:rPr>
          <w:b/>
        </w:rPr>
        <w:t>Anti-markup rule.</w:t>
      </w:r>
      <w:r>
        <w:t xml:space="preserve"> For diagnostic tests billed by a supplier that did not perform them, payment is limited unless the performing physician “shares a practice” with the billing supplier. That requires furnishing substantially all (75%) of professional services through the billing group, or meeting the site-of-service test (42 C.F.R. § 414.50). At 60%, the ICs likely fail the substantially-all prong, so the site-of-service analysis is critical. Overbilling under the anti-markup rule is an overpayment independent of Stark.</w:t>
      </w:r>
    </w:p>
    <w:p>
      <w:pPr>
        <w:pStyle w:val="ListBullet2"/>
      </w:pPr>
      <w:r>
        <w:t xml:space="preserve">(iii) </w:t>
      </w:r>
      <w:r>
        <w:rPr>
          <w:b/>
        </w:rPr>
        <w:t>Reassignment.</w:t>
      </w:r>
      <w:r>
        <w:t xml:space="preserve"> Each IC’s reassignment of benefits must be valid (CMS-855R; 42 C.F.R. § 424.80), with joint and several liability language and records access.</w:t>
      </w:r>
    </w:p>
    <w:p>
      <w:pPr>
        <w:pStyle w:val="Heading3"/>
      </w:pPr>
      <w:r>
        <w:t>Remediation</w:t>
      </w:r>
    </w:p>
    <w:p>
      <w:pPr>
        <w:ind w:left="504" w:hanging="360"/>
      </w:pPr>
      <w:r>
        <w:t xml:space="preserve">1.  </w:t>
      </w:r>
      <w:r>
        <w:t>Obtain the four IC agreements, CMS-855R reassignments, read-location logs and billing data. Determine where each professional component was performed.</w:t>
      </w:r>
    </w:p>
    <w:p>
      <w:pPr>
        <w:ind w:left="504" w:hanging="360"/>
      </w:pPr>
      <w:r>
        <w:t xml:space="preserve">2.  </w:t>
      </w:r>
      <w:r>
        <w:t>Prospectively, either employ the radiologists, or bill their off-site reads in compliance with the anti-markup rule, or have them bill directly.</w:t>
      </w:r>
    </w:p>
    <w:p>
      <w:pPr>
        <w:ind w:left="504" w:hanging="360"/>
      </w:pPr>
      <w:r>
        <w:t xml:space="preserve">3.  </w:t>
      </w:r>
      <w:r>
        <w:t>Correct Manual §§ 3.2.5 and 5.4 and train billing staff on the correct tests.</w:t>
      </w:r>
    </w:p>
    <w:p>
      <w:pPr>
        <w:ind w:left="504" w:hanging="360"/>
      </w:pPr>
      <w:r>
        <w:t xml:space="preserve">4.  </w:t>
      </w:r>
      <w:r>
        <w:t>Quantify any anti-markup or IOASE overpayment for the disclosure analysis.</w:t>
      </w:r>
    </w:p>
    <w:p>
      <w:pPr>
        <w:pStyle w:val="Heading2"/>
      </w:pPr>
      <w:r>
        <w:t>Issue 9 — ClearView Diagnostic Imaging Lease: FMV Likely Defensible, but Undocumented and Expired (Medium)</w:t>
      </w:r>
    </w:p>
    <w:p>
      <w:pPr>
        <w:pStyle w:val="Heading3"/>
      </w:pPr>
      <w:r>
        <w:t>Facts</w:t>
      </w:r>
    </w:p>
    <w:p>
      <w:pPr>
        <w:pStyle w:val="ListBullet"/>
      </w:pPr>
      <w:r>
        <w:rPr>
          <w:b/>
        </w:rPr>
        <w:t>Lease terms.</w:t>
      </w:r>
      <w:r>
        <w:t xml:space="preserve"> Suite 210, 3,200 sf, January 1, 2021 to December 31, 2025. One 3-year renewal option at a “mutually agreed” rate; 150% month-to-month holdover rent.</w:t>
      </w:r>
    </w:p>
    <w:p>
      <w:pPr>
        <w:pStyle w:val="ListBullet"/>
      </w:pPr>
      <w:r>
        <w:rPr>
          <w:b/>
        </w:rPr>
        <w:t>Rent structure.</w:t>
      </w:r>
      <w:r>
        <w:t xml:space="preserve"> Base rent of </w:t>
      </w:r>
      <w:r>
        <w:rPr>
          <w:b/>
        </w:rPr>
        <w:t>$18.00/sf ($57,600/yr)</w:t>
      </w:r>
      <w:r>
        <w:t xml:space="preserve">, fixed, with no concessions (§§ 4.1, 4.3, 4.6). </w:t>
      </w:r>
      <w:r>
        <w:rPr>
          <w:b/>
        </w:rPr>
        <w:t>In addition</w:t>
      </w:r>
      <w:r>
        <w:t xml:space="preserve">, the tenant pays its pro rata share (6.67%) of </w:t>
      </w:r>
      <w:r>
        <w:rPr>
          <w:b/>
        </w:rPr>
        <w:t>all</w:t>
      </w:r>
      <w:r>
        <w:t xml:space="preserve"> building operating expenses: taxes, insurance, CAM, utilities, management and repairs (§§ 4.5, 5.1–5.3). Year-1 operating expenses were estimated at </w:t>
      </w:r>
      <w:r>
        <w:rPr>
          <w:b/>
        </w:rPr>
        <w:t>$12.00/sf</w:t>
      </w:r>
      <w:r>
        <w:t xml:space="preserve">, or </w:t>
      </w:r>
      <w:r>
        <w:rPr>
          <w:b/>
        </w:rPr>
        <w:t>$38,419/yr</w:t>
      </w:r>
      <w:r>
        <w:t xml:space="preserve"> (Ex. B).</w:t>
      </w:r>
    </w:p>
    <w:p>
      <w:pPr>
        <w:pStyle w:val="ListBullet"/>
      </w:pPr>
      <w:r>
        <w:rPr>
          <w:b/>
        </w:rPr>
        <w:t>Tenant improvements.</w:t>
      </w:r>
      <w:r>
        <w:t xml:space="preserve"> The tenant paid 100% of its specialized build-out (lead shielding, electrical, supplemental HVAC) with no landlord contribution (§ 7.1).</w:t>
      </w:r>
    </w:p>
    <w:p>
      <w:pPr>
        <w:pStyle w:val="ListBullet"/>
      </w:pPr>
      <w:r>
        <w:rPr>
          <w:b/>
        </w:rPr>
        <w:t>Comparisons made by others.</w:t>
      </w:r>
      <w:r>
        <w:t xml:space="preserve"> The 2022 audit, hotline #2023-14 and the complaint (¶¶ 55–56) all compared the $18 base rent directly with the $28–$32/sf </w:t>
      </w:r>
      <w:r>
        <w:rPr>
          <w:b/>
        </w:rPr>
        <w:t>full-service-gross</w:t>
      </w:r>
      <w:r>
        <w:t xml:space="preserve"> appraisal range. The complaint alleges a subsidy of $32,000–$44,800 per year and “over $250,000” over the term. Arithmetically, the maximum is $224,000 (5 × $44,800).</w:t>
      </w:r>
    </w:p>
    <w:p>
      <w:pPr>
        <w:pStyle w:val="ListBullet"/>
      </w:pPr>
      <w:r>
        <w:rPr>
          <w:b/>
        </w:rPr>
        <w:t>Referral dependence.</w:t>
      </w:r>
      <w:r>
        <w:t xml:space="preserve"> About 68% of ClearView’s patients are said to come from Greenfield (Compl. ¶ 58). ClearView represents that no physician or physician group has an ownership or financial interest in it (§ 15.3).</w:t>
      </w:r>
    </w:p>
    <w:p>
      <w:pPr>
        <w:pStyle w:val="ListBullet"/>
      </w:pPr>
      <w:r>
        <w:rPr>
          <w:b/>
        </w:rPr>
        <w:t>Management’s explanation.</w:t>
      </w:r>
      <w:r>
        <w:t xml:space="preserve"> Management attributed the rate to “tenant improvement credits” (audit memo § IV). The lease contains no TI credit.</w:t>
      </w:r>
    </w:p>
    <w:p>
      <w:pPr>
        <w:pStyle w:val="Heading3"/>
      </w:pPr>
      <w:r>
        <w:t>Analysis</w:t>
      </w:r>
    </w:p>
    <w:p>
      <w:r>
        <w:t xml:space="preserve">Stated on a gross-equivalent basis, ClearView’s rent is about </w:t>
      </w:r>
      <w:r>
        <w:rPr>
          <w:b/>
        </w:rPr>
        <w:t>$30.00/sf</w:t>
      </w:r>
      <w:r>
        <w:t xml:space="preserve"> ($18.00 base plus about $12.00 in expense pass-throughs). Annual occupancy cost is about $96,000, inside the appraisal’s Suite 210 range of $89,600–$102,400. The lease was signed about four months after the appraisal’s value date, inside the 12-month window the appraiser specified. The appraisal also assumed landlord-delivered standard TI, while ClearView bore all of its build-out. If expenses were in fact billed and collected at or near the estimate, the lease is </w:t>
      </w:r>
      <w:r>
        <w:rPr>
          <w:b/>
        </w:rPr>
        <w:t>likely defensible on FMV</w:t>
      </w:r>
      <w:r>
        <w:t xml:space="preserve"> under § 411.357(a), and the complaint’s Count II theory as to ClearView is materially overstated. Greenfield should rely on this gross-equivalent analysis and not on the unsupported “TI credit” explanation, which the lease contradicts.</w:t>
      </w:r>
    </w:p>
    <w:p>
      <w:r>
        <w:t>Residual risks:</w:t>
      </w:r>
    </w:p>
    <w:p>
      <w:pPr>
        <w:pStyle w:val="ListBullet"/>
      </w:pPr>
      <w:r>
        <w:rPr>
          <w:b/>
        </w:rPr>
        <w:t>Collection.</w:t>
      </w:r>
      <w:r>
        <w:t xml:space="preserve"> Whether the annual reconciliations under § 5.3 were actually issued and collected. If they were not, effective rent was $18/sf and the lease is below FMV.</w:t>
      </w:r>
    </w:p>
    <w:p>
      <w:pPr>
        <w:pStyle w:val="ListBullet"/>
      </w:pPr>
      <w:r>
        <w:rPr>
          <w:b/>
        </w:rPr>
        <w:t>Exclusive use and execution.</w:t>
      </w:r>
      <w:r>
        <w:t xml:space="preserve"> Whether the exclusive-use requirement was honored, and whether a fully executed copy exists. The file copy has blank signatures and the floor-plan exhibit was “to be attached.”</w:t>
      </w:r>
    </w:p>
    <w:p>
      <w:pPr>
        <w:pStyle w:val="ListBullet"/>
      </w:pPr>
      <w:r>
        <w:rPr>
          <w:b/>
        </w:rPr>
        <w:t>Ownership representation.</w:t>
      </w:r>
      <w:r>
        <w:t xml:space="preserve"> Whether the § 15.3 no-physician-ownership representation is true. Any ownership by a Greenfield physician would create a Stark ownership interest that no exception covers.</w:t>
      </w:r>
    </w:p>
    <w:p>
      <w:pPr>
        <w:pStyle w:val="ListBullet"/>
      </w:pPr>
      <w:r>
        <w:rPr>
          <w:b/>
        </w:rPr>
        <w:t>Status after expiration.</w:t>
      </w:r>
      <w:r>
        <w:t xml:space="preserve"> The lease expired December 31, 2025. Any renewal at a “mutually agreed” rate must be written, FMV-supported by a </w:t>
      </w:r>
      <w:r>
        <w:rPr>
          <w:i/>
        </w:rPr>
        <w:t>current</w:t>
      </w:r>
      <w:r>
        <w:t xml:space="preserve"> appraisal, and approved by unconflicted decision-makers. Holdover at 150% is permissible under § 411.357(a)(7) only if the arrangement otherwise met the exception.</w:t>
      </w:r>
    </w:p>
    <w:p>
      <w:pPr>
        <w:pStyle w:val="Heading3"/>
      </w:pPr>
      <w:r>
        <w:t>Remediation</w:t>
      </w:r>
    </w:p>
    <w:p>
      <w:pPr>
        <w:ind w:left="504" w:hanging="360"/>
      </w:pPr>
      <w:r>
        <w:t xml:space="preserve">1.  </w:t>
      </w:r>
      <w:r>
        <w:t>Pull the 2021–2025 operating-expense estimates, reconciliations and payment history, and a fully executed copy. Prepare a privileged FMV memorandum documenting the gross-equivalent analysis.</w:t>
      </w:r>
    </w:p>
    <w:p>
      <w:pPr>
        <w:ind w:left="504" w:hanging="360"/>
      </w:pPr>
      <w:r>
        <w:t xml:space="preserve">2.  </w:t>
      </w:r>
      <w:r>
        <w:t>Determine the current status (renewal, holdover or vacancy). Obtain a current appraisal and paper any renewal at FMV.</w:t>
      </w:r>
    </w:p>
    <w:p>
      <w:pPr>
        <w:ind w:left="504" w:hanging="360"/>
      </w:pPr>
      <w:r>
        <w:t xml:space="preserve">3.  </w:t>
      </w:r>
      <w:r>
        <w:t>Obtain an ownership certification from ClearView. Re-open hotline #2023-14 under counsel and document the corrected analysis.</w:t>
      </w:r>
    </w:p>
    <w:p>
      <w:pPr>
        <w:ind w:left="504" w:hanging="360"/>
      </w:pPr>
      <w:r>
        <w:t xml:space="preserve">4.  </w:t>
      </w:r>
      <w:r>
        <w:t xml:space="preserve">Retrieve and review the </w:t>
      </w:r>
      <w:r>
        <w:rPr>
          <w:b/>
        </w:rPr>
        <w:t>Ohio Heart &amp; Vascular Associates</w:t>
      </w:r>
      <w:r>
        <w:t xml:space="preserve"> lease (Suite 310; terms “on file” but not produced). At $30/sf it appears within range, but the lease basis (gross or net) and term are unknown. If OHVA physicians refer DHS to Greenfield, the lease must meet § 411.357(a) with Greenfield as the DHS entity.</w:t>
      </w:r>
    </w:p>
    <w:p>
      <w:pPr>
        <w:pStyle w:val="Heading2"/>
      </w:pPr>
      <w:r>
        <w:t>Issue 10 — Physician Compensation Governance, FMV Support and Self-Dealing (Medium)</w:t>
      </w:r>
    </w:p>
    <w:p>
      <w:pPr>
        <w:pStyle w:val="Heading3"/>
      </w:pPr>
      <w:r>
        <w:t>Facts</w:t>
      </w:r>
    </w:p>
    <w:p>
      <w:pPr>
        <w:pStyle w:val="ListBullet"/>
      </w:pPr>
      <w:r>
        <w:rPr>
          <w:b/>
        </w:rPr>
        <w:t>Committee composition.</w:t>
      </w:r>
      <w:r>
        <w:t xml:space="preserve"> The Compensation Committee is Dr. Stein (chair), Dr. Narayan and the CFO. It sets </w:t>
      </w:r>
      <w:r>
        <w:rPr>
          <w:b/>
        </w:rPr>
        <w:t>member</w:t>
      </w:r>
      <w:r>
        <w:t xml:space="preserve"> base salaries (60th percentile MGMA) and quality bonuses, including its own members’ pay. Its decisions require only its own majority vote, with “no additional approval requirements” (OA § 7.3(b)). There is no charter: Exhibit B was confirmed missing by the CCO in October 2024. Employed physicians’ base salaries are set by Dr. Stein with CFO approval (OA § 7.5(a)).</w:t>
      </w:r>
    </w:p>
    <w:p>
      <w:pPr>
        <w:pStyle w:val="ListBullet"/>
      </w:pPr>
      <w:r>
        <w:rPr>
          <w:b/>
        </w:rPr>
        <w:t>Stale benchmarks.</w:t>
      </w:r>
      <w:r>
        <w:t xml:space="preserve"> The only benchmarking study is Lakeshore’s November 2019 study of 2018–2019 data. In December 2021 the Committee “confirmed [its] continued appropriateness” without new data (Comp. Memo §§ 1–2). As of February 2024 no update had been commissioned (Comp. Summary, Notes). In September 2024 the CFO called the study “pretty dated,” and the item was deferred.</w:t>
      </w:r>
    </w:p>
    <w:p>
      <w:pPr>
        <w:pStyle w:val="ListBullet"/>
      </w:pPr>
      <w:r>
        <w:rPr>
          <w:b/>
        </w:rPr>
        <w:t>Quality bonuses above the cap.</w:t>
      </w:r>
      <w:r>
        <w:t xml:space="preserve"> Quality bonuses are capped at 25% of base salary (OA § 7.2(b)). In 2023 they were paid at or within the cap for every member </w:t>
      </w:r>
      <w:r>
        <w:rPr>
          <w:b/>
        </w:rPr>
        <w:t>except the two physician members of the Compensation Committee</w:t>
      </w:r>
      <w:r>
        <w:t>:</w:t>
      </w:r>
    </w:p>
    <w:p>
      <w:pPr>
        <w:pStyle w:val="ListBullet2"/>
      </w:pPr>
      <w:r>
        <w:t>Dr. Stein: $215,000 on an $847,000 base (25.4%; $3,250 over the cap);</w:t>
      </w:r>
    </w:p>
    <w:p>
      <w:pPr>
        <w:pStyle w:val="ListBullet2"/>
      </w:pPr>
      <w:r>
        <w:t xml:space="preserve">Dr. Narayan: $188,000 on a $612,000 base (30.7%; </w:t>
      </w:r>
      <w:r>
        <w:rPr>
          <w:b/>
        </w:rPr>
        <w:t>$35,000 over the cap</w:t>
      </w:r>
      <w:r>
        <w:t>).</w:t>
      </w:r>
    </w:p>
    <w:p>
      <w:pPr>
        <w:pStyle w:val="ListBullet"/>
      </w:pPr>
      <w:r>
        <w:rPr>
          <w:b/>
        </w:rPr>
        <w:t>Profit distributions not pro rata.</w:t>
      </w:r>
      <w:r>
        <w:t xml:space="preserve"> Profit distributions should follow ownership (OA § 8.2). For nearly all members they work out to about $38,100–$38,200 per 1% of ownership. Dr. Stein received $162,000, about $1,800 above pro rata for 4.2%. Dr. Narayan received $97,000, about $21,000 below pro rata for 3.1%. Neither variance is explained.</w:t>
      </w:r>
    </w:p>
    <w:p>
      <w:pPr>
        <w:pStyle w:val="ListBullet"/>
      </w:pPr>
      <w:r>
        <w:rPr>
          <w:b/>
        </w:rPr>
        <w:t>Inconsistent quality-bonus weightings.</w:t>
      </w:r>
      <w:r>
        <w:t xml:space="preserve"> The OA weights patient satisfaction 40%, clinical quality 40% and documentation 20% (§ 7.2(b)). The 2022 memo describes 50/50 patient satisfaction and clinical quality and omits documentation (§ 6).</w:t>
      </w:r>
    </w:p>
    <w:p>
      <w:pPr>
        <w:pStyle w:val="ListBullet"/>
      </w:pPr>
      <w:r>
        <w:rPr>
          <w:b/>
        </w:rPr>
        <w:t>Totals.</w:t>
      </w:r>
      <w:r>
        <w:t xml:space="preserve"> Dr. Stein’s 2023 total from Greenfield and Buckeye-related sources was $1,358,022. That excludes his personal 25% Buckeye distributions, which are not in the file.</w:t>
      </w:r>
    </w:p>
    <w:p>
      <w:pPr>
        <w:pStyle w:val="Heading3"/>
      </w:pPr>
      <w:r>
        <w:t>Analysis</w:t>
      </w:r>
    </w:p>
    <w:p>
      <w:r>
        <w:t>The group-practice rules do not require member compensation to be at FMV. What matters for Stark is that compensation not vary with DHS referrals (§ 411.352(g)) and that profit shares and productivity bonuses follow a documented method (§ 411.352(i), including (i)(4)). Payments that depart from the OA’s own formulas, with no documented basis, weaken Greenfield’s ability to show that its compensation follows the stated, referral-neutral methods. Under the AKS, above-formula payments to the two most significant referral sources and decision-makers, approved by themselves, are a classic red flag. FMV for employed physicians is a direct element of § 411.357(c). Reliance on 2018–2019 data for 2022–2024 compensation, with no contemporaneous FMV analysis of total compensation (base, productivity and RQB), leaves the FMV element unsupported. That gap is separate from the RQB problem.</w:t>
      </w:r>
    </w:p>
    <w:p>
      <w:pPr>
        <w:pStyle w:val="Heading3"/>
      </w:pPr>
      <w:r>
        <w:t>Remediation</w:t>
      </w:r>
    </w:p>
    <w:p>
      <w:pPr>
        <w:ind w:left="504" w:hanging="360"/>
      </w:pPr>
      <w:r>
        <w:t xml:space="preserve">1.  </w:t>
      </w:r>
      <w:r>
        <w:t>Reconstitute the Compensation Committee with independent members, or at least non-conflicted members. Adopt a written charter with mandatory recusal for any matter affecting a member’s own compensation or an affiliate in which the member has an interest.</w:t>
      </w:r>
    </w:p>
    <w:p>
      <w:pPr>
        <w:ind w:left="504" w:hanging="360"/>
      </w:pPr>
      <w:r>
        <w:t xml:space="preserve">2.  </w:t>
      </w:r>
      <w:r>
        <w:t>Engage an independent valuation firm to benchmark all physician compensation (2022–present and prospectively), including commercial reasonableness for the highest-paid physicians and the medical directorship.</w:t>
      </w:r>
    </w:p>
    <w:p>
      <w:pPr>
        <w:ind w:left="504" w:hanging="360"/>
      </w:pPr>
      <w:r>
        <w:t xml:space="preserve">3.  </w:t>
      </w:r>
      <w:r>
        <w:t>Reconcile and document the 2023 quality-bonus and profit-distribution variances. Recover or re-characterize overpayments according to the OA, after counsel’s review.</w:t>
      </w:r>
    </w:p>
    <w:p>
      <w:pPr>
        <w:ind w:left="504" w:hanging="360"/>
      </w:pPr>
      <w:r>
        <w:t xml:space="preserve">4.  </w:t>
      </w:r>
      <w:r>
        <w:t>Conform the OA, the Compensation Plan and the employment agreements to one consistent set of documented formulas.</w:t>
      </w:r>
    </w:p>
    <w:p>
      <w:pPr>
        <w:pStyle w:val="Heading2"/>
      </w:pPr>
      <w:r>
        <w:t>Issue 11 — Compliance Program Breakdown and Mishandling of Stark Reports (High)</w:t>
      </w:r>
    </w:p>
    <w:p>
      <w:pPr>
        <w:pStyle w:val="Heading3"/>
      </w:pPr>
      <w:r>
        <w:t>Facts</w:t>
      </w:r>
    </w:p>
    <w:p>
      <w:pPr>
        <w:pStyle w:val="ListBullet"/>
      </w:pPr>
      <w:r>
        <w:rPr>
          <w:b/>
        </w:rPr>
        <w:t>Conflicted oversight.</w:t>
      </w:r>
      <w:r>
        <w:t xml:space="preserve"> The Compliance Committee is chaired by Dr. Stein, the architect and principal beneficiary of the arrangements at issue. Its other members are Dr. Narayan (Buckeye co-owner, Compensation Committee member) and the CFO (co-author of the RQB, lease negotiator). The CCO is formally to report to the Committee (Manual § 2.2; OA § 6.3(b)), but OA § 6.1(d) gives the Managing Member “supervision and direction” of the CCO. The relator alleges the CCO reports to the CFO (Compl. ¶ 95).</w:t>
      </w:r>
    </w:p>
    <w:p>
      <w:pPr>
        <w:pStyle w:val="ListBullet"/>
      </w:pPr>
      <w:r>
        <w:rPr>
          <w:b/>
        </w:rPr>
        <w:t>Meetings.</w:t>
      </w:r>
      <w:r>
        <w:t xml:space="preserve"> The Committee did not meet in Q4 2023. The Q3 2024 meeting was pushed to December, leaving about six months without a meeting, because Dr. Stein was “slammed with cases at Buckeye.” The Manual requires quarterly meetings (Manual § 2.1; OA § 7.4).</w:t>
      </w:r>
    </w:p>
    <w:p>
      <w:pPr>
        <w:pStyle w:val="ListBullet"/>
      </w:pPr>
      <w:r>
        <w:rPr>
          <w:b/>
        </w:rPr>
        <w:t>Training.</w:t>
      </w:r>
      <w:r>
        <w:t xml:space="preserve"> Annual training is required by Q1 each year (Manual § 7.1). It was not held in 2023 or 2024. The 2022 audit, the 2023 hotline log and the 2024 e-mail are inconsistent on whether training occurred in 2022.</w:t>
      </w:r>
    </w:p>
    <w:p>
      <w:pPr>
        <w:pStyle w:val="ListBullet"/>
      </w:pPr>
      <w:r>
        <w:rPr>
          <w:b/>
        </w:rPr>
        <w:t>Risk assessments.</w:t>
      </w:r>
      <w:r>
        <w:t xml:space="preserve"> Annual risk assessments are required (Manual § 8.1). None has been done since the March 2022 audit; the September 2024 e-mail says none since April 2021. The Manual has not had its required annual review (§ 12).</w:t>
      </w:r>
    </w:p>
    <w:p>
      <w:pPr>
        <w:pStyle w:val="ListBullet"/>
      </w:pPr>
      <w:r>
        <w:rPr>
          <w:b/>
        </w:rPr>
        <w:t>Stark-related hotline reports.</w:t>
      </w:r>
      <w:r>
        <w:t xml:space="preserve"> Three 2023 reports were Stark-related: #2023-07 (RQB), #2023-11 (IC radiologists) and #2023-14 (ClearView rent). Each was closed “Resolved — No Action” with “N/A” committee review and no counsel. That contravenes Manual § 6.3 (Committee notice within 5 business days; Committee review of findings) and § 2.3 (outside counsel for potential Stark/AKS violations). The investigations consisted of confirming that the arrangements matched their own documents.</w:t>
      </w:r>
    </w:p>
    <w:p>
      <w:pPr>
        <w:pStyle w:val="ListBullet"/>
      </w:pPr>
      <w:r>
        <w:rPr>
          <w:b/>
        </w:rPr>
        <w:t>The 2022 audit.</w:t>
      </w:r>
      <w:r>
        <w:t xml:space="preserve"> The March 2022 audit, labeled “privileged” but not conducted by or at the direction of counsel (§ II, “No outside counsel was engaged”), identified the satellite, radiologist and lease issues. It found “no compliance concerns” with the RQB, made only soft recommendations, and concluded that no issue required legal consultation or self-disclosure. Management (Stein, CFO, Narayan) received it.</w:t>
      </w:r>
    </w:p>
    <w:p>
      <w:pPr>
        <w:pStyle w:val="ListBullet"/>
      </w:pPr>
      <w:r>
        <w:rPr>
          <w:b/>
        </w:rPr>
        <w:t>Errors in the Manual.</w:t>
      </w:r>
      <w:r>
        <w:t xml:space="preserve"> It overstates the substantially-all test (per-physician), lists ASC services as DHS, cites outdated CMP and FCA penalty amounts, and states supervision rules more stringent than Medicare requires, which Greenfield then did not follow.</w:t>
      </w:r>
    </w:p>
    <w:p>
      <w:pPr>
        <w:pStyle w:val="Heading3"/>
      </w:pPr>
      <w:r>
        <w:t>Analysis</w:t>
      </w:r>
    </w:p>
    <w:p>
      <w:r>
        <w:t>These facts bear on FCA scienter (“reckless disregard” and “deliberate ignorance”) and on the 60-day overpayment rule. Management received specific written notice of the lease-rate variance, the satellite issue and the radiologist issue in March 2022, and hotline notice of the RQB in April 2023. The government can argue that overpayments were “identified,” or should have been through reasonable diligence, long ago. The audit memo is unlikely to be privileged. Under DOJ’s Evaluation of Corporate Compliance Programs and OIG’s November 2023 General Compliance Program Guidance, the program as operated would not earn mitigation credit. Prompt, visible reform is needed both for compliance and for any negotiated resolution.</w:t>
      </w:r>
    </w:p>
    <w:p>
      <w:pPr>
        <w:pStyle w:val="Heading3"/>
      </w:pPr>
      <w:r>
        <w:t>Remediation</w:t>
      </w:r>
    </w:p>
    <w:p>
      <w:pPr>
        <w:ind w:left="504" w:hanging="360"/>
      </w:pPr>
      <w:r>
        <w:t xml:space="preserve">1.  </w:t>
      </w:r>
      <w:r>
        <w:t>Remove Dr. Stein and Dr. Narayan from the Compliance Committee and from decisions on matters in which they are interested. Have the CCO report to the full Members (or an independent board committee) with direct access to outside counsel. Consider an independent compliance consultant or a monitor-style reviewer.</w:t>
      </w:r>
    </w:p>
    <w:p>
      <w:pPr>
        <w:ind w:left="504" w:hanging="360"/>
      </w:pPr>
      <w:r>
        <w:t xml:space="preserve">2.  </w:t>
      </w:r>
      <w:r>
        <w:t>Re-open hotline matters #2023-07, #2023-11, #2023-13 and #2023-14 under a privileged, counsel-directed investigation (Upjohn protocols).</w:t>
      </w:r>
    </w:p>
    <w:p>
      <w:pPr>
        <w:ind w:left="504" w:hanging="360"/>
      </w:pPr>
      <w:r>
        <w:t xml:space="preserve">3.  </w:t>
      </w:r>
      <w:r>
        <w:t>Hold Compliance Committee meetings at least quarterly, with minutes. Deliver annual Stark/AKS/FCA training (special modules for the Compensation Committee, lease administration, billing and site managers). Complete a counsel-directed risk assessment within 90 days. Revise the Manual to correct the legal errors identified above.</w:t>
      </w:r>
    </w:p>
    <w:p>
      <w:pPr>
        <w:ind w:left="504" w:hanging="360"/>
      </w:pPr>
      <w:r>
        <w:t xml:space="preserve">4.  </w:t>
      </w:r>
      <w:r>
        <w:t>Build an arrangements database (all physician and referral-source contracts, leases and in-kind services) with FMV support, expiration tracking and pre-execution legal and compliance sign-off.</w:t>
      </w:r>
    </w:p>
    <w:p>
      <w:pPr>
        <w:pStyle w:val="Heading2"/>
      </w:pPr>
      <w:r>
        <w:t>Issue 12 — Records and Data-Integrity Discrepancies (Medium)</w:t>
      </w:r>
    </w:p>
    <w:p>
      <w:r>
        <w:t>The following discrepancies undermine the reliability of Greenfield’s records and must be reconciled, under privilege, before any disclosure or damages model is built:</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9E2F3"/>
          </w:tcPr>
          <w:p>
            <w:r/>
            <w:r>
              <w:rPr>
                <w:b/>
                <w:sz w:val="16"/>
              </w:rPr>
              <w:t>Item</w:t>
            </w:r>
          </w:p>
        </w:tc>
        <w:tc>
          <w:tcPr>
            <w:tcW w:type="dxa" w:w="5184"/>
            <w:shd w:val="clear" w:color="auto" w:fill="D9E2F3"/>
          </w:tcPr>
          <w:p>
            <w:r/>
            <w:r>
              <w:rPr>
                <w:b/>
                <w:sz w:val="16"/>
              </w:rPr>
              <w:t>Discrepancy</w:t>
            </w:r>
          </w:p>
        </w:tc>
        <w:tc>
          <w:tcPr>
            <w:tcW w:type="dxa" w:w="2160"/>
            <w:shd w:val="clear" w:color="auto" w:fill="D9E2F3"/>
          </w:tcPr>
          <w:p>
            <w:r/>
            <w:r>
              <w:rPr>
                <w:b/>
                <w:sz w:val="16"/>
              </w:rPr>
              <w:t>Source(s)</w:t>
            </w:r>
          </w:p>
        </w:tc>
      </w:tr>
      <w:tr>
        <w:tc>
          <w:tcPr>
            <w:tcW w:type="dxa" w:w="2016"/>
          </w:tcPr>
          <w:p>
            <w:r>
              <w:rPr>
                <w:sz w:val="16"/>
              </w:rPr>
            </w:r>
            <w:r>
              <w:rPr>
                <w:sz w:val="16"/>
              </w:rPr>
              <w:t>Employed physician count</w:t>
            </w:r>
          </w:p>
        </w:tc>
        <w:tc>
          <w:tcPr>
            <w:tcW w:type="dxa" w:w="5184"/>
          </w:tcPr>
          <w:p>
            <w:r>
              <w:rPr>
                <w:sz w:val="16"/>
              </w:rPr>
            </w:r>
            <w:r>
              <w:rPr>
                <w:sz w:val="16"/>
              </w:rPr>
              <w:t>35 (OA § 3.3; Manual; audit; Compl.) vs. 31 in 2023 Comp. Summary; Specialty Breakdown counts (e.g., Cardiology 14, IM 22) do not match Detail sheet (Cardiology 15, IM 21)</w:t>
            </w:r>
          </w:p>
        </w:tc>
        <w:tc>
          <w:tcPr>
            <w:tcW w:type="dxa" w:w="2160"/>
          </w:tcPr>
          <w:p>
            <w:r>
              <w:rPr>
                <w:sz w:val="16"/>
              </w:rPr>
            </w:r>
            <w:r>
              <w:rPr>
                <w:sz w:val="16"/>
              </w:rPr>
              <w:t>OA; Comp. Summary</w:t>
            </w:r>
          </w:p>
        </w:tc>
      </w:tr>
      <w:tr>
        <w:tc>
          <w:tcPr>
            <w:tcW w:type="dxa" w:w="2016"/>
          </w:tcPr>
          <w:p>
            <w:r>
              <w:rPr>
                <w:sz w:val="16"/>
              </w:rPr>
            </w:r>
            <w:r>
              <w:rPr>
                <w:sz w:val="16"/>
              </w:rPr>
              <w:t>Member ownership</w:t>
            </w:r>
          </w:p>
        </w:tc>
        <w:tc>
          <w:tcPr>
            <w:tcW w:type="dxa" w:w="5184"/>
          </w:tcPr>
          <w:p>
            <w:r>
              <w:rPr>
                <w:sz w:val="16"/>
              </w:rPr>
            </w:r>
            <w:r>
              <w:rPr>
                <w:sz w:val="16"/>
              </w:rPr>
              <w:t>Listed Greenfield percentages for 52 members total 98.3%, not 100%</w:t>
            </w:r>
          </w:p>
        </w:tc>
        <w:tc>
          <w:tcPr>
            <w:tcW w:type="dxa" w:w="2160"/>
          </w:tcPr>
          <w:p>
            <w:r>
              <w:rPr>
                <w:sz w:val="16"/>
              </w:rPr>
            </w:r>
            <w:r>
              <w:rPr>
                <w:sz w:val="16"/>
              </w:rPr>
              <w:t>Comp. Summary Detail</w:t>
            </w:r>
          </w:p>
        </w:tc>
      </w:tr>
      <w:tr>
        <w:tc>
          <w:tcPr>
            <w:tcW w:type="dxa" w:w="2016"/>
          </w:tcPr>
          <w:p>
            <w:r>
              <w:rPr>
                <w:sz w:val="16"/>
              </w:rPr>
            </w:r>
            <w:r>
              <w:rPr>
                <w:sz w:val="16"/>
              </w:rPr>
              <w:t>Member profit distributions</w:t>
            </w:r>
          </w:p>
        </w:tc>
        <w:tc>
          <w:tcPr>
            <w:tcW w:type="dxa" w:w="5184"/>
          </w:tcPr>
          <w:p>
            <w:r>
              <w:rPr>
                <w:sz w:val="16"/>
              </w:rPr>
            </w:r>
            <w:r>
              <w:rPr>
                <w:sz w:val="16"/>
              </w:rPr>
              <w:t>Line items total $3,729,100 vs. stated subtotal $3,814,000 ($84,900 gap); Stein and Narayan not pro rata</w:t>
            </w:r>
          </w:p>
        </w:tc>
        <w:tc>
          <w:tcPr>
            <w:tcW w:type="dxa" w:w="2160"/>
          </w:tcPr>
          <w:p>
            <w:r>
              <w:rPr>
                <w:sz w:val="16"/>
              </w:rPr>
            </w:r>
            <w:r>
              <w:rPr>
                <w:sz w:val="16"/>
              </w:rPr>
              <w:t>Comp. Summary</w:t>
            </w:r>
          </w:p>
        </w:tc>
      </w:tr>
      <w:tr>
        <w:tc>
          <w:tcPr>
            <w:tcW w:type="dxa" w:w="2016"/>
          </w:tcPr>
          <w:p>
            <w:r>
              <w:rPr>
                <w:sz w:val="16"/>
              </w:rPr>
            </w:r>
            <w:r>
              <w:rPr>
                <w:sz w:val="16"/>
              </w:rPr>
              <w:t>Buckeye ownership</w:t>
            </w:r>
          </w:p>
        </w:tc>
        <w:tc>
          <w:tcPr>
            <w:tcW w:type="dxa" w:w="5184"/>
          </w:tcPr>
          <w:p>
            <w:r>
              <w:rPr>
                <w:sz w:val="16"/>
              </w:rPr>
            </w:r>
            <w:r>
              <w:rPr>
                <w:sz w:val="16"/>
              </w:rPr>
              <w:t>Individual members’ Buckeye percentages total 113.5%; Buckeye OA (never amended) shows only Greenfield 60/Stein 25/Narayan 15</w:t>
            </w:r>
          </w:p>
        </w:tc>
        <w:tc>
          <w:tcPr>
            <w:tcW w:type="dxa" w:w="2160"/>
          </w:tcPr>
          <w:p>
            <w:r>
              <w:rPr>
                <w:sz w:val="16"/>
              </w:rPr>
            </w:r>
            <w:r>
              <w:rPr>
                <w:sz w:val="16"/>
              </w:rPr>
              <w:t>Comp. Summary; Buckeye OA § 3.1, Ex. A, § 12.2 note</w:t>
            </w:r>
          </w:p>
        </w:tc>
      </w:tr>
      <w:tr>
        <w:tc>
          <w:tcPr>
            <w:tcW w:type="dxa" w:w="2016"/>
          </w:tcPr>
          <w:p>
            <w:r>
              <w:rPr>
                <w:sz w:val="16"/>
              </w:rPr>
            </w:r>
            <w:r>
              <w:rPr>
                <w:sz w:val="16"/>
              </w:rPr>
              <w:t>Buckeye referred cases</w:t>
            </w:r>
          </w:p>
        </w:tc>
        <w:tc>
          <w:tcPr>
            <w:tcW w:type="dxa" w:w="5184"/>
          </w:tcPr>
          <w:p>
            <w:r>
              <w:rPr>
                <w:sz w:val="16"/>
              </w:rPr>
            </w:r>
            <w:r>
              <w:rPr>
                <w:sz w:val="16"/>
              </w:rPr>
              <w:t>Credits computed on all 900 cases attributed to members vs. 702 Greenfield-referred cases alleged; OA “hypothetical” uses 702/342/56</w:t>
            </w:r>
          </w:p>
        </w:tc>
        <w:tc>
          <w:tcPr>
            <w:tcW w:type="dxa" w:w="2160"/>
          </w:tcPr>
          <w:p>
            <w:r>
              <w:rPr>
                <w:sz w:val="16"/>
              </w:rPr>
            </w:r>
            <w:r>
              <w:rPr>
                <w:sz w:val="16"/>
              </w:rPr>
              <w:t>Comp. Summary; Compl. ¶ 78; Buckeye OA § 4.1(c)</w:t>
            </w:r>
          </w:p>
        </w:tc>
      </w:tr>
      <w:tr>
        <w:tc>
          <w:tcPr>
            <w:tcW w:type="dxa" w:w="2016"/>
          </w:tcPr>
          <w:p>
            <w:r>
              <w:rPr>
                <w:sz w:val="16"/>
              </w:rPr>
            </w:r>
            <w:r>
              <w:rPr>
                <w:sz w:val="16"/>
              </w:rPr>
              <w:t>Arithmetic</w:t>
            </w:r>
          </w:p>
        </w:tc>
        <w:tc>
          <w:tcPr>
            <w:tcW w:type="dxa" w:w="5184"/>
          </w:tcPr>
          <w:p>
            <w:r>
              <w:rPr>
                <w:sz w:val="16"/>
              </w:rPr>
            </w:r>
            <w:r>
              <w:rPr>
                <w:sz w:val="16"/>
              </w:rPr>
              <w:t>Dr. Banerjee components sum to $840,954 but total shown is $841,954</w:t>
            </w:r>
          </w:p>
        </w:tc>
        <w:tc>
          <w:tcPr>
            <w:tcW w:type="dxa" w:w="2160"/>
          </w:tcPr>
          <w:p>
            <w:r>
              <w:rPr>
                <w:sz w:val="16"/>
              </w:rPr>
            </w:r>
            <w:r>
              <w:rPr>
                <w:sz w:val="16"/>
              </w:rPr>
              <w:t>Comp. Summary row 4</w:t>
            </w:r>
          </w:p>
        </w:tc>
      </w:tr>
      <w:tr>
        <w:tc>
          <w:tcPr>
            <w:tcW w:type="dxa" w:w="2016"/>
          </w:tcPr>
          <w:p>
            <w:r>
              <w:rPr>
                <w:sz w:val="16"/>
              </w:rPr>
            </w:r>
            <w:r>
              <w:rPr>
                <w:sz w:val="16"/>
              </w:rPr>
              <w:t>Summary totals</w:t>
            </w:r>
          </w:p>
        </w:tc>
        <w:tc>
          <w:tcPr>
            <w:tcW w:type="dxa" w:w="5184"/>
          </w:tcPr>
          <w:p>
            <w:r>
              <w:rPr>
                <w:sz w:val="16"/>
              </w:rPr>
            </w:r>
            <w:r>
              <w:rPr>
                <w:sz w:val="16"/>
              </w:rPr>
              <w:t>Specialty grand total compensation $54,162,150 vs. category grand total $58,130,900</w:t>
            </w:r>
          </w:p>
        </w:tc>
        <w:tc>
          <w:tcPr>
            <w:tcW w:type="dxa" w:w="2160"/>
          </w:tcPr>
          <w:p>
            <w:r>
              <w:rPr>
                <w:sz w:val="16"/>
              </w:rPr>
            </w:r>
            <w:r>
              <w:rPr>
                <w:sz w:val="16"/>
              </w:rPr>
              <w:t>Comp. Summary, Summary tab</w:t>
            </w:r>
          </w:p>
        </w:tc>
      </w:tr>
      <w:tr>
        <w:tc>
          <w:tcPr>
            <w:tcW w:type="dxa" w:w="2016"/>
          </w:tcPr>
          <w:p>
            <w:r>
              <w:rPr>
                <w:sz w:val="16"/>
              </w:rPr>
            </w:r>
            <w:r>
              <w:rPr>
                <w:sz w:val="16"/>
              </w:rPr>
              <w:t>RQB effective date</w:t>
            </w:r>
          </w:p>
        </w:tc>
        <w:tc>
          <w:tcPr>
            <w:tcW w:type="dxa" w:w="5184"/>
          </w:tcPr>
          <w:p>
            <w:r>
              <w:rPr>
                <w:sz w:val="16"/>
              </w:rPr>
            </w:r>
            <w:r>
              <w:rPr>
                <w:sz w:val="16"/>
              </w:rPr>
              <w:t>Effective Jan. 1, 2022 (memo) vs. Jan. 10, 2022 (audit); RQB language in OA effective Jan. 1, 2020</w:t>
            </w:r>
          </w:p>
        </w:tc>
        <w:tc>
          <w:tcPr>
            <w:tcW w:type="dxa" w:w="2160"/>
          </w:tcPr>
          <w:p>
            <w:r>
              <w:rPr>
                <w:sz w:val="16"/>
              </w:rPr>
            </w:r>
            <w:r>
              <w:rPr>
                <w:sz w:val="16"/>
              </w:rPr>
              <w:t>Comp. Memo; audit § V; OA § 7.5(c)</w:t>
            </w:r>
          </w:p>
        </w:tc>
      </w:tr>
      <w:tr>
        <w:tc>
          <w:tcPr>
            <w:tcW w:type="dxa" w:w="2016"/>
          </w:tcPr>
          <w:p>
            <w:r>
              <w:rPr>
                <w:sz w:val="16"/>
              </w:rPr>
            </w:r>
            <w:r>
              <w:rPr>
                <w:sz w:val="16"/>
              </w:rPr>
              <w:t>Benchmark / appraisal dates</w:t>
            </w:r>
          </w:p>
        </w:tc>
        <w:tc>
          <w:tcPr>
            <w:tcW w:type="dxa" w:w="5184"/>
          </w:tcPr>
          <w:p>
            <w:r>
              <w:rPr>
                <w:sz w:val="16"/>
              </w:rPr>
            </w:r>
            <w:r>
              <w:rPr>
                <w:sz w:val="16"/>
              </w:rPr>
              <w:t>Compensation study Nov. 2019; real-estate appraisal Sept. 15, 2020; audit refers to both</w:t>
            </w:r>
          </w:p>
        </w:tc>
        <w:tc>
          <w:tcPr>
            <w:tcW w:type="dxa" w:w="2160"/>
          </w:tcPr>
          <w:p>
            <w:r>
              <w:rPr>
                <w:sz w:val="16"/>
              </w:rPr>
            </w:r>
            <w:r>
              <w:rPr>
                <w:sz w:val="16"/>
              </w:rPr>
              <w:t>Audit §§ II, IV</w:t>
            </w:r>
          </w:p>
        </w:tc>
      </w:tr>
      <w:tr>
        <w:tc>
          <w:tcPr>
            <w:tcW w:type="dxa" w:w="2016"/>
          </w:tcPr>
          <w:p>
            <w:r>
              <w:rPr>
                <w:sz w:val="16"/>
              </w:rPr>
            </w:r>
            <w:r>
              <w:rPr>
                <w:sz w:val="16"/>
              </w:rPr>
              <w:t>Appraisal basis</w:t>
            </w:r>
          </w:p>
        </w:tc>
        <w:tc>
          <w:tcPr>
            <w:tcW w:type="dxa" w:w="5184"/>
          </w:tcPr>
          <w:p>
            <w:r>
              <w:rPr>
                <w:sz w:val="16"/>
              </w:rPr>
            </w:r>
            <w:r>
              <w:rPr>
                <w:sz w:val="16"/>
              </w:rPr>
              <w:t>Appraisal is FSG; Pinnacle Ex. B says “triple-net equivalent”</w:t>
            </w:r>
          </w:p>
        </w:tc>
        <w:tc>
          <w:tcPr>
            <w:tcW w:type="dxa" w:w="2160"/>
          </w:tcPr>
          <w:p>
            <w:r>
              <w:rPr>
                <w:sz w:val="16"/>
              </w:rPr>
            </w:r>
            <w:r>
              <w:rPr>
                <w:sz w:val="16"/>
              </w:rPr>
              <w:t>Appraisal §§ 1, 7; Pinnacle Ex. B</w:t>
            </w:r>
          </w:p>
        </w:tc>
      </w:tr>
      <w:tr>
        <w:tc>
          <w:tcPr>
            <w:tcW w:type="dxa" w:w="2016"/>
          </w:tcPr>
          <w:p>
            <w:r>
              <w:rPr>
                <w:sz w:val="16"/>
              </w:rPr>
            </w:r>
            <w:r>
              <w:rPr>
                <w:sz w:val="16"/>
              </w:rPr>
              <w:t>Distribution description</w:t>
            </w:r>
          </w:p>
        </w:tc>
        <w:tc>
          <w:tcPr>
            <w:tcW w:type="dxa" w:w="5184"/>
          </w:tcPr>
          <w:p>
            <w:r>
              <w:rPr>
                <w:sz w:val="16"/>
              </w:rPr>
            </w:r>
            <w:r>
              <w:rPr>
                <w:sz w:val="16"/>
              </w:rPr>
              <w:t>Comp. memo and Comp. Summary notes say member distributions are ownership-proportional; OA § 8.4 Referral Credits</w:t>
            </w:r>
          </w:p>
        </w:tc>
        <w:tc>
          <w:tcPr>
            <w:tcW w:type="dxa" w:w="2160"/>
          </w:tcPr>
          <w:p>
            <w:r>
              <w:rPr>
                <w:sz w:val="16"/>
              </w:rPr>
            </w:r>
            <w:r>
              <w:rPr>
                <w:sz w:val="16"/>
              </w:rPr>
              <w:t>Comp. Memo § 6; OA § 8.4</w:t>
            </w:r>
          </w:p>
        </w:tc>
      </w:tr>
      <w:tr>
        <w:tc>
          <w:tcPr>
            <w:tcW w:type="dxa" w:w="2016"/>
          </w:tcPr>
          <w:p>
            <w:r>
              <w:rPr>
                <w:sz w:val="16"/>
              </w:rPr>
            </w:r>
            <w:r>
              <w:rPr>
                <w:sz w:val="16"/>
              </w:rPr>
              <w:t>Execution</w:t>
            </w:r>
          </w:p>
        </w:tc>
        <w:tc>
          <w:tcPr>
            <w:tcW w:type="dxa" w:w="5184"/>
          </w:tcPr>
          <w:p>
            <w:r>
              <w:rPr>
                <w:sz w:val="16"/>
              </w:rPr>
            </w:r>
            <w:r>
              <w:rPr>
                <w:sz w:val="16"/>
              </w:rPr>
              <w:t>Signature lines blank on MDA, ClearView and Pinnacle leases, Buckeye OA (file copies)</w:t>
            </w:r>
          </w:p>
        </w:tc>
        <w:tc>
          <w:tcPr>
            <w:tcW w:type="dxa" w:w="2160"/>
          </w:tcPr>
          <w:p>
            <w:r>
              <w:rPr>
                <w:sz w:val="16"/>
              </w:rPr>
            </w:r>
            <w:r>
              <w:rPr>
                <w:sz w:val="16"/>
              </w:rPr>
              <w:t>Various</w:t>
            </w:r>
          </w:p>
        </w:tc>
      </w:tr>
      <w:tr>
        <w:tc>
          <w:tcPr>
            <w:tcW w:type="dxa" w:w="2016"/>
          </w:tcPr>
          <w:p>
            <w:r>
              <w:rPr>
                <w:sz w:val="16"/>
              </w:rPr>
            </w:r>
            <w:r>
              <w:rPr>
                <w:sz w:val="16"/>
              </w:rPr>
              <w:t>Hotline anonymity</w:t>
            </w:r>
          </w:p>
        </w:tc>
        <w:tc>
          <w:tcPr>
            <w:tcW w:type="dxa" w:w="5184"/>
          </w:tcPr>
          <w:p>
            <w:r>
              <w:rPr>
                <w:sz w:val="16"/>
              </w:rPr>
            </w:r>
            <w:r>
              <w:rPr>
                <w:sz w:val="16"/>
              </w:rPr>
              <w:t>Relator claims she filed the RQB and lease reports; log records #2023-07 and #2023-14 as anonymous</w:t>
            </w:r>
          </w:p>
        </w:tc>
        <w:tc>
          <w:tcPr>
            <w:tcW w:type="dxa" w:w="2160"/>
          </w:tcPr>
          <w:p>
            <w:r>
              <w:rPr>
                <w:sz w:val="16"/>
              </w:rPr>
            </w:r>
            <w:r>
              <w:rPr>
                <w:sz w:val="16"/>
              </w:rPr>
              <w:t>Compl. ¶¶ 40, 96, 98–99; Hotline log</w:t>
            </w:r>
          </w:p>
        </w:tc>
      </w:tr>
    </w:tbl>
    <w:p/>
    <w:p>
      <w:pPr>
        <w:pStyle w:val="Heading2"/>
      </w:pPr>
      <w:r>
        <w:t>Additional Observations</w:t>
      </w:r>
    </w:p>
    <w:p>
      <w:pPr>
        <w:pStyle w:val="ListBullet"/>
      </w:pPr>
      <w:r>
        <w:rPr>
          <w:b/>
        </w:rPr>
        <w:t>Wellford agreement and other employment agreements.</w:t>
      </w:r>
      <w:r>
        <w:t xml:space="preserve"> The Wellford agreement expired January 14, 2024 and does not renew automatically (§ 3.1). The 2023 compensation data list him as employed. If employment continued, the employment exception has no writing requirement, but the compensation terms in force must be documented to show FMV and the absence of referral-based pay. The RQB clashes with the agreement’s own §§ 4.3 and 4.6, which shows the parties understood that referral-related remuneration was prohibited. All 31–35 employment agreements should be inventoried for term, renewal and compensation terms, and checked against actual payroll.</w:t>
      </w:r>
    </w:p>
    <w:p>
      <w:pPr>
        <w:pStyle w:val="ListBullet"/>
      </w:pPr>
      <w:r>
        <w:rPr>
          <w:b/>
        </w:rPr>
        <w:t>Retaliation and the relator.</w:t>
      </w:r>
      <w:r>
        <w:t xml:space="preserve"> The relator managed the RQB tracking data (Comp. Memo § 5) and was terminated in September 2024. A retaliation claim under 31 U.S.C. § 3730(h) is pleaded (Compl. ¶¶ 99–104, omitted from the excerpt). Greenfield should preserve all personnel records, ensure that no further adverse action or contact occurs, and route all communications through counsel. The complaint is marked “filed under seal.” Counsel must determine how Greenfield obtained the excerpts and whether the seal has been partially lifted, and must restrict internal circulation accordingly.</w:t>
      </w:r>
    </w:p>
    <w:p>
      <w:pPr>
        <w:pStyle w:val="ListBullet"/>
      </w:pPr>
      <w:r>
        <w:rPr>
          <w:b/>
        </w:rPr>
        <w:t>Six-year look-back and limitations.</w:t>
      </w:r>
      <w:r>
        <w:t xml:space="preserve"> The overpayment look-back is six years. The FCA limitations period is six years, extendable to ten under 31 U.S.C. § 3731(b)(2). The Buckeye arrangements (2016) and any pre-2022 referral-based compensation therefore fall partly within reach.</w:t>
      </w:r>
    </w:p>
    <w:p>
      <w:pPr>
        <w:pStyle w:val="ListBullet"/>
      </w:pPr>
      <w:r>
        <w:rPr>
          <w:b/>
        </w:rPr>
        <w:t>State law.</w:t>
      </w:r>
      <w:r>
        <w:t xml:space="preserve"> Ohio Medicaid claims are implicated through 42 U.S.C. § 1396b(s) and state false-claims and anti-kickback provisions. Ohio fee-splitting and professional-conduct rules (Ohio Rev. Code Ch. 4731) should be reviewed for the RQB and Referral Credit arrangements, including potential licensure exposure for individual physicians.</w:t>
      </w:r>
    </w:p>
    <w:p>
      <w:pPr>
        <w:pStyle w:val="Heading1"/>
      </w:pPr>
      <w:r>
        <w:t>VI. Assessment of the Hale Qui Tam Allegations</w:t>
      </w:r>
    </w:p>
    <w:p>
      <w:r>
        <w:t>The complaint is largely accurate about the core arrangements. The RQB, the Buckeye referral-based distributions and the Pinnacle lease are serious problems. It nonetheless contains material errors that the defense can use, and it omits issues the government could add. Accuracy matters because the relator’s credibility, the damages model and the likelihood of government intervention all turn on it.</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9E2F3"/>
          </w:tcPr>
          <w:p>
            <w:r/>
            <w:r>
              <w:rPr>
                <w:b/>
                <w:sz w:val="16"/>
              </w:rPr>
              <w:t>Allegation (¶)</w:t>
            </w:r>
          </w:p>
        </w:tc>
        <w:tc>
          <w:tcPr>
            <w:tcW w:type="dxa" w:w="3312"/>
            <w:shd w:val="clear" w:color="auto" w:fill="D9E2F3"/>
          </w:tcPr>
          <w:p>
            <w:r/>
            <w:r>
              <w:rPr>
                <w:b/>
                <w:sz w:val="16"/>
              </w:rPr>
              <w:t>Record</w:t>
            </w:r>
          </w:p>
        </w:tc>
        <w:tc>
          <w:tcPr>
            <w:tcW w:type="dxa" w:w="3168"/>
            <w:shd w:val="clear" w:color="auto" w:fill="D9E2F3"/>
          </w:tcPr>
          <w:p>
            <w:r/>
            <w:r>
              <w:rPr>
                <w:b/>
                <w:sz w:val="16"/>
              </w:rPr>
              <w:t>Assessment</w:t>
            </w:r>
          </w:p>
        </w:tc>
      </w:tr>
      <w:tr>
        <w:tc>
          <w:tcPr>
            <w:tcW w:type="dxa" w:w="2880"/>
          </w:tcPr>
          <w:p>
            <w:r>
              <w:rPr>
                <w:sz w:val="16"/>
              </w:rPr>
            </w:r>
            <w:r>
              <w:rPr>
                <w:sz w:val="16"/>
              </w:rPr>
              <w:t>RQB pays $200 per referral (¶¶ 34, 43)</w:t>
            </w:r>
          </w:p>
        </w:tc>
        <w:tc>
          <w:tcPr>
            <w:tcW w:type="dxa" w:w="3312"/>
          </w:tcPr>
          <w:p>
            <w:r>
              <w:rPr>
                <w:sz w:val="16"/>
              </w:rPr>
            </w:r>
            <w:r>
              <w:rPr>
                <w:sz w:val="16"/>
              </w:rPr>
              <w:t>Memo § 4.3: $150; cap $90,000</w:t>
            </w:r>
          </w:p>
        </w:tc>
        <w:tc>
          <w:tcPr>
            <w:tcW w:type="dxa" w:w="3168"/>
          </w:tcPr>
          <w:p>
            <w:r>
              <w:rPr>
                <w:sz w:val="16"/>
              </w:rPr>
            </w:r>
            <w:r>
              <w:rPr>
                <w:sz w:val="16"/>
              </w:rPr>
              <w:t>Wrong rate; core per-referral theory is correct</w:t>
            </w:r>
          </w:p>
        </w:tc>
      </w:tr>
      <w:tr>
        <w:tc>
          <w:tcPr>
            <w:tcW w:type="dxa" w:w="2880"/>
          </w:tcPr>
          <w:p>
            <w:r>
              <w:rPr>
                <w:sz w:val="16"/>
              </w:rPr>
            </w:r>
            <w:r>
              <w:rPr>
                <w:sz w:val="16"/>
              </w:rPr>
              <w:t>RQB paid “across all 87 physicians” (¶ 36)</w:t>
            </w:r>
          </w:p>
        </w:tc>
        <w:tc>
          <w:tcPr>
            <w:tcW w:type="dxa" w:w="3312"/>
          </w:tcPr>
          <w:p>
            <w:r>
              <w:rPr>
                <w:sz w:val="16"/>
              </w:rPr>
            </w:r>
            <w:r>
              <w:rPr>
                <w:sz w:val="16"/>
              </w:rPr>
              <w:t>Only employed (non-member) physicians eligible (Memo § 4.1); $1,260,000 to 31 employed</w:t>
            </w:r>
          </w:p>
        </w:tc>
        <w:tc>
          <w:tcPr>
            <w:tcW w:type="dxa" w:w="3168"/>
          </w:tcPr>
          <w:p>
            <w:r>
              <w:rPr>
                <w:sz w:val="16"/>
              </w:rPr>
            </w:r>
            <w:r>
              <w:rPr>
                <w:sz w:val="16"/>
              </w:rPr>
              <w:t>Overstated population; total amount matches</w:t>
            </w:r>
          </w:p>
        </w:tc>
      </w:tr>
      <w:tr>
        <w:tc>
          <w:tcPr>
            <w:tcW w:type="dxa" w:w="2880"/>
          </w:tcPr>
          <w:p>
            <w:r>
              <w:rPr>
                <w:sz w:val="16"/>
              </w:rPr>
            </w:r>
            <w:r>
              <w:rPr>
                <w:sz w:val="16"/>
              </w:rPr>
              <w:t>RQB fails employment exception because not “set in advance” and not in writing (¶¶ 38, 42–43)</w:t>
            </w:r>
          </w:p>
        </w:tc>
        <w:tc>
          <w:tcPr>
            <w:tcW w:type="dxa" w:w="3312"/>
          </w:tcPr>
          <w:p>
            <w:r>
              <w:rPr>
                <w:sz w:val="16"/>
              </w:rPr>
            </w:r>
            <w:r>
              <w:rPr>
                <w:sz w:val="16"/>
              </w:rPr>
              <w:t>§ 411.357(c) has no set-in-advance or writing element</w:t>
            </w:r>
          </w:p>
        </w:tc>
        <w:tc>
          <w:tcPr>
            <w:tcW w:type="dxa" w:w="3168"/>
          </w:tcPr>
          <w:p>
            <w:r>
              <w:rPr>
                <w:sz w:val="16"/>
              </w:rPr>
            </w:r>
            <w:r>
              <w:rPr>
                <w:sz w:val="16"/>
              </w:rPr>
              <w:t>Legally flawed sub-theories; volume/value theory alone suffices</w:t>
            </w:r>
          </w:p>
        </w:tc>
      </w:tr>
      <w:tr>
        <w:tc>
          <w:tcPr>
            <w:tcW w:type="dxa" w:w="2880"/>
          </w:tcPr>
          <w:p>
            <w:r>
              <w:rPr>
                <w:sz w:val="16"/>
              </w:rPr>
            </w:r>
            <w:r>
              <w:rPr>
                <w:sz w:val="16"/>
              </w:rPr>
              <w:t>Stein medical director pay “over $200,000” (¶ 12)</w:t>
            </w:r>
          </w:p>
        </w:tc>
        <w:tc>
          <w:tcPr>
            <w:tcW w:type="dxa" w:w="3312"/>
          </w:tcPr>
          <w:p>
            <w:r>
              <w:rPr>
                <w:sz w:val="16"/>
              </w:rPr>
            </w:r>
            <w:r>
              <w:rPr>
                <w:sz w:val="16"/>
              </w:rPr>
              <w:t>MDA § 4.1: $120,000</w:t>
            </w:r>
          </w:p>
        </w:tc>
        <w:tc>
          <w:tcPr>
            <w:tcW w:type="dxa" w:w="3168"/>
          </w:tcPr>
          <w:p>
            <w:r>
              <w:rPr>
                <w:sz w:val="16"/>
              </w:rPr>
            </w:r>
            <w:r>
              <w:rPr>
                <w:sz w:val="16"/>
              </w:rPr>
              <w:t>Wrong; actual hourly-equivalent rate nonetheless high</w:t>
            </w:r>
          </w:p>
        </w:tc>
      </w:tr>
      <w:tr>
        <w:tc>
          <w:tcPr>
            <w:tcW w:type="dxa" w:w="2880"/>
          </w:tcPr>
          <w:p>
            <w:r>
              <w:rPr>
                <w:sz w:val="16"/>
              </w:rPr>
            </w:r>
            <w:r>
              <w:rPr>
                <w:sz w:val="16"/>
              </w:rPr>
              <w:t>Buckeye distributions under Buckeye OA “Section 7.3” (¶ 74)</w:t>
            </w:r>
          </w:p>
        </w:tc>
        <w:tc>
          <w:tcPr>
            <w:tcW w:type="dxa" w:w="3312"/>
          </w:tcPr>
          <w:p>
            <w:r>
              <w:rPr>
                <w:sz w:val="16"/>
              </w:rPr>
            </w:r>
            <w:r>
              <w:rPr>
                <w:sz w:val="16"/>
              </w:rPr>
              <w:t>Buckeye OA §§ 4.1–4.2</w:t>
            </w:r>
          </w:p>
        </w:tc>
        <w:tc>
          <w:tcPr>
            <w:tcW w:type="dxa" w:w="3168"/>
          </w:tcPr>
          <w:p>
            <w:r>
              <w:rPr>
                <w:sz w:val="16"/>
              </w:rPr>
            </w:r>
            <w:r>
              <w:rPr>
                <w:sz w:val="16"/>
              </w:rPr>
              <w:t>Mis-citation; substance accurate</w:t>
            </w:r>
          </w:p>
        </w:tc>
      </w:tr>
      <w:tr>
        <w:tc>
          <w:tcPr>
            <w:tcW w:type="dxa" w:w="2880"/>
          </w:tcPr>
          <w:p>
            <w:r>
              <w:rPr>
                <w:sz w:val="16"/>
              </w:rPr>
            </w:r>
            <w:r>
              <w:rPr>
                <w:sz w:val="16"/>
              </w:rPr>
              <w:t>Surgical procedures at Buckeye are DHS; all Buckeye claims are Stark-prohibited (¶¶ 73, 87)</w:t>
            </w:r>
          </w:p>
        </w:tc>
        <w:tc>
          <w:tcPr>
            <w:tcW w:type="dxa" w:w="3312"/>
          </w:tcPr>
          <w:p>
            <w:r>
              <w:rPr>
                <w:sz w:val="16"/>
              </w:rPr>
            </w:r>
            <w:r>
              <w:rPr>
                <w:sz w:val="16"/>
              </w:rPr>
              <w:t>ASC composite-rate services are excluded from DHS (§ 411.351)</w:t>
            </w:r>
          </w:p>
        </w:tc>
        <w:tc>
          <w:tcPr>
            <w:tcW w:type="dxa" w:w="3168"/>
          </w:tcPr>
          <w:p>
            <w:r>
              <w:rPr>
                <w:sz w:val="16"/>
              </w:rPr>
            </w:r>
            <w:r>
              <w:rPr>
                <w:sz w:val="16"/>
              </w:rPr>
              <w:t>Stark theory weak; AKS-based FCA theory is strong and could be substituted</w:t>
            </w:r>
          </w:p>
        </w:tc>
      </w:tr>
      <w:tr>
        <w:tc>
          <w:tcPr>
            <w:tcW w:type="dxa" w:w="2880"/>
          </w:tcPr>
          <w:p>
            <w:r>
              <w:rPr>
                <w:sz w:val="16"/>
              </w:rPr>
            </w:r>
            <w:r>
              <w:rPr>
                <w:sz w:val="16"/>
              </w:rPr>
              <w:t>§ 411.354(d)(4) treats referral-based returns as compensation (¶ 85)</w:t>
            </w:r>
          </w:p>
        </w:tc>
        <w:tc>
          <w:tcPr>
            <w:tcW w:type="dxa" w:w="3312"/>
          </w:tcPr>
          <w:p>
            <w:r>
              <w:rPr>
                <w:sz w:val="16"/>
              </w:rPr>
            </w:r>
            <w:r>
              <w:rPr>
                <w:sz w:val="16"/>
              </w:rPr>
              <w:t>§ 411.354(d)(4) concerns directed-referral requirements</w:t>
            </w:r>
          </w:p>
        </w:tc>
        <w:tc>
          <w:tcPr>
            <w:tcW w:type="dxa" w:w="3168"/>
          </w:tcPr>
          <w:p>
            <w:r>
              <w:rPr>
                <w:sz w:val="16"/>
              </w:rPr>
            </w:r>
            <w:r>
              <w:rPr>
                <w:sz w:val="16"/>
              </w:rPr>
              <w:t>Mis-cited</w:t>
            </w:r>
          </w:p>
        </w:tc>
      </w:tr>
      <w:tr>
        <w:tc>
          <w:tcPr>
            <w:tcW w:type="dxa" w:w="2880"/>
          </w:tcPr>
          <w:p>
            <w:r>
              <w:rPr>
                <w:sz w:val="16"/>
              </w:rPr>
            </w:r>
            <w:r>
              <w:rPr>
                <w:sz w:val="16"/>
              </w:rPr>
              <w:t>ClearView rent $10–$14/sf below FMV; “over $250,000” subsidy (¶ 56)</w:t>
            </w:r>
          </w:p>
        </w:tc>
        <w:tc>
          <w:tcPr>
            <w:tcW w:type="dxa" w:w="3312"/>
          </w:tcPr>
          <w:p>
            <w:r>
              <w:rPr>
                <w:sz w:val="16"/>
              </w:rPr>
            </w:r>
            <w:r>
              <w:rPr>
                <w:sz w:val="16"/>
              </w:rPr>
              <w:t>$18 is triple-net plus ~$12/sf expenses (~$30 gross-equivalent) vs. FSG appraisal; even on relator’s math max is $224,000</w:t>
            </w:r>
          </w:p>
        </w:tc>
        <w:tc>
          <w:tcPr>
            <w:tcW w:type="dxa" w:w="3168"/>
          </w:tcPr>
          <w:p>
            <w:r>
              <w:rPr>
                <w:sz w:val="16"/>
              </w:rPr>
            </w:r>
            <w:r>
              <w:rPr>
                <w:sz w:val="16"/>
              </w:rPr>
              <w:t>Overstated; likely defensible if expenses collected</w:t>
            </w:r>
          </w:p>
        </w:tc>
      </w:tr>
      <w:tr>
        <w:tc>
          <w:tcPr>
            <w:tcW w:type="dxa" w:w="2880"/>
          </w:tcPr>
          <w:p>
            <w:r>
              <w:rPr>
                <w:sz w:val="16"/>
              </w:rPr>
            </w:r>
            <w:r>
              <w:rPr>
                <w:sz w:val="16"/>
              </w:rPr>
              <w:t>Pinnacle rent below FMV; appraisal stale (¶¶ 62–63)</w:t>
            </w:r>
          </w:p>
        </w:tc>
        <w:tc>
          <w:tcPr>
            <w:tcW w:type="dxa" w:w="3312"/>
          </w:tcPr>
          <w:p>
            <w:r>
              <w:rPr>
                <w:sz w:val="16"/>
              </w:rPr>
            </w:r>
            <w:r>
              <w:rPr>
                <w:sz w:val="16"/>
              </w:rPr>
              <w:t>Lease $22 modified-gross; appraisal 18 months old; Ex. B misdescribes basis</w:t>
            </w:r>
          </w:p>
        </w:tc>
        <w:tc>
          <w:tcPr>
            <w:tcW w:type="dxa" w:w="3168"/>
          </w:tcPr>
          <w:p>
            <w:r>
              <w:rPr>
                <w:sz w:val="16"/>
              </w:rPr>
            </w:r>
            <w:r>
              <w:rPr>
                <w:sz w:val="16"/>
              </w:rPr>
              <w:t>Substantially accurate; strongest lease count</w:t>
            </w:r>
          </w:p>
        </w:tc>
      </w:tr>
      <w:tr>
        <w:tc>
          <w:tcPr>
            <w:tcW w:type="dxa" w:w="2880"/>
          </w:tcPr>
          <w:p>
            <w:r>
              <w:rPr>
                <w:sz w:val="16"/>
              </w:rPr>
            </w:r>
            <w:r>
              <w:rPr>
                <w:sz w:val="16"/>
              </w:rPr>
              <w:t>CCO reports to CFO (¶ 95)</w:t>
            </w:r>
          </w:p>
        </w:tc>
        <w:tc>
          <w:tcPr>
            <w:tcW w:type="dxa" w:w="3312"/>
          </w:tcPr>
          <w:p>
            <w:r>
              <w:rPr>
                <w:sz w:val="16"/>
              </w:rPr>
            </w:r>
            <w:r>
              <w:rPr>
                <w:sz w:val="16"/>
              </w:rPr>
              <w:t>OA § 6.3(b) and Manual § 2.2: to Compliance Committee; OA § 6.1(d): Managing Member supervises</w:t>
            </w:r>
          </w:p>
        </w:tc>
        <w:tc>
          <w:tcPr>
            <w:tcW w:type="dxa" w:w="3168"/>
          </w:tcPr>
          <w:p>
            <w:r>
              <w:rPr>
                <w:sz w:val="16"/>
              </w:rPr>
            </w:r>
            <w:r>
              <w:rPr>
                <w:sz w:val="16"/>
              </w:rPr>
              <w:t>Inaccurate but independence concern is valid</w:t>
            </w:r>
          </w:p>
        </w:tc>
      </w:tr>
      <w:tr>
        <w:tc>
          <w:tcPr>
            <w:tcW w:type="dxa" w:w="2880"/>
          </w:tcPr>
          <w:p>
            <w:r>
              <w:rPr>
                <w:sz w:val="16"/>
              </w:rPr>
            </w:r>
            <w:r>
              <w:rPr>
                <w:sz w:val="16"/>
              </w:rPr>
              <w:t xml:space="preserve">Nov. 2023 report concerned ClearView </w:t>
            </w:r>
            <w:r>
              <w:rPr>
                <w:i/>
                <w:sz w:val="16"/>
              </w:rPr>
              <w:t>and Pinnacle</w:t>
            </w:r>
            <w:r>
              <w:rPr>
                <w:sz w:val="16"/>
              </w:rPr>
              <w:t xml:space="preserve"> (¶ 96)</w:t>
            </w:r>
          </w:p>
        </w:tc>
        <w:tc>
          <w:tcPr>
            <w:tcW w:type="dxa" w:w="3312"/>
          </w:tcPr>
          <w:p>
            <w:r>
              <w:rPr>
                <w:sz w:val="16"/>
              </w:rPr>
            </w:r>
            <w:r>
              <w:rPr>
                <w:sz w:val="16"/>
              </w:rPr>
              <w:t>Hotline #2023-14 concerned ClearView only</w:t>
            </w:r>
          </w:p>
        </w:tc>
        <w:tc>
          <w:tcPr>
            <w:tcW w:type="dxa" w:w="3168"/>
          </w:tcPr>
          <w:p>
            <w:r>
              <w:rPr>
                <w:sz w:val="16"/>
              </w:rPr>
            </w:r>
            <w:r>
              <w:rPr>
                <w:sz w:val="16"/>
              </w:rPr>
              <w:t>Overstated</w:t>
            </w:r>
          </w:p>
        </w:tc>
      </w:tr>
      <w:tr>
        <w:tc>
          <w:tcPr>
            <w:tcW w:type="dxa" w:w="2880"/>
          </w:tcPr>
          <w:p>
            <w:r>
              <w:rPr>
                <w:sz w:val="16"/>
              </w:rPr>
            </w:r>
            <w:r>
              <w:rPr>
                <w:sz w:val="16"/>
              </w:rPr>
              <w:t>Termination “five months” after last report (¶ 99)</w:t>
            </w:r>
          </w:p>
        </w:tc>
        <w:tc>
          <w:tcPr>
            <w:tcW w:type="dxa" w:w="3312"/>
          </w:tcPr>
          <w:p>
            <w:r>
              <w:rPr>
                <w:sz w:val="16"/>
              </w:rPr>
            </w:r>
            <w:r>
              <w:rPr>
                <w:sz w:val="16"/>
              </w:rPr>
              <w:t>Last relevant log entry Nov. 19, 2023; termination Sept. 2024 (~10 months)</w:t>
            </w:r>
          </w:p>
        </w:tc>
        <w:tc>
          <w:tcPr>
            <w:tcW w:type="dxa" w:w="3168"/>
          </w:tcPr>
          <w:p>
            <w:r>
              <w:rPr>
                <w:sz w:val="16"/>
              </w:rPr>
            </w:r>
            <w:r>
              <w:rPr>
                <w:sz w:val="16"/>
              </w:rPr>
              <w:t>Timing inconsistent; may relate to unlogged reports to supervisor or CFO</w:t>
            </w:r>
          </w:p>
        </w:tc>
      </w:tr>
      <w:tr>
        <w:tc>
          <w:tcPr>
            <w:tcW w:type="dxa" w:w="2880"/>
          </w:tcPr>
          <w:p>
            <w:r>
              <w:rPr>
                <w:sz w:val="16"/>
              </w:rPr>
            </w:r>
            <w:r>
              <w:rPr>
                <w:sz w:val="16"/>
              </w:rPr>
              <w:t>Relator filed hotline reports (¶¶ 40, 98)</w:t>
            </w:r>
          </w:p>
        </w:tc>
        <w:tc>
          <w:tcPr>
            <w:tcW w:type="dxa" w:w="3312"/>
          </w:tcPr>
          <w:p>
            <w:r>
              <w:rPr>
                <w:sz w:val="16"/>
              </w:rPr>
            </w:r>
            <w:r>
              <w:rPr>
                <w:sz w:val="16"/>
              </w:rPr>
              <w:t>Log records #2023-07 and #2023-14 as anonymous</w:t>
            </w:r>
          </w:p>
        </w:tc>
        <w:tc>
          <w:tcPr>
            <w:tcW w:type="dxa" w:w="3168"/>
          </w:tcPr>
          <w:p>
            <w:r>
              <w:rPr>
                <w:sz w:val="16"/>
              </w:rPr>
            </w:r>
            <w:r>
              <w:rPr>
                <w:sz w:val="16"/>
              </w:rPr>
              <w:t>Do not attempt to identify reporters; note for discovery</w:t>
            </w:r>
          </w:p>
        </w:tc>
      </w:tr>
      <w:tr>
        <w:tc>
          <w:tcPr>
            <w:tcW w:type="dxa" w:w="2880"/>
          </w:tcPr>
          <w:p>
            <w:r>
              <w:rPr>
                <w:sz w:val="16"/>
              </w:rPr>
            </w:r>
            <w:r>
              <w:rPr>
                <w:sz w:val="16"/>
              </w:rPr>
              <w:t>FCA penalties $11,665–$23,331 per claim (¶ 106(b))</w:t>
            </w:r>
          </w:p>
        </w:tc>
        <w:tc>
          <w:tcPr>
            <w:tcW w:type="dxa" w:w="3312"/>
          </w:tcPr>
          <w:p>
            <w:r>
              <w:rPr>
                <w:sz w:val="16"/>
              </w:rPr>
            </w:r>
            <w:r>
              <w:rPr>
                <w:sz w:val="16"/>
              </w:rPr>
              <w:t>Current inflation-adjusted amounts are higher</w:t>
            </w:r>
          </w:p>
        </w:tc>
        <w:tc>
          <w:tcPr>
            <w:tcW w:type="dxa" w:w="3168"/>
          </w:tcPr>
          <w:p>
            <w:r>
              <w:rPr>
                <w:sz w:val="16"/>
              </w:rPr>
            </w:r>
            <w:r>
              <w:rPr>
                <w:sz w:val="16"/>
              </w:rPr>
              <w:t>Understates potential penalties</w:t>
            </w:r>
          </w:p>
        </w:tc>
      </w:tr>
      <w:tr>
        <w:tc>
          <w:tcPr>
            <w:tcW w:type="dxa" w:w="2880"/>
          </w:tcPr>
          <w:p>
            <w:r>
              <w:rPr>
                <w:sz w:val="16"/>
              </w:rPr>
            </w:r>
            <w:r>
              <w:rPr>
                <w:sz w:val="16"/>
              </w:rPr>
              <w:t>Greenfield physicians referred 702 of 900 Buckeye cases (78%) (¶ 78)</w:t>
            </w:r>
          </w:p>
        </w:tc>
        <w:tc>
          <w:tcPr>
            <w:tcW w:type="dxa" w:w="3312"/>
          </w:tcPr>
          <w:p>
            <w:r>
              <w:rPr>
                <w:sz w:val="16"/>
              </w:rPr>
            </w:r>
            <w:r>
              <w:rPr>
                <w:sz w:val="16"/>
              </w:rPr>
              <w:t>Internal data credit all 900 cases to members</w:t>
            </w:r>
          </w:p>
        </w:tc>
        <w:tc>
          <w:tcPr>
            <w:tcW w:type="dxa" w:w="3168"/>
          </w:tcPr>
          <w:p>
            <w:r>
              <w:rPr>
                <w:sz w:val="16"/>
              </w:rPr>
            </w:r>
            <w:r>
              <w:rPr>
                <w:sz w:val="16"/>
              </w:rPr>
              <w:t>Internal data may be worse for the defense</w:t>
            </w:r>
          </w:p>
        </w:tc>
      </w:tr>
      <w:tr>
        <w:tc>
          <w:tcPr>
            <w:tcW w:type="dxa" w:w="2880"/>
          </w:tcPr>
          <w:p>
            <w:r>
              <w:rPr>
                <w:sz w:val="16"/>
              </w:rPr>
            </w:r>
            <w:r>
              <w:rPr>
                <w:sz w:val="16"/>
              </w:rPr>
              <w:t>Not pleaded</w:t>
            </w:r>
          </w:p>
        </w:tc>
        <w:tc>
          <w:tcPr>
            <w:tcW w:type="dxa" w:w="3312"/>
          </w:tcPr>
          <w:p>
            <w:r>
              <w:rPr>
                <w:sz w:val="16"/>
              </w:rPr>
            </w:r>
            <w:r>
              <w:rPr>
                <w:sz w:val="16"/>
              </w:rPr>
              <w:t>Group-practice disqualification (Issue 2); Pinnacle courier (Issue 4); satellites (Issue 7); IC radiologists/anti-markup (Issue 8); MDA AKS (Issue 6)</w:t>
            </w:r>
          </w:p>
        </w:tc>
        <w:tc>
          <w:tcPr>
            <w:tcW w:type="dxa" w:w="3168"/>
          </w:tcPr>
          <w:p>
            <w:r>
              <w:rPr>
                <w:sz w:val="16"/>
              </w:rPr>
            </w:r>
            <w:r>
              <w:rPr>
                <w:sz w:val="16"/>
              </w:rPr>
              <w:t>Amendment or government intervention risk; these issues expand exposure</w:t>
            </w:r>
          </w:p>
        </w:tc>
      </w:tr>
    </w:tbl>
    <w:p/>
    <w:p>
      <w:pPr>
        <w:pStyle w:val="Heading1"/>
      </w:pPr>
      <w:r>
        <w:t>VII. Recommended Remediation Plan and Disclosure Strategy</w:t>
      </w:r>
    </w:p>
    <w:p>
      <w:pPr>
        <w:pStyle w:val="Heading2"/>
      </w:pPr>
      <w:r>
        <w:t>A. Immediate actions (0–30 days)</w:t>
      </w:r>
    </w:p>
    <w:p>
      <w:pPr>
        <w:ind w:left="504" w:hanging="360"/>
      </w:pPr>
      <w:r>
        <w:t xml:space="preserve">1.  </w:t>
      </w:r>
      <w:r>
        <w:rPr>
          <w:b/>
        </w:rPr>
        <w:t>Retain and wall off.</w:t>
      </w:r>
      <w:r>
        <w:t xml:space="preserve"> Retain outside counsel, reporting to a special committee of disinterested Members (excluding Drs. Stein and Narayan and the CFO). Conduct all reviews at counsel’s direction to preserve privilege and work product. Recommend separate counsel for Dr. Stein, Dr. Narayan and Buckeye. Notify D&amp;O, E&amp;O and regulatory insurers as policies require.</w:t>
      </w:r>
    </w:p>
    <w:p>
      <w:pPr>
        <w:ind w:left="504" w:hanging="360"/>
      </w:pPr>
      <w:r>
        <w:t xml:space="preserve">2.  </w:t>
      </w:r>
      <w:r>
        <w:rPr>
          <w:b/>
        </w:rPr>
        <w:t>Litigation hold.</w:t>
      </w:r>
      <w:r>
        <w:t xml:space="preserve"> Issue a written hold covering compensation, referral-tracking, lease, Buckeye, courier, supervision, hotline and e-mail records, including the CFO’s and billing department’s quarterly reconciliation files (Compl. ¶ 82). Suspend routine deletion.</w:t>
      </w:r>
    </w:p>
    <w:p>
      <w:pPr>
        <w:ind w:left="504" w:hanging="360"/>
      </w:pPr>
      <w:r>
        <w:t xml:space="preserve">3.  </w:t>
      </w:r>
      <w:r>
        <w:rPr>
          <w:b/>
        </w:rPr>
        <w:t>Stop the conduct.</w:t>
      </w:r>
      <w:r>
        <w:t xml:space="preserve"> Suspend the RQB and the Buckeye Referral Credit. Suspend Buckeye referral-based distributions, holding funds in escrow pending amendment. Stop any non-specimen courier uses. Limit Hilliard and Dublin testing to compliant sessions. Do not create new arrangements without counsel sign-off.</w:t>
      </w:r>
    </w:p>
    <w:p>
      <w:pPr>
        <w:ind w:left="504" w:hanging="360"/>
      </w:pPr>
      <w:r>
        <w:t xml:space="preserve">4.  </w:t>
      </w:r>
      <w:r>
        <w:rPr>
          <w:b/>
        </w:rPr>
        <w:t>Protect against retaliation and spoliation claims.</w:t>
      </w:r>
      <w:r>
        <w:t xml:space="preserve"> No contact with the relator except through counsel. Remind the workforce of the non-retaliation policy. Do not try to identify anonymous reporters.</w:t>
      </w:r>
    </w:p>
    <w:p>
      <w:pPr>
        <w:ind w:left="504" w:hanging="360"/>
      </w:pPr>
      <w:r>
        <w:t xml:space="preserve">5.  </w:t>
      </w:r>
      <w:r>
        <w:rPr>
          <w:b/>
        </w:rPr>
        <w:t>Governance.</w:t>
      </w:r>
      <w:r>
        <w:t xml:space="preserve"> Remove conflicted individuals from the Compliance Committee and from any decision on these matters. Give the CCO a direct line to the special committee.</w:t>
      </w:r>
    </w:p>
    <w:p>
      <w:pPr>
        <w:pStyle w:val="Heading2"/>
      </w:pPr>
      <w:r>
        <w:t>B. Investigation and quantification (30–90 days, privileged)</w:t>
      </w:r>
    </w:p>
    <w:p>
      <w:pPr>
        <w:ind w:left="504" w:hanging="360"/>
      </w:pPr>
      <w:r>
        <w:t xml:space="preserve">1.  </w:t>
      </w:r>
      <w:r>
        <w:t>Retain forensic accountants and an independent FMV firm through counsel.</w:t>
      </w:r>
    </w:p>
    <w:p>
      <w:pPr>
        <w:ind w:left="504" w:hanging="360"/>
      </w:pPr>
      <w:r>
        <w:t xml:space="preserve">2.  </w:t>
      </w:r>
      <w:r>
        <w:t>Pull Medicare and Medicaid claims data (six-year look-back) for:</w:t>
      </w:r>
    </w:p>
    <w:p>
      <w:pPr>
        <w:pStyle w:val="ListBullet2"/>
      </w:pPr>
      <w:r>
        <w:t>all Greenfield laboratory and imaging DHS, by site, ordering physician and date;</w:t>
      </w:r>
    </w:p>
    <w:p>
      <w:pPr>
        <w:pStyle w:val="ListBullet2"/>
      </w:pPr>
      <w:r>
        <w:t>RQB-linked referrals, by category;</w:t>
      </w:r>
    </w:p>
    <w:p>
      <w:pPr>
        <w:pStyle w:val="ListBullet2"/>
      </w:pPr>
      <w:r>
        <w:t>Buckeye facility claims by referring physician;</w:t>
      </w:r>
    </w:p>
    <w:p>
      <w:pPr>
        <w:pStyle w:val="ListBullet2"/>
      </w:pPr>
      <w:r>
        <w:t>IC radiologist reads, by location.</w:t>
      </w:r>
    </w:p>
    <w:p>
      <w:pPr>
        <w:ind w:left="504" w:hanging="360"/>
      </w:pPr>
      <w:r>
        <w:t xml:space="preserve">3.  </w:t>
      </w:r>
      <w:r>
        <w:t>Reconcile the data discrepancies in Issue 12. Obtain executed copies of all arrangements.</w:t>
      </w:r>
    </w:p>
    <w:p>
      <w:pPr>
        <w:ind w:left="504" w:hanging="360"/>
      </w:pPr>
      <w:r>
        <w:t xml:space="preserve">4.  </w:t>
      </w:r>
      <w:r>
        <w:t>Obtain current FMV opinions for leases (Pinnacle, ClearView, OHVA), the medical directorship, and employed and member compensation.</w:t>
      </w:r>
    </w:p>
    <w:p>
      <w:pPr>
        <w:ind w:left="504" w:hanging="360"/>
      </w:pPr>
      <w:r>
        <w:t xml:space="preserve">5.  </w:t>
      </w:r>
      <w:r>
        <w:t>Interview witnesses (Upjohn warnings): CCO, CFO, Operations Manager, site managers, billing staff, Drs. Stein and Narayan (through their counsel).</w:t>
      </w:r>
    </w:p>
    <w:p>
      <w:pPr>
        <w:pStyle w:val="Heading2"/>
      </w:pPr>
      <w:r>
        <w:t>C. Disclosure decision</w:t>
      </w:r>
    </w:p>
    <w:p>
      <w:r>
        <w:t>The 60-day clock under 42 C.F.R. § 401.305 runs from identification, and may be suspended for up to 180 days during a timely, good-faith investigation. Given the March 2022 audit and the 2023 hotline reports, the government may contend that identification occurred earlier. Greenfield should therefore document the start and diligence of its investigation now. The options are:</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D9E2F3"/>
          </w:tcPr>
          <w:p>
            <w:r/>
            <w:r>
              <w:rPr>
                <w:b/>
                <w:sz w:val="16"/>
              </w:rPr>
              <w:t>Vehicle</w:t>
            </w:r>
          </w:p>
        </w:tc>
        <w:tc>
          <w:tcPr>
            <w:tcW w:type="dxa" w:w="3024"/>
            <w:shd w:val="clear" w:color="auto" w:fill="D9E2F3"/>
          </w:tcPr>
          <w:p>
            <w:r/>
            <w:r>
              <w:rPr>
                <w:b/>
                <w:sz w:val="16"/>
              </w:rPr>
              <w:t>Fit</w:t>
            </w:r>
          </w:p>
        </w:tc>
        <w:tc>
          <w:tcPr>
            <w:tcW w:type="dxa" w:w="3888"/>
            <w:shd w:val="clear" w:color="auto" w:fill="D9E2F3"/>
          </w:tcPr>
          <w:p>
            <w:r/>
            <w:r>
              <w:rPr>
                <w:b/>
                <w:sz w:val="16"/>
              </w:rPr>
              <w:t>Considerations</w:t>
            </w:r>
          </w:p>
        </w:tc>
      </w:tr>
      <w:tr>
        <w:tc>
          <w:tcPr>
            <w:tcW w:type="dxa" w:w="2448"/>
          </w:tcPr>
          <w:p>
            <w:r>
              <w:rPr>
                <w:sz w:val="16"/>
              </w:rPr>
            </w:r>
            <w:r>
              <w:rPr>
                <w:sz w:val="16"/>
              </w:rPr>
              <w:t>CMS Self-Referral Disclosure Protocol (SRDP)</w:t>
            </w:r>
          </w:p>
        </w:tc>
        <w:tc>
          <w:tcPr>
            <w:tcW w:type="dxa" w:w="3024"/>
          </w:tcPr>
          <w:p>
            <w:r>
              <w:rPr>
                <w:sz w:val="16"/>
              </w:rPr>
            </w:r>
            <w:r>
              <w:rPr>
                <w:sz w:val="16"/>
              </w:rPr>
              <w:t>Stark-only issues (e.g., satellites, if no AKS concern)</w:t>
            </w:r>
          </w:p>
        </w:tc>
        <w:tc>
          <w:tcPr>
            <w:tcW w:type="dxa" w:w="3888"/>
          </w:tcPr>
          <w:p>
            <w:r>
              <w:rPr>
                <w:sz w:val="16"/>
              </w:rPr>
            </w:r>
            <w:r>
              <w:rPr>
                <w:sz w:val="16"/>
              </w:rPr>
              <w:t>Not available for conduct that also raises AKS liability; a submission suspends the 60-day repayment obligation; CMS may reduce amounts owed</w:t>
            </w:r>
          </w:p>
        </w:tc>
      </w:tr>
      <w:tr>
        <w:tc>
          <w:tcPr>
            <w:tcW w:type="dxa" w:w="2448"/>
          </w:tcPr>
          <w:p>
            <w:r>
              <w:rPr>
                <w:sz w:val="16"/>
              </w:rPr>
            </w:r>
            <w:r>
              <w:rPr>
                <w:sz w:val="16"/>
              </w:rPr>
              <w:t>OIG Self-Disclosure Protocol (SDP)</w:t>
            </w:r>
          </w:p>
        </w:tc>
        <w:tc>
          <w:tcPr>
            <w:tcW w:type="dxa" w:w="3024"/>
          </w:tcPr>
          <w:p>
            <w:r>
              <w:rPr>
                <w:sz w:val="16"/>
              </w:rPr>
            </w:r>
            <w:r>
              <w:rPr>
                <w:sz w:val="16"/>
              </w:rPr>
              <w:t>Conduct implicating the AKS (RQB, Buckeye distributions, Referral Credits, Pinnacle rent and courier, MDA)</w:t>
            </w:r>
          </w:p>
        </w:tc>
        <w:tc>
          <w:tcPr>
            <w:tcW w:type="dxa" w:w="3888"/>
          </w:tcPr>
          <w:p>
            <w:r>
              <w:rPr>
                <w:sz w:val="16"/>
              </w:rPr>
            </w:r>
            <w:r>
              <w:rPr>
                <w:sz w:val="16"/>
              </w:rPr>
              <w:t>Presumptive multiplier at the low end of the range for disclosing parties; minimum settlement thresholds; OIG coordinates with DOJ</w:t>
            </w:r>
          </w:p>
        </w:tc>
      </w:tr>
      <w:tr>
        <w:tc>
          <w:tcPr>
            <w:tcW w:type="dxa" w:w="2448"/>
          </w:tcPr>
          <w:p>
            <w:r>
              <w:rPr>
                <w:sz w:val="16"/>
              </w:rPr>
            </w:r>
            <w:r>
              <w:rPr>
                <w:sz w:val="16"/>
              </w:rPr>
              <w:t>Direct engagement with the U.S. Attorney (S.D. Ohio) / DOJ Civil</w:t>
            </w:r>
          </w:p>
        </w:tc>
        <w:tc>
          <w:tcPr>
            <w:tcW w:type="dxa" w:w="3024"/>
          </w:tcPr>
          <w:p>
            <w:r>
              <w:rPr>
                <w:sz w:val="16"/>
              </w:rPr>
            </w:r>
            <w:r>
              <w:rPr>
                <w:sz w:val="16"/>
              </w:rPr>
              <w:t>Pending qui tam</w:t>
            </w:r>
          </w:p>
        </w:tc>
        <w:tc>
          <w:tcPr>
            <w:tcW w:type="dxa" w:w="3888"/>
          </w:tcPr>
          <w:p>
            <w:r>
              <w:rPr>
                <w:sz w:val="16"/>
              </w:rPr>
            </w:r>
            <w:r>
              <w:rPr>
                <w:sz w:val="16"/>
              </w:rPr>
              <w:t>Cooperation credit under DOJ FCA guidance (Justice Manual § 4-4.112) for voluntary disclosure of additional misconduct, remediation and cooperation; any SRDP or SDP filing will be coordinated with DOJ anyway</w:t>
            </w:r>
          </w:p>
        </w:tc>
      </w:tr>
      <w:tr>
        <w:tc>
          <w:tcPr>
            <w:tcW w:type="dxa" w:w="2448"/>
          </w:tcPr>
          <w:p>
            <w:r>
              <w:rPr>
                <w:sz w:val="16"/>
              </w:rPr>
            </w:r>
            <w:r>
              <w:rPr>
                <w:sz w:val="16"/>
              </w:rPr>
              <w:t>Refund through the MAC (no protocol)</w:t>
            </w:r>
          </w:p>
        </w:tc>
        <w:tc>
          <w:tcPr>
            <w:tcW w:type="dxa" w:w="3024"/>
          </w:tcPr>
          <w:p>
            <w:r>
              <w:rPr>
                <w:sz w:val="16"/>
              </w:rPr>
            </w:r>
            <w:r>
              <w:rPr>
                <w:sz w:val="16"/>
              </w:rPr>
              <w:t>Pure billing errors only (e.g., anti-markup)</w:t>
            </w:r>
          </w:p>
        </w:tc>
        <w:tc>
          <w:tcPr>
            <w:tcW w:type="dxa" w:w="3888"/>
          </w:tcPr>
          <w:p>
            <w:r>
              <w:rPr>
                <w:sz w:val="16"/>
              </w:rPr>
            </w:r>
            <w:r>
              <w:rPr>
                <w:sz w:val="16"/>
              </w:rPr>
              <w:t>Not appropriate for Stark or AKS conduct</w:t>
            </w:r>
          </w:p>
        </w:tc>
      </w:tr>
    </w:tbl>
    <w:p/>
    <w:p>
      <w:r>
        <w:t xml:space="preserve">Because a qui tam on substantially the same conduct is pending, the most likely resolution path is a coordinated settlement with DOJ that covers Stark, AKS and FCA exposure. That settlement could be accompanied by an OIG integrity agreement or an exclusion release. Disclosing issues the relator has </w:t>
      </w:r>
      <w:r>
        <w:rPr>
          <w:i/>
        </w:rPr>
        <w:t>not</w:t>
      </w:r>
      <w:r>
        <w:t xml:space="preserve"> pleaded (Issues 2, 4, 6, 7, 8) is the main way to earn cooperation credit, and it limits the risk of a second relator. The disclosure decision should be made by the special committee on counsel’s advice, once the 30–90 day quantification gives a defensible range.</w:t>
      </w:r>
    </w:p>
    <w:p>
      <w:pPr>
        <w:pStyle w:val="Heading2"/>
      </w:pPr>
      <w:r>
        <w:t>D. Restructuring (60–180 days)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E2F3"/>
          </w:tcPr>
          <w:p>
            <w:r/>
            <w:r>
              <w:rPr>
                <w:b/>
                <w:sz w:val="16"/>
              </w:rPr>
              <w:t>Arrangement</w:t>
            </w:r>
          </w:p>
        </w:tc>
        <w:tc>
          <w:tcPr>
            <w:tcW w:type="dxa" w:w="4896"/>
            <w:shd w:val="clear" w:color="auto" w:fill="D9E2F3"/>
          </w:tcPr>
          <w:p>
            <w:r/>
            <w:r>
              <w:rPr>
                <w:b/>
                <w:sz w:val="16"/>
              </w:rPr>
              <w:t>Target structure</w:t>
            </w:r>
          </w:p>
        </w:tc>
        <w:tc>
          <w:tcPr>
            <w:tcW w:type="dxa" w:w="2304"/>
            <w:shd w:val="clear" w:color="auto" w:fill="D9E2F3"/>
          </w:tcPr>
          <w:p>
            <w:r/>
            <w:r>
              <w:rPr>
                <w:b/>
                <w:sz w:val="16"/>
              </w:rPr>
              <w:t>Approval</w:t>
            </w:r>
          </w:p>
        </w:tc>
      </w:tr>
      <w:tr>
        <w:tc>
          <w:tcPr>
            <w:tcW w:type="dxa" w:w="2160"/>
          </w:tcPr>
          <w:p>
            <w:r>
              <w:rPr>
                <w:sz w:val="16"/>
              </w:rPr>
            </w:r>
            <w:r>
              <w:rPr>
                <w:sz w:val="16"/>
              </w:rPr>
              <w:t>Employed physician compensation</w:t>
            </w:r>
          </w:p>
        </w:tc>
        <w:tc>
          <w:tcPr>
            <w:tcW w:type="dxa" w:w="4896"/>
          </w:tcPr>
          <w:p>
            <w:r>
              <w:rPr>
                <w:sz w:val="16"/>
              </w:rPr>
            </w:r>
            <w:r>
              <w:rPr>
                <w:sz w:val="16"/>
              </w:rPr>
              <w:t>Base salary plus wRVU productivity (personally performed) plus objective non-referral quality metrics; independent FMV opinion; signed amendments; no referral variable</w:t>
            </w:r>
          </w:p>
        </w:tc>
        <w:tc>
          <w:tcPr>
            <w:tcW w:type="dxa" w:w="2304"/>
          </w:tcPr>
          <w:p>
            <w:r>
              <w:rPr>
                <w:sz w:val="16"/>
              </w:rPr>
            </w:r>
            <w:r>
              <w:rPr>
                <w:sz w:val="16"/>
              </w:rPr>
              <w:t>Reconstituted Compensation Committee; counsel</w:t>
            </w:r>
          </w:p>
        </w:tc>
      </w:tr>
      <w:tr>
        <w:tc>
          <w:tcPr>
            <w:tcW w:type="dxa" w:w="2160"/>
          </w:tcPr>
          <w:p>
            <w:r>
              <w:rPr>
                <w:sz w:val="16"/>
              </w:rPr>
            </w:r>
            <w:r>
              <w:rPr>
                <w:sz w:val="16"/>
              </w:rPr>
              <w:t>Member compensation</w:t>
            </w:r>
          </w:p>
        </w:tc>
        <w:tc>
          <w:tcPr>
            <w:tcW w:type="dxa" w:w="4896"/>
          </w:tcPr>
          <w:p>
            <w:r>
              <w:rPr>
                <w:sz w:val="16"/>
              </w:rPr>
            </w:r>
            <w:r>
              <w:rPr>
                <w:sz w:val="16"/>
              </w:rPr>
              <w:t>Pro rata profit distributions and documented § 411.352(i) methods; Buckeye returns pro rata; caps enforced; recusal</w:t>
            </w:r>
          </w:p>
        </w:tc>
        <w:tc>
          <w:tcPr>
            <w:tcW w:type="dxa" w:w="2304"/>
          </w:tcPr>
          <w:p>
            <w:r>
              <w:rPr>
                <w:sz w:val="16"/>
              </w:rPr>
            </w:r>
            <w:r>
              <w:rPr>
                <w:sz w:val="16"/>
              </w:rPr>
              <w:t>Two-thirds Member vote (OA § 14.1)</w:t>
            </w:r>
          </w:p>
        </w:tc>
      </w:tr>
      <w:tr>
        <w:tc>
          <w:tcPr>
            <w:tcW w:type="dxa" w:w="2160"/>
          </w:tcPr>
          <w:p>
            <w:r>
              <w:rPr>
                <w:sz w:val="16"/>
              </w:rPr>
            </w:r>
            <w:r>
              <w:rPr>
                <w:sz w:val="16"/>
              </w:rPr>
              <w:t>Buckeye OA</w:t>
            </w:r>
          </w:p>
        </w:tc>
        <w:tc>
          <w:tcPr>
            <w:tcW w:type="dxa" w:w="4896"/>
          </w:tcPr>
          <w:p>
            <w:r>
              <w:rPr>
                <w:sz w:val="16"/>
              </w:rPr>
            </w:r>
            <w:r>
              <w:rPr>
                <w:sz w:val="16"/>
              </w:rPr>
              <w:t>Pro rata allocations and distributions by capital/ownership; delete referral definitions, reporting and utilization covenant; reconcile ownership</w:t>
            </w:r>
          </w:p>
        </w:tc>
        <w:tc>
          <w:tcPr>
            <w:tcW w:type="dxa" w:w="2304"/>
          </w:tcPr>
          <w:p>
            <w:r>
              <w:rPr>
                <w:sz w:val="16"/>
              </w:rPr>
            </w:r>
            <w:r>
              <w:rPr>
                <w:sz w:val="16"/>
              </w:rPr>
              <w:t>All Buckeye members (§ 12.2(b))</w:t>
            </w:r>
          </w:p>
        </w:tc>
      </w:tr>
      <w:tr>
        <w:tc>
          <w:tcPr>
            <w:tcW w:type="dxa" w:w="2160"/>
          </w:tcPr>
          <w:p>
            <w:r>
              <w:rPr>
                <w:sz w:val="16"/>
              </w:rPr>
            </w:r>
            <w:r>
              <w:rPr>
                <w:sz w:val="16"/>
              </w:rPr>
              <w:t>Medical directorship</w:t>
            </w:r>
          </w:p>
        </w:tc>
        <w:tc>
          <w:tcPr>
            <w:tcW w:type="dxa" w:w="4896"/>
          </w:tcPr>
          <w:p>
            <w:r>
              <w:rPr>
                <w:sz w:val="16"/>
              </w:rPr>
            </w:r>
            <w:r>
              <w:rPr>
                <w:sz w:val="16"/>
              </w:rPr>
              <w:t>FMV hourly or capped fee, time-sheet-conditioned, fixed term, unconflicted approval</w:t>
            </w:r>
          </w:p>
        </w:tc>
        <w:tc>
          <w:tcPr>
            <w:tcW w:type="dxa" w:w="2304"/>
          </w:tcPr>
          <w:p>
            <w:r>
              <w:rPr>
                <w:sz w:val="16"/>
              </w:rPr>
            </w:r>
            <w:r>
              <w:rPr>
                <w:sz w:val="16"/>
              </w:rPr>
              <w:t>Buckeye members (excluding Stein) and Greenfield special committee</w:t>
            </w:r>
          </w:p>
        </w:tc>
      </w:tr>
      <w:tr>
        <w:tc>
          <w:tcPr>
            <w:tcW w:type="dxa" w:w="2160"/>
          </w:tcPr>
          <w:p>
            <w:r>
              <w:rPr>
                <w:sz w:val="16"/>
              </w:rPr>
            </w:r>
            <w:r>
              <w:rPr>
                <w:sz w:val="16"/>
              </w:rPr>
              <w:t>Pinnacle lease and courier</w:t>
            </w:r>
          </w:p>
        </w:tc>
        <w:tc>
          <w:tcPr>
            <w:tcW w:type="dxa" w:w="4896"/>
          </w:tcPr>
          <w:p>
            <w:r>
              <w:rPr>
                <w:sz w:val="16"/>
              </w:rPr>
            </w:r>
            <w:r>
              <w:rPr>
                <w:sz w:val="16"/>
              </w:rPr>
              <w:t>New FMV lease (≥ 1 yr, holdover clause); written courier protocol limited to Pinnacle-tested specimens or FMV payment</w:t>
            </w:r>
          </w:p>
        </w:tc>
        <w:tc>
          <w:tcPr>
            <w:tcW w:type="dxa" w:w="2304"/>
          </w:tcPr>
          <w:p>
            <w:r>
              <w:rPr>
                <w:sz w:val="16"/>
              </w:rPr>
            </w:r>
            <w:r>
              <w:rPr>
                <w:sz w:val="16"/>
              </w:rPr>
              <w:t>Special committee; counsel</w:t>
            </w:r>
          </w:p>
        </w:tc>
      </w:tr>
      <w:tr>
        <w:tc>
          <w:tcPr>
            <w:tcW w:type="dxa" w:w="2160"/>
          </w:tcPr>
          <w:p>
            <w:r>
              <w:rPr>
                <w:sz w:val="16"/>
              </w:rPr>
            </w:r>
            <w:r>
              <w:rPr>
                <w:sz w:val="16"/>
              </w:rPr>
              <w:t>ClearView / OHVA leases</w:t>
            </w:r>
          </w:p>
        </w:tc>
        <w:tc>
          <w:tcPr>
            <w:tcW w:type="dxa" w:w="4896"/>
          </w:tcPr>
          <w:p>
            <w:r>
              <w:rPr>
                <w:sz w:val="16"/>
              </w:rPr>
            </w:r>
            <w:r>
              <w:rPr>
                <w:sz w:val="16"/>
              </w:rPr>
              <w:t>Documented FMV renewals with current appraisal; expense reconciliations; ownership certification</w:t>
            </w:r>
          </w:p>
        </w:tc>
        <w:tc>
          <w:tcPr>
            <w:tcW w:type="dxa" w:w="2304"/>
          </w:tcPr>
          <w:p>
            <w:r>
              <w:rPr>
                <w:sz w:val="16"/>
              </w:rPr>
            </w:r>
            <w:r>
              <w:rPr>
                <w:sz w:val="16"/>
              </w:rPr>
              <w:t>Special committee; counsel</w:t>
            </w:r>
          </w:p>
        </w:tc>
      </w:tr>
      <w:tr>
        <w:tc>
          <w:tcPr>
            <w:tcW w:type="dxa" w:w="2160"/>
          </w:tcPr>
          <w:p>
            <w:r>
              <w:rPr>
                <w:sz w:val="16"/>
              </w:rPr>
            </w:r>
            <w:r>
              <w:rPr>
                <w:sz w:val="16"/>
              </w:rPr>
              <w:t>Satellite labs</w:t>
            </w:r>
          </w:p>
        </w:tc>
        <w:tc>
          <w:tcPr>
            <w:tcW w:type="dxa" w:w="4896"/>
          </w:tcPr>
          <w:p>
            <w:r>
              <w:rPr>
                <w:sz w:val="16"/>
              </w:rPr>
            </w:r>
            <w:r>
              <w:rPr>
                <w:sz w:val="16"/>
              </w:rPr>
              <w:t>Schedule testing to meet § 411.355(b)(2); supervision logs; CLIA verification</w:t>
            </w:r>
          </w:p>
        </w:tc>
        <w:tc>
          <w:tcPr>
            <w:tcW w:type="dxa" w:w="2304"/>
          </w:tcPr>
          <w:p>
            <w:r>
              <w:rPr>
                <w:sz w:val="16"/>
              </w:rPr>
            </w:r>
            <w:r>
              <w:rPr>
                <w:sz w:val="16"/>
              </w:rPr>
              <w:t>CMO (not Stein while conflicted) and CCO</w:t>
            </w:r>
          </w:p>
        </w:tc>
      </w:tr>
      <w:tr>
        <w:tc>
          <w:tcPr>
            <w:tcW w:type="dxa" w:w="2160"/>
          </w:tcPr>
          <w:p>
            <w:r>
              <w:rPr>
                <w:sz w:val="16"/>
              </w:rPr>
            </w:r>
            <w:r>
              <w:rPr>
                <w:sz w:val="16"/>
              </w:rPr>
              <w:t>IC radiologists</w:t>
            </w:r>
          </w:p>
        </w:tc>
        <w:tc>
          <w:tcPr>
            <w:tcW w:type="dxa" w:w="4896"/>
          </w:tcPr>
          <w:p>
            <w:r>
              <w:rPr>
                <w:sz w:val="16"/>
              </w:rPr>
            </w:r>
            <w:r>
              <w:rPr>
                <w:sz w:val="16"/>
              </w:rPr>
              <w:t>Employment, compliant purchased-interpretation billing (anti-markup), or direct billing; valid 855R</w:t>
            </w:r>
          </w:p>
        </w:tc>
        <w:tc>
          <w:tcPr>
            <w:tcW w:type="dxa" w:w="2304"/>
          </w:tcPr>
          <w:p>
            <w:r>
              <w:rPr>
                <w:sz w:val="16"/>
              </w:rPr>
            </w:r>
            <w:r>
              <w:rPr>
                <w:sz w:val="16"/>
              </w:rPr>
              <w:t>CFO and counsel</w:t>
            </w:r>
          </w:p>
        </w:tc>
      </w:tr>
      <w:tr>
        <w:tc>
          <w:tcPr>
            <w:tcW w:type="dxa" w:w="2160"/>
          </w:tcPr>
          <w:p>
            <w:r>
              <w:rPr>
                <w:sz w:val="16"/>
              </w:rPr>
            </w:r>
            <w:r>
              <w:rPr>
                <w:sz w:val="16"/>
              </w:rPr>
              <w:t>Compliance program</w:t>
            </w:r>
          </w:p>
        </w:tc>
        <w:tc>
          <w:tcPr>
            <w:tcW w:type="dxa" w:w="4896"/>
          </w:tcPr>
          <w:p>
            <w:r>
              <w:rPr>
                <w:sz w:val="16"/>
              </w:rPr>
            </w:r>
            <w:r>
              <w:rPr>
                <w:sz w:val="16"/>
              </w:rPr>
              <w:t>Independent oversight, charter, training, risk assessment, revised Manual, arrangements database, legal pre-approval of all referral-source arrangements</w:t>
            </w:r>
          </w:p>
        </w:tc>
        <w:tc>
          <w:tcPr>
            <w:tcW w:type="dxa" w:w="2304"/>
          </w:tcPr>
          <w:p>
            <w:r>
              <w:rPr>
                <w:sz w:val="16"/>
              </w:rPr>
            </w:r>
            <w:r>
              <w:rPr>
                <w:sz w:val="16"/>
              </w:rPr>
              <w:t>Members / special committee</w:t>
            </w:r>
          </w:p>
        </w:tc>
      </w:tr>
    </w:tbl>
    <w:p/>
    <w:p>
      <w:pPr>
        <w:pStyle w:val="Heading1"/>
      </w:pPr>
      <w:r>
        <w:t>VIII. Exposure Framework (Illustrative; Not a Damages Estimate)</w:t>
      </w:r>
    </w:p>
    <w:p>
      <w:r>
        <w:t>The file does not permit a reliable exposure estimate, chiefly because DHS-specific claims data are missing. The table identifies each component and the known figures.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9E2F3"/>
          </w:tcPr>
          <w:p>
            <w:r/>
            <w:r>
              <w:rPr>
                <w:b/>
                <w:sz w:val="16"/>
              </w:rPr>
              <w:t>Component</w:t>
            </w:r>
          </w:p>
        </w:tc>
        <w:tc>
          <w:tcPr>
            <w:tcW w:type="dxa" w:w="3600"/>
            <w:shd w:val="clear" w:color="auto" w:fill="D9E2F3"/>
          </w:tcPr>
          <w:p>
            <w:r/>
            <w:r>
              <w:rPr>
                <w:b/>
                <w:sz w:val="16"/>
              </w:rPr>
              <w:t>Known figures</w:t>
            </w:r>
          </w:p>
        </w:tc>
        <w:tc>
          <w:tcPr>
            <w:tcW w:type="dxa" w:w="3168"/>
            <w:shd w:val="clear" w:color="auto" w:fill="D9E2F3"/>
          </w:tcPr>
          <w:p>
            <w:r/>
            <w:r>
              <w:rPr>
                <w:b/>
                <w:sz w:val="16"/>
              </w:rPr>
              <w:t>Driver of exposure</w:t>
            </w:r>
          </w:p>
        </w:tc>
      </w:tr>
      <w:tr>
        <w:tc>
          <w:tcPr>
            <w:tcW w:type="dxa" w:w="2592"/>
          </w:tcPr>
          <w:p>
            <w:r>
              <w:rPr>
                <w:sz w:val="16"/>
              </w:rPr>
            </w:r>
            <w:r>
              <w:rPr>
                <w:sz w:val="16"/>
              </w:rPr>
              <w:t>Greenfield in-house lab/imaging DHS (group-practice failure)</w:t>
            </w:r>
          </w:p>
        </w:tc>
        <w:tc>
          <w:tcPr>
            <w:tcW w:type="dxa" w:w="3600"/>
          </w:tcPr>
          <w:p>
            <w:r>
              <w:rPr>
                <w:sz w:val="16"/>
              </w:rPr>
            </w:r>
            <w:r>
              <w:rPr>
                <w:sz w:val="16"/>
              </w:rPr>
              <w:t>Total Medicare/Medicaid claims ~ $98.3M (2023, all services) (Compl. ¶ 10); DHS share unknown</w:t>
            </w:r>
          </w:p>
        </w:tc>
        <w:tc>
          <w:tcPr>
            <w:tcW w:type="dxa" w:w="3168"/>
          </w:tcPr>
          <w:p>
            <w:r>
              <w:rPr>
                <w:sz w:val="16"/>
              </w:rPr>
            </w:r>
            <w:r>
              <w:rPr>
                <w:sz w:val="16"/>
              </w:rPr>
              <w:t>Refund of all Medicare DHS from 1/1/2022 (or earlier); FCA trebling and penalties if knowing</w:t>
            </w:r>
          </w:p>
        </w:tc>
      </w:tr>
      <w:tr>
        <w:tc>
          <w:tcPr>
            <w:tcW w:type="dxa" w:w="2592"/>
          </w:tcPr>
          <w:p>
            <w:r>
              <w:rPr>
                <w:sz w:val="16"/>
              </w:rPr>
            </w:r>
            <w:r>
              <w:rPr>
                <w:sz w:val="16"/>
              </w:rPr>
              <w:t>RQB payments</w:t>
            </w:r>
          </w:p>
        </w:tc>
        <w:tc>
          <w:tcPr>
            <w:tcW w:type="dxa" w:w="3600"/>
          </w:tcPr>
          <w:p>
            <w:r>
              <w:rPr>
                <w:sz w:val="16"/>
              </w:rPr>
            </w:r>
            <w:r>
              <w:rPr>
                <w:sz w:val="16"/>
              </w:rPr>
              <w:t>$1,260,000 (2023); 2022 and 2024+ unknown; 8,400 paid referrals in 2023</w:t>
            </w:r>
          </w:p>
        </w:tc>
        <w:tc>
          <w:tcPr>
            <w:tcW w:type="dxa" w:w="3168"/>
          </w:tcPr>
          <w:p>
            <w:r>
              <w:rPr>
                <w:sz w:val="16"/>
              </w:rPr>
            </w:r>
            <w:r>
              <w:rPr>
                <w:sz w:val="16"/>
              </w:rPr>
              <w:t>AKS remuneration; DHS claims from referrals (relator: &gt;$12M Medicare in 2023, ¶ 46)</w:t>
            </w:r>
          </w:p>
        </w:tc>
      </w:tr>
      <w:tr>
        <w:tc>
          <w:tcPr>
            <w:tcW w:type="dxa" w:w="2592"/>
          </w:tcPr>
          <w:p>
            <w:r>
              <w:rPr>
                <w:sz w:val="16"/>
              </w:rPr>
            </w:r>
            <w:r>
              <w:rPr>
                <w:sz w:val="16"/>
              </w:rPr>
              <w:t>Buckeye referral-based returns</w:t>
            </w:r>
          </w:p>
        </w:tc>
        <w:tc>
          <w:tcPr>
            <w:tcW w:type="dxa" w:w="3600"/>
          </w:tcPr>
          <w:p>
            <w:r>
              <w:rPr>
                <w:sz w:val="16"/>
              </w:rPr>
            </w:r>
            <w:r>
              <w:rPr>
                <w:sz w:val="16"/>
              </w:rPr>
              <w:t>Referral Credits $36,900 (2023); Buckeye-level distributions unknown; Buckeye Medicare/Medicaid ~ $16.8M (2023, alleged)</w:t>
            </w:r>
          </w:p>
        </w:tc>
        <w:tc>
          <w:tcPr>
            <w:tcW w:type="dxa" w:w="3168"/>
          </w:tcPr>
          <w:p>
            <w:r>
              <w:rPr>
                <w:sz w:val="16"/>
              </w:rPr>
            </w:r>
            <w:r>
              <w:rPr>
                <w:sz w:val="16"/>
              </w:rPr>
              <w:t>AKS-tainted facility claims (relator: &gt;$13M, ¶ 88)</w:t>
            </w:r>
          </w:p>
        </w:tc>
      </w:tr>
      <w:tr>
        <w:tc>
          <w:tcPr>
            <w:tcW w:type="dxa" w:w="2592"/>
          </w:tcPr>
          <w:p>
            <w:r>
              <w:rPr>
                <w:sz w:val="16"/>
              </w:rPr>
            </w:r>
            <w:r>
              <w:rPr>
                <w:sz w:val="16"/>
              </w:rPr>
              <w:t>Pinnacle rent shortfall</w:t>
            </w:r>
          </w:p>
        </w:tc>
        <w:tc>
          <w:tcPr>
            <w:tcW w:type="dxa" w:w="3600"/>
          </w:tcPr>
          <w:p>
            <w:r>
              <w:rPr>
                <w:sz w:val="16"/>
              </w:rPr>
            </w:r>
            <w:r>
              <w:rPr>
                <w:sz w:val="16"/>
              </w:rPr>
              <w:t>$10,800–$18,000/yr; $32,400–$54,000 over the term</w:t>
            </w:r>
          </w:p>
        </w:tc>
        <w:tc>
          <w:tcPr>
            <w:tcW w:type="dxa" w:w="3168"/>
          </w:tcPr>
          <w:p>
            <w:r>
              <w:rPr>
                <w:sz w:val="16"/>
              </w:rPr>
            </w:r>
            <w:r>
              <w:rPr>
                <w:sz w:val="16"/>
              </w:rPr>
              <w:t>Pinnacle DHS claims on Greenfield referrals (~55% of its volume); Greenfield “causing” and AKS</w:t>
            </w:r>
          </w:p>
        </w:tc>
      </w:tr>
      <w:tr>
        <w:tc>
          <w:tcPr>
            <w:tcW w:type="dxa" w:w="2592"/>
          </w:tcPr>
          <w:p>
            <w:r>
              <w:rPr>
                <w:sz w:val="16"/>
              </w:rPr>
            </w:r>
            <w:r>
              <w:rPr>
                <w:sz w:val="16"/>
              </w:rPr>
              <w:t>Pinnacle courier</w:t>
            </w:r>
          </w:p>
        </w:tc>
        <w:tc>
          <w:tcPr>
            <w:tcW w:type="dxa" w:w="3600"/>
          </w:tcPr>
          <w:p>
            <w:r>
              <w:rPr>
                <w:sz w:val="16"/>
              </w:rPr>
            </w:r>
            <w:r>
              <w:rPr>
                <w:sz w:val="16"/>
              </w:rPr>
              <w:t>~$50,400/yr (2023), since ~early 2022</w:t>
            </w:r>
          </w:p>
        </w:tc>
        <w:tc>
          <w:tcPr>
            <w:tcW w:type="dxa" w:w="3168"/>
          </w:tcPr>
          <w:p>
            <w:r>
              <w:rPr>
                <w:sz w:val="16"/>
              </w:rPr>
            </w:r>
            <w:r>
              <w:rPr>
                <w:sz w:val="16"/>
              </w:rPr>
              <w:t>Depends on what the courier carried</w:t>
            </w:r>
          </w:p>
        </w:tc>
      </w:tr>
      <w:tr>
        <w:tc>
          <w:tcPr>
            <w:tcW w:type="dxa" w:w="2592"/>
          </w:tcPr>
          <w:p>
            <w:r>
              <w:rPr>
                <w:sz w:val="16"/>
              </w:rPr>
            </w:r>
            <w:r>
              <w:rPr>
                <w:sz w:val="16"/>
              </w:rPr>
              <w:t>Medical directorship</w:t>
            </w:r>
          </w:p>
        </w:tc>
        <w:tc>
          <w:tcPr>
            <w:tcW w:type="dxa" w:w="3600"/>
          </w:tcPr>
          <w:p>
            <w:r>
              <w:rPr>
                <w:sz w:val="16"/>
              </w:rPr>
            </w:r>
            <w:r>
              <w:rPr>
                <w:sz w:val="16"/>
              </w:rPr>
              <w:t>$120,000/yr since Aug. 2016 (~$960,000 through Aug. 2024)</w:t>
            </w:r>
          </w:p>
        </w:tc>
        <w:tc>
          <w:tcPr>
            <w:tcW w:type="dxa" w:w="3168"/>
          </w:tcPr>
          <w:p>
            <w:r>
              <w:rPr>
                <w:sz w:val="16"/>
              </w:rPr>
            </w:r>
            <w:r>
              <w:rPr>
                <w:sz w:val="16"/>
              </w:rPr>
              <w:t>Excess over documented FMV; AKS</w:t>
            </w:r>
          </w:p>
        </w:tc>
      </w:tr>
      <w:tr>
        <w:tc>
          <w:tcPr>
            <w:tcW w:type="dxa" w:w="2592"/>
          </w:tcPr>
          <w:p>
            <w:r>
              <w:rPr>
                <w:sz w:val="16"/>
              </w:rPr>
            </w:r>
            <w:r>
              <w:rPr>
                <w:sz w:val="16"/>
              </w:rPr>
              <w:t>ClearView rent</w:t>
            </w:r>
          </w:p>
        </w:tc>
        <w:tc>
          <w:tcPr>
            <w:tcW w:type="dxa" w:w="3600"/>
          </w:tcPr>
          <w:p>
            <w:r>
              <w:rPr>
                <w:sz w:val="16"/>
              </w:rPr>
            </w:r>
            <w:r>
              <w:rPr>
                <w:sz w:val="16"/>
              </w:rPr>
              <w:t>$0 if gross-equivalent FMV holds; $32,000–$44,800/yr on relator’s theory</w:t>
            </w:r>
          </w:p>
        </w:tc>
        <w:tc>
          <w:tcPr>
            <w:tcW w:type="dxa" w:w="3168"/>
          </w:tcPr>
          <w:p>
            <w:r>
              <w:rPr>
                <w:sz w:val="16"/>
              </w:rPr>
            </w:r>
            <w:r>
              <w:rPr>
                <w:sz w:val="16"/>
              </w:rPr>
              <w:t>Expense-collection evidence</w:t>
            </w:r>
          </w:p>
        </w:tc>
      </w:tr>
      <w:tr>
        <w:tc>
          <w:tcPr>
            <w:tcW w:type="dxa" w:w="2592"/>
          </w:tcPr>
          <w:p>
            <w:r>
              <w:rPr>
                <w:sz w:val="16"/>
              </w:rPr>
            </w:r>
            <w:r>
              <w:rPr>
                <w:sz w:val="16"/>
              </w:rPr>
              <w:t>Satellite labs</w:t>
            </w:r>
          </w:p>
        </w:tc>
        <w:tc>
          <w:tcPr>
            <w:tcW w:type="dxa" w:w="3600"/>
          </w:tcPr>
          <w:p>
            <w:r>
              <w:rPr>
                <w:sz w:val="16"/>
              </w:rPr>
            </w:r>
            <w:r>
              <w:rPr>
                <w:sz w:val="16"/>
              </w:rPr>
              <w:t>Volume not quantified</w:t>
            </w:r>
          </w:p>
        </w:tc>
        <w:tc>
          <w:tcPr>
            <w:tcW w:type="dxa" w:w="3168"/>
          </w:tcPr>
          <w:p>
            <w:r>
              <w:rPr>
                <w:sz w:val="16"/>
              </w:rPr>
            </w:r>
            <w:r>
              <w:rPr>
                <w:sz w:val="16"/>
              </w:rPr>
              <w:t>Refund for non-compliant DHS (pre-2022 period especially)</w:t>
            </w:r>
          </w:p>
        </w:tc>
      </w:tr>
      <w:tr>
        <w:tc>
          <w:tcPr>
            <w:tcW w:type="dxa" w:w="2592"/>
          </w:tcPr>
          <w:p>
            <w:r>
              <w:rPr>
                <w:sz w:val="16"/>
              </w:rPr>
            </w:r>
            <w:r>
              <w:rPr>
                <w:sz w:val="16"/>
              </w:rPr>
              <w:t>IC radiologists</w:t>
            </w:r>
          </w:p>
        </w:tc>
        <w:tc>
          <w:tcPr>
            <w:tcW w:type="dxa" w:w="3600"/>
          </w:tcPr>
          <w:p>
            <w:r>
              <w:rPr>
                <w:sz w:val="16"/>
              </w:rPr>
            </w:r>
            <w:r>
              <w:rPr>
                <w:sz w:val="16"/>
              </w:rPr>
              <w:t>~30% of imaging reads</w:t>
            </w:r>
          </w:p>
        </w:tc>
        <w:tc>
          <w:tcPr>
            <w:tcW w:type="dxa" w:w="3168"/>
          </w:tcPr>
          <w:p>
            <w:r>
              <w:rPr>
                <w:sz w:val="16"/>
              </w:rPr>
            </w:r>
            <w:r>
              <w:rPr>
                <w:sz w:val="16"/>
              </w:rPr>
              <w:t>Anti-markup and IOASE overpayments</w:t>
            </w:r>
          </w:p>
        </w:tc>
      </w:tr>
      <w:tr>
        <w:tc>
          <w:tcPr>
            <w:tcW w:type="dxa" w:w="2592"/>
          </w:tcPr>
          <w:p>
            <w:r>
              <w:rPr>
                <w:sz w:val="16"/>
              </w:rPr>
            </w:r>
            <w:r>
              <w:rPr>
                <w:sz w:val="16"/>
              </w:rPr>
              <w:t>Member comp anomalies</w:t>
            </w:r>
          </w:p>
        </w:tc>
        <w:tc>
          <w:tcPr>
            <w:tcW w:type="dxa" w:w="3600"/>
          </w:tcPr>
          <w:p>
            <w:r>
              <w:rPr>
                <w:sz w:val="16"/>
              </w:rPr>
            </w:r>
            <w:r>
              <w:rPr>
                <w:sz w:val="16"/>
              </w:rPr>
              <w:t>Quality bonuses over cap: $38,250 (Stein $3,250; Narayan $35,000)</w:t>
            </w:r>
          </w:p>
        </w:tc>
        <w:tc>
          <w:tcPr>
            <w:tcW w:type="dxa" w:w="3168"/>
          </w:tcPr>
          <w:p>
            <w:r>
              <w:rPr>
                <w:sz w:val="16"/>
              </w:rPr>
            </w:r>
            <w:r>
              <w:rPr>
                <w:sz w:val="16"/>
              </w:rPr>
              <w:t>Governance; AKS optics; internal recovery</w:t>
            </w:r>
          </w:p>
        </w:tc>
      </w:tr>
    </w:tbl>
    <w:p/>
    <w:p>
      <w:pPr>
        <w:pStyle w:val="Heading1"/>
      </w:pPr>
      <w:r>
        <w:t>IX. Information and Documents Needed</w:t>
      </w:r>
    </w:p>
    <w:p>
      <w:pPr>
        <w:pStyle w:val="ListBullet"/>
      </w:pPr>
      <w:r>
        <w:t>Medicare and Medicaid claims data (2019–present) by CPT, site, ordering physician and billing NPI; RQB referral-tracking reports (all quarters); RQB payroll records 2022–present; any pre-2022 referral-based pay.</w:t>
      </w:r>
    </w:p>
    <w:p>
      <w:pPr>
        <w:pStyle w:val="ListBullet"/>
      </w:pPr>
      <w:r>
        <w:t>Compensation Committee and Compliance Committee minutes (Dec. 14, 2021 meeting; 2019–2024); history of OA § 7.5(c) and § 8.4 drafting and the Dec. 15, 2019 Member resolution.</w:t>
      </w:r>
    </w:p>
    <w:p>
      <w:pPr>
        <w:pStyle w:val="ListBullet"/>
      </w:pPr>
      <w:r>
        <w:t>All 35 employment agreements, the four IC radiologist agreements, CMS-855R reassignments, read-location logs and the anti-markup billing set-up.</w:t>
      </w:r>
    </w:p>
    <w:p>
      <w:pPr>
        <w:pStyle w:val="ListBullet"/>
      </w:pPr>
      <w:r>
        <w:t>Buckeye: complete OA with exhibits and amendments, capitalization and ownership ledger, distribution statements since 2016, quarterly Referral Percentage statements, claims by referring physician, any separately billed DHS, and the Medical Director’s time logs and committee minutes.</w:t>
      </w:r>
    </w:p>
    <w:p>
      <w:pPr>
        <w:pStyle w:val="ListBullet"/>
      </w:pPr>
      <w:r>
        <w:t>Greenfield Referral Credit calculations and quarterly CFO statements under OA § 8.4(c).</w:t>
      </w:r>
    </w:p>
    <w:p>
      <w:pPr>
        <w:pStyle w:val="ListBullet"/>
      </w:pPr>
      <w:r>
        <w:t>Fully executed leases (ClearView, Pinnacle, OHVA) with exhibits; operating-expense estimates, reconciliations and receipts; current occupancy and renewal status; full Lakeshore appraisal (not summary) and engagement letter.</w:t>
      </w:r>
    </w:p>
    <w:p>
      <w:pPr>
        <w:pStyle w:val="ListBullet"/>
      </w:pPr>
      <w:r>
        <w:t>Pinnacle courier manifests, routes and any communications; identification of any relationship between Sandra Cho and David Cho.</w:t>
      </w:r>
    </w:p>
    <w:p>
      <w:pPr>
        <w:pStyle w:val="ListBullet"/>
      </w:pPr>
      <w:r>
        <w:t>Satellite schedules, supervision logs, CLIA certificates and lab director designations for all 8 lab sites.</w:t>
      </w:r>
    </w:p>
    <w:p>
      <w:pPr>
        <w:pStyle w:val="ListBullet"/>
      </w:pPr>
      <w:r>
        <w:t>Hotline investigation files for #2023-07, #2023-11, #2023-13 and #2023-14; relator’s personnel file and termination documentation; source and seal status of the complaint.</w:t>
      </w:r>
    </w:p>
    <w:p>
      <w:pPr>
        <w:pStyle w:val="ListBullet"/>
      </w:pPr>
      <w:r>
        <w:t>Training records (2021–present), risk assessments, and the CCO’s October 2024 memorandum on the Compensation Committee charter.</w:t>
      </w:r>
    </w:p>
    <w:p>
      <w:pPr>
        <w:pStyle w:val="Heading1"/>
      </w:pPr>
      <w:r>
        <w:t>X. Conclusion</w:t>
      </w:r>
    </w:p>
    <w:p>
      <w:r>
        <w:t>Greenfield’s most serious Stark problem is self-inflicted and easy to see: a $150-per-referral bonus for employed physicians that counts referrals to Greenfield’s own laboratory and imaging services. That payment defeats the employment exception and very likely the group-practice definition on which the IOASE depends. The resulting exposure reaches every in-house DHS claim since January 2022. Several other arrangements compound the problem and the scienter case:</w:t>
      </w:r>
    </w:p>
    <w:p>
      <w:pPr>
        <w:pStyle w:val="ListBullet"/>
      </w:pPr>
      <w:r>
        <w:t>referral-weighted ASC returns;</w:t>
      </w:r>
    </w:p>
    <w:p>
      <w:pPr>
        <w:pStyle w:val="ListBullet"/>
      </w:pPr>
      <w:r>
        <w:t>a below-market laboratory lease supported by a stale and misdescribed appraisal;</w:t>
      </w:r>
    </w:p>
    <w:p>
      <w:pPr>
        <w:pStyle w:val="ListBullet"/>
      </w:pPr>
      <w:r>
        <w:t>free courier services from the same laboratory;</w:t>
      </w:r>
    </w:p>
    <w:p>
      <w:pPr>
        <w:pStyle w:val="ListBullet"/>
      </w:pPr>
      <w:r>
        <w:t>an unbenchmarked insider medical directorship;</w:t>
      </w:r>
    </w:p>
    <w:p>
      <w:pPr>
        <w:pStyle w:val="ListBullet"/>
      </w:pPr>
      <w:r>
        <w:t>satellite and contractor-radiologist IOASE gaps;</w:t>
      </w:r>
    </w:p>
    <w:p>
      <w:pPr>
        <w:pStyle w:val="ListBullet"/>
      </w:pPr>
      <w:r>
        <w:t>a compliance function that closed every Stark report without escalation.</w:t>
      </w:r>
    </w:p>
    <w:p>
      <w:r>
        <w:t>Some of the relator’s theories are overstated, notably ClearView and the Stark (as opposed to AKS) characterization of the Buckeye claims. Those weaknesses do not change the overall picture.</w:t>
      </w:r>
    </w:p>
    <w:p>
      <w:r>
        <w:t>We recommend that Greenfield immediately stop the referral-based payments, impose a litigation hold, place oversight with unconflicted decision-makers, and begin a privileged quantification. It should then make an informed, prompt disclosure decision in coordination with DOJ, and restructure each arrangement on documented FMV terms. We are available to prepare the special-committee resolution, the litigation-hold notice, the RQB suspension communication and the engagement letters for the forensic and valuation advisors.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Greenfield Health Partners — Stark Law Issues Memorandum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&amp; CONFIDENTIAL — ATTORNEY-CLIENT COMMUNICATION / ATTORNEY WORK PRODUCT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