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8"/>
        </w:rPr>
        <w:t>RIDGELINE &amp; HARKER LLP</w:t>
      </w:r>
    </w:p>
    <w:p>
      <w:pPr>
        <w:spacing w:after="160"/>
        <w:jc w:val="center"/>
      </w:pPr>
      <w:r>
        <w:rPr>
          <w:sz w:val="19"/>
        </w:rPr>
        <w:t>1750 K Street NW, Suite 800, Washington, DC 20006</w:t>
      </w:r>
    </w:p>
    <w:p>
      <w:pPr>
        <w:jc w:val="center"/>
      </w:pPr>
      <w:r>
        <w:rPr>
          <w:b/>
          <w:sz w:val="20"/>
        </w:rPr>
        <w:t>PRIVILEGED &amp; CONFIDENTIAL — ATTORNEY-CLIENT COMMUNICATION / ATTORNEY WORK PRODUCT</w:t>
      </w:r>
    </w:p>
    <w:p>
      <w:pPr>
        <w:jc w:val="center"/>
      </w:pPr>
      <w:r>
        <w:rPr>
          <w:b/>
          <w:sz w:val="26"/>
        </w:rPr>
        <w:t>MEMORANDUM</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D9E2F3"/>
          </w:tcPr>
          <w:p>
            <w:r/>
            <w:r>
              <w:rPr>
                <w:b/>
                <w:sz w:val="20"/>
              </w:rPr>
            </w:r>
          </w:p>
        </w:tc>
        <w:tc>
          <w:tcPr>
            <w:tcW w:type="dxa" w:w="8064"/>
            <w:shd w:val="clear" w:color="auto" w:fill="D9E2F3"/>
          </w:tcPr>
          <w:p>
            <w:r/>
            <w:r>
              <w:rPr>
                <w:b/>
                <w:sz w:val="20"/>
              </w:rPr>
            </w:r>
          </w:p>
        </w:tc>
      </w:tr>
      <w:tr>
        <w:tc>
          <w:tcPr>
            <w:tcW w:type="dxa" w:w="1296"/>
          </w:tcPr>
          <w:p>
            <w:pPr>
              <w:spacing w:after="20"/>
            </w:pPr>
            <w:r/>
            <w:r>
              <w:rPr>
                <w:b/>
                <w:sz w:val="20"/>
              </w:rPr>
              <w:t>TO:</w:t>
            </w:r>
          </w:p>
        </w:tc>
        <w:tc>
          <w:tcPr>
            <w:tcW w:type="dxa" w:w="8064"/>
          </w:tcPr>
          <w:p>
            <w:pPr>
              <w:spacing w:after="20"/>
            </w:pPr>
            <w:r/>
            <w:r>
              <w:rPr>
                <w:sz w:val="20"/>
              </w:rPr>
              <w:t>Katharine Morrissey, Partner, International Trade &amp; Export Controls Practice</w:t>
            </w:r>
          </w:p>
        </w:tc>
      </w:tr>
      <w:tr>
        <w:tc>
          <w:tcPr>
            <w:tcW w:type="dxa" w:w="1296"/>
          </w:tcPr>
          <w:p>
            <w:pPr>
              <w:spacing w:after="20"/>
            </w:pPr>
            <w:r/>
            <w:r>
              <w:rPr>
                <w:b/>
                <w:sz w:val="20"/>
              </w:rPr>
              <w:t>FROM:</w:t>
            </w:r>
          </w:p>
        </w:tc>
        <w:tc>
          <w:tcPr>
            <w:tcW w:type="dxa" w:w="8064"/>
          </w:tcPr>
          <w:p>
            <w:pPr>
              <w:spacing w:after="20"/>
            </w:pPr>
            <w:r/>
            <w:r>
              <w:rPr>
                <w:sz w:val="20"/>
              </w:rPr>
              <w:t>James Okonkwo, Senior Associate</w:t>
            </w:r>
          </w:p>
        </w:tc>
      </w:tr>
      <w:tr>
        <w:tc>
          <w:tcPr>
            <w:tcW w:type="dxa" w:w="1296"/>
          </w:tcPr>
          <w:p>
            <w:pPr>
              <w:spacing w:after="20"/>
            </w:pPr>
            <w:r/>
            <w:r>
              <w:rPr>
                <w:b/>
                <w:sz w:val="20"/>
              </w:rPr>
              <w:t>CC:</w:t>
            </w:r>
          </w:p>
        </w:tc>
        <w:tc>
          <w:tcPr>
            <w:tcW w:type="dxa" w:w="8064"/>
          </w:tcPr>
          <w:p>
            <w:pPr>
              <w:spacing w:after="20"/>
            </w:pPr>
            <w:r/>
            <w:r>
              <w:rPr>
                <w:sz w:val="20"/>
              </w:rPr>
              <w:t>File — Cascade Photonics, Inc. / BIS License Application (CP-640IR to Singapore)</w:t>
            </w:r>
          </w:p>
        </w:tc>
      </w:tr>
      <w:tr>
        <w:tc>
          <w:tcPr>
            <w:tcW w:type="dxa" w:w="1296"/>
          </w:tcPr>
          <w:p>
            <w:pPr>
              <w:spacing w:after="20"/>
            </w:pPr>
            <w:r/>
            <w:r>
              <w:rPr>
                <w:b/>
                <w:sz w:val="20"/>
              </w:rPr>
              <w:t>DATE:</w:t>
            </w:r>
          </w:p>
        </w:tc>
        <w:tc>
          <w:tcPr>
            <w:tcW w:type="dxa" w:w="8064"/>
          </w:tcPr>
          <w:p>
            <w:pPr>
              <w:spacing w:after="20"/>
            </w:pPr>
            <w:r/>
            <w:r>
              <w:rPr>
                <w:sz w:val="20"/>
              </w:rPr>
              <w:t>April 14, 2025</w:t>
            </w:r>
          </w:p>
        </w:tc>
      </w:tr>
      <w:tr>
        <w:tc>
          <w:tcPr>
            <w:tcW w:type="dxa" w:w="1296"/>
          </w:tcPr>
          <w:p>
            <w:pPr>
              <w:spacing w:after="20"/>
            </w:pPr>
            <w:r/>
            <w:r>
              <w:rPr>
                <w:b/>
                <w:sz w:val="20"/>
              </w:rPr>
              <w:t>RE:</w:t>
            </w:r>
          </w:p>
        </w:tc>
        <w:tc>
          <w:tcPr>
            <w:tcW w:type="dxa" w:w="8064"/>
          </w:tcPr>
          <w:p>
            <w:pPr>
              <w:spacing w:after="20"/>
            </w:pPr>
            <w:r/>
            <w:r>
              <w:rPr>
                <w:sz w:val="20"/>
              </w:rPr>
              <w:t>Pre-Filing Compliance Issues Memorandum — BIS Form BIS-748P Individual License Application, 24 CP-640IR Thermal Imaging Modules (ECCN 6A002.a.3 as self-classified), Stellar Defense Technologies Pte. Ltd. / MINDEF–RSN Sentinel-MDA Program, PO SDT-PO-2025-0042 ($1,140,000 CIF Singapore)</w:t>
            </w:r>
          </w:p>
        </w:tc>
      </w:tr>
    </w:tbl>
    <w:p>
      <w:pPr>
        <w:spacing w:after="40"/>
      </w:pPr>
    </w:p>
    <w:p>
      <w:pPr>
        <w:pStyle w:val="Heading1"/>
      </w:pPr>
      <w:r>
        <w:t>I. Bottom Line</w:t>
      </w:r>
    </w:p>
    <w:p>
      <w:pPr>
        <w:jc w:val="both"/>
      </w:pPr>
      <w:r>
        <w:t xml:space="preserve">The application package is </w:t>
      </w:r>
      <w:r>
        <w:rPr>
          <w:b/>
        </w:rPr>
        <w:t>not ready to file</w:t>
      </w:r>
      <w:r>
        <w:t xml:space="preserve"> on the April 25, 2025 target date in its current form. The underlying transaction — U.S.-origin MWIR thermal imaging modules for integration into Singapore Navy maritime surveillance turrets under a MINDEF/DSTA contract, to a repeat consignee with a clean licensing history — is a strong candidate for approval. However, the file contains (1) an </w:t>
      </w:r>
      <w:r>
        <w:rPr>
          <w:b/>
        </w:rPr>
        <w:t>unresolved diversion red flag</w:t>
      </w:r>
      <w:r>
        <w:t xml:space="preserve"> (the consignee's written inquiry about re-exporting the modules to a Myanmar company), (2) an </w:t>
      </w:r>
      <w:r>
        <w:rPr>
          <w:b/>
        </w:rPr>
        <w:t>end-use certificate that is defective on its face</w:t>
      </w:r>
      <w:r>
        <w:t xml:space="preserve"> (wrong quantity and value, incomplete consignee identification, and signed by a person the consignee's own board resolution does not authorize), (3) an </w:t>
      </w:r>
      <w:r>
        <w:rPr>
          <w:b/>
        </w:rPr>
        <w:t>Unverified List partial match closed out without documented due diligence</w:t>
      </w:r>
      <w:r>
        <w:t xml:space="preserve">, and (4) </w:t>
      </w:r>
      <w:r>
        <w:rPr>
          <w:b/>
        </w:rPr>
        <w:t>material errors in the regulatory analysis</w:t>
      </w:r>
      <w:r>
        <w:t xml:space="preserve"> that would otherwise be carried into the application (reasons for control, Singapore's Country Group, and the license exception rationale). Each of these, if filed as-is, risks a return-without-action, a referral-driven delay well beyond the August 15 delivery date, or — more seriously — a submission that BIS could view as incomplete or misleading under 15 C.F.R. § 764.2(g) and 18 U.S.C. § 1001.</w:t>
      </w:r>
    </w:p>
    <w:p>
      <w:pPr>
        <w:jc w:val="both"/>
      </w:pPr>
      <w:r>
        <w:t>All of the critical items are curable, most within one to two weeks if Cascade and SDT respond promptly. Our recommendation is: (a) hold filing until the four Critical items in Part III are closed; (b) file promptly thereafter with the corrected analysis and a narrative that affirmatively discloses and addresses the Myanmar inquiry; and (c) reset client expectations that the August 15 delivery date is at material risk. A draft supporting narrative reflecting the corrections recommended below is delivered separately (draft-application-narrative.docx), with bracketed placeholders for every fact that remains to be confirmed.</w:t>
      </w:r>
    </w:p>
    <w:p>
      <w:pPr>
        <w:pStyle w:val="Heading1"/>
      </w:pPr>
      <w:r>
        <w:t>II. Documents Reviewed and Transaction Summary</w:t>
      </w:r>
    </w:p>
    <w:p>
      <w:pPr>
        <w:jc w:val="both"/>
      </w:pPr>
      <w:r>
        <w:t>We reviewed the complete file transmitted by Gerald Ng (Export Compliance Officer): (1) Engagement Letter dated April 7, 2025; (2) Draft BIS-748P Application Outline prepared by G. Ng, dated April 10, 2025 ("Outline"); (3) CP-640IR Technical Data Sheet, Doc. No. CPI-TDS-640IR-Rev.C (January 2025) ("TDS"); (4) Purchase Order SDT-PO-2025-0042 dated March 3, 2025 ("PO"); (5) SDT End-Use Certificate No. SDT-EUC-2025-008 dated March 20, 2025 ("EUC"); (6) SDT Board Resolution dated January 15, 2025 ("Resolution"); (7) Cascade internal Restricted Party Screening and Prior License Utilization memorandum dated April 1, 2025 ("Screening Memo"); and (8) the Cascade–SDT email chain from March 5 through April 4, 2025 ("Emails").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9"/>
              </w:rPr>
              <w:t>Element</w:t>
            </w:r>
          </w:p>
        </w:tc>
        <w:tc>
          <w:tcPr>
            <w:tcW w:type="dxa" w:w="5616"/>
            <w:shd w:val="clear" w:color="auto" w:fill="D9E2F3"/>
          </w:tcPr>
          <w:p>
            <w:r/>
            <w:r>
              <w:rPr>
                <w:b/>
                <w:sz w:val="19"/>
              </w:rPr>
              <w:t>As stated in the file</w:t>
            </w:r>
          </w:p>
        </w:tc>
        <w:tc>
          <w:tcPr>
            <w:tcW w:type="dxa" w:w="1872"/>
            <w:shd w:val="clear" w:color="auto" w:fill="D9E2F3"/>
          </w:tcPr>
          <w:p>
            <w:r/>
            <w:r>
              <w:rPr>
                <w:b/>
                <w:sz w:val="19"/>
              </w:rPr>
              <w:t>Source</w:t>
            </w:r>
          </w:p>
        </w:tc>
      </w:tr>
      <w:tr>
        <w:tc>
          <w:tcPr>
            <w:tcW w:type="dxa" w:w="1872"/>
          </w:tcPr>
          <w:p>
            <w:pPr>
              <w:spacing w:after="20"/>
            </w:pPr>
            <w:r/>
            <w:r>
              <w:rPr>
                <w:sz w:val="19"/>
              </w:rPr>
              <w:t>Applicant / exporter</w:t>
            </w:r>
          </w:p>
        </w:tc>
        <w:tc>
          <w:tcPr>
            <w:tcW w:type="dxa" w:w="5616"/>
          </w:tcPr>
          <w:p>
            <w:pPr>
              <w:spacing w:after="20"/>
            </w:pPr>
            <w:r/>
            <w:r>
              <w:rPr>
                <w:sz w:val="19"/>
              </w:rPr>
              <w:t>Cascade Photonics, Inc. (DE corp.), 4100 Meridian Parkway, Ste 300, Tucson, AZ 85718; EIN 84-2917453</w:t>
            </w:r>
          </w:p>
        </w:tc>
        <w:tc>
          <w:tcPr>
            <w:tcW w:type="dxa" w:w="1872"/>
          </w:tcPr>
          <w:p>
            <w:pPr>
              <w:spacing w:after="20"/>
            </w:pPr>
            <w:r/>
            <w:r>
              <w:rPr>
                <w:sz w:val="19"/>
              </w:rPr>
              <w:t>Outline §1; PO §1</w:t>
            </w:r>
          </w:p>
        </w:tc>
      </w:tr>
      <w:tr>
        <w:tc>
          <w:tcPr>
            <w:tcW w:type="dxa" w:w="1872"/>
          </w:tcPr>
          <w:p>
            <w:pPr>
              <w:spacing w:after="20"/>
            </w:pPr>
            <w:r/>
            <w:r>
              <w:rPr>
                <w:sz w:val="19"/>
              </w:rPr>
              <w:t>Item</w:t>
            </w:r>
          </w:p>
        </w:tc>
        <w:tc>
          <w:tcPr>
            <w:tcW w:type="dxa" w:w="5616"/>
          </w:tcPr>
          <w:p>
            <w:pPr>
              <w:spacing w:after="20"/>
            </w:pPr>
            <w:r/>
            <w:r>
              <w:rPr>
                <w:sz w:val="19"/>
              </w:rPr>
              <w:t>CP-640IR Thermal Imaging Module: 640×512 InSb FPA, 3–5 μm MWIR, 15 μm pitch, NETD 18 mK @ f/4.0, up to 120 Hz (240 Hz windowed), integrated Stirling microcooler, Camera Link output</w:t>
            </w:r>
          </w:p>
        </w:tc>
        <w:tc>
          <w:tcPr>
            <w:tcW w:type="dxa" w:w="1872"/>
          </w:tcPr>
          <w:p>
            <w:pPr>
              <w:spacing w:after="20"/>
            </w:pPr>
            <w:r/>
            <w:r>
              <w:rPr>
                <w:sz w:val="19"/>
              </w:rPr>
              <w:t>TDS §§3–4; PO §4</w:t>
            </w:r>
          </w:p>
        </w:tc>
      </w:tr>
      <w:tr>
        <w:tc>
          <w:tcPr>
            <w:tcW w:type="dxa" w:w="1872"/>
          </w:tcPr>
          <w:p>
            <w:pPr>
              <w:spacing w:after="20"/>
            </w:pPr>
            <w:r/>
            <w:r>
              <w:rPr>
                <w:sz w:val="19"/>
              </w:rPr>
              <w:t>Classification</w:t>
            </w:r>
          </w:p>
        </w:tc>
        <w:tc>
          <w:tcPr>
            <w:tcW w:type="dxa" w:w="5616"/>
          </w:tcPr>
          <w:p>
            <w:pPr>
              <w:spacing w:after="20"/>
            </w:pPr>
            <w:r/>
            <w:r>
              <w:rPr>
                <w:sz w:val="19"/>
              </w:rPr>
              <w:t>ECCN 6A002.a.3 (self-classified; no CCATS); stated reasons for control NS, MT, AT; HTS 9027.50.4044</w:t>
            </w:r>
          </w:p>
        </w:tc>
        <w:tc>
          <w:tcPr>
            <w:tcW w:type="dxa" w:w="1872"/>
          </w:tcPr>
          <w:p>
            <w:pPr>
              <w:spacing w:after="20"/>
            </w:pPr>
            <w:r/>
            <w:r>
              <w:rPr>
                <w:sz w:val="19"/>
              </w:rPr>
              <w:t>TDS §8; Outline §2</w:t>
            </w:r>
          </w:p>
        </w:tc>
      </w:tr>
      <w:tr>
        <w:tc>
          <w:tcPr>
            <w:tcW w:type="dxa" w:w="1872"/>
          </w:tcPr>
          <w:p>
            <w:pPr>
              <w:spacing w:after="20"/>
            </w:pPr>
            <w:r/>
            <w:r>
              <w:rPr>
                <w:sz w:val="19"/>
              </w:rPr>
              <w:t>Quantity / value</w:t>
            </w:r>
          </w:p>
        </w:tc>
        <w:tc>
          <w:tcPr>
            <w:tcW w:type="dxa" w:w="5616"/>
          </w:tcPr>
          <w:p>
            <w:pPr>
              <w:spacing w:after="20"/>
            </w:pPr>
            <w:r/>
            <w:r>
              <w:rPr>
                <w:sz w:val="19"/>
              </w:rPr>
              <w:t>24 units × $47,500 = $1,140,000 CIF Singapore</w:t>
            </w:r>
          </w:p>
        </w:tc>
        <w:tc>
          <w:tcPr>
            <w:tcW w:type="dxa" w:w="1872"/>
          </w:tcPr>
          <w:p>
            <w:pPr>
              <w:spacing w:after="20"/>
            </w:pPr>
            <w:r/>
            <w:r>
              <w:rPr>
                <w:sz w:val="19"/>
              </w:rPr>
              <w:t>PO §4 (EUC states 20 units / $950,000)</w:t>
            </w:r>
          </w:p>
        </w:tc>
      </w:tr>
      <w:tr>
        <w:tc>
          <w:tcPr>
            <w:tcW w:type="dxa" w:w="1872"/>
          </w:tcPr>
          <w:p>
            <w:pPr>
              <w:spacing w:after="20"/>
            </w:pPr>
            <w:r/>
            <w:r>
              <w:rPr>
                <w:sz w:val="19"/>
              </w:rPr>
              <w:t>Purchaser / consignee</w:t>
            </w:r>
          </w:p>
        </w:tc>
        <w:tc>
          <w:tcPr>
            <w:tcW w:type="dxa" w:w="5616"/>
          </w:tcPr>
          <w:p>
            <w:pPr>
              <w:spacing w:after="20"/>
            </w:pPr>
            <w:r/>
            <w:r>
              <w:rPr>
                <w:sz w:val="19"/>
              </w:rPr>
              <w:t>Stellar Defense Technologies Pte. Ltd. (UEN 201809234K), 8 Changi Business Park Ave 1, #04-12, Singapore 486018</w:t>
            </w:r>
          </w:p>
        </w:tc>
        <w:tc>
          <w:tcPr>
            <w:tcW w:type="dxa" w:w="1872"/>
          </w:tcPr>
          <w:p>
            <w:pPr>
              <w:spacing w:after="20"/>
            </w:pPr>
            <w:r/>
            <w:r>
              <w:rPr>
                <w:sz w:val="19"/>
              </w:rPr>
              <w:t>PO §2</w:t>
            </w:r>
          </w:p>
        </w:tc>
      </w:tr>
      <w:tr>
        <w:tc>
          <w:tcPr>
            <w:tcW w:type="dxa" w:w="1872"/>
          </w:tcPr>
          <w:p>
            <w:pPr>
              <w:spacing w:after="20"/>
            </w:pPr>
            <w:r/>
            <w:r>
              <w:rPr>
                <w:sz w:val="19"/>
              </w:rPr>
              <w:t>End user</w:t>
            </w:r>
          </w:p>
        </w:tc>
        <w:tc>
          <w:tcPr>
            <w:tcW w:type="dxa" w:w="5616"/>
          </w:tcPr>
          <w:p>
            <w:pPr>
              <w:spacing w:after="20"/>
            </w:pPr>
            <w:r/>
            <w:r>
              <w:rPr>
                <w:sz w:val="19"/>
              </w:rPr>
              <w:t>MINDEF, through DSTA (Contract MINDEF/DSTA-2024-EO-0387); operational user Republic of Singapore Navy; POC Col. Darren Chua Beng Huat</w:t>
            </w:r>
          </w:p>
        </w:tc>
        <w:tc>
          <w:tcPr>
            <w:tcW w:type="dxa" w:w="1872"/>
          </w:tcPr>
          <w:p>
            <w:pPr>
              <w:spacing w:after="20"/>
            </w:pPr>
            <w:r/>
            <w:r>
              <w:rPr>
                <w:sz w:val="19"/>
              </w:rPr>
              <w:t>PO §3; EUC §§4–5</w:t>
            </w:r>
          </w:p>
        </w:tc>
      </w:tr>
      <w:tr>
        <w:tc>
          <w:tcPr>
            <w:tcW w:type="dxa" w:w="1872"/>
          </w:tcPr>
          <w:p>
            <w:pPr>
              <w:spacing w:after="20"/>
            </w:pPr>
            <w:r/>
            <w:r>
              <w:rPr>
                <w:sz w:val="19"/>
              </w:rPr>
              <w:t>End use</w:t>
            </w:r>
          </w:p>
        </w:tc>
        <w:tc>
          <w:tcPr>
            <w:tcW w:type="dxa" w:w="5616"/>
          </w:tcPr>
          <w:p>
            <w:pPr>
              <w:spacing w:after="20"/>
            </w:pPr>
            <w:r/>
            <w:r>
              <w:rPr>
                <w:sz w:val="19"/>
              </w:rPr>
              <w:t>Integration into SDT's Sentinel-MDA stabilized EO/IR turret for RSN patrol vessels (maritime surveillance / coastal defense)</w:t>
            </w:r>
          </w:p>
        </w:tc>
        <w:tc>
          <w:tcPr>
            <w:tcW w:type="dxa" w:w="1872"/>
          </w:tcPr>
          <w:p>
            <w:pPr>
              <w:spacing w:after="20"/>
            </w:pPr>
            <w:r/>
            <w:r>
              <w:rPr>
                <w:sz w:val="19"/>
              </w:rPr>
              <w:t>PO §3; EUC §4</w:t>
            </w:r>
          </w:p>
        </w:tc>
      </w:tr>
      <w:tr>
        <w:tc>
          <w:tcPr>
            <w:tcW w:type="dxa" w:w="1872"/>
          </w:tcPr>
          <w:p>
            <w:pPr>
              <w:spacing w:after="20"/>
            </w:pPr>
            <w:r/>
            <w:r>
              <w:rPr>
                <w:sz w:val="19"/>
              </w:rPr>
              <w:t>Other parties</w:t>
            </w:r>
          </w:p>
        </w:tc>
        <w:tc>
          <w:tcPr>
            <w:tcW w:type="dxa" w:w="5616"/>
          </w:tcPr>
          <w:p>
            <w:pPr>
              <w:spacing w:after="20"/>
            </w:pPr>
            <w:r/>
            <w:r>
              <w:rPr>
                <w:sz w:val="19"/>
              </w:rPr>
              <w:t>Pinehurst Consulting Group (U.S. freight forwarder, Long Beach, CA); Eastbridge Commercial Bank (L/C issuing bank, Singapore)</w:t>
            </w:r>
          </w:p>
        </w:tc>
        <w:tc>
          <w:tcPr>
            <w:tcW w:type="dxa" w:w="1872"/>
          </w:tcPr>
          <w:p>
            <w:pPr>
              <w:spacing w:after="20"/>
            </w:pPr>
            <w:r/>
            <w:r>
              <w:rPr>
                <w:sz w:val="19"/>
              </w:rPr>
              <w:t>PO §§5–6</w:t>
            </w:r>
          </w:p>
        </w:tc>
      </w:tr>
      <w:tr>
        <w:tc>
          <w:tcPr>
            <w:tcW w:type="dxa" w:w="1872"/>
          </w:tcPr>
          <w:p>
            <w:pPr>
              <w:spacing w:after="20"/>
            </w:pPr>
            <w:r/>
            <w:r>
              <w:rPr>
                <w:sz w:val="19"/>
              </w:rPr>
              <w:t>Prior license</w:t>
            </w:r>
          </w:p>
        </w:tc>
        <w:tc>
          <w:tcPr>
            <w:tcW w:type="dxa" w:w="5616"/>
          </w:tcPr>
          <w:p>
            <w:pPr>
              <w:spacing w:after="20"/>
            </w:pPr>
            <w:r/>
            <w:r>
              <w:rPr>
                <w:sz w:val="19"/>
              </w:rPr>
              <w:t>D-598712 (approved 9/14/2023; expires 9/14/2025): 15 units; 12 shipped (8 on 1/22/2024; 4 on 6/10/2024); 3 remain; prior contract MINDEF/DSTA-2022-EO-0215</w:t>
            </w:r>
          </w:p>
        </w:tc>
        <w:tc>
          <w:tcPr>
            <w:tcW w:type="dxa" w:w="1872"/>
          </w:tcPr>
          <w:p>
            <w:pPr>
              <w:spacing w:after="20"/>
            </w:pPr>
            <w:r/>
            <w:r>
              <w:rPr>
                <w:sz w:val="19"/>
              </w:rPr>
              <w:t>Screening Memo §5; PO §7</w:t>
            </w:r>
          </w:p>
        </w:tc>
      </w:tr>
      <w:tr>
        <w:tc>
          <w:tcPr>
            <w:tcW w:type="dxa" w:w="1872"/>
          </w:tcPr>
          <w:p>
            <w:pPr>
              <w:spacing w:after="20"/>
            </w:pPr>
            <w:r/>
            <w:r>
              <w:rPr>
                <w:sz w:val="19"/>
              </w:rPr>
              <w:t>Timing</w:t>
            </w:r>
          </w:p>
        </w:tc>
        <w:tc>
          <w:tcPr>
            <w:tcW w:type="dxa" w:w="5616"/>
          </w:tcPr>
          <w:p>
            <w:pPr>
              <w:spacing w:after="20"/>
            </w:pPr>
            <w:r/>
            <w:r>
              <w:rPr>
                <w:sz w:val="19"/>
              </w:rPr>
              <w:t>Target filing April 25, 2025; requested delivery no later than August 15, 2025</w:t>
            </w:r>
          </w:p>
        </w:tc>
        <w:tc>
          <w:tcPr>
            <w:tcW w:type="dxa" w:w="1872"/>
          </w:tcPr>
          <w:p>
            <w:pPr>
              <w:spacing w:after="20"/>
            </w:pPr>
            <w:r/>
            <w:r>
              <w:rPr>
                <w:sz w:val="19"/>
              </w:rPr>
              <w:t>Engagement Letter §1; PO §5</w:t>
            </w:r>
          </w:p>
        </w:tc>
      </w:tr>
    </w:tbl>
    <w:p>
      <w:pPr>
        <w:spacing w:after="40"/>
      </w:pPr>
    </w:p>
    <w:p>
      <w:pPr>
        <w:pStyle w:val="Heading1"/>
      </w:pPr>
      <w:r>
        <w:t>III. Issues Summary</w:t>
      </w:r>
    </w:p>
    <w:p>
      <w:r>
        <w:rPr>
          <w:i/>
        </w:rPr>
        <w:t xml:space="preserve">Priority key: </w:t>
      </w:r>
      <w:r>
        <w:rPr>
          <w:b/>
          <w:i/>
        </w:rPr>
        <w:t>Critical</w:t>
      </w:r>
      <w:r>
        <w:rPr>
          <w:i/>
        </w:rPr>
        <w:t xml:space="preserve"> = must be resolved before filing; </w:t>
      </w:r>
      <w:r>
        <w:rPr>
          <w:b/>
          <w:i/>
        </w:rPr>
        <w:t>High</w:t>
      </w:r>
      <w:r>
        <w:rPr>
          <w:i/>
        </w:rPr>
        <w:t xml:space="preserve"> = should be resolved before filing or the application will be materially weaker or inaccurate; </w:t>
      </w:r>
      <w:r>
        <w:rPr>
          <w:b/>
          <w:i/>
        </w:rPr>
        <w:t>Medium</w:t>
      </w:r>
      <w:r>
        <w:rPr>
          <w:i/>
        </w:rPr>
        <w:t xml:space="preserve"> = resolve before filing if possible, otherwise address in the narrative or post-filing; </w:t>
      </w:r>
      <w:r>
        <w:rPr>
          <w:b/>
          <w:i/>
        </w:rPr>
        <w:t>Low</w:t>
      </w:r>
      <w:r>
        <w:rPr>
          <w:i/>
        </w:rPr>
        <w:t xml:space="preserve"> = clean-up / housekeeping.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E2F3"/>
          </w:tcPr>
          <w:p>
            <w:r/>
            <w:r>
              <w:rPr>
                <w:b/>
                <w:sz w:val="18"/>
              </w:rPr>
              <w:t>#</w:t>
            </w:r>
          </w:p>
        </w:tc>
        <w:tc>
          <w:tcPr>
            <w:tcW w:type="dxa" w:w="1152"/>
            <w:shd w:val="clear" w:color="auto" w:fill="D9E2F3"/>
          </w:tcPr>
          <w:p>
            <w:r/>
            <w:r>
              <w:rPr>
                <w:b/>
                <w:sz w:val="18"/>
              </w:rPr>
              <w:t>Priority</w:t>
            </w:r>
          </w:p>
        </w:tc>
        <w:tc>
          <w:tcPr>
            <w:tcW w:type="dxa" w:w="4032"/>
            <w:shd w:val="clear" w:color="auto" w:fill="D9E2F3"/>
          </w:tcPr>
          <w:p>
            <w:r/>
            <w:r>
              <w:rPr>
                <w:b/>
                <w:sz w:val="18"/>
              </w:rPr>
              <w:t>Issue</w:t>
            </w:r>
          </w:p>
        </w:tc>
        <w:tc>
          <w:tcPr>
            <w:tcW w:type="dxa" w:w="3744"/>
            <w:shd w:val="clear" w:color="auto" w:fill="D9E2F3"/>
          </w:tcPr>
          <w:p>
            <w:r/>
            <w:r>
              <w:rPr>
                <w:b/>
                <w:sz w:val="18"/>
              </w:rPr>
              <w:t>Required action (owner)</w:t>
            </w:r>
          </w:p>
        </w:tc>
      </w:tr>
      <w:tr>
        <w:tc>
          <w:tcPr>
            <w:tcW w:type="dxa" w:w="432"/>
          </w:tcPr>
          <w:p>
            <w:pPr>
              <w:spacing w:after="20"/>
            </w:pPr>
            <w:r/>
            <w:r>
              <w:rPr>
                <w:sz w:val="18"/>
              </w:rPr>
              <w:t>1</w:t>
            </w:r>
          </w:p>
        </w:tc>
        <w:tc>
          <w:tcPr>
            <w:tcW w:type="dxa" w:w="1152"/>
          </w:tcPr>
          <w:p>
            <w:pPr>
              <w:spacing w:after="20"/>
            </w:pPr>
            <w:r/>
            <w:r>
              <w:rPr>
                <w:b/>
                <w:sz w:val="18"/>
              </w:rPr>
              <w:t>Critical</w:t>
            </w:r>
          </w:p>
        </w:tc>
        <w:tc>
          <w:tcPr>
            <w:tcW w:type="dxa" w:w="4032"/>
          </w:tcPr>
          <w:p>
            <w:pPr>
              <w:spacing w:after="20"/>
            </w:pPr>
            <w:r/>
            <w:r>
              <w:rPr>
                <w:sz w:val="18"/>
              </w:rPr>
              <w:t>Myanmar re-export/transfer inquiry (Myitkyina Optical Systems) — unresolved diversion red flag</w:t>
            </w:r>
          </w:p>
        </w:tc>
        <w:tc>
          <w:tcPr>
            <w:tcW w:type="dxa" w:w="3744"/>
          </w:tcPr>
          <w:p>
            <w:pPr>
              <w:spacing w:after="20"/>
            </w:pPr>
            <w:r/>
            <w:r>
              <w:rPr>
                <w:sz w:val="18"/>
              </w:rPr>
              <w:t>Escalate to client CEO; obtain SDT written repudiation and enhanced undertakings; screen Myitkyina; disclose and address in narrative (Cascade / R&amp;H)</w:t>
            </w:r>
          </w:p>
        </w:tc>
      </w:tr>
      <w:tr>
        <w:tc>
          <w:tcPr>
            <w:tcW w:type="dxa" w:w="432"/>
          </w:tcPr>
          <w:p>
            <w:pPr>
              <w:spacing w:after="20"/>
            </w:pPr>
            <w:r/>
            <w:r>
              <w:rPr>
                <w:sz w:val="18"/>
              </w:rPr>
              <w:t>2</w:t>
            </w:r>
          </w:p>
        </w:tc>
        <w:tc>
          <w:tcPr>
            <w:tcW w:type="dxa" w:w="1152"/>
          </w:tcPr>
          <w:p>
            <w:pPr>
              <w:spacing w:after="20"/>
            </w:pPr>
            <w:r/>
            <w:r>
              <w:rPr>
                <w:b/>
                <w:sz w:val="18"/>
              </w:rPr>
              <w:t>Critical</w:t>
            </w:r>
          </w:p>
        </w:tc>
        <w:tc>
          <w:tcPr>
            <w:tcW w:type="dxa" w:w="4032"/>
          </w:tcPr>
          <w:p>
            <w:pPr>
              <w:spacing w:after="20"/>
            </w:pPr>
            <w:r/>
            <w:r>
              <w:rPr>
                <w:sz w:val="18"/>
              </w:rPr>
              <w:t>EUC defective: 20 units/$950,000 vs. 24/$1,140,000; incomplete consignee name, no UEN or full address; signed by unauthorized signatory</w:t>
            </w:r>
          </w:p>
        </w:tc>
        <w:tc>
          <w:tcPr>
            <w:tcW w:type="dxa" w:w="3744"/>
          </w:tcPr>
          <w:p>
            <w:pPr>
              <w:spacing w:after="20"/>
            </w:pPr>
            <w:r/>
            <w:r>
              <w:rPr>
                <w:sz w:val="18"/>
              </w:rPr>
              <w:t>Obtain re-executed EUC signed by Lim Wei Keat or Ng Chee Wai, conforming to PO (SDT via Cascade)</w:t>
            </w:r>
          </w:p>
        </w:tc>
      </w:tr>
      <w:tr>
        <w:tc>
          <w:tcPr>
            <w:tcW w:type="dxa" w:w="432"/>
          </w:tcPr>
          <w:p>
            <w:pPr>
              <w:spacing w:after="20"/>
            </w:pPr>
            <w:r/>
            <w:r>
              <w:rPr>
                <w:sz w:val="18"/>
              </w:rPr>
              <w:t>3</w:t>
            </w:r>
          </w:p>
        </w:tc>
        <w:tc>
          <w:tcPr>
            <w:tcW w:type="dxa" w:w="1152"/>
          </w:tcPr>
          <w:p>
            <w:pPr>
              <w:spacing w:after="20"/>
            </w:pPr>
            <w:r/>
            <w:r>
              <w:rPr>
                <w:b/>
                <w:sz w:val="18"/>
              </w:rPr>
              <w:t>Critical</w:t>
            </w:r>
          </w:p>
        </w:tc>
        <w:tc>
          <w:tcPr>
            <w:tcW w:type="dxa" w:w="4032"/>
          </w:tcPr>
          <w:p>
            <w:pPr>
              <w:spacing w:after="20"/>
            </w:pPr>
            <w:r/>
            <w:r>
              <w:rPr>
                <w:sz w:val="18"/>
              </w:rPr>
              <w:t>Unverified List partial match ("Stellar Defence Systems Pte Ltd") closed as false positive without documented analysis; inaccurately reported to SDT as "no hits"</w:t>
            </w:r>
          </w:p>
        </w:tc>
        <w:tc>
          <w:tcPr>
            <w:tcW w:type="dxa" w:w="3744"/>
          </w:tcPr>
          <w:p>
            <w:pPr>
              <w:spacing w:after="20"/>
            </w:pPr>
            <w:r/>
            <w:r>
              <w:rPr>
                <w:sz w:val="18"/>
              </w:rPr>
              <w:t>Document UVL comparison (name, address, UEN, ACRA records, affiliation); written SDT confirmation of no affiliation (Cascade / R&amp;H)</w:t>
            </w:r>
          </w:p>
        </w:tc>
      </w:tr>
      <w:tr>
        <w:tc>
          <w:tcPr>
            <w:tcW w:type="dxa" w:w="432"/>
          </w:tcPr>
          <w:p>
            <w:pPr>
              <w:spacing w:after="20"/>
            </w:pPr>
            <w:r/>
            <w:r>
              <w:rPr>
                <w:sz w:val="18"/>
              </w:rPr>
              <w:t>4</w:t>
            </w:r>
          </w:p>
        </w:tc>
        <w:tc>
          <w:tcPr>
            <w:tcW w:type="dxa" w:w="1152"/>
          </w:tcPr>
          <w:p>
            <w:pPr>
              <w:spacing w:after="20"/>
            </w:pPr>
            <w:r/>
            <w:r>
              <w:rPr>
                <w:b/>
                <w:sz w:val="18"/>
              </w:rPr>
              <w:t>Critical</w:t>
            </w:r>
          </w:p>
        </w:tc>
        <w:tc>
          <w:tcPr>
            <w:tcW w:type="dxa" w:w="4032"/>
          </w:tcPr>
          <w:p>
            <w:pPr>
              <w:spacing w:after="20"/>
            </w:pPr>
            <w:r/>
            <w:r>
              <w:rPr>
                <w:sz w:val="18"/>
              </w:rPr>
              <w:t>Reasons for control, Country Group, and license exception analysis are wrong (MT; Singapore not A:1; RS omitted; STA/GOV rationale)</w:t>
            </w:r>
          </w:p>
        </w:tc>
        <w:tc>
          <w:tcPr>
            <w:tcW w:type="dxa" w:w="3744"/>
          </w:tcPr>
          <w:p>
            <w:pPr>
              <w:spacing w:after="20"/>
            </w:pPr>
            <w:r/>
            <w:r>
              <w:rPr>
                <w:sz w:val="18"/>
              </w:rPr>
              <w:t>Correct in application and narrative; Cascade engineering to confirm 6A102 parameters (R&amp;H / Cascade engineering)</w:t>
            </w:r>
          </w:p>
        </w:tc>
      </w:tr>
      <w:tr>
        <w:tc>
          <w:tcPr>
            <w:tcW w:type="dxa" w:w="432"/>
          </w:tcPr>
          <w:p>
            <w:pPr>
              <w:spacing w:after="20"/>
            </w:pPr>
            <w:r/>
            <w:r>
              <w:rPr>
                <w:sz w:val="18"/>
              </w:rPr>
              <w:t>5</w:t>
            </w:r>
          </w:p>
        </w:tc>
        <w:tc>
          <w:tcPr>
            <w:tcW w:type="dxa" w:w="1152"/>
          </w:tcPr>
          <w:p>
            <w:pPr>
              <w:spacing w:after="20"/>
            </w:pPr>
            <w:r/>
            <w:r>
              <w:rPr>
                <w:b/>
                <w:sz w:val="18"/>
              </w:rPr>
              <w:t>High</w:t>
            </w:r>
          </w:p>
        </w:tc>
        <w:tc>
          <w:tcPr>
            <w:tcW w:type="dxa" w:w="4032"/>
          </w:tcPr>
          <w:p>
            <w:pPr>
              <w:spacing w:after="20"/>
            </w:pPr>
            <w:r/>
            <w:r>
              <w:rPr>
                <w:sz w:val="18"/>
              </w:rPr>
              <w:t>Classification rationale relies on parameters that are not 6A002.a.3 criteria; item may be a 6A003.b.4 "imaging camera"; jurisdictional (USML Cat. XII) order-of-review not documented</w:t>
            </w:r>
          </w:p>
        </w:tc>
        <w:tc>
          <w:tcPr>
            <w:tcW w:type="dxa" w:w="3744"/>
          </w:tcPr>
          <w:p>
            <w:pPr>
              <w:spacing w:after="20"/>
            </w:pPr>
            <w:r/>
            <w:r>
              <w:rPr>
                <w:sz w:val="18"/>
              </w:rPr>
              <w:t>Engineering re-review and written classification memo; consider CCATS/CJ under separate engagement (Cascade / R&amp;H)</w:t>
            </w:r>
          </w:p>
        </w:tc>
      </w:tr>
      <w:tr>
        <w:tc>
          <w:tcPr>
            <w:tcW w:type="dxa" w:w="432"/>
          </w:tcPr>
          <w:p>
            <w:pPr>
              <w:spacing w:after="20"/>
            </w:pPr>
            <w:r/>
            <w:r>
              <w:rPr>
                <w:sz w:val="18"/>
              </w:rPr>
              <w:t>6</w:t>
            </w:r>
          </w:p>
        </w:tc>
        <w:tc>
          <w:tcPr>
            <w:tcW w:type="dxa" w:w="1152"/>
          </w:tcPr>
          <w:p>
            <w:pPr>
              <w:spacing w:after="20"/>
            </w:pPr>
            <w:r/>
            <w:r>
              <w:rPr>
                <w:b/>
                <w:sz w:val="18"/>
              </w:rPr>
              <w:t>High</w:t>
            </w:r>
          </w:p>
        </w:tc>
        <w:tc>
          <w:tcPr>
            <w:tcW w:type="dxa" w:w="4032"/>
          </w:tcPr>
          <w:p>
            <w:pPr>
              <w:spacing w:after="20"/>
            </w:pPr>
            <w:r/>
            <w:r>
              <w:rPr>
                <w:sz w:val="18"/>
              </w:rPr>
              <w:t>Screening incomplete: Pinehurst Consulting Group and Myitkyina not screened; screening will be stale at filing and shipment</w:t>
            </w:r>
          </w:p>
        </w:tc>
        <w:tc>
          <w:tcPr>
            <w:tcW w:type="dxa" w:w="3744"/>
          </w:tcPr>
          <w:p>
            <w:pPr>
              <w:spacing w:after="20"/>
            </w:pPr>
            <w:r/>
            <w:r>
              <w:rPr>
                <w:sz w:val="18"/>
              </w:rPr>
              <w:t>Rescreen all parties immediately before filing and before each shipment (Cascade)</w:t>
            </w:r>
          </w:p>
        </w:tc>
      </w:tr>
      <w:tr>
        <w:tc>
          <w:tcPr>
            <w:tcW w:type="dxa" w:w="432"/>
          </w:tcPr>
          <w:p>
            <w:pPr>
              <w:spacing w:after="20"/>
            </w:pPr>
            <w:r/>
            <w:r>
              <w:rPr>
                <w:sz w:val="18"/>
              </w:rPr>
              <w:t>7</w:t>
            </w:r>
          </w:p>
        </w:tc>
        <w:tc>
          <w:tcPr>
            <w:tcW w:type="dxa" w:w="1152"/>
          </w:tcPr>
          <w:p>
            <w:pPr>
              <w:spacing w:after="20"/>
            </w:pPr>
            <w:r/>
            <w:r>
              <w:rPr>
                <w:b/>
                <w:sz w:val="18"/>
              </w:rPr>
              <w:t>High</w:t>
            </w:r>
          </w:p>
        </w:tc>
        <w:tc>
          <w:tcPr>
            <w:tcW w:type="dxa" w:w="4032"/>
          </w:tcPr>
          <w:p>
            <w:pPr>
              <w:spacing w:after="20"/>
            </w:pPr>
            <w:r/>
            <w:r>
              <w:rPr>
                <w:sz w:val="18"/>
              </w:rPr>
              <w:t>Party roles mis-assigned (SDT as "intermediate consignee"); "no other parties"; MINDEF address unconfirmed; PO allows unilateral change of delivery address</w:t>
            </w:r>
          </w:p>
        </w:tc>
        <w:tc>
          <w:tcPr>
            <w:tcW w:type="dxa" w:w="3744"/>
          </w:tcPr>
          <w:p>
            <w:pPr>
              <w:spacing w:after="20"/>
            </w:pPr>
            <w:r/>
            <w:r>
              <w:rPr>
                <w:sz w:val="18"/>
              </w:rPr>
              <w:t>Restructure parties per BIS-748P; confirm addresses; amend PO §5 delivery clause (R&amp;H / Cascade / SDT)</w:t>
            </w:r>
          </w:p>
        </w:tc>
      </w:tr>
      <w:tr>
        <w:tc>
          <w:tcPr>
            <w:tcW w:type="dxa" w:w="432"/>
          </w:tcPr>
          <w:p>
            <w:pPr>
              <w:spacing w:after="20"/>
            </w:pPr>
            <w:r/>
            <w:r>
              <w:rPr>
                <w:sz w:val="18"/>
              </w:rPr>
              <w:t>8</w:t>
            </w:r>
          </w:p>
        </w:tc>
        <w:tc>
          <w:tcPr>
            <w:tcW w:type="dxa" w:w="1152"/>
          </w:tcPr>
          <w:p>
            <w:pPr>
              <w:spacing w:after="20"/>
            </w:pPr>
            <w:r/>
            <w:r>
              <w:rPr>
                <w:b/>
                <w:sz w:val="18"/>
              </w:rPr>
              <w:t>High</w:t>
            </w:r>
          </w:p>
        </w:tc>
        <w:tc>
          <w:tcPr>
            <w:tcW w:type="dxa" w:w="4032"/>
          </w:tcPr>
          <w:p>
            <w:pPr>
              <w:spacing w:after="20"/>
            </w:pPr>
            <w:r/>
            <w:r>
              <w:rPr>
                <w:sz w:val="18"/>
              </w:rPr>
              <w:t>Prior license D-598712: missing EEI/ITN for June 10, 2024 shipment; remaining 3 units; "no compliance incidents" statement unverified</w:t>
            </w:r>
          </w:p>
        </w:tc>
        <w:tc>
          <w:tcPr>
            <w:tcW w:type="dxa" w:w="3744"/>
          </w:tcPr>
          <w:p>
            <w:pPr>
              <w:spacing w:after="20"/>
            </w:pPr>
            <w:r/>
            <w:r>
              <w:rPr>
                <w:sz w:val="18"/>
              </w:rPr>
              <w:t>Locate AES record; confirm decrementation; do not use remaining 3 units for new contract; assess disclosure if EEI not filed (Cascade)</w:t>
            </w:r>
          </w:p>
        </w:tc>
      </w:tr>
      <w:tr>
        <w:tc>
          <w:tcPr>
            <w:tcW w:type="dxa" w:w="432"/>
          </w:tcPr>
          <w:p>
            <w:pPr>
              <w:spacing w:after="20"/>
            </w:pPr>
            <w:r/>
            <w:r>
              <w:rPr>
                <w:sz w:val="18"/>
              </w:rPr>
              <w:t>9</w:t>
            </w:r>
          </w:p>
        </w:tc>
        <w:tc>
          <w:tcPr>
            <w:tcW w:type="dxa" w:w="1152"/>
          </w:tcPr>
          <w:p>
            <w:pPr>
              <w:spacing w:after="20"/>
            </w:pPr>
            <w:r/>
            <w:r>
              <w:rPr>
                <w:b/>
                <w:sz w:val="18"/>
              </w:rPr>
              <w:t>Medium</w:t>
            </w:r>
          </w:p>
        </w:tc>
        <w:tc>
          <w:tcPr>
            <w:tcW w:type="dxa" w:w="4032"/>
          </w:tcPr>
          <w:p>
            <w:pPr>
              <w:spacing w:after="20"/>
            </w:pPr>
            <w:r/>
            <w:r>
              <w:rPr>
                <w:sz w:val="18"/>
              </w:rPr>
              <w:t>Technical data inconsistencies (operating temperature; 240 Hz windowing; Rev B NETD change; model/part number); HTS 9027.50.4044 questionable</w:t>
            </w:r>
          </w:p>
        </w:tc>
        <w:tc>
          <w:tcPr>
            <w:tcW w:type="dxa" w:w="3744"/>
          </w:tcPr>
          <w:p>
            <w:pPr>
              <w:spacing w:after="20"/>
            </w:pPr>
            <w:r/>
            <w:r>
              <w:rPr>
                <w:sz w:val="18"/>
              </w:rPr>
              <w:t>Engineering confirmation; harmonize technical description; broker to confirm HTS/Schedule B (Cascade)</w:t>
            </w:r>
          </w:p>
        </w:tc>
      </w:tr>
      <w:tr>
        <w:tc>
          <w:tcPr>
            <w:tcW w:type="dxa" w:w="432"/>
          </w:tcPr>
          <w:p>
            <w:pPr>
              <w:spacing w:after="20"/>
            </w:pPr>
            <w:r/>
            <w:r>
              <w:rPr>
                <w:sz w:val="18"/>
              </w:rPr>
              <w:t>10</w:t>
            </w:r>
          </w:p>
        </w:tc>
        <w:tc>
          <w:tcPr>
            <w:tcW w:type="dxa" w:w="1152"/>
          </w:tcPr>
          <w:p>
            <w:pPr>
              <w:spacing w:after="20"/>
            </w:pPr>
            <w:r/>
            <w:r>
              <w:rPr>
                <w:b/>
                <w:sz w:val="18"/>
              </w:rPr>
              <w:t>Medium</w:t>
            </w:r>
          </w:p>
        </w:tc>
        <w:tc>
          <w:tcPr>
            <w:tcW w:type="dxa" w:w="4032"/>
          </w:tcPr>
          <w:p>
            <w:pPr>
              <w:spacing w:after="20"/>
            </w:pPr>
            <w:r/>
            <w:r>
              <w:rPr>
                <w:sz w:val="18"/>
              </w:rPr>
              <w:t>CP-CLR-01 Camera Link repeater offered to SDT as "EAR99" without documented classification; not on PO or application</w:t>
            </w:r>
          </w:p>
        </w:tc>
        <w:tc>
          <w:tcPr>
            <w:tcW w:type="dxa" w:w="3744"/>
          </w:tcPr>
          <w:p>
            <w:pPr>
              <w:spacing w:after="20"/>
            </w:pPr>
            <w:r/>
            <w:r>
              <w:rPr>
                <w:sz w:val="18"/>
              </w:rPr>
              <w:t>Classify in writing before any offer/shipment; exclude from license unless added (Cascade)</w:t>
            </w:r>
          </w:p>
        </w:tc>
      </w:tr>
      <w:tr>
        <w:tc>
          <w:tcPr>
            <w:tcW w:type="dxa" w:w="432"/>
          </w:tcPr>
          <w:p>
            <w:pPr>
              <w:spacing w:after="20"/>
            </w:pPr>
            <w:r/>
            <w:r>
              <w:rPr>
                <w:sz w:val="18"/>
              </w:rPr>
              <w:t>11</w:t>
            </w:r>
          </w:p>
        </w:tc>
        <w:tc>
          <w:tcPr>
            <w:tcW w:type="dxa" w:w="1152"/>
          </w:tcPr>
          <w:p>
            <w:pPr>
              <w:spacing w:after="20"/>
            </w:pPr>
            <w:r/>
            <w:r>
              <w:rPr>
                <w:b/>
                <w:sz w:val="18"/>
              </w:rPr>
              <w:t>Medium</w:t>
            </w:r>
          </w:p>
        </w:tc>
        <w:tc>
          <w:tcPr>
            <w:tcW w:type="dxa" w:w="4032"/>
          </w:tcPr>
          <w:p>
            <w:pPr>
              <w:spacing w:after="20"/>
            </w:pPr>
            <w:r/>
            <w:r>
              <w:rPr>
                <w:sz w:val="18"/>
              </w:rPr>
              <w:t>Follow-on demand (12–18 additional units over 36 months)</w:t>
            </w:r>
          </w:p>
        </w:tc>
        <w:tc>
          <w:tcPr>
            <w:tcW w:type="dxa" w:w="3744"/>
          </w:tcPr>
          <w:p>
            <w:pPr>
              <w:spacing w:after="20"/>
            </w:pPr>
            <w:r/>
            <w:r>
              <w:rPr>
                <w:sz w:val="18"/>
              </w:rPr>
              <w:t>File for the 24-unit firm order only; separate application later (R&amp;H)</w:t>
            </w:r>
          </w:p>
        </w:tc>
      </w:tr>
      <w:tr>
        <w:tc>
          <w:tcPr>
            <w:tcW w:type="dxa" w:w="432"/>
          </w:tcPr>
          <w:p>
            <w:pPr>
              <w:spacing w:after="20"/>
            </w:pPr>
            <w:r/>
            <w:r>
              <w:rPr>
                <w:sz w:val="18"/>
              </w:rPr>
              <w:t>12</w:t>
            </w:r>
          </w:p>
        </w:tc>
        <w:tc>
          <w:tcPr>
            <w:tcW w:type="dxa" w:w="1152"/>
          </w:tcPr>
          <w:p>
            <w:pPr>
              <w:spacing w:after="20"/>
            </w:pPr>
            <w:r/>
            <w:r>
              <w:rPr>
                <w:b/>
                <w:sz w:val="18"/>
              </w:rPr>
              <w:t>Medium</w:t>
            </w:r>
          </w:p>
        </w:tc>
        <w:tc>
          <w:tcPr>
            <w:tcW w:type="dxa" w:w="4032"/>
          </w:tcPr>
          <w:p>
            <w:pPr>
              <w:spacing w:after="20"/>
            </w:pPr>
            <w:r/>
            <w:r>
              <w:rPr>
                <w:sz w:val="18"/>
              </w:rPr>
              <w:t>Timeline: August 15 delivery at risk; red-flag items will likely extend review</w:t>
            </w:r>
          </w:p>
        </w:tc>
        <w:tc>
          <w:tcPr>
            <w:tcW w:type="dxa" w:w="3744"/>
          </w:tcPr>
          <w:p>
            <w:pPr>
              <w:spacing w:after="20"/>
            </w:pPr>
            <w:r/>
            <w:r>
              <w:rPr>
                <w:sz w:val="18"/>
              </w:rPr>
              <w:t>Revised schedule to client and SDT; no shipment before license (Cascade / R&amp;H)</w:t>
            </w:r>
          </w:p>
        </w:tc>
      </w:tr>
      <w:tr>
        <w:tc>
          <w:tcPr>
            <w:tcW w:type="dxa" w:w="432"/>
          </w:tcPr>
          <w:p>
            <w:pPr>
              <w:spacing w:after="20"/>
            </w:pPr>
            <w:r/>
            <w:r>
              <w:rPr>
                <w:sz w:val="18"/>
              </w:rPr>
              <w:t>13</w:t>
            </w:r>
          </w:p>
        </w:tc>
        <w:tc>
          <w:tcPr>
            <w:tcW w:type="dxa" w:w="1152"/>
          </w:tcPr>
          <w:p>
            <w:pPr>
              <w:spacing w:after="20"/>
            </w:pPr>
            <w:r/>
            <w:r>
              <w:rPr>
                <w:b/>
                <w:sz w:val="18"/>
              </w:rPr>
              <w:t>Medium</w:t>
            </w:r>
          </w:p>
        </w:tc>
        <w:tc>
          <w:tcPr>
            <w:tcW w:type="dxa" w:w="4032"/>
          </w:tcPr>
          <w:p>
            <w:pPr>
              <w:spacing w:after="20"/>
            </w:pPr>
            <w:r/>
            <w:r>
              <w:rPr>
                <w:sz w:val="18"/>
              </w:rPr>
              <w:t>Missing/unsigned supporting documents (PO acknowledgment unsigned; Resolution secretary unnamed; framework agreement not provided; no MINDEF/DSTA corroboration)</w:t>
            </w:r>
          </w:p>
        </w:tc>
        <w:tc>
          <w:tcPr>
            <w:tcW w:type="dxa" w:w="3744"/>
          </w:tcPr>
          <w:p>
            <w:pPr>
              <w:spacing w:after="20"/>
            </w:pPr>
            <w:r/>
            <w:r>
              <w:rPr>
                <w:sz w:val="18"/>
              </w:rPr>
              <w:t>Collect executed copies and end-user corroboration (Cascade / SDT)</w:t>
            </w:r>
          </w:p>
        </w:tc>
      </w:tr>
      <w:tr>
        <w:tc>
          <w:tcPr>
            <w:tcW w:type="dxa" w:w="432"/>
          </w:tcPr>
          <w:p>
            <w:pPr>
              <w:spacing w:after="20"/>
            </w:pPr>
            <w:r/>
            <w:r>
              <w:rPr>
                <w:sz w:val="18"/>
              </w:rPr>
              <w:t>14</w:t>
            </w:r>
          </w:p>
        </w:tc>
        <w:tc>
          <w:tcPr>
            <w:tcW w:type="dxa" w:w="1152"/>
          </w:tcPr>
          <w:p>
            <w:pPr>
              <w:spacing w:after="20"/>
            </w:pPr>
            <w:r/>
            <w:r>
              <w:rPr>
                <w:b/>
                <w:sz w:val="18"/>
              </w:rPr>
              <w:t>Low</w:t>
            </w:r>
          </w:p>
        </w:tc>
        <w:tc>
          <w:tcPr>
            <w:tcW w:type="dxa" w:w="4032"/>
          </w:tcPr>
          <w:p>
            <w:pPr>
              <w:spacing w:after="20"/>
            </w:pPr>
            <w:r/>
            <w:r>
              <w:rPr>
                <w:sz w:val="18"/>
              </w:rPr>
              <w:t>Outline block numbers do not track the BIS-748P; marketing language in TDS ("targeting," "weapon sight")</w:t>
            </w:r>
          </w:p>
        </w:tc>
        <w:tc>
          <w:tcPr>
            <w:tcW w:type="dxa" w:w="3744"/>
          </w:tcPr>
          <w:p>
            <w:pPr>
              <w:spacing w:after="20"/>
            </w:pPr>
            <w:r/>
            <w:r>
              <w:rPr>
                <w:sz w:val="18"/>
              </w:rPr>
              <w:t>Re-map to BIS-748P blocks (Annex A); harmonize end-use description (R&amp;H)</w:t>
            </w:r>
          </w:p>
        </w:tc>
      </w:tr>
      <w:tr>
        <w:tc>
          <w:tcPr>
            <w:tcW w:type="dxa" w:w="432"/>
          </w:tcPr>
          <w:p>
            <w:pPr>
              <w:spacing w:after="20"/>
            </w:pPr>
            <w:r/>
            <w:r>
              <w:rPr>
                <w:sz w:val="18"/>
              </w:rPr>
              <w:t>15</w:t>
            </w:r>
          </w:p>
        </w:tc>
        <w:tc>
          <w:tcPr>
            <w:tcW w:type="dxa" w:w="1152"/>
          </w:tcPr>
          <w:p>
            <w:pPr>
              <w:spacing w:after="20"/>
            </w:pPr>
            <w:r/>
            <w:r>
              <w:rPr>
                <w:b/>
                <w:sz w:val="18"/>
              </w:rPr>
              <w:t>Low</w:t>
            </w:r>
          </w:p>
        </w:tc>
        <w:tc>
          <w:tcPr>
            <w:tcW w:type="dxa" w:w="4032"/>
          </w:tcPr>
          <w:p>
            <w:pPr>
              <w:spacing w:after="20"/>
            </w:pPr>
            <w:r/>
            <w:r>
              <w:rPr>
                <w:sz w:val="18"/>
              </w:rPr>
              <w:t>Communications practice: compliance conclusions and screening results sent to SDT; inaccurate statements</w:t>
            </w:r>
          </w:p>
        </w:tc>
        <w:tc>
          <w:tcPr>
            <w:tcW w:type="dxa" w:w="3744"/>
          </w:tcPr>
          <w:p>
            <w:pPr>
              <w:spacing w:after="20"/>
            </w:pPr>
            <w:r/>
            <w:r>
              <w:rPr>
                <w:sz w:val="18"/>
              </w:rPr>
              <w:t>Route substantive regulatory communications through counsel (Cascade)</w:t>
            </w:r>
          </w:p>
        </w:tc>
      </w:tr>
    </w:tbl>
    <w:p>
      <w:pPr>
        <w:spacing w:after="40"/>
      </w:pPr>
    </w:p>
    <w:p>
      <w:pPr>
        <w:pStyle w:val="Heading1"/>
      </w:pPr>
      <w:r>
        <w:t>IV. Discussion</w:t>
      </w:r>
    </w:p>
    <w:p>
      <w:pPr>
        <w:pStyle w:val="Heading2"/>
      </w:pPr>
      <w:r>
        <w:t>Issue 1 (Critical): Proposed re-export/transfer to Myitkyina Optical Systems, Myanmar</w:t>
      </w:r>
    </w:p>
    <w:p>
      <w:pPr>
        <w:jc w:val="both"/>
      </w:pPr>
      <w:r>
        <w:rPr>
          <w:b/>
        </w:rPr>
        <w:t>Facts.</w:t>
      </w:r>
      <w:r>
        <w:t xml:space="preserve"> On March 28, 2025, SDT's Procurement Director, Rachel Tan Siew Ling, wrote that SDT "is exploring partnerships with Myitkyina Optical Systems in Myanmar for future system integration work" and asked whether "the CP-640IR modules [could] be re-exported or transferred to Myitkyina Optical Systems for calibration purposes at a future date." On March 31, SDT's Managing Director, Lim Wei Keat, responded on the same thread without addressing the inquiry, noting only that Ms. Tan "is managing several of our business development initiatives across the region." Mr. Ng replied on April 4 that 6A002 items could not be transferred to Myanmar without BIS authorization, that such applications would face a policy of denial, and that he would flag the issue with counsel. None of this appears in the Outline, the Screening Memo (dated April 1, after the inquiry was received), or the EUC; the Outline states the EUC "appears to be in order," and the Screening Memo recommends proceeding. Myitkyina Optical Systems was not screened.</w:t>
      </w:r>
    </w:p>
    <w:p>
      <w:pPr>
        <w:jc w:val="both"/>
      </w:pPr>
      <w:r>
        <w:rPr>
          <w:b/>
        </w:rPr>
        <w:t>Analysis.</w:t>
      </w:r>
      <w:r>
        <w:t xml:space="preserve"> A consignee's inquiry about routing controlled items to a third country — particularly a country subject to the EAR's most restrictive treatment — is a classic red flag under the "Know Your Customer" Guidance and Red Flags (Supplement No. 3 to Part 744). Burma (Myanmar) was moved to Country Group D:1 and made subject to the military end-use/end-user controls of § 744.21 in March 2021, is subject to the U.S. arms embargo (Country Group D:5; 22 C.F.R. § 126.1), and is subject to OFAC sanctions under E.O. 14014 targeting the military regime and its supporting sectors. A transfer of 6A002 modules to a Myanmar optical firm for "calibration" (which would require physical access to and likely operation of the modules) would require a BIS reexport/transfer license that would almost certainly be denied. The calibration rationale also means the modules would leave Singapore after integration, contrary to the end use described in every other document.</w:t>
      </w:r>
    </w:p>
    <w:p>
      <w:pPr>
        <w:jc w:val="both"/>
      </w:pPr>
      <w:r>
        <w:t>Once a red flag is raised, the exporter has an affirmative duty to inquire and resolve it, not to self-blind. Proceeding with knowledge (including "reason to know") that a violation is about to occur is prohibited by General Prohibition 10 (§ 736.2(b)(10)) and § 764.2(e). In addition, the application and narrative must not be misleading by omission: § 764.2(g) prohibits false or misleading statements and the concealment of material facts in connection with a license application, and 18 U.S.C. § 1001 applies (a risk the Engagement Letter, § 4, expressly calls out). The inquiry is plainly material to BIS's and the interagency reviewers' assessment of diversion risk. Interagency reviewers may also already have independent visibility into SDT's regional business development; an application silent on the point would damage Cascade's credibility, and potentially the existing D-598712 relationship.</w:t>
      </w:r>
    </w:p>
    <w:p>
      <w:pPr>
        <w:spacing w:after="40"/>
      </w:pPr>
      <w:r>
        <w:rPr>
          <w:b/>
        </w:rPr>
        <w:t>Recommendations.</w:t>
      </w:r>
    </w:p>
    <w:p>
      <w:pPr>
        <w:pStyle w:val="ListBullet"/>
        <w:spacing w:after="60"/>
      </w:pPr>
      <w:r>
        <w:t>Escalate to Dr. Vasquez-Holm (CEO) in writing; this is a transaction-level compliance decision, not an administrative item, and the Engagement Letter (§ 4.3) requires prompt notice of red-flag indicators.</w:t>
      </w:r>
    </w:p>
    <w:p>
      <w:pPr>
        <w:pStyle w:val="ListBullet"/>
        <w:spacing w:after="60"/>
      </w:pPr>
      <w:r>
        <w:t xml:space="preserve">Obtain from SDT, </w:t>
      </w:r>
      <w:r>
        <w:rPr>
          <w:b/>
        </w:rPr>
        <w:t>signed by an authorized signatory under the Resolution (Lim Wei Keat or Ng Chee Wai)</w:t>
      </w:r>
      <w:r>
        <w:t>, a written statement: (i) describing the nature and status of the Myitkyina discussions; (ii) confirming that no CP-640IR modules (including the 12 units previously exported under D-598712), Sentinel-MDA systems incorporating them, or related technical data have been or will be provided to Myitkyina Optical Systems or any other party in Burma; (iii) confirming that all calibration, repair, and maintenance will be performed in Singapore by SDT or returned to Cascade; and (iv) expressly withdrawing the transfer inquiry.</w:t>
      </w:r>
    </w:p>
    <w:p>
      <w:pPr>
        <w:pStyle w:val="ListBullet"/>
        <w:spacing w:after="60"/>
      </w:pPr>
      <w:r>
        <w:t>Add Burma-specific and third-country no-transfer language to the re-executed EUC (Issue 2) and to the sales terms (Cascade's PO acknowledgment), as Mr. Ng himself proposed on April 4.</w:t>
      </w:r>
    </w:p>
    <w:p>
      <w:pPr>
        <w:pStyle w:val="ListBullet"/>
        <w:spacing w:after="60"/>
      </w:pPr>
      <w:r>
        <w:t>Screen Myitkyina Optical Systems (and any known principals) against all consolidated lists, and conduct reasonable open-source due diligence on SDT's Myanmar activities (corporate registries, press, trade data).</w:t>
      </w:r>
    </w:p>
    <w:p>
      <w:pPr>
        <w:pStyle w:val="ListBullet"/>
        <w:spacing w:after="60"/>
      </w:pPr>
      <w:r>
        <w:t>Confirm the status of the 12 units already exported under D-598712 (installed location; serial numbers; whether any have left Singapore). If any indication emerges that previously exported units were transferred, stop and evaluate a voluntary self-disclosure under § 764.5 (outside the current engagement scope; separate engagement required).</w:t>
      </w:r>
    </w:p>
    <w:p>
      <w:pPr>
        <w:pStyle w:val="ListBullet"/>
        <w:spacing w:after="60"/>
      </w:pPr>
      <w:r>
        <w:t>Disclose the inquiry and its resolution affirmatively in the supporting narrative (draft § 8 language provided). If SDT will not provide the written repudiation, our advice would be that Cascade should not file (or proceed with) the transaction as currently structured.</w:t>
      </w:r>
    </w:p>
    <w:p>
      <w:pPr>
        <w:pStyle w:val="ListBullet"/>
        <w:spacing w:after="60"/>
      </w:pPr>
      <w:r>
        <w:t>Expect BIS to consider license conditions (e.g., no reexport/transfer without prior BIS authorization; post-shipment reporting; serial-number tracking). Cascade should be prepared to accept them; the narrative offers them proactively.</w:t>
      </w:r>
    </w:p>
    <w:p>
      <w:pPr>
        <w:pStyle w:val="Heading2"/>
      </w:pPr>
      <w:r>
        <w:t>Issue 2 (Critical): End-Use Certificate SDT-EUC-2025-008 is defective</w:t>
      </w:r>
    </w:p>
    <w:p>
      <w:pPr>
        <w:jc w:val="both"/>
      </w:pPr>
      <w:r>
        <w:rPr>
          <w:b/>
        </w:rPr>
        <w:t>Facts and defects.</w:t>
      </w:r>
      <w:r>
        <w:t xml:space="preserve"> On March 6, Mr. Ng sent SDT a six-point checklist for the EUC. The EUC as delivered fails four of the six points and has a further authority defect: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r/>
            <w:r>
              <w:rPr>
                <w:b/>
                <w:sz w:val="18"/>
              </w:rPr>
              <w:t>Requirement (G. Ng 3/6/2025 email)</w:t>
            </w:r>
          </w:p>
        </w:tc>
        <w:tc>
          <w:tcPr>
            <w:tcW w:type="dxa" w:w="4752"/>
            <w:shd w:val="clear" w:color="auto" w:fill="D9E2F3"/>
          </w:tcPr>
          <w:p>
            <w:r/>
            <w:r>
              <w:rPr>
                <w:b/>
                <w:sz w:val="18"/>
              </w:rPr>
              <w:t>EUC as executed</w:t>
            </w:r>
          </w:p>
        </w:tc>
        <w:tc>
          <w:tcPr>
            <w:tcW w:type="dxa" w:w="1728"/>
            <w:shd w:val="clear" w:color="auto" w:fill="D9E2F3"/>
          </w:tcPr>
          <w:p>
            <w:r/>
            <w:r>
              <w:rPr>
                <w:b/>
                <w:sz w:val="18"/>
              </w:rPr>
              <w:t>Status</w:t>
            </w:r>
          </w:p>
        </w:tc>
      </w:tr>
      <w:tr>
        <w:tc>
          <w:tcPr>
            <w:tcW w:type="dxa" w:w="2880"/>
          </w:tcPr>
          <w:p>
            <w:pPr>
              <w:spacing w:after="20"/>
            </w:pPr>
            <w:r/>
            <w:r>
              <w:rPr>
                <w:sz w:val="18"/>
              </w:rPr>
              <w:t>1. Full legal name: "Stellar Defense Technologies Pte. Ltd."</w:t>
            </w:r>
          </w:p>
        </w:tc>
        <w:tc>
          <w:tcPr>
            <w:tcW w:type="dxa" w:w="4752"/>
          </w:tcPr>
          <w:p>
            <w:pPr>
              <w:spacing w:after="20"/>
            </w:pPr>
            <w:r/>
            <w:r>
              <w:rPr>
                <w:sz w:val="18"/>
              </w:rPr>
              <w:t>§2 states "Stellar Defense Technologies" (no "Pte. Ltd."); legal name appears only in the signature block</w:t>
            </w:r>
          </w:p>
        </w:tc>
        <w:tc>
          <w:tcPr>
            <w:tcW w:type="dxa" w:w="1728"/>
          </w:tcPr>
          <w:p>
            <w:pPr>
              <w:spacing w:after="20"/>
            </w:pPr>
            <w:r/>
            <w:r>
              <w:rPr>
                <w:sz w:val="18"/>
              </w:rPr>
              <w:t>Deficient</w:t>
            </w:r>
          </w:p>
        </w:tc>
      </w:tr>
      <w:tr>
        <w:tc>
          <w:tcPr>
            <w:tcW w:type="dxa" w:w="2880"/>
          </w:tcPr>
          <w:p>
            <w:pPr>
              <w:spacing w:after="20"/>
            </w:pPr>
            <w:r/>
            <w:r>
              <w:rPr>
                <w:sz w:val="18"/>
              </w:rPr>
              <w:t>2. UEN 201809234K</w:t>
            </w:r>
          </w:p>
        </w:tc>
        <w:tc>
          <w:tcPr>
            <w:tcW w:type="dxa" w:w="4752"/>
          </w:tcPr>
          <w:p>
            <w:pPr>
              <w:spacing w:after="20"/>
            </w:pPr>
            <w:r/>
            <w:r>
              <w:rPr>
                <w:sz w:val="18"/>
              </w:rPr>
              <w:t>Omitted from consignee block (appears only in letterhead)</w:t>
            </w:r>
          </w:p>
        </w:tc>
        <w:tc>
          <w:tcPr>
            <w:tcW w:type="dxa" w:w="1728"/>
          </w:tcPr>
          <w:p>
            <w:pPr>
              <w:spacing w:after="20"/>
            </w:pPr>
            <w:r/>
            <w:r>
              <w:rPr>
                <w:sz w:val="18"/>
              </w:rPr>
              <w:t>Deficient</w:t>
            </w:r>
          </w:p>
        </w:tc>
      </w:tr>
      <w:tr>
        <w:tc>
          <w:tcPr>
            <w:tcW w:type="dxa" w:w="2880"/>
          </w:tcPr>
          <w:p>
            <w:pPr>
              <w:spacing w:after="20"/>
            </w:pPr>
            <w:r/>
            <w:r>
              <w:rPr>
                <w:sz w:val="18"/>
              </w:rPr>
              <w:t>3. Full registered address</w:t>
            </w:r>
          </w:p>
        </w:tc>
        <w:tc>
          <w:tcPr>
            <w:tcW w:type="dxa" w:w="4752"/>
          </w:tcPr>
          <w:p>
            <w:pPr>
              <w:spacing w:after="20"/>
            </w:pPr>
            <w:r/>
            <w:r>
              <w:rPr>
                <w:sz w:val="18"/>
              </w:rPr>
              <w:t>§2 states only "Changi Business Park, Singapore"</w:t>
            </w:r>
          </w:p>
        </w:tc>
        <w:tc>
          <w:tcPr>
            <w:tcW w:type="dxa" w:w="1728"/>
          </w:tcPr>
          <w:p>
            <w:pPr>
              <w:spacing w:after="20"/>
            </w:pPr>
            <w:r/>
            <w:r>
              <w:rPr>
                <w:sz w:val="18"/>
              </w:rPr>
              <w:t>Deficient</w:t>
            </w:r>
          </w:p>
        </w:tc>
      </w:tr>
      <w:tr>
        <w:tc>
          <w:tcPr>
            <w:tcW w:type="dxa" w:w="2880"/>
          </w:tcPr>
          <w:p>
            <w:pPr>
              <w:spacing w:after="20"/>
            </w:pPr>
            <w:r/>
            <w:r>
              <w:rPr>
                <w:sz w:val="18"/>
              </w:rPr>
              <w:t>4. Quantity: 24 units</w:t>
            </w:r>
          </w:p>
        </w:tc>
        <w:tc>
          <w:tcPr>
            <w:tcW w:type="dxa" w:w="4752"/>
          </w:tcPr>
          <w:p>
            <w:pPr>
              <w:spacing w:after="20"/>
            </w:pPr>
            <w:r/>
            <w:r>
              <w:rPr>
                <w:sz w:val="18"/>
              </w:rPr>
              <w:t xml:space="preserve">§3 states </w:t>
            </w:r>
            <w:r>
              <w:rPr>
                <w:b/>
                <w:sz w:val="18"/>
              </w:rPr>
              <w:t>20 units</w:t>
            </w:r>
            <w:r>
              <w:rPr>
                <w:sz w:val="18"/>
              </w:rPr>
              <w:t xml:space="preserve">, total </w:t>
            </w:r>
            <w:r>
              <w:rPr>
                <w:b/>
                <w:sz w:val="18"/>
              </w:rPr>
              <w:t>USD $950,000</w:t>
            </w:r>
            <w:r>
              <w:rPr>
                <w:sz w:val="18"/>
              </w:rPr>
              <w:t xml:space="preserve"> (PO and application: 24 units / $1,140,000)</w:t>
            </w:r>
          </w:p>
        </w:tc>
        <w:tc>
          <w:tcPr>
            <w:tcW w:type="dxa" w:w="1728"/>
          </w:tcPr>
          <w:p>
            <w:pPr>
              <w:spacing w:after="20"/>
            </w:pPr>
            <w:r/>
            <w:r>
              <w:rPr>
                <w:sz w:val="18"/>
              </w:rPr>
              <w:t>Deficient — material</w:t>
            </w:r>
          </w:p>
        </w:tc>
      </w:tr>
      <w:tr>
        <w:tc>
          <w:tcPr>
            <w:tcW w:type="dxa" w:w="2880"/>
          </w:tcPr>
          <w:p>
            <w:pPr>
              <w:spacing w:after="20"/>
            </w:pPr>
            <w:r/>
            <w:r>
              <w:rPr>
                <w:sz w:val="18"/>
              </w:rPr>
              <w:t>5. Contract MINDEF/DSTA-2024-EO-0387</w:t>
            </w:r>
          </w:p>
        </w:tc>
        <w:tc>
          <w:tcPr>
            <w:tcW w:type="dxa" w:w="4752"/>
          </w:tcPr>
          <w:p>
            <w:pPr>
              <w:spacing w:after="20"/>
            </w:pPr>
            <w:r/>
            <w:r>
              <w:rPr>
                <w:sz w:val="18"/>
              </w:rPr>
              <w:t>Stated (§4)</w:t>
            </w:r>
          </w:p>
        </w:tc>
        <w:tc>
          <w:tcPr>
            <w:tcW w:type="dxa" w:w="1728"/>
          </w:tcPr>
          <w:p>
            <w:pPr>
              <w:spacing w:after="20"/>
            </w:pPr>
            <w:r/>
            <w:r>
              <w:rPr>
                <w:sz w:val="18"/>
              </w:rPr>
              <w:t>OK</w:t>
            </w:r>
          </w:p>
        </w:tc>
      </w:tr>
      <w:tr>
        <w:tc>
          <w:tcPr>
            <w:tcW w:type="dxa" w:w="2880"/>
          </w:tcPr>
          <w:p>
            <w:pPr>
              <w:spacing w:after="20"/>
            </w:pPr>
            <w:r/>
            <w:r>
              <w:rPr>
                <w:sz w:val="18"/>
              </w:rPr>
              <w:t>6. No re-export/re-transfer statement</w:t>
            </w:r>
          </w:p>
        </w:tc>
        <w:tc>
          <w:tcPr>
            <w:tcW w:type="dxa" w:w="4752"/>
          </w:tcPr>
          <w:p>
            <w:pPr>
              <w:spacing w:after="20"/>
            </w:pPr>
            <w:r/>
            <w:r>
              <w:rPr>
                <w:sz w:val="18"/>
              </w:rPr>
              <w:t>Stated (§6), generic; no country-specific (Burma) language</w:t>
            </w:r>
          </w:p>
        </w:tc>
        <w:tc>
          <w:tcPr>
            <w:tcW w:type="dxa" w:w="1728"/>
          </w:tcPr>
          <w:p>
            <w:pPr>
              <w:spacing w:after="20"/>
            </w:pPr>
            <w:r/>
            <w:r>
              <w:rPr>
                <w:sz w:val="18"/>
              </w:rPr>
              <w:t>OK, but enhance</w:t>
            </w:r>
          </w:p>
        </w:tc>
      </w:tr>
      <w:tr>
        <w:tc>
          <w:tcPr>
            <w:tcW w:type="dxa" w:w="2880"/>
          </w:tcPr>
          <w:p>
            <w:pPr>
              <w:spacing w:after="20"/>
            </w:pPr>
            <w:r/>
            <w:r>
              <w:rPr>
                <w:sz w:val="18"/>
              </w:rPr>
              <w:t>Authorized signatory</w:t>
            </w:r>
          </w:p>
        </w:tc>
        <w:tc>
          <w:tcPr>
            <w:tcW w:type="dxa" w:w="4752"/>
          </w:tcPr>
          <w:p>
            <w:pPr>
              <w:spacing w:after="20"/>
            </w:pPr>
            <w:r/>
            <w:r>
              <w:rPr>
                <w:sz w:val="18"/>
              </w:rPr>
              <w:t xml:space="preserve">Signed by Rachel Tan Siew Ling, Procurement Director. The January 15, 2025 Resolution authorizes </w:t>
            </w:r>
            <w:r>
              <w:rPr>
                <w:b/>
                <w:sz w:val="18"/>
              </w:rPr>
              <w:t>only</w:t>
            </w:r>
            <w:r>
              <w:rPr>
                <w:sz w:val="18"/>
              </w:rPr>
              <w:t xml:space="preserve"> Lim Wei Keat (MD) and Ng Chee Wai (CFO), and Resolution 3 </w:t>
            </w:r>
            <w:r>
              <w:rPr>
                <w:b/>
                <w:sz w:val="18"/>
              </w:rPr>
              <w:t>revokes all prior authorizations</w:t>
            </w:r>
            <w:r>
              <w:rPr>
                <w:sz w:val="18"/>
              </w:rPr>
              <w:t xml:space="preserve"> and states no other person has authority</w:t>
            </w:r>
          </w:p>
        </w:tc>
        <w:tc>
          <w:tcPr>
            <w:tcW w:type="dxa" w:w="1728"/>
          </w:tcPr>
          <w:p>
            <w:pPr>
              <w:spacing w:after="20"/>
            </w:pPr>
            <w:r/>
            <w:r>
              <w:rPr>
                <w:sz w:val="18"/>
              </w:rPr>
              <w:t>Deficient — material</w:t>
            </w:r>
          </w:p>
        </w:tc>
      </w:tr>
    </w:tbl>
    <w:p>
      <w:pPr>
        <w:spacing w:after="40"/>
      </w:pPr>
    </w:p>
    <w:p>
      <w:pPr>
        <w:jc w:val="both"/>
      </w:pPr>
      <w:r>
        <w:t>Ms. Tan stated twice (March 5 and March 10) that she would sign "to save time" / "to keep things moving" because Mr. Lim was unavailable, and Mr. Ng flagged the authority concern on March 6 but did not follow up. The EUC also references "SDT-PO-2025-0042" — the same PO that fixes quantity at 24 — so the certificate is internally inconsistent with the document it cites. A quantity mismatch alone is a common reason for BIS to return an application without action; a certificate signed by a person without corporate authority is not a binding undertaking of the consignee and undermines the non-retransfer commitment on which the license would rest. The 20-unit figure should also be explained: we should ask SDT whether it reflects an earlier draft, a different split between programs, or some other allocation (e.g., units not intended for the RSN program) — a quantity discrepancy appearing alongside a third-country transfer inquiry should not be assumed to be a typo.</w:t>
      </w:r>
    </w:p>
    <w:p>
      <w:pPr>
        <w:jc w:val="both"/>
      </w:pPr>
      <w:r>
        <w:rPr>
          <w:b/>
        </w:rPr>
        <w:t>Recommendations.</w:t>
      </w:r>
      <w:r>
        <w:t xml:space="preserve"> Obtain a re-executed EUC (new certificate number and date) on SDT letterhead, signed by Lim Wei Keat or Ng Chee Wai, accompanied by a certified copy of the Resolution (signed and naming the Company Secretary), that: states the full legal name, UEN, and registered address; states 24 units, $47,500 unit price, $1,140,000 total; identifies Cascade as exporter and the model as CP-640IR (part no. CP-640IR-STD, if confirmed); identifies MINDEF (through DSTA) as end user and the RSN as operational user, with the Sentinel-MDA end use and installation aboard RSN vessels in Singapore; includes a no-reexport/no-transfer commitment expressly covering Burma and any Country Group D or E destination, and covering the modules both as stand-alone items and as incorporated into Sentinel-MDA turrets; commits that calibration, maintenance, and repair will be performed only in Singapore or by Cascade in the United States; consents to post-shipment verification by U.S. Government officials; and addresses the content called for by § 748.11 (Statement by Ultimate Consignee and Purchaser) to the extent applicable. The Outline's note that the EUC "appears to be in order" (Outline § 8, item 5) should be withdrawn.</w:t>
      </w:r>
    </w:p>
    <w:p>
      <w:pPr>
        <w:pStyle w:val="Heading2"/>
      </w:pPr>
      <w:r>
        <w:t>Issue 3 (Critical): Unverified List partial match was not properly resolved</w:t>
      </w:r>
    </w:p>
    <w:p>
      <w:pPr>
        <w:jc w:val="both"/>
      </w:pPr>
      <w:r>
        <w:rPr>
          <w:b/>
        </w:rPr>
        <w:t>Facts.</w:t>
      </w:r>
      <w:r>
        <w:t xml:space="preserve"> The April 1 screening returned a partial match against the Unverified List for "Stellar Defence Systems Pte Ltd." The Screening Memo dismisses it as a false positive solely because "[t]he names are similar but not identical," and recommends proceeding. Mr. Ng's April 4 email to SDT then stated that "all parties cleared with no hits on the ... Unverified List," which is not accurate.</w:t>
      </w:r>
    </w:p>
    <w:p>
      <w:pPr>
        <w:jc w:val="both"/>
      </w:pPr>
      <w:r>
        <w:rPr>
          <w:b/>
        </w:rPr>
        <w:t>Analysis.</w:t>
      </w:r>
      <w:r>
        <w:t xml:space="preserve"> Name dissimilarity in spelling ("Defence"/"Defense") and one word ("Systems"/"Technologies") is not, by itself, a basis to clear a hit: the variation is exactly the type of minor difference that can mask a predecessor, affiliate, trading name, or re-registered entity in the same sector and jurisdiction. A UVL listing reflects BIS's inability to complete an end-use check, and a match would (i) render the consignee ineligible for license exceptions and (ii) require a UVL statement under § 744.15 before any export. It would also be weighed heavily by interagency reviewers. The resolution must be documented with identifiers, and the Screening Memo should be corrected.</w:t>
      </w:r>
    </w:p>
    <w:p>
      <w:pPr>
        <w:jc w:val="both"/>
      </w:pPr>
      <w:r>
        <w:rPr>
          <w:b/>
        </w:rPr>
        <w:t>Recommendations.</w:t>
      </w:r>
      <w:r>
        <w:t xml:space="preserve"> (a) Compare the UVL entry's listed address(es) and any aliases against SDT's registered address and UEN; (b) obtain an ACRA BizFile extract for SDT (UEN 201809234K, incorporated 2018) showing current/former names, officers, and shareholders, and search ACRA for "Stellar Defence Systems"; (c) obtain a written SDT representation that it has no affiliation, common ownership, or predecessor relationship with Stellar Defence Systems Pte Ltd; (d) record the analysis in a revised Screening Memo; and (e) if any connection is identified, stop and reassess with us before filing. The narrative should briefly describe the hit and its resolution.</w:t>
      </w:r>
    </w:p>
    <w:p>
      <w:pPr>
        <w:pStyle w:val="Heading2"/>
      </w:pPr>
      <w:r>
        <w:t>Issue 4 (Critical): Reasons for control, Country Group, and license exception analysis are incorrect</w:t>
      </w:r>
    </w:p>
    <w:p>
      <w:pPr>
        <w:jc w:val="both"/>
      </w:pPr>
      <w:r>
        <w:t>The Outline (§ 5), TDS (§ 8.4), Screening Memo (§ 6), and PO (§ 7) all state that the license requirement arises because "Missile Technology (MT) reasons for control apply to all destinations except Canada," that Singapore is in Country Group A:1, and that STA is unavailable "when MT reasons for control are present." These statements should not be carried into the application:</w:t>
      </w:r>
    </w:p>
    <w:p>
      <w:pPr>
        <w:pStyle w:val="ListBullet"/>
        <w:spacing w:after="60"/>
      </w:pPr>
      <w:r>
        <w:rPr>
          <w:b/>
        </w:rPr>
        <w:t>MT.</w:t>
      </w:r>
      <w:r>
        <w:t xml:space="preserve"> Under the License Requirements of ECCN 6A002, MT controls apply only to items that also meet or exceed the parameters of ECCN 6A102 (radiation-hardened detectors specially designed for missile applications). Nothing in the TDS indicates radiation hardening or missile-specific design. Unless Cascade engineering confirms otherwise in writing, MT should </w:t>
      </w:r>
      <w:r>
        <w:rPr>
          <w:b/>
        </w:rPr>
        <w:t>not</w:t>
      </w:r>
      <w:r>
        <w:t xml:space="preserve"> be listed as a reason for control. Misstating MT would trigger an unnecessary MTCR-related interagency referral path and delay.</w:t>
      </w:r>
    </w:p>
    <w:p>
      <w:pPr>
        <w:pStyle w:val="ListBullet"/>
        <w:spacing w:after="60"/>
      </w:pPr>
      <w:r>
        <w:rPr>
          <w:b/>
        </w:rPr>
        <w:t>RS (omitted).</w:t>
      </w:r>
      <w:r>
        <w:t xml:space="preserve"> 6A002.a.3 items are controlled for Regional Stability, RS Column 1, which requires a license to all destinations except Canada. RS 1 — not MT — is the reason the item requires a license to virtually every destination. The Outline lists NS, MT, and AT only.</w:t>
      </w:r>
    </w:p>
    <w:p>
      <w:pPr>
        <w:pStyle w:val="ListBullet"/>
        <w:spacing w:after="60"/>
      </w:pPr>
      <w:r>
        <w:rPr>
          <w:b/>
        </w:rPr>
        <w:t>NS.</w:t>
      </w:r>
      <w:r>
        <w:t xml:space="preserve"> NS Column 2 applies to the entire 6A002 entry; the Commerce Country Chart (Supp. No. 1 to Part 738) shows a license requirement for Singapore under NS 2. </w:t>
      </w:r>
      <w:r>
        <w:rPr>
          <w:b/>
        </w:rPr>
        <w:t>AT</w:t>
      </w:r>
      <w:r>
        <w:t xml:space="preserve"> Column 1 applies but does not itself require a license for Singapore. </w:t>
      </w:r>
      <w:r>
        <w:rPr>
          <w:b/>
        </w:rPr>
        <w:t>UN</w:t>
      </w:r>
      <w:r>
        <w:t xml:space="preserve"> controls are not implicated for Singapore.</w:t>
      </w:r>
    </w:p>
    <w:p>
      <w:pPr>
        <w:pStyle w:val="ListBullet"/>
        <w:spacing w:after="60"/>
      </w:pPr>
      <w:r>
        <w:rPr>
          <w:b/>
        </w:rPr>
        <w:t>Country Group.</w:t>
      </w:r>
      <w:r>
        <w:t xml:space="preserve"> Singapore is </w:t>
      </w:r>
      <w:r>
        <w:rPr>
          <w:b/>
        </w:rPr>
        <w:t>not</w:t>
      </w:r>
      <w:r>
        <w:t xml:space="preserve"> in Country Group A:1 (Wassenaar Arrangement participating states); Singapore is not a Wassenaar participant. Singapore is in Country Group A:6 for License Exception STA purposes, and in Country Group B; it is not in Groups D or E. The Screening Memo (§§ 4, 6) and Outline (§ 5) should be corrected.</w:t>
      </w:r>
    </w:p>
    <w:p>
      <w:pPr>
        <w:pStyle w:val="ListBullet"/>
        <w:spacing w:after="60"/>
      </w:pPr>
      <w:r>
        <w:rPr>
          <w:b/>
        </w:rPr>
        <w:t>License Exception STA (§ 740.20).</w:t>
      </w:r>
      <w:r>
        <w:t xml:space="preserve"> STA is unavailable, but not for the stated reason. For A:6 destinations, § 740.20(c)(2) authorizes STA only for items controlled solely for national security reasons; 6A002.a.3 is also controlled for RS. (STA (c)(1) is limited to Country Group A:5 destinations, which do not include Singapore.) The § 740.20(b)(2) ECCN-specific exclusions should also be checked against the current text at filing.</w:t>
      </w:r>
    </w:p>
    <w:p>
      <w:pPr>
        <w:pStyle w:val="ListBullet"/>
        <w:spacing w:after="60"/>
      </w:pPr>
      <w:r>
        <w:rPr>
          <w:b/>
        </w:rPr>
        <w:t>License Exception GOV (§ 740.11).</w:t>
      </w:r>
      <w:r>
        <w:t xml:space="preserve"> The Outline's rationale (GOV covers only the U.S. Government) is incomplete: § 740.11(c) authorizes certain exports to agencies of cooperating governments. That paragraph is limited to national governments of Country Group A:1 countries (and certain international organizations); Singapore is not in A:1, so GOV is unavailable on that basis.</w:t>
      </w:r>
    </w:p>
    <w:p>
      <w:pPr>
        <w:pStyle w:val="ListBullet"/>
        <w:spacing w:after="60"/>
      </w:pPr>
      <w:r>
        <w:rPr>
          <w:b/>
        </w:rPr>
        <w:t>LVS / GBS / TMP / RPL / other.</w:t>
      </w:r>
      <w:r>
        <w:t xml:space="preserve"> LVS is "N/A" for 6A002; GBS is not authorized for 6A002; TMP and RPL are inapplicable for the reasons given in the Outline. Our conclusion that an individual license is required is unchanged; only the reasoning changes.</w:t>
      </w:r>
    </w:p>
    <w:p>
      <w:r>
        <w:rPr>
          <w:i/>
          <w:sz w:val="20"/>
        </w:rPr>
        <w:t>Note: these conclusions reflect our reading of the CCL and Part 740 as in effect at our last review; because this review was performed offline, the associate team will verify each citation and the current text of ECCN 6A002 and the Country Chart against the eCFR immediately before filing.</w:t>
      </w:r>
    </w:p>
    <w:p>
      <w:pPr>
        <w:pStyle w:val="Heading2"/>
      </w:pPr>
      <w:r>
        <w:t>Issue 5 (High): Classification basis and jurisdiction</w:t>
      </w:r>
    </w:p>
    <w:p>
      <w:pPr>
        <w:jc w:val="both"/>
      </w:pPr>
      <w:r>
        <w:rPr>
          <w:b/>
        </w:rPr>
        <w:t>Classification basis.</w:t>
      </w:r>
      <w:r>
        <w:t xml:space="preserve"> The TDS (§ 8.2) and Outline (§ 2) justify 6A002.a.3 by three parameters: &gt;256 elements, 3–5 μm band, and NETD &lt;20 mK. NETD is not a 6A002.a.3 control parameter; 6A002.a.3 non-space-qualified FPAs are defined by array configuration and peak response wavelength (for this item, the subparagraph for non-space-qualified two-dimensional arrays with individual elements having a peak response in the range exceeding 1,200 nm but not exceeding 30,000 nm, 6A002.a.3.c), and the threshold "256 elements" is the wrong framing for a 2-D array. A classification rationale citing the wrong criteria invites questions from BIS licensing officers and the DoD reviewer and should be rewritten to track the actual subparagraph.</w:t>
      </w:r>
    </w:p>
    <w:p>
      <w:pPr>
        <w:jc w:val="both"/>
      </w:pPr>
      <w:r>
        <w:rPr>
          <w:b/>
        </w:rPr>
        <w:t>Camera vs. FPA.</w:t>
      </w:r>
      <w:r>
        <w:t xml:space="preserve"> The CP-640IR is not a bare detector: it integrates the FPA with an integrated dewar-cooler, ROIC, NUC and bad-pixel replacement electronics, and a Camera Link digital video output, and is marketed as a "complete sensor core." Such an assembly may be an "imaging camera incorporating focal plane arrays" under ECCN 6A003.b.4 rather than (or in addition to) a 6A002.a.3 FPA. 6A003.b.4 carries its own notes, reasons for control, and exception treatment, so the answer matters to the application. Cascade engineering should prepare a written classification memo working through 6A002.a.3, 6A003.b.4 (including its notes and the "imaging camera" technical notes), and any applicable decontrol notes, and identify the subparagraph precisely.</w:t>
      </w:r>
    </w:p>
    <w:p>
      <w:pPr>
        <w:jc w:val="both"/>
      </w:pPr>
      <w:r>
        <w:rPr>
          <w:b/>
        </w:rPr>
        <w:t>Jurisdiction (order of review).</w:t>
      </w:r>
      <w:r>
        <w:t xml:space="preserve"> Under the order of review (Supp. No. 4 to Part 774; § 734.3(b)(1)), Cascade must first confirm the item is not described on the U.S. Munitions List. The TDS markets the module for "surveillance, reconnaissance, and targeting systems" and "weapon sight integration," with MIL-STD-810H/461G qualification, and the end item is a naval defense article. USML Category XII captures certain infrared focal plane arrays, integrated dewar-cooler assemblies, and cameras that are "specially designed" for defense articles. The file contains no documented jurisdiction analysis, and there is no CCATS (Outline § 2; TDS § 8.3). Our understanding is that the CP-640IR is a catalog product sold for multiple applications and was licensed by BIS under D-598712, which supports EAR jurisdiction; that history should be documented. If any doubt remains, a commodity jurisdiction request or CCATS would resolve it, but each is outside the current engagement (Engagement Letter § 1, Exclusions) and would not be completed before April 25. </w:t>
      </w:r>
      <w:r>
        <w:rPr>
          <w:b/>
        </w:rPr>
        <w:t>Recommendation:</w:t>
      </w:r>
      <w:r>
        <w:t xml:space="preserve"> obtain the engineering classification memo (including a "specially designed" release analysis) before filing; attach a summary to the application; consider a parallel CCATS under a separate engagement for future orders.</w:t>
      </w:r>
    </w:p>
    <w:p>
      <w:pPr>
        <w:pStyle w:val="Heading2"/>
      </w:pPr>
      <w:r>
        <w:t>Issue 6 (High): Screening is incomplete and will be stale</w:t>
      </w:r>
    </w:p>
    <w:p>
      <w:pPr>
        <w:jc w:val="both"/>
      </w:pPr>
      <w:r>
        <w:t>The Screening Memo expressly excludes Pinehurst Consulting Group, the U.S. freight forwarder named in the PO and used on the prior two shipments, because the screening "was focused on foreign transaction parties." All parties to the transaction — including U.S. forwarders, which can appear on the Denied Persons List — should be screened. Myitkyina Optical Systems (Issue 1) was not screened. The screening is dated April 1; it should be re-run on the filing date, on license issuance, and before each shipment, and the record retained under Part 762. We also recommend confirming Pinehurst's FMC ocean transportation intermediary license (No. 026841NF) and obtaining its written confirmation that it will file EEI in AES and apply the destination control statement (§ 758.6) and license number on the commercial invoice. The screening list should also include SDT's Company Secretary and directors identified in the ACRA extract, and the lists screened should be expanded to include the Military End-User List (Supp. No. 7 to Part 744), which is not among the nine lists in the Screening Memo; the Consolidated Screening List covers these.</w:t>
      </w:r>
    </w:p>
    <w:p>
      <w:pPr>
        <w:pStyle w:val="Heading2"/>
      </w:pPr>
      <w:r>
        <w:t>Issue 7 (High): Party roles, Block structure, and addresses</w:t>
      </w:r>
    </w:p>
    <w:p>
      <w:pPr>
        <w:pStyle w:val="ListBullet"/>
        <w:spacing w:after="60"/>
      </w:pPr>
      <w:r>
        <w:rPr>
          <w:b/>
        </w:rPr>
        <w:t>SDT is the ultimate consignee, not an intermediate consignee.</w:t>
      </w:r>
      <w:r>
        <w:t xml:space="preserve"> The Outline (§ 4) lists SDT as "Intermediate Consignee" and the Screening Memo calls SDT "Purchaser / Intermediate Consignee / End-User." SDT receives the modules in Singapore and incorporates them into Sentinel-MDA turrets; it is the purchaser and ultimate consignee. The end user is MINDEF (acting through DSTA), with the RSN as the operational user. Unless a Singapore freight agent or customs broker will take possession, the intermediate consignee block should read "None." The narrative explains the integrator structure.</w:t>
      </w:r>
    </w:p>
    <w:p>
      <w:pPr>
        <w:pStyle w:val="ListBullet"/>
        <w:spacing w:after="60"/>
      </w:pPr>
      <w:r>
        <w:rPr>
          <w:b/>
        </w:rPr>
        <w:t>"No other parties to disclose" is inaccurate as a narrative statement.</w:t>
      </w:r>
      <w:r>
        <w:t xml:space="preserve"> Pinehurst (forwarder) and Eastbridge Commercial Bank (L/C bank) are parties to the transaction for screening and disclosure purposes, even if neither is entered in a BIS-748P party block. Both are identified in the narrative.</w:t>
      </w:r>
    </w:p>
    <w:p>
      <w:pPr>
        <w:pStyle w:val="ListBullet"/>
        <w:spacing w:after="60"/>
      </w:pPr>
      <w:r>
        <w:rPr>
          <w:b/>
        </w:rPr>
        <w:t>MINDEF address.</w:t>
      </w:r>
      <w:r>
        <w:t xml:space="preserve"> The Outline flags that MINDEF's address (303 Gombak Drive, Singapore 669645) is unconfirmed. Obtain confirmation from SDT/DSTA, together with the DSTA program office address for Col. Chua.</w:t>
      </w:r>
    </w:p>
    <w:p>
      <w:pPr>
        <w:pStyle w:val="ListBullet"/>
        <w:spacing w:after="60"/>
      </w:pPr>
      <w:r>
        <w:rPr>
          <w:b/>
        </w:rPr>
        <w:t>Delivery address flexibility.</w:t>
      </w:r>
      <w:r>
        <w:t xml:space="preserve"> PO § 5 permits delivery to the Changi address "or such other address in Singapore as Buyer may designate in writing." A license is issued to named parties at named addresses; any change would require BIS notice/amendment. Cascade's PO acknowledgment should delete or condition this clause.</w:t>
      </w:r>
    </w:p>
    <w:p>
      <w:pPr>
        <w:pStyle w:val="ListBullet"/>
        <w:spacing w:after="60"/>
      </w:pPr>
      <w:r>
        <w:rPr>
          <w:b/>
        </w:rPr>
        <w:t>Consistency.</w:t>
      </w:r>
      <w:r>
        <w:t xml:space="preserve"> Names, addresses, quantity, value, and contract number must be identical across the BIS-748P, EUC, PO, commercial invoice, and narrative, as Mr. Ng himself advised SDT on March 6.</w:t>
      </w:r>
    </w:p>
    <w:p>
      <w:pPr>
        <w:pStyle w:val="Heading2"/>
      </w:pPr>
      <w:r>
        <w:t>Issue 8 (High): Prior license D-598712 — records and remaining balance</w:t>
      </w:r>
    </w:p>
    <w:p>
      <w:pPr>
        <w:pStyle w:val="ListBullet"/>
        <w:spacing w:after="60"/>
      </w:pPr>
      <w:r>
        <w:rPr>
          <w:b/>
        </w:rPr>
        <w:t>Missing EEI for Shipment 2.</w:t>
      </w:r>
      <w:r>
        <w:t xml:space="preserve"> The AES/EEI record (ITN) for the June 10, 2024 four-unit shipment cannot be located (Outline § 7, item 7; Screening Memo § 5). EEI filing is mandatory for exports requiring a license regardless of value (§ 758.1(b)), and the record must be retained for five years (Part 762). Cascade should obtain the ITN from Pinehurst (which filed on the prior shipments) or through an AES report request. If it turns out no EEI was filed, or the license was not properly referenced, that is a potential violation; the Screening Memo's statement that there have been "no compliance incidents" (§ 5) could not then be repeated in the narrative, and Cascade would need separate advice on a voluntary self-disclosure (outside this engagement). The narrative currently brackets this representation pending confirmation.</w:t>
      </w:r>
    </w:p>
    <w:p>
      <w:pPr>
        <w:pStyle w:val="ListBullet"/>
        <w:spacing w:after="60"/>
      </w:pPr>
      <w:r>
        <w:rPr>
          <w:b/>
        </w:rPr>
        <w:t>Remaining 3 units.</w:t>
      </w:r>
      <w:r>
        <w:t xml:space="preserve"> D-598712 was issued against contract MINDEF/DSTA-2022-EO-0215 and expires September 14, 2025. Cascade should </w:t>
      </w:r>
      <w:r>
        <w:rPr>
          <w:b/>
        </w:rPr>
        <w:t>not</w:t>
      </w:r>
      <w:r>
        <w:t xml:space="preserve"> ship any part of the new order (contract -2024-EO-0387) against the remaining 3 units: the license's end-use statement ties those units to the prior contract. The new application should be for all 24 units (consistent with the PO), and the narrative should disclose the 3-unit balance and state whether Cascade intends to use it for the prior contract before expiry or allow it to lapse. (This answers Outline § 8, item 2: reference the prior license.)</w:t>
      </w:r>
    </w:p>
    <w:p>
      <w:pPr>
        <w:pStyle w:val="ListBullet"/>
        <w:spacing w:after="60"/>
      </w:pPr>
      <w:r>
        <w:rPr>
          <w:b/>
        </w:rPr>
        <w:t>Prior license conditions.</w:t>
      </w:r>
      <w:r>
        <w:t xml:space="preserve"> Provide us with a copy of D-598712 and its conditions/riders; confirm compliance (e.g., any reporting conditions) before the narrative describes the history as clean.</w:t>
      </w:r>
    </w:p>
    <w:p>
      <w:pPr>
        <w:pStyle w:val="Heading2"/>
      </w:pPr>
      <w:r>
        <w:t>Issue 9 (Medium): Technical data inconsistencies and HTS</w:t>
      </w:r>
    </w:p>
    <w:p>
      <w:pPr>
        <w:pStyle w:val="ListBullet"/>
        <w:spacing w:after="60"/>
      </w:pPr>
      <w:r>
        <w:rPr>
          <w:b/>
        </w:rPr>
        <w:t>Operating temperature.</w:t>
      </w:r>
      <w:r>
        <w:t xml:space="preserve"> TDS § 3.5 states −40°C to +71°C; Mr. Ng's March 11 email told SDT the microcooler is rated −40°C to +55°C. Confirm the correct figure and correct the TDS or the customer communication.</w:t>
      </w:r>
    </w:p>
    <w:p>
      <w:pPr>
        <w:pStyle w:val="ListBullet"/>
        <w:spacing w:after="60"/>
      </w:pPr>
      <w:r>
        <w:rPr>
          <w:b/>
        </w:rPr>
        <w:t>Frame rate.</w:t>
      </w:r>
      <w:r>
        <w:t xml:space="preserve"> The Outline lists "up to 120 Hz," omitting the 240 Hz sub-frame windowing capability (TDS §§ 3.2, 4). The technical description in the application must be complete; frame rate is relevant to camera classification and reviewer assessments.</w:t>
      </w:r>
    </w:p>
    <w:p>
      <w:pPr>
        <w:pStyle w:val="ListBullet"/>
        <w:spacing w:after="60"/>
      </w:pPr>
      <w:r>
        <w:rPr>
          <w:b/>
        </w:rPr>
        <w:t>NETD revision history.</w:t>
      </w:r>
      <w:r>
        <w:t xml:space="preserve"> TDS Rev B (September 2023 — the month D-598712 issued) "Updated NETD specification." Confirm whether the item licensed under D-598712 had the same performance; if performance improved, say so in the narrative rather than describe the item as "the same."</w:t>
      </w:r>
    </w:p>
    <w:p>
      <w:pPr>
        <w:pStyle w:val="ListBullet"/>
        <w:spacing w:after="60"/>
      </w:pPr>
      <w:r>
        <w:rPr>
          <w:b/>
        </w:rPr>
        <w:t>Model/part number.</w:t>
      </w:r>
      <w:r>
        <w:t xml:space="preserve"> The TDS lists CP-640IR-STD (Camera Link, no optics) and CP-640IR-ANA (analog option); the PO and EUC say "CP-640IR." Confirm the variant ordered and use the full part number consistently. Confirm no lenses (CP-LENS series) or other accessories will ship; if they will, they must be classified and, if controlled, included.</w:t>
      </w:r>
    </w:p>
    <w:p>
      <w:pPr>
        <w:pStyle w:val="ListBullet"/>
        <w:spacing w:after="60"/>
      </w:pPr>
      <w:r>
        <w:rPr>
          <w:b/>
        </w:rPr>
        <w:t>HTS 9027.50.4044.</w:t>
      </w:r>
      <w:r>
        <w:t xml:space="preserve"> Heading 9027 covers instruments for physical or chemical analysis; thermal imaging camera modules are more commonly classified elsewhere (e.g., heading 8525 cameras, or as parts under 9013/8529, depending on configuration). The HTS/Schedule B number is not a BIS licensing determinant, but it flows into EEI and should be confirmed by Cascade's customs broker.</w:t>
      </w:r>
    </w:p>
    <w:p>
      <w:pPr>
        <w:pStyle w:val="Heading2"/>
      </w:pPr>
      <w:r>
        <w:t>Issue 10 (Medium): CP-CLR-01 Camera Link repeater</w:t>
      </w:r>
    </w:p>
    <w:p>
      <w:pPr>
        <w:jc w:val="both"/>
      </w:pPr>
      <w:r>
        <w:t>On March 11, Mr. Ng offered SDT a Camera Link repeater (P/N CP-CLR-01), describing it as EAR99 and offering to "include it in the shipment." The repeater does not appear in the TDS accessory list, the PO, or the Outline, and we have no classification record. Before it is offered or shipped, Cascade should document its classification (including whether it is "specially designed" for the CP-640IR, which could pull it into 6A002/6A003 or a .x paragraph rather than EAR99). If it ships with the modules, it must appear on the commercial invoice and EEI, and, if not EAR99, on the license. It should not be added to this application unless ordered and classified.</w:t>
      </w:r>
    </w:p>
    <w:p>
      <w:pPr>
        <w:pStyle w:val="Heading2"/>
      </w:pPr>
      <w:r>
        <w:t>Issue 11 (Medium): Follow-on quantities</w:t>
      </w:r>
    </w:p>
    <w:p>
      <w:pPr>
        <w:jc w:val="both"/>
      </w:pPr>
      <w:r>
        <w:t xml:space="preserve">SDT anticipates 12–18 additional modules over 36 months if MINDEF exercises options (Tan email, March 28). We recommend </w:t>
      </w:r>
      <w:r>
        <w:rPr>
          <w:b/>
        </w:rPr>
        <w:t>against</w:t>
      </w:r>
      <w:r>
        <w:t xml:space="preserve"> inflating the current application: quantity should be supported by the firm PO and EUC (24 units), and requesting unsupported quantity — particularly while the Myanmar question is open — would invite scrutiny and inconsistency with the EUC. A separate application can be filed when MINDEF exercises its options and a PO issues; the narrative may note the possibility of a future request for transparency. A follow-on application is outside the flat fee (Engagement Letter § 3(c)).</w:t>
      </w:r>
    </w:p>
    <w:p>
      <w:pPr>
        <w:pStyle w:val="Heading2"/>
      </w:pPr>
      <w:r>
        <w:t>Issue 12 (Medium): Timeline</w:t>
      </w:r>
    </w:p>
    <w:p>
      <w:pPr>
        <w:jc w:val="both"/>
      </w:pPr>
      <w:r>
        <w:t>The 60–90 day estimate assumes a clean file. Under E.O. 12981 and § 750.4, BIS registers and refers applications to the Departments of Defense, State, and Energy, which may hold and escalate; the Myanmar inquiry and UVL issue increase the likelihood of extended review or a request for additional information. Working backward from August 15 delivery (21–28 days ocean transit, plus inland and port handling, L/C issuance at least 15 business days before shipment per PO § 6), the license is needed by roughly mid-July. A one- to two-week delay to cure the Critical items makes this tighter. Cascade should advise SDT now (through Cascade, with our review of the message) that delivery depends on license timing, that nothing will ship before the license issues, and that PO § 8.4 treats license delay as force majeure. Cascade may consider air freight for the 24 units (1.8 kg each) if the license issues late; any change in routing should be checked against the license and the forwarder's EEI filing.</w:t>
      </w:r>
    </w:p>
    <w:p>
      <w:pPr>
        <w:pStyle w:val="Heading2"/>
      </w:pPr>
      <w:r>
        <w:t>Issue 13 (Medium): Missing, unsigned, or uncorroborated documents</w:t>
      </w:r>
    </w:p>
    <w:p>
      <w:pPr>
        <w:pStyle w:val="ListBullet"/>
        <w:spacing w:after="60"/>
      </w:pPr>
      <w:r>
        <w:t>Executed PO (buyer signature block shows Lim Wei Keat but the copy is unsigned) and Cascade's signed acknowledgment (blank).</w:t>
      </w:r>
    </w:p>
    <w:p>
      <w:pPr>
        <w:pStyle w:val="ListBullet"/>
        <w:spacing w:after="60"/>
      </w:pPr>
      <w:r>
        <w:t>Certified copy of the Resolution signed by a named Company Secretary (signature and name blank).</w:t>
      </w:r>
    </w:p>
    <w:p>
      <w:pPr>
        <w:pStyle w:val="ListBullet"/>
        <w:spacing w:after="60"/>
      </w:pPr>
      <w:r>
        <w:t>The Cascade–SDT "framework agreement" referenced in Ms. Tan's March 5 email (may contain transfer, service, or calibration terms relevant to Issue 1).</w:t>
      </w:r>
    </w:p>
    <w:p>
      <w:pPr>
        <w:pStyle w:val="ListBullet"/>
        <w:spacing w:after="60"/>
      </w:pPr>
      <w:r>
        <w:t>End-user corroboration: a DSTA/MINDEF letter, contract award notice, or excerpt of Contract MINDEF/DSTA-2024-EO-0387 confirming SDT as contractor, the Sentinel-MDA program, and the module quantity. A government end-user statement materially strengthens the application for an RS-controlled item to a military end user.</w:t>
      </w:r>
    </w:p>
    <w:p>
      <w:pPr>
        <w:pStyle w:val="ListBullet"/>
        <w:spacing w:after="60"/>
      </w:pPr>
      <w:r>
        <w:t>Copy of License D-598712 and its conditions; Shipment 1 and 2 EEI/ITN records.</w:t>
      </w:r>
    </w:p>
    <w:p>
      <w:pPr>
        <w:pStyle w:val="ListBullet"/>
        <w:spacing w:after="60"/>
      </w:pPr>
      <w:r>
        <w:t>Singapore Strategic Goods (Control) Act import permit (once obtained by SDT) — not required for filing but useful for post-shipment records.</w:t>
      </w:r>
    </w:p>
    <w:p>
      <w:pPr>
        <w:pStyle w:val="Heading2"/>
      </w:pPr>
      <w:r>
        <w:t>Issue 14 (Low): Block mapping and descriptive language</w:t>
      </w:r>
    </w:p>
    <w:p>
      <w:pPr>
        <w:jc w:val="both"/>
      </w:pPr>
      <w:r>
        <w:t>The Outline's "Blocks 1–19" labels do not correspond to the BIS-748P. Annex A maps the data to the correct form blocks. The TDS markets the CP-640IR for "targeting systems" and "weapon sight integration." The application and narrative should describe the actual end use (maritime surveillance/domain awareness), and the TDS submitted with the application should be the current revision with the corrected classification section (Issue 5).</w:t>
      </w:r>
    </w:p>
    <w:p>
      <w:pPr>
        <w:pStyle w:val="Heading2"/>
      </w:pPr>
      <w:r>
        <w:t>Issue 15 (Low): Communications practice</w:t>
      </w:r>
    </w:p>
    <w:p>
      <w:pPr>
        <w:jc w:val="both"/>
      </w:pPr>
      <w:r>
        <w:t>Several Cascade emails to SDT convey regulatory conclusions (e.g., "policy of denial" for Myanmar; "no license exception is available"), an inaccurate screening summary ("no hits on ... the Unverified List"), and internal status. These communications are not privileged and would be produced in any enforcement inquiry. Going forward, substantive regulatory advice to counterparties should be reviewed by counsel, and internal screening results should not be shared externally beyond what is necessary.</w:t>
      </w:r>
    </w:p>
    <w:p>
      <w:pPr>
        <w:pStyle w:val="Heading1"/>
      </w:pPr>
      <w:r>
        <w:t>V. Recommended Path to Filing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D9E2F3"/>
          </w:tcPr>
          <w:p>
            <w:r/>
            <w:r>
              <w:rPr>
                <w:b/>
                <w:sz w:val="18"/>
              </w:rPr>
              <w:t>Step</w:t>
            </w:r>
          </w:p>
        </w:tc>
        <w:tc>
          <w:tcPr>
            <w:tcW w:type="dxa" w:w="4896"/>
            <w:shd w:val="clear" w:color="auto" w:fill="D9E2F3"/>
          </w:tcPr>
          <w:p>
            <w:r/>
            <w:r>
              <w:rPr>
                <w:b/>
                <w:sz w:val="18"/>
              </w:rPr>
              <w:t>Action</w:t>
            </w:r>
          </w:p>
        </w:tc>
        <w:tc>
          <w:tcPr>
            <w:tcW w:type="dxa" w:w="2304"/>
            <w:shd w:val="clear" w:color="auto" w:fill="D9E2F3"/>
          </w:tcPr>
          <w:p>
            <w:r/>
            <w:r>
              <w:rPr>
                <w:b/>
                <w:sz w:val="18"/>
              </w:rPr>
              <w:t>Owner</w:t>
            </w:r>
          </w:p>
        </w:tc>
        <w:tc>
          <w:tcPr>
            <w:tcW w:type="dxa" w:w="1584"/>
            <w:shd w:val="clear" w:color="auto" w:fill="D9E2F3"/>
          </w:tcPr>
          <w:p>
            <w:r/>
            <w:r>
              <w:rPr>
                <w:b/>
                <w:sz w:val="18"/>
              </w:rPr>
              <w:t>Target</w:t>
            </w:r>
          </w:p>
        </w:tc>
      </w:tr>
      <w:tr>
        <w:tc>
          <w:tcPr>
            <w:tcW w:type="dxa" w:w="576"/>
          </w:tcPr>
          <w:p>
            <w:pPr>
              <w:spacing w:after="20"/>
            </w:pPr>
            <w:r/>
            <w:r>
              <w:rPr>
                <w:sz w:val="18"/>
              </w:rPr>
              <w:t>1</w:t>
            </w:r>
          </w:p>
        </w:tc>
        <w:tc>
          <w:tcPr>
            <w:tcW w:type="dxa" w:w="4896"/>
          </w:tcPr>
          <w:p>
            <w:pPr>
              <w:spacing w:after="20"/>
            </w:pPr>
            <w:r/>
            <w:r>
              <w:rPr>
                <w:sz w:val="18"/>
              </w:rPr>
              <w:t>Client call: walk through this memo; CEO escalation of Issue 1</w:t>
            </w:r>
          </w:p>
        </w:tc>
        <w:tc>
          <w:tcPr>
            <w:tcW w:type="dxa" w:w="2304"/>
          </w:tcPr>
          <w:p>
            <w:pPr>
              <w:spacing w:after="20"/>
            </w:pPr>
            <w:r/>
            <w:r>
              <w:rPr>
                <w:sz w:val="18"/>
              </w:rPr>
              <w:t>K. Morrissey / J. Okonkwo; A. Vasquez-Holm; G. Ng</w:t>
            </w:r>
          </w:p>
        </w:tc>
        <w:tc>
          <w:tcPr>
            <w:tcW w:type="dxa" w:w="1584"/>
          </w:tcPr>
          <w:p>
            <w:pPr>
              <w:spacing w:after="20"/>
            </w:pPr>
            <w:r/>
            <w:r>
              <w:rPr>
                <w:sz w:val="18"/>
              </w:rPr>
              <w:t>April 15</w:t>
            </w:r>
          </w:p>
        </w:tc>
      </w:tr>
      <w:tr>
        <w:tc>
          <w:tcPr>
            <w:tcW w:type="dxa" w:w="576"/>
          </w:tcPr>
          <w:p>
            <w:pPr>
              <w:spacing w:after="20"/>
            </w:pPr>
            <w:r/>
            <w:r>
              <w:rPr>
                <w:sz w:val="18"/>
              </w:rPr>
              <w:t>2</w:t>
            </w:r>
          </w:p>
        </w:tc>
        <w:tc>
          <w:tcPr>
            <w:tcW w:type="dxa" w:w="4896"/>
          </w:tcPr>
          <w:p>
            <w:pPr>
              <w:spacing w:after="20"/>
            </w:pPr>
            <w:r/>
            <w:r>
              <w:rPr>
                <w:sz w:val="18"/>
              </w:rPr>
              <w:t>Request to SDT: Myanmar repudiation letter; re-executed EUC; certified Resolution; ACRA extract and UVL no-affiliation statement; MINDEF address; DSTA corroboration; framework agreement</w:t>
            </w:r>
          </w:p>
        </w:tc>
        <w:tc>
          <w:tcPr>
            <w:tcW w:type="dxa" w:w="2304"/>
          </w:tcPr>
          <w:p>
            <w:pPr>
              <w:spacing w:after="20"/>
            </w:pPr>
            <w:r/>
            <w:r>
              <w:rPr>
                <w:sz w:val="18"/>
              </w:rPr>
              <w:t>G. Ng (draft reviewed by R&amp;H)</w:t>
            </w:r>
          </w:p>
        </w:tc>
        <w:tc>
          <w:tcPr>
            <w:tcW w:type="dxa" w:w="1584"/>
          </w:tcPr>
          <w:p>
            <w:pPr>
              <w:spacing w:after="20"/>
            </w:pPr>
            <w:r/>
            <w:r>
              <w:rPr>
                <w:sz w:val="18"/>
              </w:rPr>
              <w:t>Send April 15; responses by April 22</w:t>
            </w:r>
          </w:p>
        </w:tc>
      </w:tr>
      <w:tr>
        <w:tc>
          <w:tcPr>
            <w:tcW w:type="dxa" w:w="576"/>
          </w:tcPr>
          <w:p>
            <w:pPr>
              <w:spacing w:after="20"/>
            </w:pPr>
            <w:r/>
            <w:r>
              <w:rPr>
                <w:sz w:val="18"/>
              </w:rPr>
              <w:t>3</w:t>
            </w:r>
          </w:p>
        </w:tc>
        <w:tc>
          <w:tcPr>
            <w:tcW w:type="dxa" w:w="4896"/>
          </w:tcPr>
          <w:p>
            <w:pPr>
              <w:spacing w:after="20"/>
            </w:pPr>
            <w:r/>
            <w:r>
              <w:rPr>
                <w:sz w:val="18"/>
              </w:rPr>
              <w:t>Screen Pinehurst, Myitkyina and all new names; document UVL resolution; revise Screening Memo</w:t>
            </w:r>
          </w:p>
        </w:tc>
        <w:tc>
          <w:tcPr>
            <w:tcW w:type="dxa" w:w="2304"/>
          </w:tcPr>
          <w:p>
            <w:pPr>
              <w:spacing w:after="20"/>
            </w:pPr>
            <w:r/>
            <w:r>
              <w:rPr>
                <w:sz w:val="18"/>
              </w:rPr>
              <w:t>G. Ng</w:t>
            </w:r>
          </w:p>
        </w:tc>
        <w:tc>
          <w:tcPr>
            <w:tcW w:type="dxa" w:w="1584"/>
          </w:tcPr>
          <w:p>
            <w:pPr>
              <w:spacing w:after="20"/>
            </w:pPr>
            <w:r/>
            <w:r>
              <w:rPr>
                <w:sz w:val="18"/>
              </w:rPr>
              <w:t>April 18</w:t>
            </w:r>
          </w:p>
        </w:tc>
      </w:tr>
      <w:tr>
        <w:tc>
          <w:tcPr>
            <w:tcW w:type="dxa" w:w="576"/>
          </w:tcPr>
          <w:p>
            <w:pPr>
              <w:spacing w:after="20"/>
            </w:pPr>
            <w:r/>
            <w:r>
              <w:rPr>
                <w:sz w:val="18"/>
              </w:rPr>
              <w:t>4</w:t>
            </w:r>
          </w:p>
        </w:tc>
        <w:tc>
          <w:tcPr>
            <w:tcW w:type="dxa" w:w="4896"/>
          </w:tcPr>
          <w:p>
            <w:pPr>
              <w:spacing w:after="20"/>
            </w:pPr>
            <w:r/>
            <w:r>
              <w:rPr>
                <w:sz w:val="18"/>
              </w:rPr>
              <w:t>Engineering classification memo (6A002.a.3 vs. 6A003.b.4; 6A102/MT; USML XII order of review); confirm operating temperature, frame rate, part number; revise TDS § 8</w:t>
            </w:r>
          </w:p>
        </w:tc>
        <w:tc>
          <w:tcPr>
            <w:tcW w:type="dxa" w:w="2304"/>
          </w:tcPr>
          <w:p>
            <w:pPr>
              <w:spacing w:after="20"/>
            </w:pPr>
            <w:r/>
            <w:r>
              <w:rPr>
                <w:sz w:val="18"/>
              </w:rPr>
              <w:t>Cascade engineering / G. Ng; R&amp;H review</w:t>
            </w:r>
          </w:p>
        </w:tc>
        <w:tc>
          <w:tcPr>
            <w:tcW w:type="dxa" w:w="1584"/>
          </w:tcPr>
          <w:p>
            <w:pPr>
              <w:spacing w:after="20"/>
            </w:pPr>
            <w:r/>
            <w:r>
              <w:rPr>
                <w:sz w:val="18"/>
              </w:rPr>
              <w:t>April 22</w:t>
            </w:r>
          </w:p>
        </w:tc>
      </w:tr>
      <w:tr>
        <w:tc>
          <w:tcPr>
            <w:tcW w:type="dxa" w:w="576"/>
          </w:tcPr>
          <w:p>
            <w:pPr>
              <w:spacing w:after="20"/>
            </w:pPr>
            <w:r/>
            <w:r>
              <w:rPr>
                <w:sz w:val="18"/>
              </w:rPr>
              <w:t>5</w:t>
            </w:r>
          </w:p>
        </w:tc>
        <w:tc>
          <w:tcPr>
            <w:tcW w:type="dxa" w:w="4896"/>
          </w:tcPr>
          <w:p>
            <w:pPr>
              <w:spacing w:after="20"/>
            </w:pPr>
            <w:r/>
            <w:r>
              <w:rPr>
                <w:sz w:val="18"/>
              </w:rPr>
              <w:t>Locate Shipment 2 ITN; provide D-598712 and conditions</w:t>
            </w:r>
          </w:p>
        </w:tc>
        <w:tc>
          <w:tcPr>
            <w:tcW w:type="dxa" w:w="2304"/>
          </w:tcPr>
          <w:p>
            <w:pPr>
              <w:spacing w:after="20"/>
            </w:pPr>
            <w:r/>
            <w:r>
              <w:rPr>
                <w:sz w:val="18"/>
              </w:rPr>
              <w:t>G. Ng / Pinehurst</w:t>
            </w:r>
          </w:p>
        </w:tc>
        <w:tc>
          <w:tcPr>
            <w:tcW w:type="dxa" w:w="1584"/>
          </w:tcPr>
          <w:p>
            <w:pPr>
              <w:spacing w:after="20"/>
            </w:pPr>
            <w:r/>
            <w:r>
              <w:rPr>
                <w:sz w:val="18"/>
              </w:rPr>
              <w:t>April 18</w:t>
            </w:r>
          </w:p>
        </w:tc>
      </w:tr>
      <w:tr>
        <w:tc>
          <w:tcPr>
            <w:tcW w:type="dxa" w:w="576"/>
          </w:tcPr>
          <w:p>
            <w:pPr>
              <w:spacing w:after="20"/>
            </w:pPr>
            <w:r/>
            <w:r>
              <w:rPr>
                <w:sz w:val="18"/>
              </w:rPr>
              <w:t>6</w:t>
            </w:r>
          </w:p>
        </w:tc>
        <w:tc>
          <w:tcPr>
            <w:tcW w:type="dxa" w:w="4896"/>
          </w:tcPr>
          <w:p>
            <w:pPr>
              <w:spacing w:after="20"/>
            </w:pPr>
            <w:r/>
            <w:r>
              <w:rPr>
                <w:sz w:val="18"/>
              </w:rPr>
              <w:t>Finalize narrative and BIS-748P entries; re-screen on filing date; client written authorization to file (Engagement Letter § 4.5)</w:t>
            </w:r>
          </w:p>
        </w:tc>
        <w:tc>
          <w:tcPr>
            <w:tcW w:type="dxa" w:w="2304"/>
          </w:tcPr>
          <w:p>
            <w:pPr>
              <w:spacing w:after="20"/>
            </w:pPr>
            <w:r/>
            <w:r>
              <w:rPr>
                <w:sz w:val="18"/>
              </w:rPr>
              <w:t>J. Okonkwo; Cascade</w:t>
            </w:r>
          </w:p>
        </w:tc>
        <w:tc>
          <w:tcPr>
            <w:tcW w:type="dxa" w:w="1584"/>
          </w:tcPr>
          <w:p>
            <w:pPr>
              <w:spacing w:after="20"/>
            </w:pPr>
            <w:r/>
            <w:r>
              <w:rPr>
                <w:sz w:val="18"/>
              </w:rPr>
              <w:t>File once 1–5 complete (realistically April 25 – May 2)</w:t>
            </w:r>
          </w:p>
        </w:tc>
      </w:tr>
    </w:tbl>
    <w:p>
      <w:pPr>
        <w:spacing w:after="40"/>
      </w:pPr>
    </w:p>
    <w:p>
      <w:pPr>
        <w:pStyle w:val="Heading1"/>
      </w:pPr>
      <w:r>
        <w:t>Annex A — Data Mapping to BIS-748P Blocks</w:t>
      </w:r>
    </w:p>
    <w:p>
      <w:r>
        <w:rPr>
          <w:i/>
          <w:sz w:val="20"/>
        </w:rPr>
        <w:t>The field references below follow the BIS-748P as reproduced in SNAP-R; we will confirm field labels in SNAP-R at data entry.</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8"/>
              </w:rPr>
              <w:t>BIS-748P block</w:t>
            </w:r>
          </w:p>
        </w:tc>
        <w:tc>
          <w:tcPr>
            <w:tcW w:type="dxa" w:w="4752"/>
            <w:shd w:val="clear" w:color="auto" w:fill="D9E2F3"/>
          </w:tcPr>
          <w:p>
            <w:r/>
            <w:r>
              <w:rPr>
                <w:b/>
                <w:sz w:val="18"/>
              </w:rPr>
              <w:t>Entry</w:t>
            </w:r>
          </w:p>
        </w:tc>
        <w:tc>
          <w:tcPr>
            <w:tcW w:type="dxa" w:w="2304"/>
            <w:shd w:val="clear" w:color="auto" w:fill="D9E2F3"/>
          </w:tcPr>
          <w:p>
            <w:r/>
            <w:r>
              <w:rPr>
                <w:b/>
                <w:sz w:val="18"/>
              </w:rPr>
              <w:t>Note</w:t>
            </w:r>
          </w:p>
        </w:tc>
      </w:tr>
      <w:tr>
        <w:tc>
          <w:tcPr>
            <w:tcW w:type="dxa" w:w="2304"/>
          </w:tcPr>
          <w:p>
            <w:pPr>
              <w:spacing w:after="20"/>
            </w:pPr>
            <w:r/>
            <w:r>
              <w:rPr>
                <w:sz w:val="18"/>
              </w:rPr>
              <w:t>1–3 Contact person / telephone / fax</w:t>
            </w:r>
          </w:p>
        </w:tc>
        <w:tc>
          <w:tcPr>
            <w:tcW w:type="dxa" w:w="4752"/>
          </w:tcPr>
          <w:p>
            <w:pPr>
              <w:spacing w:after="20"/>
            </w:pPr>
            <w:r/>
            <w:r>
              <w:rPr>
                <w:sz w:val="18"/>
              </w:rPr>
              <w:t>Gerald Ng, Export Compliance Officer; (520) 555-0183</w:t>
            </w:r>
          </w:p>
        </w:tc>
        <w:tc>
          <w:tcPr>
            <w:tcW w:type="dxa" w:w="2304"/>
          </w:tcPr>
          <w:p>
            <w:pPr>
              <w:spacing w:after="20"/>
            </w:pPr>
            <w:r/>
            <w:r>
              <w:rPr>
                <w:sz w:val="18"/>
              </w:rPr>
              <w:t>Outline labels this "Block 2"</w:t>
            </w:r>
          </w:p>
        </w:tc>
      </w:tr>
      <w:tr>
        <w:tc>
          <w:tcPr>
            <w:tcW w:type="dxa" w:w="2304"/>
          </w:tcPr>
          <w:p>
            <w:pPr>
              <w:spacing w:after="20"/>
            </w:pPr>
            <w:r/>
            <w:r>
              <w:rPr>
                <w:sz w:val="18"/>
              </w:rPr>
              <w:t>5 Type of application</w:t>
            </w:r>
          </w:p>
        </w:tc>
        <w:tc>
          <w:tcPr>
            <w:tcW w:type="dxa" w:w="4752"/>
          </w:tcPr>
          <w:p>
            <w:pPr>
              <w:spacing w:after="20"/>
            </w:pPr>
            <w:r/>
            <w:r>
              <w:rPr>
                <w:sz w:val="18"/>
              </w:rPr>
              <w:t>Export</w:t>
            </w:r>
          </w:p>
        </w:tc>
        <w:tc>
          <w:tcPr>
            <w:tcW w:type="dxa" w:w="2304"/>
          </w:tcPr>
          <w:p>
            <w:pPr>
              <w:spacing w:after="20"/>
            </w:pPr>
            <w:r/>
            <w:r>
              <w:rPr>
                <w:sz w:val="18"/>
              </w:rPr>
              <w:t>Not "IVL" as a form value</w:t>
            </w:r>
          </w:p>
        </w:tc>
      </w:tr>
      <w:tr>
        <w:tc>
          <w:tcPr>
            <w:tcW w:type="dxa" w:w="2304"/>
          </w:tcPr>
          <w:p>
            <w:pPr>
              <w:spacing w:after="20"/>
            </w:pPr>
            <w:r/>
            <w:r>
              <w:rPr>
                <w:sz w:val="18"/>
              </w:rPr>
              <w:t>6 Documents submitted with application</w:t>
            </w:r>
          </w:p>
        </w:tc>
        <w:tc>
          <w:tcPr>
            <w:tcW w:type="dxa" w:w="4752"/>
          </w:tcPr>
          <w:p>
            <w:pPr>
              <w:spacing w:after="20"/>
            </w:pPr>
            <w:r/>
            <w:r>
              <w:rPr>
                <w:sz w:val="18"/>
              </w:rPr>
              <w:t>Supporting narrative; TDS Rev C (corrected); EUC (re-executed); PO; DSTA corroboration (if obtained)</w:t>
            </w:r>
          </w:p>
        </w:tc>
        <w:tc>
          <w:tcPr>
            <w:tcW w:type="dxa" w:w="2304"/>
          </w:tcPr>
          <w:p>
            <w:pPr>
              <w:spacing w:after="20"/>
            </w:pPr>
            <w:r/>
          </w:p>
        </w:tc>
      </w:tr>
      <w:tr>
        <w:tc>
          <w:tcPr>
            <w:tcW w:type="dxa" w:w="2304"/>
          </w:tcPr>
          <w:p>
            <w:pPr>
              <w:spacing w:after="20"/>
            </w:pPr>
            <w:r/>
            <w:r>
              <w:rPr>
                <w:sz w:val="18"/>
              </w:rPr>
              <w:t>7 Documents on file with applicant</w:t>
            </w:r>
          </w:p>
        </w:tc>
        <w:tc>
          <w:tcPr>
            <w:tcW w:type="dxa" w:w="4752"/>
          </w:tcPr>
          <w:p>
            <w:pPr>
              <w:spacing w:after="20"/>
            </w:pPr>
            <w:r/>
            <w:r>
              <w:rPr>
                <w:sz w:val="18"/>
              </w:rPr>
              <w:t>Statement by ultimate consignee/purchaser (EUC conforming to § 748.11), as applicable</w:t>
            </w:r>
          </w:p>
        </w:tc>
        <w:tc>
          <w:tcPr>
            <w:tcW w:type="dxa" w:w="2304"/>
          </w:tcPr>
          <w:p>
            <w:pPr>
              <w:spacing w:after="20"/>
            </w:pPr>
            <w:r/>
            <w:r>
              <w:rPr>
                <w:sz w:val="18"/>
              </w:rPr>
              <w:t>Confirm whether a BIS-711 is required</w:t>
            </w:r>
          </w:p>
        </w:tc>
      </w:tr>
      <w:tr>
        <w:tc>
          <w:tcPr>
            <w:tcW w:type="dxa" w:w="2304"/>
          </w:tcPr>
          <w:p>
            <w:pPr>
              <w:spacing w:after="20"/>
            </w:pPr>
            <w:r/>
            <w:r>
              <w:rPr>
                <w:sz w:val="18"/>
              </w:rPr>
              <w:t>13 Import/end-user certificate</w:t>
            </w:r>
          </w:p>
        </w:tc>
        <w:tc>
          <w:tcPr>
            <w:tcW w:type="dxa" w:w="4752"/>
          </w:tcPr>
          <w:p>
            <w:pPr>
              <w:spacing w:after="20"/>
            </w:pPr>
            <w:r/>
            <w:r>
              <w:rPr>
                <w:sz w:val="18"/>
              </w:rPr>
              <w:t>N/A (Singapore does not issue import certificates for this purpose); SDT EUC submitted as a supporting document</w:t>
            </w:r>
          </w:p>
        </w:tc>
        <w:tc>
          <w:tcPr>
            <w:tcW w:type="dxa" w:w="2304"/>
          </w:tcPr>
          <w:p>
            <w:pPr>
              <w:spacing w:after="20"/>
            </w:pPr>
            <w:r/>
          </w:p>
        </w:tc>
      </w:tr>
      <w:tr>
        <w:tc>
          <w:tcPr>
            <w:tcW w:type="dxa" w:w="2304"/>
          </w:tcPr>
          <w:p>
            <w:pPr>
              <w:spacing w:after="20"/>
            </w:pPr>
            <w:r/>
            <w:r>
              <w:rPr>
                <w:sz w:val="18"/>
              </w:rPr>
              <w:t>14 Applicant</w:t>
            </w:r>
          </w:p>
        </w:tc>
        <w:tc>
          <w:tcPr>
            <w:tcW w:type="dxa" w:w="4752"/>
          </w:tcPr>
          <w:p>
            <w:pPr>
              <w:spacing w:after="20"/>
            </w:pPr>
            <w:r/>
            <w:r>
              <w:rPr>
                <w:sz w:val="18"/>
              </w:rPr>
              <w:t>Cascade Photonics, Inc., 4100 Meridian Parkway, Ste 300, Tucson, AZ 85718; EIN 84-2917453</w:t>
            </w:r>
          </w:p>
        </w:tc>
        <w:tc>
          <w:tcPr>
            <w:tcW w:type="dxa" w:w="2304"/>
          </w:tcPr>
          <w:p>
            <w:pPr>
              <w:spacing w:after="20"/>
            </w:pPr>
            <w:r/>
          </w:p>
        </w:tc>
      </w:tr>
      <w:tr>
        <w:tc>
          <w:tcPr>
            <w:tcW w:type="dxa" w:w="2304"/>
          </w:tcPr>
          <w:p>
            <w:pPr>
              <w:spacing w:after="20"/>
            </w:pPr>
            <w:r/>
            <w:r>
              <w:rPr>
                <w:sz w:val="18"/>
              </w:rPr>
              <w:t>16 Purchaser</w:t>
            </w:r>
          </w:p>
        </w:tc>
        <w:tc>
          <w:tcPr>
            <w:tcW w:type="dxa" w:w="4752"/>
          </w:tcPr>
          <w:p>
            <w:pPr>
              <w:spacing w:after="20"/>
            </w:pPr>
            <w:r/>
            <w:r>
              <w:rPr>
                <w:sz w:val="18"/>
              </w:rPr>
              <w:t>Stellar Defense Technologies Pte. Ltd., 8 Changi Business Park Ave 1, #04-12, Singapore 486018</w:t>
            </w:r>
          </w:p>
        </w:tc>
        <w:tc>
          <w:tcPr>
            <w:tcW w:type="dxa" w:w="2304"/>
          </w:tcPr>
          <w:p>
            <w:pPr>
              <w:spacing w:after="20"/>
            </w:pPr>
            <w:r/>
          </w:p>
        </w:tc>
      </w:tr>
      <w:tr>
        <w:tc>
          <w:tcPr>
            <w:tcW w:type="dxa" w:w="2304"/>
          </w:tcPr>
          <w:p>
            <w:pPr>
              <w:spacing w:after="20"/>
            </w:pPr>
            <w:r/>
            <w:r>
              <w:rPr>
                <w:sz w:val="18"/>
              </w:rPr>
              <w:t>17 Intermediate consignee</w:t>
            </w:r>
          </w:p>
        </w:tc>
        <w:tc>
          <w:tcPr>
            <w:tcW w:type="dxa" w:w="4752"/>
          </w:tcPr>
          <w:p>
            <w:pPr>
              <w:spacing w:after="20"/>
            </w:pPr>
            <w:r/>
            <w:r>
              <w:rPr>
                <w:sz w:val="18"/>
              </w:rPr>
              <w:t>None [confirm no Singapore agent takes possession]</w:t>
            </w:r>
          </w:p>
        </w:tc>
        <w:tc>
          <w:tcPr>
            <w:tcW w:type="dxa" w:w="2304"/>
          </w:tcPr>
          <w:p>
            <w:pPr>
              <w:spacing w:after="20"/>
            </w:pPr>
            <w:r/>
            <w:r>
              <w:rPr>
                <w:sz w:val="18"/>
              </w:rPr>
              <w:t>Outline lists SDT here — incorrect</w:t>
            </w:r>
          </w:p>
        </w:tc>
      </w:tr>
      <w:tr>
        <w:tc>
          <w:tcPr>
            <w:tcW w:type="dxa" w:w="2304"/>
          </w:tcPr>
          <w:p>
            <w:pPr>
              <w:spacing w:after="20"/>
            </w:pPr>
            <w:r/>
            <w:r>
              <w:rPr>
                <w:sz w:val="18"/>
              </w:rPr>
              <w:t>18 Ultimate consignee</w:t>
            </w:r>
          </w:p>
        </w:tc>
        <w:tc>
          <w:tcPr>
            <w:tcW w:type="dxa" w:w="4752"/>
          </w:tcPr>
          <w:p>
            <w:pPr>
              <w:spacing w:after="20"/>
            </w:pPr>
            <w:r/>
            <w:r>
              <w:rPr>
                <w:sz w:val="18"/>
              </w:rPr>
              <w:t>Stellar Defense Technologies Pte. Ltd. (same address)</w:t>
            </w:r>
          </w:p>
        </w:tc>
        <w:tc>
          <w:tcPr>
            <w:tcW w:type="dxa" w:w="2304"/>
          </w:tcPr>
          <w:p>
            <w:pPr>
              <w:spacing w:after="20"/>
            </w:pPr>
            <w:r/>
          </w:p>
        </w:tc>
      </w:tr>
      <w:tr>
        <w:tc>
          <w:tcPr>
            <w:tcW w:type="dxa" w:w="2304"/>
          </w:tcPr>
          <w:p>
            <w:pPr>
              <w:spacing w:after="20"/>
            </w:pPr>
            <w:r/>
            <w:r>
              <w:rPr>
                <w:sz w:val="18"/>
              </w:rPr>
              <w:t>19 End user</w:t>
            </w:r>
          </w:p>
        </w:tc>
        <w:tc>
          <w:tcPr>
            <w:tcW w:type="dxa" w:w="4752"/>
          </w:tcPr>
          <w:p>
            <w:pPr>
              <w:spacing w:after="20"/>
            </w:pPr>
            <w:r/>
            <w:r>
              <w:rPr>
                <w:sz w:val="18"/>
              </w:rPr>
              <w:t>Ministry of Defence, Republic of Singapore, through DSTA; [MINDEF address to be confirmed]</w:t>
            </w:r>
          </w:p>
        </w:tc>
        <w:tc>
          <w:tcPr>
            <w:tcW w:type="dxa" w:w="2304"/>
          </w:tcPr>
          <w:p>
            <w:pPr>
              <w:spacing w:after="20"/>
            </w:pPr>
            <w:r/>
            <w:r>
              <w:rPr>
                <w:sz w:val="18"/>
              </w:rPr>
              <w:t>RSN as operational user described in Block 21/narrative</w:t>
            </w:r>
          </w:p>
        </w:tc>
      </w:tr>
      <w:tr>
        <w:tc>
          <w:tcPr>
            <w:tcW w:type="dxa" w:w="2304"/>
          </w:tcPr>
          <w:p>
            <w:pPr>
              <w:spacing w:after="20"/>
            </w:pPr>
            <w:r/>
            <w:r>
              <w:rPr>
                <w:sz w:val="18"/>
              </w:rPr>
              <w:t>21 Specific end use</w:t>
            </w:r>
          </w:p>
        </w:tc>
        <w:tc>
          <w:tcPr>
            <w:tcW w:type="dxa" w:w="4752"/>
          </w:tcPr>
          <w:p>
            <w:pPr>
              <w:spacing w:after="20"/>
            </w:pPr>
            <w:r/>
            <w:r>
              <w:rPr>
                <w:sz w:val="18"/>
              </w:rPr>
              <w:t>Integration into Sentinel-MDA stabilized EO/IR turrets installed aboard RSN patrol vessels for maritime surveillance, under Contract MINDEF/DSTA-2024-EO-0387</w:t>
            </w:r>
          </w:p>
        </w:tc>
        <w:tc>
          <w:tcPr>
            <w:tcW w:type="dxa" w:w="2304"/>
          </w:tcPr>
          <w:p>
            <w:pPr>
              <w:spacing w:after="20"/>
            </w:pPr>
            <w:r/>
          </w:p>
        </w:tc>
      </w:tr>
      <w:tr>
        <w:tc>
          <w:tcPr>
            <w:tcW w:type="dxa" w:w="2304"/>
          </w:tcPr>
          <w:p>
            <w:pPr>
              <w:spacing w:after="20"/>
            </w:pPr>
            <w:r/>
            <w:r>
              <w:rPr>
                <w:sz w:val="18"/>
              </w:rPr>
              <w:t>22(a)–(j) Item</w:t>
            </w:r>
          </w:p>
        </w:tc>
        <w:tc>
          <w:tcPr>
            <w:tcW w:type="dxa" w:w="4752"/>
          </w:tcPr>
          <w:p>
            <w:pPr>
              <w:spacing w:after="20"/>
            </w:pPr>
            <w:r/>
            <w:r>
              <w:rPr>
                <w:sz w:val="18"/>
              </w:rPr>
              <w:t>ECCN [6A002.a.3 — pending engineering memo]; model CP-640IR[-STD]; qty 24; unit price $47,500; total $1,140,000; manufacturer Cascade Photonics, Inc.; full technical description incl. 240 Hz windowed rate</w:t>
            </w:r>
          </w:p>
        </w:tc>
        <w:tc>
          <w:tcPr>
            <w:tcW w:type="dxa" w:w="2304"/>
          </w:tcPr>
          <w:p>
            <w:pPr>
              <w:spacing w:after="20"/>
            </w:pPr>
            <w:r/>
            <w:r>
              <w:rPr>
                <w:sz w:val="18"/>
              </w:rPr>
              <w:t>CCATS: none</w:t>
            </w:r>
          </w:p>
        </w:tc>
      </w:tr>
      <w:tr>
        <w:tc>
          <w:tcPr>
            <w:tcW w:type="dxa" w:w="2304"/>
          </w:tcPr>
          <w:p>
            <w:pPr>
              <w:spacing w:after="20"/>
            </w:pPr>
            <w:r/>
            <w:r>
              <w:rPr>
                <w:sz w:val="18"/>
              </w:rPr>
              <w:t>23 Total application value</w:t>
            </w:r>
          </w:p>
        </w:tc>
        <w:tc>
          <w:tcPr>
            <w:tcW w:type="dxa" w:w="4752"/>
          </w:tcPr>
          <w:p>
            <w:pPr>
              <w:spacing w:after="20"/>
            </w:pPr>
            <w:r/>
            <w:r>
              <w:rPr>
                <w:sz w:val="18"/>
              </w:rPr>
              <w:t>$1,140,000</w:t>
            </w:r>
          </w:p>
        </w:tc>
        <w:tc>
          <w:tcPr>
            <w:tcW w:type="dxa" w:w="2304"/>
          </w:tcPr>
          <w:p>
            <w:pPr>
              <w:spacing w:after="20"/>
            </w:pPr>
            <w:r/>
          </w:p>
        </w:tc>
      </w:tr>
      <w:tr>
        <w:tc>
          <w:tcPr>
            <w:tcW w:type="dxa" w:w="2304"/>
          </w:tcPr>
          <w:p>
            <w:pPr>
              <w:spacing w:after="20"/>
            </w:pPr>
            <w:r/>
            <w:r>
              <w:rPr>
                <w:sz w:val="18"/>
              </w:rPr>
              <w:t>24 Additional information</w:t>
            </w:r>
          </w:p>
        </w:tc>
        <w:tc>
          <w:tcPr>
            <w:tcW w:type="dxa" w:w="4752"/>
          </w:tcPr>
          <w:p>
            <w:pPr>
              <w:spacing w:after="20"/>
            </w:pPr>
            <w:r/>
            <w:r>
              <w:rPr>
                <w:sz w:val="18"/>
              </w:rPr>
              <w:t>Reference prior license D-598712; summary of narrative; reference attached narrative</w:t>
            </w:r>
          </w:p>
        </w:tc>
        <w:tc>
          <w:tcPr>
            <w:tcW w:type="dxa" w:w="2304"/>
          </w:tcPr>
          <w:p>
            <w:pPr>
              <w:spacing w:after="20"/>
            </w:pPr>
            <w:r/>
          </w:p>
        </w:tc>
      </w:tr>
      <w:tr>
        <w:tc>
          <w:tcPr>
            <w:tcW w:type="dxa" w:w="2304"/>
          </w:tcPr>
          <w:p>
            <w:pPr>
              <w:spacing w:after="20"/>
            </w:pPr>
            <w:r/>
            <w:r>
              <w:rPr>
                <w:sz w:val="18"/>
              </w:rPr>
              <w:t>25 Signature</w:t>
            </w:r>
          </w:p>
        </w:tc>
        <w:tc>
          <w:tcPr>
            <w:tcW w:type="dxa" w:w="4752"/>
          </w:tcPr>
          <w:p>
            <w:pPr>
              <w:spacing w:after="20"/>
            </w:pPr>
            <w:r/>
            <w:r>
              <w:rPr>
                <w:sz w:val="18"/>
              </w:rPr>
              <w:t>Authorized Cascade officer, after client written approval</w:t>
            </w:r>
          </w:p>
        </w:tc>
        <w:tc>
          <w:tcPr>
            <w:tcW w:type="dxa" w:w="2304"/>
          </w:tcPr>
          <w:p>
            <w:pPr>
              <w:spacing w:after="20"/>
            </w:pPr>
            <w:r/>
            <w:r>
              <w:rPr>
                <w:sz w:val="18"/>
              </w:rPr>
              <w:t>Engagement Letter § 4.5</w:t>
            </w:r>
          </w:p>
        </w:tc>
      </w:tr>
    </w:tbl>
    <w:p>
      <w:pPr>
        <w:spacing w:after="40"/>
      </w:pPr>
    </w:p>
    <w:p/>
    <w:p>
      <w:pPr>
        <w:spacing w:after="0"/>
      </w:pPr>
      <w:r>
        <w:t>J.O.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sz w:val="16"/>
      </w:rPr>
      <w:t>Privileged &amp; Confidential — Attorney-Client Communication / Attorney Work Product — Draft for Partner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