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&amp; CONFIDENTIAL — ATTORNEY WORK PRODUCT — PREPARED IN ANTICIPATION OF TRIAL</w:t>
      </w:r>
    </w:p>
    <w:p>
      <w:pPr>
        <w:spacing w:after="160"/>
        <w:jc w:val="center"/>
      </w:pPr>
      <w:r>
        <w:rPr>
          <w:b/>
          <w:sz w:val="32"/>
        </w:rPr>
        <w:t>MEMORANDUM</w:t>
      </w:r>
    </w:p>
    <w:tbl>
      <w:tblPr>
        <w:tblW w:type="auto" w:w="0"/>
        <w:tblLayout w:type="fixed"/>
        <w:tblLook w:firstColumn="1" w:firstRow="1" w:lastColumn="0" w:lastRow="0" w:noHBand="0" w:noVBand="1" w:val="04A0"/>
      </w:tblPr>
      <w:tblGrid>
        <w:gridCol w:w="4680"/>
        <w:gridCol w:w="4680"/>
      </w:tblGrid>
      <w:tr>
        <w:tc>
          <w:tcPr>
            <w:tcW w:type="dxa" w:w="1440"/>
          </w:tcPr>
          <w:p>
            <w:r/>
            <w:r>
              <w:rPr>
                <w:b/>
              </w:rPr>
              <w:t>TO:</w:t>
            </w:r>
          </w:p>
        </w:tc>
        <w:tc>
          <w:tcPr>
            <w:tcW w:type="dxa" w:w="7920"/>
          </w:tcPr>
          <w:p>
            <w:r/>
            <w:r>
              <w:t>Victoria Pratt, Partner; Nathan Oshiro — Hargrove, Lennox &amp; Pratt LLP</w:t>
            </w:r>
          </w:p>
        </w:tc>
      </w:tr>
      <w:tr>
        <w:tc>
          <w:tcPr>
            <w:tcW w:type="dxa" w:w="1440"/>
          </w:tcPr>
          <w:p>
            <w:r/>
            <w:r>
              <w:rPr>
                <w:b/>
              </w:rPr>
              <w:t>FROM:</w:t>
            </w:r>
          </w:p>
        </w:tc>
        <w:tc>
          <w:tcPr>
            <w:tcW w:type="dxa" w:w="7920"/>
          </w:tcPr>
          <w:p>
            <w:r/>
            <w:r>
              <w:t>Litigation Associate</w:t>
            </w:r>
          </w:p>
        </w:tc>
      </w:tr>
      <w:tr>
        <w:tc>
          <w:tcPr>
            <w:tcW w:type="dxa" w:w="1440"/>
          </w:tcPr>
          <w:p>
            <w:r/>
            <w:r>
              <w:rPr>
                <w:b/>
              </w:rPr>
              <w:t>DATE:</w:t>
            </w:r>
          </w:p>
        </w:tc>
        <w:tc>
          <w:tcPr>
            <w:tcW w:type="dxa" w:w="7920"/>
          </w:tcPr>
          <w:p>
            <w:r/>
            <w:r>
              <w:t>[Insert date of circulation] (prepared from Volumes I and II, taken January 14–15, 2025)</w:t>
            </w:r>
          </w:p>
        </w:tc>
      </w:tr>
      <w:tr>
        <w:tc>
          <w:tcPr>
            <w:tcW w:type="dxa" w:w="1440"/>
          </w:tcPr>
          <w:p>
            <w:r/>
            <w:r>
              <w:rPr>
                <w:b/>
              </w:rPr>
              <w:t>RE:</w:t>
            </w:r>
          </w:p>
        </w:tc>
        <w:tc>
          <w:tcPr>
            <w:tcW w:type="dxa" w:w="7920"/>
          </w:tcPr>
          <w:p>
            <w:r/>
            <w:r>
              <w:t>Corbin Machining Solutions, Inc. v. Derek Yoon and Pinnacle Automation Group, LLC, Kent County Circuit Court Case No. 24-CV-10583 — Deposition of Derek Yoon (Vols. I–II): Key Admissions, Contradictions, and Recommended Next Steps</w:t>
            </w:r>
          </w:p>
        </w:tc>
      </w:tr>
      <w:tr>
        <w:tc>
          <w:tcPr>
            <w:tcW w:type="dxa" w:w="1440"/>
          </w:tcPr>
          <w:p>
            <w:r/>
            <w:r>
              <w:rPr>
                <w:b/>
              </w:rPr>
              <w:t>CLIENT:</w:t>
            </w:r>
          </w:p>
        </w:tc>
        <w:tc>
          <w:tcPr>
            <w:tcW w:type="dxa" w:w="7920"/>
          </w:tcPr>
          <w:p>
            <w:r/>
            <w:r>
              <w:t>Corbin Machining Solutions, Inc. (“CMS”)</w:t>
            </w:r>
          </w:p>
        </w:tc>
      </w:tr>
    </w:tbl>
    <w:p>
      <w:pPr>
        <w:spacing w:after="80"/>
      </w:pPr>
      <w:r>
        <w:rPr>
          <w:sz w:val="16"/>
        </w:rPr>
        <w:t>__________________________________________________________________________________________</w:t>
      </w:r>
    </w:p>
    <w:p>
      <w:pPr>
        <w:pStyle w:val="Heading1"/>
      </w:pPr>
      <w:r>
        <w:t>I. Executive Summary</w:t>
      </w:r>
    </w:p>
    <w:p>
      <w:r>
        <w:t>Over two days of testimony, Derek Yoon, CMS’s former Chief Technology Officer and now PAG’s Vice President of Engineering, made admissions that establish or materially support nearly every element of CMS’s claims: breach of the non-competition and confidentiality covenants (Employment Agreement §§ 7(a), 8), trade secret misappropriation (MUTSA, MCL 445.1901 et seq.), breach of the Separation Acknowledgment, PAG’s knowing participation, and pre-suit spoliation. His testimony also contradicts, on at least a dozen material points, his sworn interrogatory answers (served November 1, 2024), his own Volume I testimony, and the documentary record (Ridgepoint forensic report, cease-and-desist letter, Separation Acknowledgment, and the Employment Agreement itself).</w:t>
      </w:r>
    </w:p>
    <w:p>
      <w:r/>
      <w:r>
        <w:rPr>
          <w:b/>
        </w:rPr>
        <w:t>Most significant admissions.</w:t>
      </w:r>
      <w:r/>
    </w:p>
    <w:p>
      <w:pPr>
        <w:pStyle w:val="ListBullet"/>
        <w:spacing w:after="60"/>
      </w:pPr>
      <w:r/>
      <w:r>
        <w:rPr>
          <w:b/>
        </w:rPr>
        <w:t>Covenants and competition.</w:t>
      </w:r>
      <w:r>
        <w:t xml:space="preserve"> He signed and understood the Employment Agreement; it was the operative agreement when he resigned; PAG’s Troy office is ~142 miles from CMS headquarters (inside the 150-mile radius); MillEdge Pro and OptiMill Suite are competing CNC toolpath optimization products targeting the same aerospace/automotive market (Vol. I at 19–28, 84, 200–201; Vol. II 295:21–296:1, 304:4–9).</w:t>
      </w:r>
    </w:p>
    <w:p>
      <w:pPr>
        <w:pStyle w:val="ListBullet"/>
        <w:spacing w:after="60"/>
      </w:pPr>
      <w:r/>
      <w:r>
        <w:rPr>
          <w:b/>
        </w:rPr>
        <w:t>USB transfer.</w:t>
      </w:r>
      <w:r>
        <w:t xml:space="preserve"> He connected a USB drive to his CMS laptop around August 10, 2024; any drive connected was “likely mine”; he copied an entire folder without reviewing the files; he had no written authorization; he never returned the drive; it is at his home in Troy (Vol. I at 102–110, 177; Vol. II 332:15–19).</w:t>
      </w:r>
    </w:p>
    <w:p>
      <w:pPr>
        <w:pStyle w:val="ListBullet"/>
        <w:spacing w:after="60"/>
      </w:pPr>
      <w:r/>
      <w:r>
        <w:rPr>
          <w:b/>
        </w:rPr>
        <w:t>Blue Book.</w:t>
      </w:r>
      <w:r>
        <w:t xml:space="preserve"> The Blue Book is confidential “Proprietary Information” under § 8; the CMS and Gmail addresses on Exhibit 15 are his; he “may have forwarded it”; he may have deleted it from Gmail and cannot say when (Vol. I at 132–137; Vol. II 332:20–333:2).</w:t>
      </w:r>
    </w:p>
    <w:p>
      <w:pPr>
        <w:pStyle w:val="ListBullet"/>
        <w:spacing w:after="60"/>
      </w:pPr>
      <w:r/>
      <w:r>
        <w:rPr>
          <w:b/>
        </w:rPr>
        <w:t>Spoliation.</w:t>
      </w:r>
      <w:r>
        <w:t xml:space="preserve"> He received the August 22, 2024 cease-and-desist letter (which expressly demanded preservation and prohibited any factory reset), understood he was on notice to preserve communications, and then factory-reset his iPhone 15 Pro on September 1, 2024 without a backup, destroying texts and call logs with Marcus Adwell (Vol. I at 191–195).</w:t>
      </w:r>
    </w:p>
    <w:p>
      <w:pPr>
        <w:pStyle w:val="ListBullet"/>
        <w:spacing w:after="60"/>
      </w:pPr>
      <w:r/>
      <w:r>
        <w:rPr>
          <w:b/>
        </w:rPr>
        <w:t>False certification.</w:t>
      </w:r>
      <w:r>
        <w:t xml:space="preserve"> He did not return the USB drive and did not disclose the Blue Book email when he signed the August 28, 2024 Separation Acknowledgment certifying the return of all Company property, including USB drives (Vol. I at 176–180).</w:t>
      </w:r>
    </w:p>
    <w:p>
      <w:pPr>
        <w:pStyle w:val="ListBullet"/>
        <w:spacing w:after="60"/>
      </w:pPr>
      <w:r/>
      <w:r>
        <w:rPr>
          <w:b/>
        </w:rPr>
        <w:t>Pre-resignation recruitment by PAG.</w:t>
      </w:r>
      <w:r>
        <w:t xml:space="preserve"> He had dinner with PAG co-founder Marcus Adwell on June 22, 2024, learned PAG was building “something in CNC optimization,” and told Adwell about his non-compete that night; Adwell later told him PAG’s counsel had reviewed it and they were “fine”; he met co-founder Teresa Quinlan in mid-July for “interview-type” questions; by August 5 Adwell was inviting him to discuss “the VP role” (Vol. II 309:3–316:14).</w:t>
      </w:r>
    </w:p>
    <w:p>
      <w:pPr>
        <w:pStyle w:val="ListBullet"/>
        <w:spacing w:after="60"/>
      </w:pPr>
      <w:r/>
      <w:r>
        <w:rPr>
          <w:b/>
        </w:rPr>
        <w:t>Use at PAG.</w:t>
      </w:r>
      <w:r>
        <w:t xml:space="preserve"> On his second day at PAG he attended a MillEdge Pro “Technical Architecture Review” and made suggestions on the optimization engine; he made eleven commits to the MillEdge Pro codebase in September 2024 (including “optimization engine refactor” and “harmonic analysis integration”); he described MillEdge Pro’s approach using the exact phrase that appears in CMS’s internal HarmonicPath documentation and could identify no outside source for it (Vol. II 298:20–301:6, 318:7–320:24, 322–323).</w:t>
      </w:r>
    </w:p>
    <w:p>
      <w:pPr>
        <w:pStyle w:val="ListBullet"/>
        <w:spacing w:after="60"/>
      </w:pPr>
      <w:r/>
      <w:r>
        <w:rPr>
          <w:b/>
        </w:rPr>
        <w:t>Interrogatory answers were inaccurate.</w:t>
      </w:r>
      <w:r>
        <w:t xml:space="preserve"> He conceded that Interrogatory Answers 4 and 12 were inaccurate or “not as precise as [they] should have been” (Vol. I at 63–64; Vol. II 303:4–16, 325:13–16).</w:t>
      </w:r>
    </w:p>
    <w:p>
      <w:r/>
      <w:r>
        <w:rPr>
          <w:b/>
        </w:rPr>
        <w:t>Most significant contradictions</w:t>
      </w:r>
      <w:r>
        <w:t xml:space="preserve"> (detailed in Part V): (1) first contact with PAG — “late August 2024” (Interrogatories 3, 4, 11) vs. an early-June industry event, a June 22 dinner, a mid-July interview-style coffee with Quinlan, and an August 5 invitation to discuss “the VP role”; (2) the claimed “100-mile” understanding of the non-compete, which he maintained until the deposition even though the cease-and-desist letter (Aug. 22) and the Separation Acknowledgment he signed (Aug. 28, § 3(b)) both state 150 miles; (3) “personal reference materials” on the USB drive vs. forensic proof that every one of the 3,847 files was source code, headers, configuration or documentation drawn from a repository freshly cloned the day before; (4) “inadvertent forwarding while cleaning my inbox” vs. a blank, standalone, newly composed message that was the only email he sent to his personal account in August; (5) “not involved in the development of any CNC optimization products” (Interrogatory 12) vs. eleven code commits and architecture work; and (6) basic biographical facts — name, birth date, address, PhD year and dissertation topic, and the employers he worked for before CMS — that differ between his deposition and his sworn interrogatory answers.</w:t>
      </w:r>
    </w:p>
    <w:p>
      <w:r/>
      <w:r>
        <w:rPr>
          <w:b/>
        </w:rPr>
        <w:t>Priority next steps</w:t>
      </w:r>
      <w:r>
        <w:t xml:space="preserve"> (detailed in Part VII): (1) calendar the 30-day read-and-sign period under MCR 2.306(D)(4) and prepare to challenge any substantive errata; (2) move to compel immediate production of the USB drive (S/N SD256-7891-XKR) and a neutral forensic examination of it, his Gmail account, iCloud/iPhone backups, and any personal computers; (3) move for spoliation sanctions, including an adverse-inference instruction, based on the September 1 factory reset; (4) demand supplemental, corrected interrogatory answers under MCR 2.302(E) and serve targeted requests for admission; (5) subpoena and depose Adwell, Quinlan, and Ravi Chandrasekaran, and obtain the MillEdge Pro code, commit diffs, and the full Adwell–Yoon communications (including texts); (6) retain a source-code comparison expert under an amended, two-way protective order with an attorneys’-eyes-only tier; and (7) fix weaknesses in our own record before relying on it in motion practice, including mis-quotations of the covenant (“and” vs. “or”) and of Interrogatories 4 and 7, and a timestamp conflict on Exhibit 15 (Part VI).</w:t>
      </w:r>
    </w:p>
    <w:p>
      <w:pPr>
        <w:pStyle w:val="Heading1"/>
      </w:pPr>
      <w:r>
        <w:t>II. Materials Reviewed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744"/>
            <w:shd w:val="clear" w:color="auto" w:fill="1F3A5F"/>
          </w:tcPr>
          <w:p>
            <w:r/>
            <w:r>
              <w:rPr>
                <w:b/>
                <w:color w:val="FFFFFF"/>
                <w:sz w:val="18"/>
              </w:rPr>
              <w:t>Document</w:t>
            </w:r>
          </w:p>
        </w:tc>
        <w:tc>
          <w:tcPr>
            <w:tcW w:type="dxa" w:w="1728"/>
            <w:shd w:val="clear" w:color="auto" w:fill="1F3A5F"/>
          </w:tcPr>
          <w:p>
            <w:r/>
            <w:r>
              <w:rPr>
                <w:b/>
                <w:color w:val="FFFFFF"/>
                <w:sz w:val="18"/>
              </w:rPr>
              <w:t>Date</w:t>
            </w:r>
          </w:p>
        </w:tc>
        <w:tc>
          <w:tcPr>
            <w:tcW w:type="dxa" w:w="3888"/>
            <w:shd w:val="clear" w:color="auto" w:fill="1F3A5F"/>
          </w:tcPr>
          <w:p>
            <w:r/>
            <w:r>
              <w:rPr>
                <w:b/>
                <w:color w:val="FFFFFF"/>
                <w:sz w:val="18"/>
              </w:rPr>
              <w:t>Notes</w:t>
            </w:r>
          </w:p>
        </w:tc>
      </w:tr>
      <w:tr>
        <w:tc>
          <w:tcPr>
            <w:tcW w:type="dxa" w:w="3744"/>
          </w:tcPr>
          <w:p>
            <w:pPr>
              <w:spacing w:after="40"/>
            </w:pPr>
            <w:r/>
            <w:r>
              <w:rPr>
                <w:sz w:val="18"/>
              </w:rPr>
              <w:t>Videotaped Deposition of Derek Yoon, Vol. I (reporter M. Dunhill, CSR-3874)</w:t>
            </w:r>
          </w:p>
        </w:tc>
        <w:tc>
          <w:tcPr>
            <w:tcW w:type="dxa" w:w="1728"/>
          </w:tcPr>
          <w:p>
            <w:pPr>
              <w:spacing w:after="40"/>
            </w:pPr>
            <w:r/>
            <w:r>
              <w:rPr>
                <w:sz w:val="18"/>
              </w:rPr>
              <w:t>Jan. 14, 2025</w:t>
            </w:r>
          </w:p>
        </w:tc>
        <w:tc>
          <w:tcPr>
            <w:tcW w:type="dxa" w:w="3888"/>
          </w:tcPr>
          <w:p>
            <w:pPr>
              <w:spacing w:after="40"/>
            </w:pPr>
            <w:r/>
            <w:r>
              <w:rPr>
                <w:sz w:val="18"/>
              </w:rPr>
              <w:t>Exhibits 1–18. The transcript is paginated with gaps (e.g., pp. 12→19, 28→39); no line numbers. Cited as “Vol. I at [page]”.</w:t>
            </w:r>
          </w:p>
        </w:tc>
      </w:tr>
      <w:tr>
        <w:tc>
          <w:tcPr>
            <w:tcW w:type="dxa" w:w="3744"/>
          </w:tcPr>
          <w:p>
            <w:pPr>
              <w:spacing w:after="40"/>
            </w:pPr>
            <w:r/>
            <w:r>
              <w:rPr>
                <w:sz w:val="18"/>
              </w:rPr>
              <w:t>Videotaped Deposition of Derek Yoon, Vol. II (reporter M. Cahill, CSR, RPR)</w:t>
            </w:r>
          </w:p>
        </w:tc>
        <w:tc>
          <w:tcPr>
            <w:tcW w:type="dxa" w:w="1728"/>
          </w:tcPr>
          <w:p>
            <w:pPr>
              <w:spacing w:after="40"/>
            </w:pPr>
            <w:r/>
            <w:r>
              <w:rPr>
                <w:sz w:val="18"/>
              </w:rPr>
              <w:t>Jan. 15, 2025</w:t>
            </w:r>
          </w:p>
        </w:tc>
        <w:tc>
          <w:tcPr>
            <w:tcW w:type="dxa" w:w="3888"/>
          </w:tcPr>
          <w:p>
            <w:pPr>
              <w:spacing w:after="40"/>
            </w:pPr>
            <w:r/>
            <w:r>
              <w:rPr>
                <w:sz w:val="18"/>
              </w:rPr>
              <w:t>Exhibits 19–28; examination by Pratt, Kellner, Birchfield (redirect), Pratt (recross). Cited as “Vol. II [page]:[line]”.</w:t>
            </w:r>
          </w:p>
        </w:tc>
      </w:tr>
      <w:tr>
        <w:tc>
          <w:tcPr>
            <w:tcW w:type="dxa" w:w="3744"/>
          </w:tcPr>
          <w:p>
            <w:pPr>
              <w:spacing w:after="40"/>
            </w:pPr>
            <w:r/>
            <w:r>
              <w:rPr>
                <w:sz w:val="18"/>
              </w:rPr>
              <w:t>Defendant Derek Yoon’s Answers to Plaintiff’s First Set of Interrogatories (Dep. Ex. 8/26)</w:t>
            </w:r>
          </w:p>
        </w:tc>
        <w:tc>
          <w:tcPr>
            <w:tcW w:type="dxa" w:w="1728"/>
          </w:tcPr>
          <w:p>
            <w:pPr>
              <w:spacing w:after="40"/>
            </w:pPr>
            <w:r/>
            <w:r>
              <w:rPr>
                <w:sz w:val="18"/>
              </w:rPr>
              <w:t>Served &amp; verified Nov. 1, 2024</w:t>
            </w:r>
          </w:p>
        </w:tc>
        <w:tc>
          <w:tcPr>
            <w:tcW w:type="dxa" w:w="3888"/>
          </w:tcPr>
          <w:p>
            <w:pPr>
              <w:spacing w:after="40"/>
            </w:pPr>
            <w:r/>
            <w:r>
              <w:rPr>
                <w:sz w:val="18"/>
              </w:rPr>
              <w:t>15 interrogatories; verified under oath. Cited as “Rog [No.]”.</w:t>
            </w:r>
          </w:p>
        </w:tc>
      </w:tr>
      <w:tr>
        <w:tc>
          <w:tcPr>
            <w:tcW w:type="dxa" w:w="3744"/>
          </w:tcPr>
          <w:p>
            <w:pPr>
              <w:spacing w:after="40"/>
            </w:pPr>
            <w:r/>
            <w:r>
              <w:rPr>
                <w:sz w:val="18"/>
              </w:rPr>
              <w:t>Employment Agreement, CMS–Yoon (Dep. Ex. 1/27)</w:t>
            </w:r>
          </w:p>
        </w:tc>
        <w:tc>
          <w:tcPr>
            <w:tcW w:type="dxa" w:w="1728"/>
          </w:tcPr>
          <w:p>
            <w:pPr>
              <w:spacing w:after="40"/>
            </w:pPr>
            <w:r/>
            <w:r>
              <w:rPr>
                <w:sz w:val="18"/>
              </w:rPr>
              <w:t>Mar. 4, 2019</w:t>
            </w:r>
          </w:p>
        </w:tc>
        <w:tc>
          <w:tcPr>
            <w:tcW w:type="dxa" w:w="3888"/>
          </w:tcPr>
          <w:p>
            <w:pPr>
              <w:spacing w:after="40"/>
            </w:pPr>
            <w:r/>
            <w:r>
              <w:rPr>
                <w:sz w:val="18"/>
              </w:rPr>
              <w:t>§§ 4(c), 6(d), 7(a)–(c), 8, 9, 10 (tolling; fees), 11, 12, 13(b); Exhibit A (Prior Inventions: “None”).</w:t>
            </w:r>
          </w:p>
        </w:tc>
      </w:tr>
      <w:tr>
        <w:tc>
          <w:tcPr>
            <w:tcW w:type="dxa" w:w="3744"/>
          </w:tcPr>
          <w:p>
            <w:pPr>
              <w:spacing w:after="40"/>
            </w:pPr>
            <w:r/>
            <w:r>
              <w:rPr>
                <w:sz w:val="18"/>
              </w:rPr>
              <w:t>Ridgepoint Digital Forensics Report RDF-2024-0387, K. Villalobos (Dep. Ex. 14)</w:t>
            </w:r>
          </w:p>
        </w:tc>
        <w:tc>
          <w:tcPr>
            <w:tcW w:type="dxa" w:w="1728"/>
          </w:tcPr>
          <w:p>
            <w:pPr>
              <w:spacing w:after="40"/>
            </w:pPr>
            <w:r/>
            <w:r>
              <w:rPr>
                <w:sz w:val="18"/>
              </w:rPr>
              <w:t>Oct. 15, 2024</w:t>
            </w:r>
          </w:p>
        </w:tc>
        <w:tc>
          <w:tcPr>
            <w:tcW w:type="dxa" w:w="3888"/>
          </w:tcPr>
          <w:p>
            <w:pPr>
              <w:spacing w:after="40"/>
            </w:pPr>
            <w:r/>
            <w:r>
              <w:rPr>
                <w:sz w:val="18"/>
              </w:rPr>
              <w:t>Findings on USB transfer, Blue Book email, patent-file access, GitLab clones, browser history; Appendices A–F.</w:t>
            </w:r>
          </w:p>
        </w:tc>
      </w:tr>
      <w:tr>
        <w:tc>
          <w:tcPr>
            <w:tcW w:type="dxa" w:w="3744"/>
          </w:tcPr>
          <w:p>
            <w:pPr>
              <w:spacing w:after="40"/>
            </w:pPr>
            <w:r/>
            <w:r>
              <w:rPr>
                <w:sz w:val="18"/>
              </w:rPr>
              <w:t>Cease-and-Desist / Litigation Hold Letter, V. Pratt to D. Yoon (Dep. Ex. 7)</w:t>
            </w:r>
          </w:p>
        </w:tc>
        <w:tc>
          <w:tcPr>
            <w:tcW w:type="dxa" w:w="1728"/>
          </w:tcPr>
          <w:p>
            <w:pPr>
              <w:spacing w:after="40"/>
            </w:pPr>
            <w:r/>
            <w:r>
              <w:rPr>
                <w:sz w:val="18"/>
              </w:rPr>
              <w:t>Aug. 22, 2024</w:t>
            </w:r>
          </w:p>
        </w:tc>
        <w:tc>
          <w:tcPr>
            <w:tcW w:type="dxa" w:w="3888"/>
          </w:tcPr>
          <w:p>
            <w:pPr>
              <w:spacing w:after="40"/>
            </w:pPr>
            <w:r/>
            <w:r>
              <w:rPr>
                <w:sz w:val="18"/>
              </w:rPr>
              <w:t>Sent by certified mail and to derek.yoon.personal@gmail.com; expressly prohibits factory resets.</w:t>
            </w:r>
          </w:p>
        </w:tc>
      </w:tr>
      <w:tr>
        <w:tc>
          <w:tcPr>
            <w:tcW w:type="dxa" w:w="3744"/>
          </w:tcPr>
          <w:p>
            <w:pPr>
              <w:spacing w:after="40"/>
            </w:pPr>
            <w:r/>
            <w:r>
              <w:rPr>
                <w:sz w:val="18"/>
              </w:rPr>
              <w:t>Separation Acknowledgment and Certification of Return of Company Property (Dep. Ex. 6)</w:t>
            </w:r>
          </w:p>
        </w:tc>
        <w:tc>
          <w:tcPr>
            <w:tcW w:type="dxa" w:w="1728"/>
          </w:tcPr>
          <w:p>
            <w:pPr>
              <w:spacing w:after="40"/>
            </w:pPr>
            <w:r/>
            <w:r>
              <w:rPr>
                <w:sz w:val="18"/>
              </w:rPr>
              <w:t>Aug. 28, 2024</w:t>
            </w:r>
          </w:p>
        </w:tc>
        <w:tc>
          <w:tcPr>
            <w:tcW w:type="dxa" w:w="3888"/>
          </w:tcPr>
          <w:p>
            <w:pPr>
              <w:spacing w:after="40"/>
            </w:pPr>
            <w:r/>
            <w:r>
              <w:rPr>
                <w:sz w:val="18"/>
              </w:rPr>
              <w:t>§§ 1(d), 2(a)–(c), 3(b), 3(e), 4, 5.</w:t>
            </w:r>
          </w:p>
        </w:tc>
      </w:tr>
    </w:tbl>
    <w:p>
      <w:pPr>
        <w:spacing w:after="40"/>
      </w:pPr>
    </w:p>
    <w:p>
      <w:r>
        <w:rPr>
          <w:i/>
          <w:sz w:val="18"/>
        </w:rPr>
        <w:t>Exhibits referenced in the transcripts but not in our review set (e.g., Ex. 2 CV, Ex. 5 resignation letter, Ex. 9 IT Access Policy, Ex. 13 DMS log, Ex. 15 email log, Ex. 20–25, Ex. 28) are described below only as characterized on the record; they should be pulled and checked against this memo before any filing.</w:t>
      </w:r>
    </w:p>
    <w:p>
      <w:pPr>
        <w:pStyle w:val="Heading1"/>
      </w:pPr>
      <w:r>
        <w:t>III. Key Chronology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shd w:val="clear" w:color="auto" w:fill="1F3A5F"/>
          </w:tcPr>
          <w:p>
            <w:r/>
            <w:r>
              <w:rPr>
                <w:b/>
                <w:color w:val="FFFFFF"/>
                <w:sz w:val="18"/>
              </w:rPr>
              <w:t>Date</w:t>
            </w:r>
          </w:p>
        </w:tc>
        <w:tc>
          <w:tcPr>
            <w:tcW w:type="dxa" w:w="5400"/>
            <w:shd w:val="clear" w:color="auto" w:fill="1F3A5F"/>
          </w:tcPr>
          <w:p>
            <w:r/>
            <w:r>
              <w:rPr>
                <w:b/>
                <w:color w:val="FFFFFF"/>
                <w:sz w:val="18"/>
              </w:rPr>
              <w:t>Event</w:t>
            </w:r>
          </w:p>
        </w:tc>
        <w:tc>
          <w:tcPr>
            <w:tcW w:type="dxa" w:w="2016"/>
            <w:shd w:val="clear" w:color="auto" w:fill="1F3A5F"/>
          </w:tcPr>
          <w:p>
            <w:r/>
            <w:r>
              <w:rPr>
                <w:b/>
                <w:color w:val="FFFFFF"/>
                <w:sz w:val="18"/>
              </w:rPr>
              <w:t>Source</w:t>
            </w:r>
          </w:p>
        </w:tc>
      </w:tr>
      <w:tr>
        <w:tc>
          <w:tcPr>
            <w:tcW w:type="dxa" w:w="1944"/>
          </w:tcPr>
          <w:p>
            <w:pPr>
              <w:spacing w:after="40"/>
            </w:pPr>
            <w:r/>
            <w:r>
              <w:rPr>
                <w:sz w:val="18"/>
              </w:rPr>
              <w:t>Mar. 4, 2019</w:t>
            </w:r>
          </w:p>
        </w:tc>
        <w:tc>
          <w:tcPr>
            <w:tcW w:type="dxa" w:w="5400"/>
          </w:tcPr>
          <w:p>
            <w:pPr>
              <w:spacing w:after="40"/>
            </w:pPr>
            <w:r/>
            <w:r>
              <w:rPr>
                <w:sz w:val="18"/>
              </w:rPr>
              <w:t>Yoon signs Employment Agreement; starts as VP of Engineering ($235,000).</w:t>
            </w:r>
          </w:p>
        </w:tc>
        <w:tc>
          <w:tcPr>
            <w:tcW w:type="dxa" w:w="2016"/>
          </w:tcPr>
          <w:p>
            <w:pPr>
              <w:spacing w:after="40"/>
            </w:pPr>
            <w:r/>
            <w:r>
              <w:rPr>
                <w:sz w:val="18"/>
              </w:rPr>
              <w:t>Emp. Agmt.; Vol. I at 9, 19</w:t>
            </w:r>
          </w:p>
        </w:tc>
      </w:tr>
      <w:tr>
        <w:tc>
          <w:tcPr>
            <w:tcW w:type="dxa" w:w="1944"/>
          </w:tcPr>
          <w:p>
            <w:pPr>
              <w:spacing w:after="40"/>
            </w:pPr>
            <w:r/>
            <w:r>
              <w:rPr>
                <w:sz w:val="18"/>
              </w:rPr>
              <w:t>Jan. 15, 2021</w:t>
            </w:r>
          </w:p>
        </w:tc>
        <w:tc>
          <w:tcPr>
            <w:tcW w:type="dxa" w:w="5400"/>
          </w:tcPr>
          <w:p>
            <w:pPr>
              <w:spacing w:after="40"/>
            </w:pPr>
            <w:r/>
            <w:r>
              <w:rPr>
                <w:sz w:val="18"/>
              </w:rPr>
              <w:t>Promoted to CTO ($310,000; bonus up to 35%); no new agreement signed.</w:t>
            </w:r>
          </w:p>
        </w:tc>
        <w:tc>
          <w:tcPr>
            <w:tcW w:type="dxa" w:w="2016"/>
          </w:tcPr>
          <w:p>
            <w:pPr>
              <w:spacing w:after="40"/>
            </w:pPr>
            <w:r/>
            <w:r>
              <w:rPr>
                <w:sz w:val="18"/>
              </w:rPr>
              <w:t>Vol. I at 12, 28, 39; Emp. Agmt. § 13(b)</w:t>
            </w:r>
          </w:p>
        </w:tc>
      </w:tr>
      <w:tr>
        <w:tc>
          <w:tcPr>
            <w:tcW w:type="dxa" w:w="1944"/>
          </w:tcPr>
          <w:p>
            <w:pPr>
              <w:spacing w:after="40"/>
            </w:pPr>
            <w:r/>
            <w:r>
              <w:rPr>
                <w:sz w:val="18"/>
              </w:rPr>
              <w:t>Jan. 22, 2024</w:t>
            </w:r>
          </w:p>
        </w:tc>
        <w:tc>
          <w:tcPr>
            <w:tcW w:type="dxa" w:w="5400"/>
          </w:tcPr>
          <w:p>
            <w:pPr>
              <w:spacing w:after="40"/>
            </w:pPr>
            <w:r/>
            <w:r>
              <w:rPr>
                <w:sz w:val="18"/>
              </w:rPr>
              <w:t>PAG formed (Adwell &amp; Quinlan); later $18.5M Series A from Sycamore Ventures.</w:t>
            </w:r>
          </w:p>
        </w:tc>
        <w:tc>
          <w:tcPr>
            <w:tcW w:type="dxa" w:w="2016"/>
          </w:tcPr>
          <w:p>
            <w:pPr>
              <w:spacing w:after="40"/>
            </w:pPr>
            <w:r/>
            <w:r>
              <w:rPr>
                <w:sz w:val="18"/>
              </w:rPr>
              <w:t>Vol. I at 62, 66; C&amp;D § III</w:t>
            </w:r>
          </w:p>
        </w:tc>
      </w:tr>
      <w:tr>
        <w:tc>
          <w:tcPr>
            <w:tcW w:type="dxa" w:w="1944"/>
          </w:tcPr>
          <w:p>
            <w:pPr>
              <w:spacing w:after="40"/>
            </w:pPr>
            <w:r/>
            <w:r>
              <w:rPr>
                <w:sz w:val="18"/>
              </w:rPr>
              <w:t>~June 8–9, 2024</w:t>
            </w:r>
          </w:p>
        </w:tc>
        <w:tc>
          <w:tcPr>
            <w:tcW w:type="dxa" w:w="5400"/>
          </w:tcPr>
          <w:p>
            <w:pPr>
              <w:spacing w:after="40"/>
            </w:pPr>
            <w:r/>
            <w:r>
              <w:rPr>
                <w:sz w:val="18"/>
              </w:rPr>
              <w:t>Yoon and Adwell meet at a Michigan Automation Council event.</w:t>
            </w:r>
          </w:p>
        </w:tc>
        <w:tc>
          <w:tcPr>
            <w:tcW w:type="dxa" w:w="2016"/>
          </w:tcPr>
          <w:p>
            <w:pPr>
              <w:spacing w:after="40"/>
            </w:pPr>
            <w:r/>
            <w:r>
              <w:rPr>
                <w:sz w:val="18"/>
              </w:rPr>
              <w:t>Ex. 22 (June 15 email); Vol. II 309:6–10</w:t>
            </w:r>
          </w:p>
        </w:tc>
      </w:tr>
      <w:tr>
        <w:tc>
          <w:tcPr>
            <w:tcW w:type="dxa" w:w="1944"/>
          </w:tcPr>
          <w:p>
            <w:pPr>
              <w:spacing w:after="40"/>
            </w:pPr>
            <w:r/>
            <w:r>
              <w:rPr>
                <w:sz w:val="18"/>
              </w:rPr>
              <w:t>June 22, 2024 (Sat.)</w:t>
            </w:r>
          </w:p>
        </w:tc>
        <w:tc>
          <w:tcPr>
            <w:tcW w:type="dxa" w:w="5400"/>
          </w:tcPr>
          <w:p>
            <w:pPr>
              <w:spacing w:after="40"/>
            </w:pPr>
            <w:r/>
            <w:r>
              <w:rPr>
                <w:sz w:val="18"/>
              </w:rPr>
              <w:t>Dinner with Adwell (Ann Arbor); PAG and CNC optimization discussed; Yoon discloses non-compete.</w:t>
            </w:r>
          </w:p>
        </w:tc>
        <w:tc>
          <w:tcPr>
            <w:tcW w:type="dxa" w:w="2016"/>
          </w:tcPr>
          <w:p>
            <w:pPr>
              <w:spacing w:after="40"/>
            </w:pPr>
            <w:r/>
            <w:r>
              <w:rPr>
                <w:sz w:val="18"/>
              </w:rPr>
              <w:t>Vol. I at 60–64; Vol. II 309:3–310:23</w:t>
            </w:r>
          </w:p>
        </w:tc>
      </w:tr>
      <w:tr>
        <w:tc>
          <w:tcPr>
            <w:tcW w:type="dxa" w:w="1944"/>
          </w:tcPr>
          <w:p>
            <w:pPr>
              <w:spacing w:after="40"/>
            </w:pPr>
            <w:r/>
            <w:r>
              <w:rPr>
                <w:sz w:val="18"/>
              </w:rPr>
              <w:t>July 1 – Aug. 15, 2024</w:t>
            </w:r>
          </w:p>
        </w:tc>
        <w:tc>
          <w:tcPr>
            <w:tcW w:type="dxa" w:w="5400"/>
          </w:tcPr>
          <w:p>
            <w:pPr>
              <w:spacing w:after="40"/>
            </w:pPr>
            <w:r/>
            <w:r>
              <w:rPr>
                <w:sz w:val="18"/>
              </w:rPr>
              <w:t>47 accesses to AdaptGrip patent prosecution files (≈10.4x baseline; accelerating).</w:t>
            </w:r>
          </w:p>
        </w:tc>
        <w:tc>
          <w:tcPr>
            <w:tcW w:type="dxa" w:w="2016"/>
          </w:tcPr>
          <w:p>
            <w:pPr>
              <w:spacing w:after="40"/>
            </w:pPr>
            <w:r/>
            <w:r>
              <w:rPr>
                <w:sz w:val="18"/>
              </w:rPr>
              <w:t>Forensic Rpt. § 5.3; Vol. I at 156–158</w:t>
            </w:r>
          </w:p>
        </w:tc>
      </w:tr>
      <w:tr>
        <w:tc>
          <w:tcPr>
            <w:tcW w:type="dxa" w:w="1944"/>
          </w:tcPr>
          <w:p>
            <w:pPr>
              <w:spacing w:after="40"/>
            </w:pPr>
            <w:r/>
            <w:r>
              <w:rPr>
                <w:sz w:val="18"/>
              </w:rPr>
              <w:t>July 1 – Aug. 30, 2024</w:t>
            </w:r>
          </w:p>
        </w:tc>
        <w:tc>
          <w:tcPr>
            <w:tcW w:type="dxa" w:w="5400"/>
          </w:tcPr>
          <w:p>
            <w:pPr>
              <w:spacing w:after="40"/>
            </w:pPr>
            <w:r/>
            <w:r>
              <w:rPr>
                <w:sz w:val="18"/>
              </w:rPr>
              <w:t>8 full clone/pull operations on OptiMill-v3 repository (baseline ≈1/month).</w:t>
            </w:r>
          </w:p>
        </w:tc>
        <w:tc>
          <w:tcPr>
            <w:tcW w:type="dxa" w:w="2016"/>
          </w:tcPr>
          <w:p>
            <w:pPr>
              <w:spacing w:after="40"/>
            </w:pPr>
            <w:r/>
            <w:r>
              <w:rPr>
                <w:sz w:val="18"/>
              </w:rPr>
              <w:t>Forensic Rpt. § 5.4.1</w:t>
            </w:r>
          </w:p>
        </w:tc>
      </w:tr>
      <w:tr>
        <w:tc>
          <w:tcPr>
            <w:tcW w:type="dxa" w:w="1944"/>
          </w:tcPr>
          <w:p>
            <w:pPr>
              <w:spacing w:after="40"/>
            </w:pPr>
            <w:r/>
            <w:r>
              <w:rPr>
                <w:sz w:val="18"/>
              </w:rPr>
              <w:t>Mid-July 2024 (email July 18)</w:t>
            </w:r>
          </w:p>
        </w:tc>
        <w:tc>
          <w:tcPr>
            <w:tcW w:type="dxa" w:w="5400"/>
          </w:tcPr>
          <w:p>
            <w:pPr>
              <w:spacing w:after="40"/>
            </w:pPr>
            <w:r/>
            <w:r>
              <w:rPr>
                <w:sz w:val="18"/>
              </w:rPr>
              <w:t>Coffee with Quinlan about “the engineering team we’re building”; “interview-type questions.”</w:t>
            </w:r>
          </w:p>
        </w:tc>
        <w:tc>
          <w:tcPr>
            <w:tcW w:type="dxa" w:w="2016"/>
          </w:tcPr>
          <w:p>
            <w:pPr>
              <w:spacing w:after="40"/>
            </w:pPr>
            <w:r/>
            <w:r>
              <w:rPr>
                <w:sz w:val="18"/>
              </w:rPr>
              <w:t>Vol. II 312:23–313:22</w:t>
            </w:r>
          </w:p>
        </w:tc>
      </w:tr>
      <w:tr>
        <w:tc>
          <w:tcPr>
            <w:tcW w:type="dxa" w:w="1944"/>
          </w:tcPr>
          <w:p>
            <w:pPr>
              <w:spacing w:after="40"/>
            </w:pPr>
            <w:r/>
            <w:r>
              <w:rPr>
                <w:sz w:val="18"/>
              </w:rPr>
              <w:t>July 28, 2024</w:t>
            </w:r>
          </w:p>
        </w:tc>
        <w:tc>
          <w:tcPr>
            <w:tcW w:type="dxa" w:w="5400"/>
          </w:tcPr>
          <w:p>
            <w:pPr>
              <w:spacing w:after="40"/>
            </w:pPr>
            <w:r/>
            <w:r>
              <w:rPr>
                <w:sz w:val="18"/>
              </w:rPr>
              <w:t>Yoon to Adwell: “Very interested in continuing the conversation.”</w:t>
            </w:r>
          </w:p>
        </w:tc>
        <w:tc>
          <w:tcPr>
            <w:tcW w:type="dxa" w:w="2016"/>
          </w:tcPr>
          <w:p>
            <w:pPr>
              <w:spacing w:after="40"/>
            </w:pPr>
            <w:r/>
            <w:r>
              <w:rPr>
                <w:sz w:val="18"/>
              </w:rPr>
              <w:t>Vol. II 314:18–315:2</w:t>
            </w:r>
          </w:p>
        </w:tc>
      </w:tr>
      <w:tr>
        <w:tc>
          <w:tcPr>
            <w:tcW w:type="dxa" w:w="1944"/>
          </w:tcPr>
          <w:p>
            <w:pPr>
              <w:spacing w:after="40"/>
            </w:pPr>
            <w:r/>
            <w:r>
              <w:rPr>
                <w:sz w:val="18"/>
              </w:rPr>
              <w:t>Aug. 5, 2024</w:t>
            </w:r>
          </w:p>
        </w:tc>
        <w:tc>
          <w:tcPr>
            <w:tcW w:type="dxa" w:w="5400"/>
          </w:tcPr>
          <w:p>
            <w:pPr>
              <w:spacing w:after="40"/>
            </w:pPr>
            <w:r/>
            <w:r>
              <w:rPr>
                <w:sz w:val="18"/>
              </w:rPr>
              <w:t>Adwell to Yoon: “Teresa and I want to talk about the VP role.”</w:t>
            </w:r>
          </w:p>
        </w:tc>
        <w:tc>
          <w:tcPr>
            <w:tcW w:type="dxa" w:w="2016"/>
          </w:tcPr>
          <w:p>
            <w:pPr>
              <w:spacing w:after="40"/>
            </w:pPr>
            <w:r/>
            <w:r>
              <w:rPr>
                <w:sz w:val="18"/>
              </w:rPr>
              <w:t>Vol. II 315:3–12</w:t>
            </w:r>
          </w:p>
        </w:tc>
      </w:tr>
      <w:tr>
        <w:tc>
          <w:tcPr>
            <w:tcW w:type="dxa" w:w="1944"/>
          </w:tcPr>
          <w:p>
            <w:pPr>
              <w:spacing w:after="40"/>
            </w:pPr>
            <w:r/>
            <w:r>
              <w:rPr>
                <w:sz w:val="18"/>
              </w:rPr>
              <w:t>Aug. 8, 2024</w:t>
            </w:r>
          </w:p>
        </w:tc>
        <w:tc>
          <w:tcPr>
            <w:tcW w:type="dxa" w:w="5400"/>
          </w:tcPr>
          <w:p>
            <w:pPr>
              <w:spacing w:after="40"/>
            </w:pPr>
            <w:r/>
            <w:r>
              <w:rPr>
                <w:sz w:val="18"/>
              </w:rPr>
              <w:t>CMS laptop searches: “how to transfer large files to USB”; “USB 3.0 transfer speed.”</w:t>
            </w:r>
          </w:p>
        </w:tc>
        <w:tc>
          <w:tcPr>
            <w:tcW w:type="dxa" w:w="2016"/>
          </w:tcPr>
          <w:p>
            <w:pPr>
              <w:spacing w:after="40"/>
            </w:pPr>
            <w:r/>
            <w:r>
              <w:rPr>
                <w:sz w:val="18"/>
              </w:rPr>
              <w:t>Forensic Rpt. § 5.4.2</w:t>
            </w:r>
          </w:p>
        </w:tc>
      </w:tr>
      <w:tr>
        <w:tc>
          <w:tcPr>
            <w:tcW w:type="dxa" w:w="1944"/>
          </w:tcPr>
          <w:p>
            <w:pPr>
              <w:spacing w:after="40"/>
            </w:pPr>
            <w:r/>
            <w:r>
              <w:rPr>
                <w:sz w:val="18"/>
              </w:rPr>
              <w:t>Aug. 9, 2024, 17:34</w:t>
            </w:r>
          </w:p>
        </w:tc>
        <w:tc>
          <w:tcPr>
            <w:tcW w:type="dxa" w:w="5400"/>
          </w:tcPr>
          <w:p>
            <w:pPr>
              <w:spacing w:after="40"/>
            </w:pPr>
            <w:r/>
            <w:r>
              <w:rPr>
                <w:sz w:val="18"/>
              </w:rPr>
              <w:t>Full git clone of OptiMill-v3 to C:\Users\dyoon\Repos\OptiMill-v3.</w:t>
            </w:r>
          </w:p>
        </w:tc>
        <w:tc>
          <w:tcPr>
            <w:tcW w:type="dxa" w:w="2016"/>
          </w:tcPr>
          <w:p>
            <w:pPr>
              <w:spacing w:after="40"/>
            </w:pPr>
            <w:r/>
            <w:r>
              <w:rPr>
                <w:sz w:val="18"/>
              </w:rPr>
              <w:t>Forensic Rpt. § 5.4.1</w:t>
            </w:r>
          </w:p>
        </w:tc>
      </w:tr>
      <w:tr>
        <w:tc>
          <w:tcPr>
            <w:tcW w:type="dxa" w:w="1944"/>
          </w:tcPr>
          <w:p>
            <w:pPr>
              <w:spacing w:after="40"/>
            </w:pPr>
            <w:r/>
            <w:r>
              <w:rPr>
                <w:sz w:val="18"/>
              </w:rPr>
              <w:t>Aug. 10, 2024 (Sat.), 19:47–21:13</w:t>
            </w:r>
          </w:p>
        </w:tc>
        <w:tc>
          <w:tcPr>
            <w:tcW w:type="dxa" w:w="5400"/>
          </w:tcPr>
          <w:p>
            <w:pPr>
              <w:spacing w:after="40"/>
            </w:pPr>
            <w:r/>
            <w:r>
              <w:rPr>
                <w:sz w:val="18"/>
              </w:rPr>
              <w:t>SanDisk Ultra 256GB (S/N SD256-7891-XKR) connected for the first and only time; 3,847 files / ~2.3 GB copied from OptiMill-v3 (incl. HarmonicPath) and AdaptGrip firmware.</w:t>
            </w:r>
          </w:p>
        </w:tc>
        <w:tc>
          <w:tcPr>
            <w:tcW w:type="dxa" w:w="2016"/>
          </w:tcPr>
          <w:p>
            <w:pPr>
              <w:spacing w:after="40"/>
            </w:pPr>
            <w:r/>
            <w:r>
              <w:rPr>
                <w:sz w:val="18"/>
              </w:rPr>
              <w:t>Forensic Rpt. § 5.1</w:t>
            </w:r>
          </w:p>
        </w:tc>
      </w:tr>
      <w:tr>
        <w:tc>
          <w:tcPr>
            <w:tcW w:type="dxa" w:w="1944"/>
          </w:tcPr>
          <w:p>
            <w:pPr>
              <w:spacing w:after="40"/>
            </w:pPr>
            <w:r/>
            <w:r>
              <w:rPr>
                <w:sz w:val="18"/>
              </w:rPr>
              <w:t>Aug. 11, 2024</w:t>
            </w:r>
          </w:p>
        </w:tc>
        <w:tc>
          <w:tcPr>
            <w:tcW w:type="dxa" w:w="5400"/>
          </w:tcPr>
          <w:p>
            <w:pPr>
              <w:spacing w:after="40"/>
            </w:pPr>
            <w:r/>
            <w:r>
              <w:rPr>
                <w:sz w:val="18"/>
              </w:rPr>
              <w:t>CMS laptop: Google search “Pinnacle Automation Group”; visits PAG About and Careers pages.</w:t>
            </w:r>
          </w:p>
        </w:tc>
        <w:tc>
          <w:tcPr>
            <w:tcW w:type="dxa" w:w="2016"/>
          </w:tcPr>
          <w:p>
            <w:pPr>
              <w:spacing w:after="40"/>
            </w:pPr>
            <w:r/>
            <w:r>
              <w:rPr>
                <w:sz w:val="18"/>
              </w:rPr>
              <w:t>Forensic Rpt. § 5.4.2</w:t>
            </w:r>
          </w:p>
        </w:tc>
      </w:tr>
      <w:tr>
        <w:tc>
          <w:tcPr>
            <w:tcW w:type="dxa" w:w="1944"/>
          </w:tcPr>
          <w:p>
            <w:pPr>
              <w:spacing w:after="40"/>
            </w:pPr>
            <w:r/>
            <w:r>
              <w:rPr>
                <w:sz w:val="18"/>
              </w:rPr>
              <w:t>Aug. 12, 2024</w:t>
            </w:r>
          </w:p>
        </w:tc>
        <w:tc>
          <w:tcPr>
            <w:tcW w:type="dxa" w:w="5400"/>
          </w:tcPr>
          <w:p>
            <w:pPr>
              <w:spacing w:after="40"/>
            </w:pPr>
            <w:r/>
            <w:r>
              <w:rPr>
                <w:sz w:val="18"/>
              </w:rPr>
              <w:t>Blue Book (CMS_Pricing_Master_2024_Q3.xlsx) emailed to personal Gmail; blank subject and body. Time: 14:22:17 EDT per forensic report vs. 11:47 a.m. per Ex. 15 as read at deposition (see Part VI).</w:t>
            </w:r>
          </w:p>
        </w:tc>
        <w:tc>
          <w:tcPr>
            <w:tcW w:type="dxa" w:w="2016"/>
          </w:tcPr>
          <w:p>
            <w:pPr>
              <w:spacing w:after="40"/>
            </w:pPr>
            <w:r/>
            <w:r>
              <w:rPr>
                <w:sz w:val="18"/>
              </w:rPr>
              <w:t>Forensic Rpt. § 5.2, App. D; Vol. I at 133</w:t>
            </w:r>
          </w:p>
        </w:tc>
      </w:tr>
      <w:tr>
        <w:tc>
          <w:tcPr>
            <w:tcW w:type="dxa" w:w="1944"/>
          </w:tcPr>
          <w:p>
            <w:pPr>
              <w:spacing w:after="40"/>
            </w:pPr>
            <w:r/>
            <w:r>
              <w:rPr>
                <w:sz w:val="18"/>
              </w:rPr>
              <w:t>Aug. 14, 2024</w:t>
            </w:r>
          </w:p>
        </w:tc>
        <w:tc>
          <w:tcPr>
            <w:tcW w:type="dxa" w:w="5400"/>
          </w:tcPr>
          <w:p>
            <w:pPr>
              <w:spacing w:after="40"/>
            </w:pPr>
            <w:r/>
            <w:r>
              <w:rPr>
                <w:sz w:val="18"/>
              </w:rPr>
              <w:t>Yoon to Adwell: “I’ll be available soon. Wrapping things up on my end.”</w:t>
            </w:r>
          </w:p>
        </w:tc>
        <w:tc>
          <w:tcPr>
            <w:tcW w:type="dxa" w:w="2016"/>
          </w:tcPr>
          <w:p>
            <w:pPr>
              <w:spacing w:after="40"/>
            </w:pPr>
            <w:r/>
            <w:r>
              <w:rPr>
                <w:sz w:val="18"/>
              </w:rPr>
              <w:t>Vol. II 315:13–18</w:t>
            </w:r>
          </w:p>
        </w:tc>
      </w:tr>
      <w:tr>
        <w:tc>
          <w:tcPr>
            <w:tcW w:type="dxa" w:w="1944"/>
          </w:tcPr>
          <w:p>
            <w:pPr>
              <w:spacing w:after="40"/>
            </w:pPr>
            <w:r/>
            <w:r>
              <w:rPr>
                <w:sz w:val="18"/>
              </w:rPr>
              <w:t>Aug. 16, 2024</w:t>
            </w:r>
          </w:p>
        </w:tc>
        <w:tc>
          <w:tcPr>
            <w:tcW w:type="dxa" w:w="5400"/>
          </w:tcPr>
          <w:p>
            <w:pPr>
              <w:spacing w:after="40"/>
            </w:pPr>
            <w:r/>
            <w:r>
              <w:rPr>
                <w:sz w:val="18"/>
              </w:rPr>
              <w:t>Resignation letter (effective Aug. 30) citing “a different sector of the automation industry.”</w:t>
            </w:r>
          </w:p>
        </w:tc>
        <w:tc>
          <w:tcPr>
            <w:tcW w:type="dxa" w:w="2016"/>
          </w:tcPr>
          <w:p>
            <w:pPr>
              <w:spacing w:after="40"/>
            </w:pPr>
            <w:r/>
            <w:r>
              <w:rPr>
                <w:sz w:val="18"/>
              </w:rPr>
              <w:t>Vol. I at 83–84</w:t>
            </w:r>
          </w:p>
        </w:tc>
      </w:tr>
      <w:tr>
        <w:tc>
          <w:tcPr>
            <w:tcW w:type="dxa" w:w="1944"/>
          </w:tcPr>
          <w:p>
            <w:pPr>
              <w:spacing w:after="40"/>
            </w:pPr>
            <w:r/>
            <w:r>
              <w:rPr>
                <w:sz w:val="18"/>
              </w:rPr>
              <w:t>Aug. 20, 2024</w:t>
            </w:r>
          </w:p>
        </w:tc>
        <w:tc>
          <w:tcPr>
            <w:tcW w:type="dxa" w:w="5400"/>
          </w:tcPr>
          <w:p>
            <w:pPr>
              <w:spacing w:after="40"/>
            </w:pPr>
            <w:r/>
            <w:r>
              <w:rPr>
                <w:sz w:val="18"/>
              </w:rPr>
              <w:t>PAG written offer letter: $385,000 plus options.</w:t>
            </w:r>
          </w:p>
        </w:tc>
        <w:tc>
          <w:tcPr>
            <w:tcW w:type="dxa" w:w="2016"/>
          </w:tcPr>
          <w:p>
            <w:pPr>
              <w:spacing w:after="40"/>
            </w:pPr>
            <w:r/>
            <w:r>
              <w:rPr>
                <w:sz w:val="18"/>
              </w:rPr>
              <w:t>Ex. 20; Vol. II 292:1–24</w:t>
            </w:r>
          </w:p>
        </w:tc>
      </w:tr>
      <w:tr>
        <w:tc>
          <w:tcPr>
            <w:tcW w:type="dxa" w:w="1944"/>
          </w:tcPr>
          <w:p>
            <w:pPr>
              <w:spacing w:after="40"/>
            </w:pPr>
            <w:r/>
            <w:r>
              <w:rPr>
                <w:sz w:val="18"/>
              </w:rPr>
              <w:t>Aug. 22, 2024</w:t>
            </w:r>
          </w:p>
        </w:tc>
        <w:tc>
          <w:tcPr>
            <w:tcW w:type="dxa" w:w="5400"/>
          </w:tcPr>
          <w:p>
            <w:pPr>
              <w:spacing w:after="40"/>
            </w:pPr>
            <w:r/>
            <w:r>
              <w:rPr>
                <w:sz w:val="18"/>
              </w:rPr>
              <w:t>Cease-and-desist / litigation hold letter (certified mail and Gmail). Yoon: received Aug. 23 or 24.</w:t>
            </w:r>
          </w:p>
        </w:tc>
        <w:tc>
          <w:tcPr>
            <w:tcW w:type="dxa" w:w="2016"/>
          </w:tcPr>
          <w:p>
            <w:pPr>
              <w:spacing w:after="40"/>
            </w:pPr>
            <w:r/>
            <w:r>
              <w:rPr>
                <w:sz w:val="18"/>
              </w:rPr>
              <w:t>C&amp;D; Vol. I at 87</w:t>
            </w:r>
          </w:p>
        </w:tc>
      </w:tr>
      <w:tr>
        <w:tc>
          <w:tcPr>
            <w:tcW w:type="dxa" w:w="1944"/>
          </w:tcPr>
          <w:p>
            <w:pPr>
              <w:spacing w:after="40"/>
            </w:pPr>
            <w:r/>
            <w:r>
              <w:rPr>
                <w:sz w:val="18"/>
              </w:rPr>
              <w:t>Aug. 28, 2024</w:t>
            </w:r>
          </w:p>
        </w:tc>
        <w:tc>
          <w:tcPr>
            <w:tcW w:type="dxa" w:w="5400"/>
          </w:tcPr>
          <w:p>
            <w:pPr>
              <w:spacing w:after="40"/>
            </w:pPr>
            <w:r/>
            <w:r>
              <w:rPr>
                <w:sz w:val="18"/>
              </w:rPr>
              <w:t>Exit interview (Marchetti); Separation Acknowledgment signed; laptop returned to IT Director Parekh at 15:30; USB not returned.</w:t>
            </w:r>
          </w:p>
        </w:tc>
        <w:tc>
          <w:tcPr>
            <w:tcW w:type="dxa" w:w="2016"/>
          </w:tcPr>
          <w:p>
            <w:pPr>
              <w:spacing w:after="40"/>
            </w:pPr>
            <w:r/>
            <w:r>
              <w:rPr>
                <w:sz w:val="18"/>
              </w:rPr>
              <w:t>Sep. Ack.; Forensic Rpt. § 4.2, App. A</w:t>
            </w:r>
          </w:p>
        </w:tc>
      </w:tr>
      <w:tr>
        <w:tc>
          <w:tcPr>
            <w:tcW w:type="dxa" w:w="1944"/>
          </w:tcPr>
          <w:p>
            <w:pPr>
              <w:spacing w:after="40"/>
            </w:pPr>
            <w:r/>
            <w:r>
              <w:rPr>
                <w:sz w:val="18"/>
              </w:rPr>
              <w:t>Aug. 30, 2024</w:t>
            </w:r>
          </w:p>
        </w:tc>
        <w:tc>
          <w:tcPr>
            <w:tcW w:type="dxa" w:w="5400"/>
          </w:tcPr>
          <w:p>
            <w:pPr>
              <w:spacing w:after="40"/>
            </w:pPr>
            <w:r/>
            <w:r>
              <w:rPr>
                <w:sz w:val="18"/>
              </w:rPr>
              <w:t>Last day at CMS.</w:t>
            </w:r>
          </w:p>
        </w:tc>
        <w:tc>
          <w:tcPr>
            <w:tcW w:type="dxa" w:w="2016"/>
          </w:tcPr>
          <w:p>
            <w:pPr>
              <w:spacing w:after="40"/>
            </w:pPr>
            <w:r/>
            <w:r>
              <w:rPr>
                <w:sz w:val="18"/>
              </w:rPr>
              <w:t>Vol. I at 83</w:t>
            </w:r>
          </w:p>
        </w:tc>
      </w:tr>
      <w:tr>
        <w:tc>
          <w:tcPr>
            <w:tcW w:type="dxa" w:w="1944"/>
          </w:tcPr>
          <w:p>
            <w:pPr>
              <w:spacing w:after="40"/>
            </w:pPr>
            <w:r/>
            <w:r>
              <w:rPr>
                <w:sz w:val="18"/>
              </w:rPr>
              <w:t>Sept. 1, 2024 (Sun.)</w:t>
            </w:r>
          </w:p>
        </w:tc>
        <w:tc>
          <w:tcPr>
            <w:tcW w:type="dxa" w:w="5400"/>
          </w:tcPr>
          <w:p>
            <w:pPr>
              <w:spacing w:after="40"/>
            </w:pPr>
            <w:r/>
            <w:r>
              <w:rPr>
                <w:sz w:val="18"/>
              </w:rPr>
              <w:t>Factory reset of personal iPhone 15 Pro; no backup.</w:t>
            </w:r>
          </w:p>
        </w:tc>
        <w:tc>
          <w:tcPr>
            <w:tcW w:type="dxa" w:w="2016"/>
          </w:tcPr>
          <w:p>
            <w:pPr>
              <w:spacing w:after="40"/>
            </w:pPr>
            <w:r/>
            <w:r>
              <w:rPr>
                <w:sz w:val="18"/>
              </w:rPr>
              <w:t>Vol. I at 192–194</w:t>
            </w:r>
          </w:p>
        </w:tc>
      </w:tr>
      <w:tr>
        <w:tc>
          <w:tcPr>
            <w:tcW w:type="dxa" w:w="1944"/>
          </w:tcPr>
          <w:p>
            <w:pPr>
              <w:spacing w:after="40"/>
            </w:pPr>
            <w:r/>
            <w:r>
              <w:rPr>
                <w:sz w:val="18"/>
              </w:rPr>
              <w:t>Sept. 3, 2024</w:t>
            </w:r>
          </w:p>
        </w:tc>
        <w:tc>
          <w:tcPr>
            <w:tcW w:type="dxa" w:w="5400"/>
          </w:tcPr>
          <w:p>
            <w:pPr>
              <w:spacing w:after="40"/>
            </w:pPr>
            <w:r/>
            <w:r>
              <w:rPr>
                <w:sz w:val="18"/>
              </w:rPr>
              <w:t>Starts at PAG (Troy) as VP of Engineering; 18-month restricted period nominally runs to ~Feb. 28, 2026, subject to § 10 tolling.</w:t>
            </w:r>
          </w:p>
        </w:tc>
        <w:tc>
          <w:tcPr>
            <w:tcW w:type="dxa" w:w="2016"/>
          </w:tcPr>
          <w:p>
            <w:pPr>
              <w:spacing w:after="40"/>
            </w:pPr>
            <w:r/>
            <w:r>
              <w:rPr>
                <w:sz w:val="18"/>
              </w:rPr>
              <w:t>Vol. I at 86; C&amp;D § I; Emp. Agmt. § 10</w:t>
            </w:r>
          </w:p>
        </w:tc>
      </w:tr>
      <w:tr>
        <w:tc>
          <w:tcPr>
            <w:tcW w:type="dxa" w:w="1944"/>
          </w:tcPr>
          <w:p>
            <w:pPr>
              <w:spacing w:after="40"/>
            </w:pPr>
            <w:r/>
            <w:r>
              <w:rPr>
                <w:sz w:val="18"/>
              </w:rPr>
              <w:t>Sept. 4–28, 2024</w:t>
            </w:r>
          </w:p>
        </w:tc>
        <w:tc>
          <w:tcPr>
            <w:tcW w:type="dxa" w:w="5400"/>
          </w:tcPr>
          <w:p>
            <w:pPr>
              <w:spacing w:after="40"/>
            </w:pPr>
            <w:r/>
            <w:r>
              <w:rPr>
                <w:sz w:val="18"/>
              </w:rPr>
              <w:t>MillEdge Pro architecture review (Sept. 4); 11 commits by “dyoon-pag” (Sept. 5–28).</w:t>
            </w:r>
          </w:p>
        </w:tc>
        <w:tc>
          <w:tcPr>
            <w:tcW w:type="dxa" w:w="2016"/>
          </w:tcPr>
          <w:p>
            <w:pPr>
              <w:spacing w:after="40"/>
            </w:pPr>
            <w:r/>
            <w:r>
              <w:rPr>
                <w:sz w:val="18"/>
              </w:rPr>
              <w:t>Ex. 21, 23; Vol. II 298–301, 322–323</w:t>
            </w:r>
          </w:p>
        </w:tc>
      </w:tr>
      <w:tr>
        <w:tc>
          <w:tcPr>
            <w:tcW w:type="dxa" w:w="1944"/>
          </w:tcPr>
          <w:p>
            <w:pPr>
              <w:spacing w:after="40"/>
            </w:pPr>
            <w:r/>
            <w:r>
              <w:rPr>
                <w:sz w:val="18"/>
              </w:rPr>
              <w:t>Oct. 21, 2024</w:t>
            </w:r>
          </w:p>
        </w:tc>
        <w:tc>
          <w:tcPr>
            <w:tcW w:type="dxa" w:w="5400"/>
          </w:tcPr>
          <w:p>
            <w:pPr>
              <w:spacing w:after="40"/>
            </w:pPr>
            <w:r/>
            <w:r>
              <w:rPr>
                <w:sz w:val="18"/>
              </w:rPr>
              <w:t>MillEdge Pro launched (“up to 25% cycle time reduction”).</w:t>
            </w:r>
          </w:p>
        </w:tc>
        <w:tc>
          <w:tcPr>
            <w:tcW w:type="dxa" w:w="2016"/>
          </w:tcPr>
          <w:p>
            <w:pPr>
              <w:spacing w:after="40"/>
            </w:pPr>
            <w:r/>
            <w:r>
              <w:rPr>
                <w:sz w:val="18"/>
              </w:rPr>
              <w:t>Ex. 24; Vol. II 304:16–305:4</w:t>
            </w:r>
          </w:p>
        </w:tc>
      </w:tr>
      <w:tr>
        <w:tc>
          <w:tcPr>
            <w:tcW w:type="dxa" w:w="1944"/>
          </w:tcPr>
          <w:p>
            <w:pPr>
              <w:spacing w:after="40"/>
            </w:pPr>
            <w:r/>
            <w:r>
              <w:rPr>
                <w:sz w:val="18"/>
              </w:rPr>
              <w:t>Nov. 1, 2024</w:t>
            </w:r>
          </w:p>
        </w:tc>
        <w:tc>
          <w:tcPr>
            <w:tcW w:type="dxa" w:w="5400"/>
          </w:tcPr>
          <w:p>
            <w:pPr>
              <w:spacing w:after="40"/>
            </w:pPr>
            <w:r/>
            <w:r>
              <w:rPr>
                <w:sz w:val="18"/>
              </w:rPr>
              <w:t>Verified interrogatory answers served.</w:t>
            </w:r>
          </w:p>
        </w:tc>
        <w:tc>
          <w:tcPr>
            <w:tcW w:type="dxa" w:w="2016"/>
          </w:tcPr>
          <w:p>
            <w:pPr>
              <w:spacing w:after="40"/>
            </w:pPr>
            <w:r/>
            <w:r>
              <w:rPr>
                <w:sz w:val="18"/>
              </w:rPr>
              <w:t>Rog Verification</w:t>
            </w:r>
          </w:p>
        </w:tc>
      </w:tr>
      <w:tr>
        <w:tc>
          <w:tcPr>
            <w:tcW w:type="dxa" w:w="1944"/>
          </w:tcPr>
          <w:p>
            <w:pPr>
              <w:spacing w:after="40"/>
            </w:pPr>
            <w:r/>
            <w:r>
              <w:rPr>
                <w:sz w:val="18"/>
              </w:rPr>
              <w:t>Jan. 14–15, 2025</w:t>
            </w:r>
          </w:p>
        </w:tc>
        <w:tc>
          <w:tcPr>
            <w:tcW w:type="dxa" w:w="5400"/>
          </w:tcPr>
          <w:p>
            <w:pPr>
              <w:spacing w:after="40"/>
            </w:pPr>
            <w:r/>
            <w:r>
              <w:rPr>
                <w:sz w:val="18"/>
              </w:rPr>
              <w:t>Deposition, Vols. I–II; read-and-sign reserved.</w:t>
            </w:r>
          </w:p>
        </w:tc>
        <w:tc>
          <w:tcPr>
            <w:tcW w:type="dxa" w:w="2016"/>
          </w:tcPr>
          <w:p>
            <w:pPr>
              <w:spacing w:after="40"/>
            </w:pPr>
            <w:r/>
            <w:r>
              <w:rPr>
                <w:sz w:val="18"/>
              </w:rPr>
              <w:t>Vol. II 344:11–15</w:t>
            </w:r>
          </w:p>
        </w:tc>
      </w:tr>
    </w:tbl>
    <w:p>
      <w:pPr>
        <w:spacing w:after="40"/>
      </w:pPr>
    </w:p>
    <w:p>
      <w:pPr>
        <w:pStyle w:val="Heading1"/>
      </w:pPr>
      <w:r>
        <w:t>IV. Key Admissions by Issue</w:t>
      </w:r>
    </w:p>
    <w:p>
      <w:r>
        <w:rPr>
          <w:i/>
          <w:sz w:val="18"/>
        </w:rPr>
        <w:t>Quotations are from the transcripts as produced. Pinpoints to Vol. I are to transcript page only (no line numbers were provided). “Use” notes the claim element or motion each admission supports.</w:t>
      </w:r>
    </w:p>
    <w:p>
      <w:pPr>
        <w:pStyle w:val="Heading2"/>
      </w:pPr>
      <w:r>
        <w:t>A. Employment Agreement and Restrictive Covenants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1</w:t>
            </w:r>
          </w:p>
        </w:tc>
        <w:tc>
          <w:tcPr>
            <w:tcW w:type="dxa" w:w="4104"/>
          </w:tcPr>
          <w:p>
            <w:pPr>
              <w:spacing w:after="40"/>
            </w:pPr>
            <w:r/>
            <w:r>
              <w:rPr>
                <w:sz w:val="18"/>
              </w:rPr>
              <w:t>Recognizes Ex. 1; his signature; signed March 4, 2019; read it before signing; “believed” he understood it; did not have a lawyer review it because it “seemed like a standard employment agreement.”</w:t>
            </w:r>
          </w:p>
        </w:tc>
        <w:tc>
          <w:tcPr>
            <w:tcW w:type="dxa" w:w="1512"/>
          </w:tcPr>
          <w:p>
            <w:pPr>
              <w:spacing w:after="40"/>
            </w:pPr>
            <w:r/>
            <w:r>
              <w:rPr>
                <w:sz w:val="18"/>
              </w:rPr>
              <w:t>Vol. I at 19–20</w:t>
            </w:r>
          </w:p>
        </w:tc>
        <w:tc>
          <w:tcPr>
            <w:tcW w:type="dxa" w:w="3240"/>
          </w:tcPr>
          <w:p>
            <w:pPr>
              <w:spacing w:after="40"/>
            </w:pPr>
            <w:r/>
            <w:r>
              <w:rPr>
                <w:sz w:val="18"/>
              </w:rPr>
              <w:t>Formation/assent. Neutralizes any claim of surprise or adhesion.</w:t>
            </w:r>
          </w:p>
        </w:tc>
      </w:tr>
      <w:tr>
        <w:tc>
          <w:tcPr>
            <w:tcW w:type="dxa" w:w="504"/>
          </w:tcPr>
          <w:p>
            <w:pPr>
              <w:spacing w:after="40"/>
            </w:pPr>
            <w:r/>
            <w:r>
              <w:rPr>
                <w:sz w:val="18"/>
              </w:rPr>
              <w:t>2</w:t>
            </w:r>
          </w:p>
        </w:tc>
        <w:tc>
          <w:tcPr>
            <w:tcW w:type="dxa" w:w="4104"/>
          </w:tcPr>
          <w:p>
            <w:pPr>
              <w:spacing w:after="40"/>
            </w:pPr>
            <w:r/>
            <w:r>
              <w:rPr>
                <w:sz w:val="18"/>
              </w:rPr>
              <w:t>Read the non-compete before signing; understood it meant not working “for a competitor in CNC optimization or robotic end-effectors within a certain distance from CMS for a period of time after leaving.”</w:t>
            </w:r>
          </w:p>
        </w:tc>
        <w:tc>
          <w:tcPr>
            <w:tcW w:type="dxa" w:w="1512"/>
          </w:tcPr>
          <w:p>
            <w:pPr>
              <w:spacing w:after="40"/>
            </w:pPr>
            <w:r/>
            <w:r>
              <w:rPr>
                <w:sz w:val="18"/>
              </w:rPr>
              <w:t>Vol. I at 21</w:t>
            </w:r>
          </w:p>
        </w:tc>
        <w:tc>
          <w:tcPr>
            <w:tcW w:type="dxa" w:w="3240"/>
          </w:tcPr>
          <w:p>
            <w:pPr>
              <w:spacing w:after="40"/>
            </w:pPr>
            <w:r/>
            <w:r>
              <w:rPr>
                <w:sz w:val="18"/>
              </w:rPr>
              <w:t>Knowledge of the covenant’s subject matter. Note his own paraphrase is disjunctive (“or”), matching § 7(a)(i).</w:t>
            </w:r>
          </w:p>
        </w:tc>
      </w:tr>
      <w:tr>
        <w:tc>
          <w:tcPr>
            <w:tcW w:type="dxa" w:w="504"/>
          </w:tcPr>
          <w:p>
            <w:pPr>
              <w:spacing w:after="40"/>
            </w:pPr>
            <w:r/>
            <w:r>
              <w:rPr>
                <w:sz w:val="18"/>
              </w:rPr>
              <w:t>3</w:t>
            </w:r>
          </w:p>
        </w:tc>
        <w:tc>
          <w:tcPr>
            <w:tcW w:type="dxa" w:w="4104"/>
          </w:tcPr>
          <w:p>
            <w:pPr>
              <w:spacing w:after="40"/>
            </w:pPr>
            <w:r/>
            <w:r>
              <w:rPr>
                <w:sz w:val="18"/>
              </w:rPr>
              <w:t>After reading § 7(a) aloud: the radius is 150 miles, “I guess I was mistaken”; Troy is ~142 miles from Grand Rapids (“sounds approximately right”; “That sounds about right”).</w:t>
            </w:r>
          </w:p>
        </w:tc>
        <w:tc>
          <w:tcPr>
            <w:tcW w:type="dxa" w:w="1512"/>
          </w:tcPr>
          <w:p>
            <w:pPr>
              <w:spacing w:after="40"/>
            </w:pPr>
            <w:r/>
            <w:r>
              <w:rPr>
                <w:sz w:val="18"/>
              </w:rPr>
              <w:t>Vol. I at 22–24; Vol. II 295:21–296:1, 327:10–11, 328:3</w:t>
            </w:r>
          </w:p>
        </w:tc>
        <w:tc>
          <w:tcPr>
            <w:tcW w:type="dxa" w:w="3240"/>
          </w:tcPr>
          <w:p>
            <w:pPr>
              <w:spacing w:after="40"/>
            </w:pPr>
            <w:r/>
            <w:r>
              <w:rPr>
                <w:sz w:val="18"/>
              </w:rPr>
              <w:t>PAG’s Troy office is inside the Restricted Territory. Still need admissible straight-line measurement (Part VII).</w:t>
            </w:r>
          </w:p>
        </w:tc>
      </w:tr>
      <w:tr>
        <w:tc>
          <w:tcPr>
            <w:tcW w:type="dxa" w:w="504"/>
          </w:tcPr>
          <w:p>
            <w:pPr>
              <w:spacing w:after="40"/>
            </w:pPr>
            <w:r/>
            <w:r>
              <w:rPr>
                <w:sz w:val="18"/>
              </w:rPr>
              <w:t>4</w:t>
            </w:r>
          </w:p>
        </w:tc>
        <w:tc>
          <w:tcPr>
            <w:tcW w:type="dxa" w:w="4104"/>
          </w:tcPr>
          <w:p>
            <w:pPr>
              <w:spacing w:after="40"/>
            </w:pPr>
            <w:r/>
            <w:r>
              <w:rPr>
                <w:sz w:val="18"/>
              </w:rPr>
              <w:t>Understood the non-solicitation and confidentiality provisions; understood confidentiality is ongoing; IP is assigned to CMS under § 9.</w:t>
            </w:r>
          </w:p>
        </w:tc>
        <w:tc>
          <w:tcPr>
            <w:tcW w:type="dxa" w:w="1512"/>
          </w:tcPr>
          <w:p>
            <w:pPr>
              <w:spacing w:after="40"/>
            </w:pPr>
            <w:r/>
            <w:r>
              <w:rPr>
                <w:sz w:val="18"/>
              </w:rPr>
              <w:t>Vol. I at 25–26; Vol. II 329:1–10</w:t>
            </w:r>
          </w:p>
        </w:tc>
        <w:tc>
          <w:tcPr>
            <w:tcW w:type="dxa" w:w="3240"/>
          </w:tcPr>
          <w:p>
            <w:pPr>
              <w:spacing w:after="40"/>
            </w:pPr>
            <w:r/>
            <w:r>
              <w:rPr>
                <w:sz w:val="18"/>
              </w:rPr>
              <w:t>Duty element for §§ 8–9 claims.</w:t>
            </w:r>
          </w:p>
        </w:tc>
      </w:tr>
      <w:tr>
        <w:tc>
          <w:tcPr>
            <w:tcW w:type="dxa" w:w="504"/>
          </w:tcPr>
          <w:p>
            <w:pPr>
              <w:spacing w:after="40"/>
            </w:pPr>
            <w:r/>
            <w:r>
              <w:rPr>
                <w:sz w:val="18"/>
              </w:rPr>
              <w:t>5</w:t>
            </w:r>
          </w:p>
        </w:tc>
        <w:tc>
          <w:tcPr>
            <w:tcW w:type="dxa" w:w="4104"/>
          </w:tcPr>
          <w:p>
            <w:pPr>
              <w:spacing w:after="40"/>
            </w:pPr>
            <w:r/>
            <w:r>
              <w:rPr>
                <w:sz w:val="18"/>
              </w:rPr>
              <w:t>Did not negotiate or request changes to §§ 7, 8, or 9; intended to be bound when he signed.</w:t>
            </w:r>
          </w:p>
        </w:tc>
        <w:tc>
          <w:tcPr>
            <w:tcW w:type="dxa" w:w="1512"/>
          </w:tcPr>
          <w:p>
            <w:pPr>
              <w:spacing w:after="40"/>
            </w:pPr>
            <w:r/>
            <w:r>
              <w:rPr>
                <w:sz w:val="18"/>
              </w:rPr>
              <w:t>Vol. I at 27–28</w:t>
            </w:r>
          </w:p>
        </w:tc>
        <w:tc>
          <w:tcPr>
            <w:tcW w:type="dxa" w:w="3240"/>
          </w:tcPr>
          <w:p>
            <w:pPr>
              <w:spacing w:after="40"/>
            </w:pPr>
            <w:r/>
            <w:r>
              <w:rPr>
                <w:sz w:val="18"/>
              </w:rPr>
              <w:t>Undercuts unconscionability/adhesion arguments.</w:t>
            </w:r>
          </w:p>
        </w:tc>
      </w:tr>
      <w:tr>
        <w:tc>
          <w:tcPr>
            <w:tcW w:type="dxa" w:w="504"/>
          </w:tcPr>
          <w:p>
            <w:pPr>
              <w:spacing w:after="40"/>
            </w:pPr>
            <w:r/>
            <w:r>
              <w:rPr>
                <w:sz w:val="18"/>
              </w:rPr>
              <w:t>6</w:t>
            </w:r>
          </w:p>
        </w:tc>
        <w:tc>
          <w:tcPr>
            <w:tcW w:type="dxa" w:w="4104"/>
          </w:tcPr>
          <w:p>
            <w:pPr>
              <w:spacing w:after="40"/>
            </w:pPr>
            <w:r/>
            <w:r>
              <w:rPr>
                <w:sz w:val="18"/>
              </w:rPr>
              <w:t>The promotion letter did not replace the Agreement; Ex. 1 was the operative agreement, including the restrictive covenants, when he resigned in August 2024.</w:t>
            </w:r>
          </w:p>
        </w:tc>
        <w:tc>
          <w:tcPr>
            <w:tcW w:type="dxa" w:w="1512"/>
          </w:tcPr>
          <w:p>
            <w:pPr>
              <w:spacing w:after="40"/>
            </w:pPr>
            <w:r/>
            <w:r>
              <w:rPr>
                <w:sz w:val="18"/>
              </w:rPr>
              <w:t>Vol. I at 28</w:t>
            </w:r>
          </w:p>
        </w:tc>
        <w:tc>
          <w:tcPr>
            <w:tcW w:type="dxa" w:w="3240"/>
          </w:tcPr>
          <w:p>
            <w:pPr>
              <w:spacing w:after="40"/>
            </w:pPr>
            <w:r/>
            <w:r>
              <w:rPr>
                <w:sz w:val="18"/>
              </w:rPr>
              <w:t>Forecloses a “superseded by promotion” defense; consistent with Emp. Agmt. § 13(b).</w:t>
            </w:r>
          </w:p>
        </w:tc>
      </w:tr>
      <w:tr>
        <w:tc>
          <w:tcPr>
            <w:tcW w:type="dxa" w:w="504"/>
          </w:tcPr>
          <w:p>
            <w:pPr>
              <w:spacing w:after="40"/>
            </w:pPr>
            <w:r/>
            <w:r>
              <w:rPr>
                <w:sz w:val="18"/>
              </w:rPr>
              <w:t>7</w:t>
            </w:r>
          </w:p>
        </w:tc>
        <w:tc>
          <w:tcPr>
            <w:tcW w:type="dxa" w:w="4104"/>
          </w:tcPr>
          <w:p>
            <w:pPr>
              <w:spacing w:after="40"/>
            </w:pPr>
            <w:r/>
            <w:r>
              <w:rPr>
                <w:sz w:val="18"/>
              </w:rPr>
              <w:t>Consideration was his employment; received no separate payment for the covenants.</w:t>
            </w:r>
          </w:p>
        </w:tc>
        <w:tc>
          <w:tcPr>
            <w:tcW w:type="dxa" w:w="1512"/>
          </w:tcPr>
          <w:p>
            <w:pPr>
              <w:spacing w:after="40"/>
            </w:pPr>
            <w:r/>
            <w:r>
              <w:rPr>
                <w:sz w:val="18"/>
              </w:rPr>
              <w:t>Vol. I at 27</w:t>
            </w:r>
          </w:p>
        </w:tc>
        <w:tc>
          <w:tcPr>
            <w:tcW w:type="dxa" w:w="3240"/>
          </w:tcPr>
          <w:p>
            <w:pPr>
              <w:spacing w:after="40"/>
            </w:pPr>
            <w:r/>
            <w:r>
              <w:rPr>
                <w:sz w:val="18"/>
              </w:rPr>
              <w:t>Defense will cite this on consideration. The Agreement recites salary, benefits, and access to Proprietary Information as consideration (Preamble, § 5). Assess under Michigan law; initial employment generally supports a covenant.</w:t>
            </w:r>
          </w:p>
        </w:tc>
      </w:tr>
      <w:tr>
        <w:tc>
          <w:tcPr>
            <w:tcW w:type="dxa" w:w="504"/>
          </w:tcPr>
          <w:p>
            <w:pPr>
              <w:spacing w:after="40"/>
            </w:pPr>
            <w:r/>
            <w:r>
              <w:rPr>
                <w:sz w:val="18"/>
              </w:rPr>
              <w:t>8</w:t>
            </w:r>
          </w:p>
        </w:tc>
        <w:tc>
          <w:tcPr>
            <w:tcW w:type="dxa" w:w="4104"/>
          </w:tcPr>
          <w:p>
            <w:pPr>
              <w:spacing w:after="40"/>
            </w:pPr>
            <w:r/>
            <w:r>
              <w:rPr>
                <w:sz w:val="18"/>
              </w:rPr>
              <w:t>Was aware of the potential concerns before joining PAG but “believed [his] non-compete — as [he] understood it — wouldn’t be an issue,” because of the supposed 100-mile radius.</w:t>
            </w:r>
          </w:p>
        </w:tc>
        <w:tc>
          <w:tcPr>
            <w:tcW w:type="dxa" w:w="1512"/>
          </w:tcPr>
          <w:p>
            <w:pPr>
              <w:spacing w:after="40"/>
            </w:pPr>
            <w:r/>
            <w:r>
              <w:rPr>
                <w:sz w:val="18"/>
              </w:rPr>
              <w:t>Vol. I at 197; see Vol. I at 89</w:t>
            </w:r>
          </w:p>
        </w:tc>
        <w:tc>
          <w:tcPr>
            <w:tcW w:type="dxa" w:w="3240"/>
          </w:tcPr>
          <w:p>
            <w:pPr>
              <w:spacing w:after="40"/>
            </w:pPr>
            <w:r/>
            <w:r>
              <w:rPr>
                <w:sz w:val="18"/>
              </w:rPr>
              <w:t>Shows conscious awareness of the conflict. His only stated basis (100 miles) is refuted by documents he received and signed (Part V).</w:t>
            </w:r>
          </w:p>
        </w:tc>
      </w:tr>
    </w:tbl>
    <w:p>
      <w:pPr>
        <w:spacing w:after="40"/>
      </w:pPr>
    </w:p>
    <w:p>
      <w:pPr>
        <w:pStyle w:val="Heading2"/>
      </w:pPr>
      <w:r>
        <w:t>B. Access to Trade Secrets and Proprietary Information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9</w:t>
            </w:r>
          </w:p>
        </w:tc>
        <w:tc>
          <w:tcPr>
            <w:tcW w:type="dxa" w:w="4104"/>
          </w:tcPr>
          <w:p>
            <w:pPr>
              <w:spacing w:after="40"/>
            </w:pPr>
            <w:r/>
            <w:r>
              <w:rPr>
                <w:sz w:val="18"/>
              </w:rPr>
              <w:t>Led the three-year OptiMill v3.0 development (~1.4M lines of C++/Python; ~$6.2M cost broken out as $2.8M labor, $1.9M infrastructure, $1.5M testing).</w:t>
            </w:r>
          </w:p>
        </w:tc>
        <w:tc>
          <w:tcPr>
            <w:tcW w:type="dxa" w:w="1512"/>
          </w:tcPr>
          <w:p>
            <w:pPr>
              <w:spacing w:after="40"/>
            </w:pPr>
            <w:r/>
            <w:r>
              <w:rPr>
                <w:sz w:val="18"/>
              </w:rPr>
              <w:t>Vol. I at 40–41</w:t>
            </w:r>
          </w:p>
        </w:tc>
        <w:tc>
          <w:tcPr>
            <w:tcW w:type="dxa" w:w="3240"/>
          </w:tcPr>
          <w:p>
            <w:pPr>
              <w:spacing w:after="40"/>
            </w:pPr>
            <w:r/>
            <w:r>
              <w:rPr>
                <w:sz w:val="18"/>
              </w:rPr>
              <w:t>Value and development cost of the trade secret; supports damages and the reasonable-measures narrative.</w:t>
            </w:r>
          </w:p>
        </w:tc>
      </w:tr>
      <w:tr>
        <w:tc>
          <w:tcPr>
            <w:tcW w:type="dxa" w:w="504"/>
          </w:tcPr>
          <w:p>
            <w:pPr>
              <w:spacing w:after="40"/>
            </w:pPr>
            <w:r/>
            <w:r>
              <w:rPr>
                <w:sz w:val="18"/>
              </w:rPr>
              <w:t>10</w:t>
            </w:r>
          </w:p>
        </w:tc>
        <w:tc>
          <w:tcPr>
            <w:tcW w:type="dxa" w:w="4104"/>
          </w:tcPr>
          <w:p>
            <w:pPr>
              <w:spacing w:after="40"/>
            </w:pPr>
            <w:r/>
            <w:r>
              <w:rPr>
                <w:sz w:val="18"/>
              </w:rPr>
              <w:t>HarmonicPath is CMS’s “proprietary” algorithm and the “core” of OptiMill; it gives 22–28% cycle-time reductions; he oversaw its development and had source-code access on git.corbinmachining.internal; as CTO he had access to all repositories.</w:t>
            </w:r>
          </w:p>
        </w:tc>
        <w:tc>
          <w:tcPr>
            <w:tcW w:type="dxa" w:w="1512"/>
          </w:tcPr>
          <w:p>
            <w:pPr>
              <w:spacing w:after="40"/>
            </w:pPr>
            <w:r/>
            <w:r>
              <w:rPr>
                <w:sz w:val="18"/>
              </w:rPr>
              <w:t>Vol. I at 41–42, 221; Vol. II 319:1–4</w:t>
            </w:r>
          </w:p>
        </w:tc>
        <w:tc>
          <w:tcPr>
            <w:tcW w:type="dxa" w:w="3240"/>
          </w:tcPr>
          <w:p>
            <w:pPr>
              <w:spacing w:after="40"/>
            </w:pPr>
            <w:r/>
            <w:r>
              <w:rPr>
                <w:sz w:val="18"/>
              </w:rPr>
              <w:t>Identifies the trade secret and his access to it (misappropriation by acquisition/use).</w:t>
            </w:r>
          </w:p>
        </w:tc>
      </w:tr>
      <w:tr>
        <w:tc>
          <w:tcPr>
            <w:tcW w:type="dxa" w:w="504"/>
          </w:tcPr>
          <w:p>
            <w:pPr>
              <w:spacing w:after="40"/>
            </w:pPr>
            <w:r/>
            <w:r>
              <w:rPr>
                <w:sz w:val="18"/>
              </w:rPr>
              <w:t>11</w:t>
            </w:r>
          </w:p>
        </w:tc>
        <w:tc>
          <w:tcPr>
            <w:tcW w:type="dxa" w:w="4104"/>
          </w:tcPr>
          <w:p>
            <w:pPr>
              <w:spacing w:after="40"/>
            </w:pPr>
            <w:r/>
            <w:r>
              <w:rPr>
                <w:sz w:val="18"/>
              </w:rPr>
              <w:t>Named inventor on all four AdaptGrip patents and both pending applications; inventions assigned to CMS; AdaptGrip was ~$18.7M of ~$74M FY2023 revenue (~25.3%).</w:t>
            </w:r>
          </w:p>
        </w:tc>
        <w:tc>
          <w:tcPr>
            <w:tcW w:type="dxa" w:w="1512"/>
          </w:tcPr>
          <w:p>
            <w:pPr>
              <w:spacing w:after="40"/>
            </w:pPr>
            <w:r/>
            <w:r>
              <w:rPr>
                <w:sz w:val="18"/>
              </w:rPr>
              <w:t>Vol. I at 43–44</w:t>
            </w:r>
          </w:p>
        </w:tc>
        <w:tc>
          <w:tcPr>
            <w:tcW w:type="dxa" w:w="3240"/>
          </w:tcPr>
          <w:p>
            <w:pPr>
              <w:spacing w:after="40"/>
            </w:pPr>
            <w:r/>
            <w:r>
              <w:rPr>
                <w:sz w:val="18"/>
              </w:rPr>
              <w:t>Value; § 9 assignment; context for the patent-file access.</w:t>
            </w:r>
          </w:p>
        </w:tc>
      </w:tr>
      <w:tr>
        <w:tc>
          <w:tcPr>
            <w:tcW w:type="dxa" w:w="504"/>
          </w:tcPr>
          <w:p>
            <w:pPr>
              <w:spacing w:after="40"/>
            </w:pPr>
            <w:r/>
            <w:r>
              <w:rPr>
                <w:sz w:val="18"/>
              </w:rPr>
              <w:t>12</w:t>
            </w:r>
          </w:p>
        </w:tc>
        <w:tc>
          <w:tcPr>
            <w:tcW w:type="dxa" w:w="4104"/>
          </w:tcPr>
          <w:p>
            <w:pPr>
              <w:spacing w:after="40"/>
            </w:pPr>
            <w:r/>
            <w:r>
              <w:rPr>
                <w:sz w:val="18"/>
              </w:rPr>
              <w:t>The Blue Book is the confidential customer pricing matrix (8%–31% discounts), restricted to senior management; he had access; it “would fall within” the § 8 definition of Proprietary Information.</w:t>
            </w:r>
          </w:p>
        </w:tc>
        <w:tc>
          <w:tcPr>
            <w:tcW w:type="dxa" w:w="1512"/>
          </w:tcPr>
          <w:p>
            <w:pPr>
              <w:spacing w:after="40"/>
            </w:pPr>
            <w:r/>
            <w:r>
              <w:rPr>
                <w:sz w:val="18"/>
              </w:rPr>
              <w:t>Vol. I at 45, 131–132</w:t>
            </w:r>
          </w:p>
        </w:tc>
        <w:tc>
          <w:tcPr>
            <w:tcW w:type="dxa" w:w="3240"/>
          </w:tcPr>
          <w:p>
            <w:pPr>
              <w:spacing w:after="40"/>
            </w:pPr>
            <w:r/>
            <w:r>
              <w:rPr>
                <w:sz w:val="18"/>
              </w:rPr>
              <w:t>Confidentiality and trade-secret status of the Blue Book, admitted by the defendant.</w:t>
            </w:r>
          </w:p>
        </w:tc>
      </w:tr>
      <w:tr>
        <w:tc>
          <w:tcPr>
            <w:tcW w:type="dxa" w:w="504"/>
          </w:tcPr>
          <w:p>
            <w:pPr>
              <w:spacing w:after="40"/>
            </w:pPr>
            <w:r/>
            <w:r>
              <w:rPr>
                <w:sz w:val="18"/>
              </w:rPr>
              <w:t>13</w:t>
            </w:r>
          </w:p>
        </w:tc>
        <w:tc>
          <w:tcPr>
            <w:tcW w:type="dxa" w:w="4104"/>
          </w:tcPr>
          <w:p>
            <w:pPr>
              <w:spacing w:after="40"/>
            </w:pPr>
            <w:r/>
            <w:r>
              <w:rPr>
                <w:sz w:val="18"/>
              </w:rPr>
              <w:t>Familiar with the IT Access Policy (Ex. 9), § 3.4 (no transfers to personal devices or accounts without written authorization); never received authorization; knew access was logged.</w:t>
            </w:r>
          </w:p>
        </w:tc>
        <w:tc>
          <w:tcPr>
            <w:tcW w:type="dxa" w:w="1512"/>
          </w:tcPr>
          <w:p>
            <w:pPr>
              <w:spacing w:after="40"/>
            </w:pPr>
            <w:r/>
            <w:r>
              <w:rPr>
                <w:sz w:val="18"/>
              </w:rPr>
              <w:t>Vol. I at 46–47, 110</w:t>
            </w:r>
          </w:p>
        </w:tc>
        <w:tc>
          <w:tcPr>
            <w:tcW w:type="dxa" w:w="3240"/>
          </w:tcPr>
          <w:p>
            <w:pPr>
              <w:spacing w:after="40"/>
            </w:pPr>
            <w:r/>
            <w:r>
              <w:rPr>
                <w:sz w:val="18"/>
              </w:rPr>
              <w:t>Reasonable secrecy measures; breach of policy (Emp. Agmt. § 6(a)(iv) “Cause”; § 8(b) security compliance).</w:t>
            </w:r>
          </w:p>
        </w:tc>
      </w:tr>
    </w:tbl>
    <w:p>
      <w:pPr>
        <w:spacing w:after="40"/>
      </w:pPr>
    </w:p>
    <w:p>
      <w:pPr>
        <w:pStyle w:val="Heading2"/>
      </w:pPr>
      <w:r>
        <w:t>C. Pre-Resignation Contacts with PAG (Recruitment and PAG’s Knowledge)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14</w:t>
            </w:r>
          </w:p>
        </w:tc>
        <w:tc>
          <w:tcPr>
            <w:tcW w:type="dxa" w:w="4104"/>
          </w:tcPr>
          <w:p>
            <w:pPr>
              <w:spacing w:after="40"/>
            </w:pPr>
            <w:r/>
            <w:r>
              <w:rPr>
                <w:sz w:val="18"/>
              </w:rPr>
              <w:t>Had dinner with Adwell on Saturday, June 22, 2024; Adwell said he had started a company (“Pinnacle”) and was “building something in CNC optimization.”</w:t>
            </w:r>
          </w:p>
        </w:tc>
        <w:tc>
          <w:tcPr>
            <w:tcW w:type="dxa" w:w="1512"/>
          </w:tcPr>
          <w:p>
            <w:pPr>
              <w:spacing w:after="40"/>
            </w:pPr>
            <w:r/>
            <w:r>
              <w:rPr>
                <w:sz w:val="18"/>
              </w:rPr>
              <w:t>Vol. I at 60–62; Vol. II 309:3–22</w:t>
            </w:r>
          </w:p>
        </w:tc>
        <w:tc>
          <w:tcPr>
            <w:tcW w:type="dxa" w:w="3240"/>
          </w:tcPr>
          <w:p>
            <w:pPr>
              <w:spacing w:after="40"/>
            </w:pPr>
            <w:r/>
            <w:r>
              <w:rPr>
                <w:sz w:val="18"/>
              </w:rPr>
              <w:t>Contradicts Rogs 3, 4, and 11; begins the recruitment timeline while Yoon was CTO.</w:t>
            </w:r>
          </w:p>
        </w:tc>
      </w:tr>
      <w:tr>
        <w:tc>
          <w:tcPr>
            <w:tcW w:type="dxa" w:w="504"/>
          </w:tcPr>
          <w:p>
            <w:pPr>
              <w:spacing w:after="40"/>
            </w:pPr>
            <w:r/>
            <w:r>
              <w:rPr>
                <w:sz w:val="18"/>
              </w:rPr>
              <w:t>15</w:t>
            </w:r>
          </w:p>
        </w:tc>
        <w:tc>
          <w:tcPr>
            <w:tcW w:type="dxa" w:w="4104"/>
          </w:tcPr>
          <w:p>
            <w:pPr>
              <w:spacing w:after="40"/>
            </w:pPr>
            <w:r/>
            <w:r>
              <w:rPr>
                <w:sz w:val="18"/>
              </w:rPr>
              <w:t>The June 22 dinner was his first communication with anyone at PAG; he “should have” disclosed it in his interrogatory answers; the omission was “an oversight.”</w:t>
            </w:r>
          </w:p>
        </w:tc>
        <w:tc>
          <w:tcPr>
            <w:tcW w:type="dxa" w:w="1512"/>
          </w:tcPr>
          <w:p>
            <w:pPr>
              <w:spacing w:after="40"/>
            </w:pPr>
            <w:r/>
            <w:r>
              <w:rPr>
                <w:sz w:val="18"/>
              </w:rPr>
              <w:t>Vol. I at 63–64</w:t>
            </w:r>
          </w:p>
        </w:tc>
        <w:tc>
          <w:tcPr>
            <w:tcW w:type="dxa" w:w="3240"/>
          </w:tcPr>
          <w:p>
            <w:pPr>
              <w:spacing w:after="40"/>
            </w:pPr>
            <w:r/>
            <w:r>
              <w:rPr>
                <w:sz w:val="18"/>
              </w:rPr>
              <w:t>Admission that the sworn Rog 4 answer was incomplete or inaccurate.</w:t>
            </w:r>
          </w:p>
        </w:tc>
      </w:tr>
      <w:tr>
        <w:tc>
          <w:tcPr>
            <w:tcW w:type="dxa" w:w="504"/>
          </w:tcPr>
          <w:p>
            <w:pPr>
              <w:spacing w:after="40"/>
            </w:pPr>
            <w:r/>
            <w:r>
              <w:rPr>
                <w:sz w:val="18"/>
              </w:rPr>
              <w:t>16</w:t>
            </w:r>
          </w:p>
        </w:tc>
        <w:tc>
          <w:tcPr>
            <w:tcW w:type="dxa" w:w="4104"/>
          </w:tcPr>
          <w:p>
            <w:pPr>
              <w:spacing w:after="40"/>
            </w:pPr>
            <w:r/>
            <w:r>
              <w:rPr>
                <w:sz w:val="18"/>
              </w:rPr>
              <w:t>First communication with Adwell was actually around June 8–9, 2024 at a Michigan Automation Council event; while he was CTO. He accepted Pratt’s timeline summary (event, dinner, follow-up communications and meeting, resignation, offer, start) as “generally accurate.”</w:t>
            </w:r>
          </w:p>
        </w:tc>
        <w:tc>
          <w:tcPr>
            <w:tcW w:type="dxa" w:w="1512"/>
          </w:tcPr>
          <w:p>
            <w:pPr>
              <w:spacing w:after="40"/>
            </w:pPr>
            <w:r/>
            <w:r>
              <w:rPr>
                <w:sz w:val="18"/>
              </w:rPr>
              <w:t>Vol. II 296:5–13, 309:6–13</w:t>
            </w:r>
          </w:p>
        </w:tc>
        <w:tc>
          <w:tcPr>
            <w:tcW w:type="dxa" w:w="3240"/>
          </w:tcPr>
          <w:p>
            <w:pPr>
              <w:spacing w:after="40"/>
            </w:pPr>
            <w:r/>
            <w:r>
              <w:rPr>
                <w:sz w:val="18"/>
              </w:rPr>
              <w:t>Moves first contact earlier still; establishes the sequence for tortious interference and conspiracy.</w:t>
            </w:r>
          </w:p>
        </w:tc>
      </w:tr>
      <w:tr>
        <w:tc>
          <w:tcPr>
            <w:tcW w:type="dxa" w:w="504"/>
          </w:tcPr>
          <w:p>
            <w:pPr>
              <w:spacing w:after="40"/>
            </w:pPr>
            <w:r/>
            <w:r>
              <w:rPr>
                <w:sz w:val="18"/>
              </w:rPr>
              <w:t>17</w:t>
            </w:r>
          </w:p>
        </w:tc>
        <w:tc>
          <w:tcPr>
            <w:tcW w:type="dxa" w:w="4104"/>
          </w:tcPr>
          <w:p>
            <w:pPr>
              <w:spacing w:after="40"/>
            </w:pPr>
            <w:r/>
            <w:r>
              <w:rPr>
                <w:sz w:val="18"/>
              </w:rPr>
              <w:t>Told Adwell at the June 22 dinner that he had a non-compete; Adwell said “We should look into that” and thought it “manageable”; Adwell later said PAG’s counsel (he thought Mr. Kellner) had reviewed it and they were “fine,” apparently based on “the distance” or “geographic restrictions.”</w:t>
            </w:r>
          </w:p>
        </w:tc>
        <w:tc>
          <w:tcPr>
            <w:tcW w:type="dxa" w:w="1512"/>
          </w:tcPr>
          <w:p>
            <w:pPr>
              <w:spacing w:after="40"/>
            </w:pPr>
            <w:r/>
            <w:r>
              <w:rPr>
                <w:sz w:val="18"/>
              </w:rPr>
              <w:t>Vol. II 310:8–311:24; cf. Vol. I at 64–65</w:t>
            </w:r>
          </w:p>
        </w:tc>
        <w:tc>
          <w:tcPr>
            <w:tcW w:type="dxa" w:w="3240"/>
          </w:tcPr>
          <w:p>
            <w:pPr>
              <w:spacing w:after="40"/>
            </w:pPr>
            <w:r/>
            <w:r>
              <w:rPr>
                <w:sz w:val="18"/>
              </w:rPr>
              <w:t>PAG’s actual knowledge of the covenant before hiring: an element of tortious interference and of willfulness. Supports discovery of PAG’s pre-hire analysis (subject to privilege).</w:t>
            </w:r>
          </w:p>
        </w:tc>
      </w:tr>
      <w:tr>
        <w:tc>
          <w:tcPr>
            <w:tcW w:type="dxa" w:w="504"/>
          </w:tcPr>
          <w:p>
            <w:pPr>
              <w:spacing w:after="40"/>
            </w:pPr>
            <w:r/>
            <w:r>
              <w:rPr>
                <w:sz w:val="18"/>
              </w:rPr>
              <w:t>18</w:t>
            </w:r>
          </w:p>
        </w:tc>
        <w:tc>
          <w:tcPr>
            <w:tcW w:type="dxa" w:w="4104"/>
          </w:tcPr>
          <w:p>
            <w:pPr>
              <w:spacing w:after="40"/>
            </w:pPr>
            <w:r/>
            <w:r>
              <w:rPr>
                <w:sz w:val="18"/>
              </w:rPr>
              <w:t>Between June 22 and August 16 there were emails and at least one follow-up meeting with Adwell while he was still CTO.</w:t>
            </w:r>
          </w:p>
        </w:tc>
        <w:tc>
          <w:tcPr>
            <w:tcW w:type="dxa" w:w="1512"/>
          </w:tcPr>
          <w:p>
            <w:pPr>
              <w:spacing w:after="40"/>
            </w:pPr>
            <w:r/>
            <w:r>
              <w:rPr>
                <w:sz w:val="18"/>
              </w:rPr>
              <w:t>Vol. II 294:21–295:12</w:t>
            </w:r>
          </w:p>
        </w:tc>
        <w:tc>
          <w:tcPr>
            <w:tcW w:type="dxa" w:w="3240"/>
          </w:tcPr>
          <w:p>
            <w:pPr>
              <w:spacing w:after="40"/>
            </w:pPr>
            <w:r/>
            <w:r>
              <w:rPr>
                <w:sz w:val="18"/>
              </w:rPr>
              <w:t>Contradicts Vol. I at 65 (“one or two phone calls,” no specific job) and Rog 4.</w:t>
            </w:r>
          </w:p>
        </w:tc>
      </w:tr>
      <w:tr>
        <w:tc>
          <w:tcPr>
            <w:tcW w:type="dxa" w:w="504"/>
          </w:tcPr>
          <w:p>
            <w:pPr>
              <w:spacing w:after="40"/>
            </w:pPr>
            <w:r/>
            <w:r>
              <w:rPr>
                <w:sz w:val="18"/>
              </w:rPr>
              <w:t>19</w:t>
            </w:r>
          </w:p>
        </w:tc>
        <w:tc>
          <w:tcPr>
            <w:tcW w:type="dxa" w:w="4104"/>
          </w:tcPr>
          <w:p>
            <w:pPr>
              <w:spacing w:after="40"/>
            </w:pPr>
            <w:r/>
            <w:r>
              <w:rPr>
                <w:sz w:val="18"/>
              </w:rPr>
              <w:t>Met co-founder Teresa Quinlan in mid-July 2024 at Adwell’s suggestion (July 18 email: coffee “to talk about the engineering team we’re building”); she asked “Normal interview-type questions.”</w:t>
            </w:r>
          </w:p>
        </w:tc>
        <w:tc>
          <w:tcPr>
            <w:tcW w:type="dxa" w:w="1512"/>
          </w:tcPr>
          <w:p>
            <w:pPr>
              <w:spacing w:after="40"/>
            </w:pPr>
            <w:r/>
            <w:r>
              <w:rPr>
                <w:sz w:val="18"/>
              </w:rPr>
              <w:t>Vol. II 312:20–313:22</w:t>
            </w:r>
          </w:p>
        </w:tc>
        <w:tc>
          <w:tcPr>
            <w:tcW w:type="dxa" w:w="3240"/>
          </w:tcPr>
          <w:p>
            <w:pPr>
              <w:spacing w:after="40"/>
            </w:pPr>
            <w:r/>
            <w:r>
              <w:rPr>
                <w:sz w:val="18"/>
              </w:rPr>
              <w:t>Contradicts Vol. I at 66, 197 and Rog 4 (telephone, late August). Effectively a job interview while he was CTO.</w:t>
            </w:r>
          </w:p>
        </w:tc>
      </w:tr>
      <w:tr>
        <w:tc>
          <w:tcPr>
            <w:tcW w:type="dxa" w:w="504"/>
          </w:tcPr>
          <w:p>
            <w:pPr>
              <w:spacing w:after="40"/>
            </w:pPr>
            <w:r/>
            <w:r>
              <w:rPr>
                <w:sz w:val="18"/>
              </w:rPr>
              <w:t>20</w:t>
            </w:r>
          </w:p>
        </w:tc>
        <w:tc>
          <w:tcPr>
            <w:tcW w:type="dxa" w:w="4104"/>
          </w:tcPr>
          <w:p>
            <w:pPr>
              <w:spacing w:after="40"/>
            </w:pPr>
            <w:r/>
            <w:r>
              <w:rPr>
                <w:sz w:val="18"/>
              </w:rPr>
              <w:t>July 28 email to Adwell (“Very interested”) referred to “the opportunity at PAG generally”; August 5 Adwell email invited him to talk about “the VP role”; August 14 email “Wrapping things up on my end.”</w:t>
            </w:r>
          </w:p>
        </w:tc>
        <w:tc>
          <w:tcPr>
            <w:tcW w:type="dxa" w:w="1512"/>
          </w:tcPr>
          <w:p>
            <w:pPr>
              <w:spacing w:after="40"/>
            </w:pPr>
            <w:r/>
            <w:r>
              <w:rPr>
                <w:sz w:val="18"/>
              </w:rPr>
              <w:t>Vol. II 314:18–316:14</w:t>
            </w:r>
          </w:p>
        </w:tc>
        <w:tc>
          <w:tcPr>
            <w:tcW w:type="dxa" w:w="3240"/>
          </w:tcPr>
          <w:p>
            <w:pPr>
              <w:spacing w:after="40"/>
            </w:pPr>
            <w:r/>
            <w:r>
              <w:rPr>
                <w:sz w:val="18"/>
              </w:rPr>
              <w:t>Job discussions before resignation; “wrapping things up” came 2–4 days after the USB transfer and Blue Book email.</w:t>
            </w:r>
          </w:p>
        </w:tc>
      </w:tr>
      <w:tr>
        <w:tc>
          <w:tcPr>
            <w:tcW w:type="dxa" w:w="504"/>
          </w:tcPr>
          <w:p>
            <w:pPr>
              <w:spacing w:after="40"/>
            </w:pPr>
            <w:r/>
            <w:r>
              <w:rPr>
                <w:sz w:val="18"/>
              </w:rPr>
              <w:t>21</w:t>
            </w:r>
          </w:p>
        </w:tc>
        <w:tc>
          <w:tcPr>
            <w:tcW w:type="dxa" w:w="4104"/>
          </w:tcPr>
          <w:p>
            <w:pPr>
              <w:spacing w:after="40"/>
            </w:pPr>
            <w:r/>
            <w:r>
              <w:rPr>
                <w:sz w:val="18"/>
              </w:rPr>
              <w:t>Before resigning, he had “general discussions with Marcus about a role at PAG” and “was confident that something would materialize”; the PAG opportunity was “attractive” and part of his reason to resign.</w:t>
            </w:r>
          </w:p>
        </w:tc>
        <w:tc>
          <w:tcPr>
            <w:tcW w:type="dxa" w:w="1512"/>
          </w:tcPr>
          <w:p>
            <w:pPr>
              <w:spacing w:after="40"/>
            </w:pPr>
            <w:r/>
            <w:r>
              <w:rPr>
                <w:sz w:val="18"/>
              </w:rPr>
              <w:t>Vol. I at 85–86</w:t>
            </w:r>
          </w:p>
        </w:tc>
        <w:tc>
          <w:tcPr>
            <w:tcW w:type="dxa" w:w="3240"/>
          </w:tcPr>
          <w:p>
            <w:pPr>
              <w:spacing w:after="40"/>
            </w:pPr>
            <w:r/>
            <w:r>
              <w:rPr>
                <w:sz w:val="18"/>
              </w:rPr>
              <w:t>Undercuts the resignation letter and Rog 5 (no outside influence).</w:t>
            </w:r>
          </w:p>
        </w:tc>
      </w:tr>
      <w:tr>
        <w:tc>
          <w:tcPr>
            <w:tcW w:type="dxa" w:w="504"/>
          </w:tcPr>
          <w:p>
            <w:pPr>
              <w:spacing w:after="40"/>
            </w:pPr>
            <w:r/>
            <w:r>
              <w:rPr>
                <w:sz w:val="18"/>
              </w:rPr>
              <w:t>22</w:t>
            </w:r>
          </w:p>
        </w:tc>
        <w:tc>
          <w:tcPr>
            <w:tcW w:type="dxa" w:w="4104"/>
          </w:tcPr>
          <w:p>
            <w:pPr>
              <w:spacing w:after="40"/>
            </w:pPr>
            <w:r/>
            <w:r>
              <w:rPr>
                <w:sz w:val="18"/>
              </w:rPr>
              <w:t>At the June 22 dinner the conversation was “somewhere in between” social and a job discussion.</w:t>
            </w:r>
          </w:p>
        </w:tc>
        <w:tc>
          <w:tcPr>
            <w:tcW w:type="dxa" w:w="1512"/>
          </w:tcPr>
          <w:p>
            <w:pPr>
              <w:spacing w:after="40"/>
            </w:pPr>
            <w:r/>
            <w:r>
              <w:rPr>
                <w:sz w:val="18"/>
              </w:rPr>
              <w:t>Vol. II 342:2–8</w:t>
            </w:r>
          </w:p>
        </w:tc>
        <w:tc>
          <w:tcPr>
            <w:tcW w:type="dxa" w:w="3240"/>
          </w:tcPr>
          <w:p>
            <w:pPr>
              <w:spacing w:after="40"/>
            </w:pPr>
            <w:r/>
            <w:r>
              <w:rPr>
                <w:sz w:val="18"/>
              </w:rPr>
              <w:t>Recross retreat from the redirect characterization (“social”).</w:t>
            </w:r>
          </w:p>
        </w:tc>
      </w:tr>
    </w:tbl>
    <w:p>
      <w:pPr>
        <w:spacing w:after="40"/>
      </w:pPr>
    </w:p>
    <w:p>
      <w:pPr>
        <w:pStyle w:val="Heading2"/>
      </w:pPr>
      <w:r>
        <w:t>D. August 10, 2024 USB Transfer (OptiMill / HarmonicPath / AdaptGrip Source Code)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23</w:t>
            </w:r>
          </w:p>
        </w:tc>
        <w:tc>
          <w:tcPr>
            <w:tcW w:type="dxa" w:w="4104"/>
          </w:tcPr>
          <w:p>
            <w:pPr>
              <w:spacing w:after="40"/>
            </w:pPr>
            <w:r/>
            <w:r>
              <w:rPr>
                <w:sz w:val="18"/>
              </w:rPr>
              <w:t>“I may have connected a USB drive to my laptop around that time”; if one was connected, “it was likely mine. No one else used my laptop.”</w:t>
            </w:r>
          </w:p>
        </w:tc>
        <w:tc>
          <w:tcPr>
            <w:tcW w:type="dxa" w:w="1512"/>
          </w:tcPr>
          <w:p>
            <w:pPr>
              <w:spacing w:after="40"/>
            </w:pPr>
            <w:r/>
            <w:r>
              <w:rPr>
                <w:sz w:val="18"/>
              </w:rPr>
              <w:t>Vol. I at 102–103</w:t>
            </w:r>
          </w:p>
        </w:tc>
        <w:tc>
          <w:tcPr>
            <w:tcW w:type="dxa" w:w="3240"/>
          </w:tcPr>
          <w:p>
            <w:pPr>
              <w:spacing w:after="40"/>
            </w:pPr>
            <w:r/>
            <w:r>
              <w:rPr>
                <w:sz w:val="18"/>
              </w:rPr>
              <w:t>Identifies Yoon as the actor; forecloses a “someone else” defense.</w:t>
            </w:r>
          </w:p>
        </w:tc>
      </w:tr>
      <w:tr>
        <w:tc>
          <w:tcPr>
            <w:tcW w:type="dxa" w:w="504"/>
          </w:tcPr>
          <w:p>
            <w:pPr>
              <w:spacing w:after="40"/>
            </w:pPr>
            <w:r/>
            <w:r>
              <w:rPr>
                <w:sz w:val="18"/>
              </w:rPr>
              <w:t>24</w:t>
            </w:r>
          </w:p>
        </w:tc>
        <w:tc>
          <w:tcPr>
            <w:tcW w:type="dxa" w:w="4104"/>
          </w:tcPr>
          <w:p>
            <w:pPr>
              <w:spacing w:after="40"/>
            </w:pPr>
            <w:r/>
            <w:r>
              <w:rPr>
                <w:sz w:val="18"/>
              </w:rPr>
              <w:t>“I may have transferred some files”; he copied “a folder — or a set of folders” without reviewing files individually; cannot identify or name even one of the 3,847 files.</w:t>
            </w:r>
          </w:p>
        </w:tc>
        <w:tc>
          <w:tcPr>
            <w:tcW w:type="dxa" w:w="1512"/>
          </w:tcPr>
          <w:p>
            <w:pPr>
              <w:spacing w:after="40"/>
            </w:pPr>
            <w:r/>
            <w:r>
              <w:rPr>
                <w:sz w:val="18"/>
              </w:rPr>
              <w:t>Vol. I at 103–104, 107</w:t>
            </w:r>
          </w:p>
        </w:tc>
        <w:tc>
          <w:tcPr>
            <w:tcW w:type="dxa" w:w="3240"/>
          </w:tcPr>
          <w:p>
            <w:pPr>
              <w:spacing w:after="40"/>
            </w:pPr>
            <w:r/>
            <w:r>
              <w:rPr>
                <w:sz w:val="18"/>
              </w:rPr>
              <w:t>Concedes the copying; undercuts his claim that the material was personal (he does not know what he took).</w:t>
            </w:r>
          </w:p>
        </w:tc>
      </w:tr>
      <w:tr>
        <w:tc>
          <w:tcPr>
            <w:tcW w:type="dxa" w:w="504"/>
          </w:tcPr>
          <w:p>
            <w:pPr>
              <w:spacing w:after="40"/>
            </w:pPr>
            <w:r/>
            <w:r>
              <w:rPr>
                <w:sz w:val="18"/>
              </w:rPr>
              <w:t>25</w:t>
            </w:r>
          </w:p>
        </w:tc>
        <w:tc>
          <w:tcPr>
            <w:tcW w:type="dxa" w:w="4104"/>
          </w:tcPr>
          <w:p>
            <w:pPr>
              <w:spacing w:after="40"/>
            </w:pPr>
            <w:r/>
            <w:r>
              <w:rPr>
                <w:sz w:val="18"/>
              </w:rPr>
              <w:t>No documentation that personal materials were in the OptiMill repository; the repository is version-controlled GitLab code consisting “primarily” of source, configuration, and build files.</w:t>
            </w:r>
          </w:p>
        </w:tc>
        <w:tc>
          <w:tcPr>
            <w:tcW w:type="dxa" w:w="1512"/>
          </w:tcPr>
          <w:p>
            <w:pPr>
              <w:spacing w:after="40"/>
            </w:pPr>
            <w:r/>
            <w:r>
              <w:rPr>
                <w:sz w:val="18"/>
              </w:rPr>
              <w:t>Vol. I at 106</w:t>
            </w:r>
          </w:p>
        </w:tc>
        <w:tc>
          <w:tcPr>
            <w:tcW w:type="dxa" w:w="3240"/>
          </w:tcPr>
          <w:p>
            <w:pPr>
              <w:spacing w:after="40"/>
            </w:pPr>
            <w:r/>
            <w:r>
              <w:rPr>
                <w:sz w:val="18"/>
              </w:rPr>
              <w:t>Combined with Forensic Rpt. § 5.1 (only .cpp/.py/.h/.json/.md files), refutes the “research papers” story.</w:t>
            </w:r>
          </w:p>
        </w:tc>
      </w:tr>
      <w:tr>
        <w:tc>
          <w:tcPr>
            <w:tcW w:type="dxa" w:w="504"/>
          </w:tcPr>
          <w:p>
            <w:pPr>
              <w:spacing w:after="40"/>
            </w:pPr>
            <w:r/>
            <w:r>
              <w:rPr>
                <w:sz w:val="18"/>
              </w:rPr>
              <w:t>26</w:t>
            </w:r>
          </w:p>
        </w:tc>
        <w:tc>
          <w:tcPr>
            <w:tcW w:type="dxa" w:w="4104"/>
          </w:tcPr>
          <w:p>
            <w:pPr>
              <w:spacing w:after="40"/>
            </w:pPr>
            <w:r/>
            <w:r>
              <w:rPr>
                <w:sz w:val="18"/>
              </w:rPr>
              <w:t>Accepts that the forensic report traces the files to the OptiMill source repository on git.corbinmachining.internal (“That is what the forensic report indicates, yes”).</w:t>
            </w:r>
          </w:p>
        </w:tc>
        <w:tc>
          <w:tcPr>
            <w:tcW w:type="dxa" w:w="1512"/>
          </w:tcPr>
          <w:p>
            <w:pPr>
              <w:spacing w:after="40"/>
            </w:pPr>
            <w:r/>
            <w:r>
              <w:rPr>
                <w:sz w:val="18"/>
              </w:rPr>
              <w:t>Vol. I at 107, 222</w:t>
            </w:r>
          </w:p>
        </w:tc>
        <w:tc>
          <w:tcPr>
            <w:tcW w:type="dxa" w:w="3240"/>
          </w:tcPr>
          <w:p>
            <w:pPr>
              <w:spacing w:after="40"/>
            </w:pPr>
            <w:r/>
            <w:r>
              <w:rPr>
                <w:sz w:val="18"/>
              </w:rPr>
              <w:t>Foundation for the report’s source-path findings.</w:t>
            </w:r>
          </w:p>
        </w:tc>
      </w:tr>
      <w:tr>
        <w:tc>
          <w:tcPr>
            <w:tcW w:type="dxa" w:w="504"/>
          </w:tcPr>
          <w:p>
            <w:pPr>
              <w:spacing w:after="40"/>
            </w:pPr>
            <w:r/>
            <w:r>
              <w:rPr>
                <w:sz w:val="18"/>
              </w:rPr>
              <w:t>27</w:t>
            </w:r>
          </w:p>
        </w:tc>
        <w:tc>
          <w:tcPr>
            <w:tcW w:type="dxa" w:w="4104"/>
          </w:tcPr>
          <w:p>
            <w:pPr>
              <w:spacing w:after="40"/>
            </w:pPr>
            <w:r/>
            <w:r>
              <w:rPr>
                <w:sz w:val="18"/>
              </w:rPr>
              <w:t>Did not seek or obtain written authorization for the transfer; “I recognize it looks bad.”</w:t>
            </w:r>
          </w:p>
        </w:tc>
        <w:tc>
          <w:tcPr>
            <w:tcW w:type="dxa" w:w="1512"/>
          </w:tcPr>
          <w:p>
            <w:pPr>
              <w:spacing w:after="40"/>
            </w:pPr>
            <w:r/>
            <w:r>
              <w:rPr>
                <w:sz w:val="18"/>
              </w:rPr>
              <w:t>Vol. I at 110</w:t>
            </w:r>
          </w:p>
        </w:tc>
        <w:tc>
          <w:tcPr>
            <w:tcW w:type="dxa" w:w="3240"/>
          </w:tcPr>
          <w:p>
            <w:pPr>
              <w:spacing w:after="40"/>
            </w:pPr>
            <w:r/>
            <w:r>
              <w:rPr>
                <w:sz w:val="18"/>
              </w:rPr>
              <w:t>Breach of IT Policy § 3.4 and Emp. Agmt. §§ 5, 8(b); improper means.</w:t>
            </w:r>
          </w:p>
        </w:tc>
      </w:tr>
      <w:tr>
        <w:tc>
          <w:tcPr>
            <w:tcW w:type="dxa" w:w="504"/>
          </w:tcPr>
          <w:p>
            <w:pPr>
              <w:spacing w:after="40"/>
            </w:pPr>
            <w:r/>
            <w:r>
              <w:rPr>
                <w:sz w:val="18"/>
              </w:rPr>
              <w:t>28</w:t>
            </w:r>
          </w:p>
        </w:tc>
        <w:tc>
          <w:tcPr>
            <w:tcW w:type="dxa" w:w="4104"/>
          </w:tcPr>
          <w:p>
            <w:pPr>
              <w:spacing w:after="40"/>
            </w:pPr>
            <w:r/>
            <w:r>
              <w:rPr>
                <w:sz w:val="18"/>
              </w:rPr>
              <w:t>Did not return the USB drive; believes it is at his home in Troy; it had not been returned as of January 15, 2025 (“My counsel has been in discussions about that”).</w:t>
            </w:r>
          </w:p>
        </w:tc>
        <w:tc>
          <w:tcPr>
            <w:tcW w:type="dxa" w:w="1512"/>
          </w:tcPr>
          <w:p>
            <w:pPr>
              <w:spacing w:after="40"/>
            </w:pPr>
            <w:r/>
            <w:r>
              <w:rPr>
                <w:sz w:val="18"/>
              </w:rPr>
              <w:t>Vol. I at 108, 177; Vol. II 332:15–19</w:t>
            </w:r>
          </w:p>
        </w:tc>
        <w:tc>
          <w:tcPr>
            <w:tcW w:type="dxa" w:w="3240"/>
          </w:tcPr>
          <w:p>
            <w:pPr>
              <w:spacing w:after="40"/>
            </w:pPr>
            <w:r/>
            <w:r>
              <w:rPr>
                <w:sz w:val="18"/>
              </w:rPr>
              <w:t>Continuing possession of trade secrets; basis for an immediate motion to compel and injunctive relief. Note the drive traveled with him from East Grand Rapids to Troy (Vol. I at 5).</w:t>
            </w:r>
          </w:p>
        </w:tc>
      </w:tr>
      <w:tr>
        <w:tc>
          <w:tcPr>
            <w:tcW w:type="dxa" w:w="504"/>
          </w:tcPr>
          <w:p>
            <w:pPr>
              <w:spacing w:after="40"/>
            </w:pPr>
            <w:r/>
            <w:r>
              <w:rPr>
                <w:sz w:val="18"/>
              </w:rPr>
              <w:t>29</w:t>
            </w:r>
          </w:p>
        </w:tc>
        <w:tc>
          <w:tcPr>
            <w:tcW w:type="dxa" w:w="4104"/>
          </w:tcPr>
          <w:p>
            <w:pPr>
              <w:spacing w:after="40"/>
            </w:pPr>
            <w:r/>
            <w:r>
              <w:rPr>
                <w:sz w:val="18"/>
              </w:rPr>
              <w:t>Between August 10 and 28 it is “possible” he accessed the USB drive; denies accessing it since leaving CMS or giving it to PAG.</w:t>
            </w:r>
          </w:p>
        </w:tc>
        <w:tc>
          <w:tcPr>
            <w:tcW w:type="dxa" w:w="1512"/>
          </w:tcPr>
          <w:p>
            <w:pPr>
              <w:spacing w:after="40"/>
            </w:pPr>
            <w:r/>
            <w:r>
              <w:rPr>
                <w:sz w:val="18"/>
              </w:rPr>
              <w:t>Vol. I at 109, 178</w:t>
            </w:r>
          </w:p>
        </w:tc>
        <w:tc>
          <w:tcPr>
            <w:tcW w:type="dxa" w:w="3240"/>
          </w:tcPr>
          <w:p>
            <w:pPr>
              <w:spacing w:after="40"/>
            </w:pPr>
            <w:r/>
            <w:r>
              <w:rPr>
                <w:sz w:val="18"/>
              </w:rPr>
              <w:t>Denials can be tested by forensic examination of the drive (last-access/LNK artifacts) and of PAG devices.</w:t>
            </w:r>
          </w:p>
        </w:tc>
      </w:tr>
      <w:tr>
        <w:tc>
          <w:tcPr>
            <w:tcW w:type="dxa" w:w="504"/>
          </w:tcPr>
          <w:p>
            <w:pPr>
              <w:spacing w:after="40"/>
            </w:pPr>
            <w:r/>
            <w:r>
              <w:rPr>
                <w:sz w:val="18"/>
              </w:rPr>
              <w:t>30</w:t>
            </w:r>
          </w:p>
        </w:tc>
        <w:tc>
          <w:tcPr>
            <w:tcW w:type="dxa" w:w="4104"/>
          </w:tcPr>
          <w:p>
            <w:pPr>
              <w:spacing w:after="40"/>
            </w:pPr>
            <w:r/>
            <w:r>
              <w:rPr>
                <w:sz w:val="18"/>
              </w:rPr>
              <w:t>“If any CMS files were inadvertently included in that transfer, it wasn’t intentional.”</w:t>
            </w:r>
          </w:p>
        </w:tc>
        <w:tc>
          <w:tcPr>
            <w:tcW w:type="dxa" w:w="1512"/>
          </w:tcPr>
          <w:p>
            <w:pPr>
              <w:spacing w:after="40"/>
            </w:pPr>
            <w:r/>
            <w:r>
              <w:rPr>
                <w:sz w:val="18"/>
              </w:rPr>
              <w:t>Vol. I at 108</w:t>
            </w:r>
          </w:p>
        </w:tc>
        <w:tc>
          <w:tcPr>
            <w:tcW w:type="dxa" w:w="3240"/>
          </w:tcPr>
          <w:p>
            <w:pPr>
              <w:spacing w:after="40"/>
            </w:pPr>
            <w:r/>
            <w:r>
              <w:rPr>
                <w:sz w:val="18"/>
              </w:rPr>
              <w:t>Implicit concession that CMS files may be on the drive; intent goes to willfulness and exemplary damages under MUTSA, not liability for acquisition by improper means.</w:t>
            </w:r>
          </w:p>
        </w:tc>
      </w:tr>
    </w:tbl>
    <w:p>
      <w:pPr>
        <w:spacing w:after="40"/>
      </w:pPr>
    </w:p>
    <w:p>
      <w:pPr>
        <w:pStyle w:val="Heading2"/>
      </w:pPr>
      <w:r>
        <w:t>E. August 12, 2024 Blue Book Email to Personal Gmail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31</w:t>
            </w:r>
          </w:p>
        </w:tc>
        <w:tc>
          <w:tcPr>
            <w:tcW w:type="dxa" w:w="4104"/>
          </w:tcPr>
          <w:p>
            <w:pPr>
              <w:spacing w:after="40"/>
            </w:pPr>
            <w:r/>
            <w:r>
              <w:rPr>
                <w:sz w:val="18"/>
              </w:rPr>
              <w:t>dyoon@corbinmachining.com is his CMS address and derek.yoon.personal@gmail.com is his personal Gmail; the attachment “looks like it could be the Blue Book.”</w:t>
            </w:r>
          </w:p>
        </w:tc>
        <w:tc>
          <w:tcPr>
            <w:tcW w:type="dxa" w:w="1512"/>
          </w:tcPr>
          <w:p>
            <w:pPr>
              <w:spacing w:after="40"/>
            </w:pPr>
            <w:r/>
            <w:r>
              <w:rPr>
                <w:sz w:val="18"/>
              </w:rPr>
              <w:t>Vol. I at 132</w:t>
            </w:r>
          </w:p>
        </w:tc>
        <w:tc>
          <w:tcPr>
            <w:tcW w:type="dxa" w:w="3240"/>
          </w:tcPr>
          <w:p>
            <w:pPr>
              <w:spacing w:after="40"/>
            </w:pPr>
            <w:r/>
            <w:r>
              <w:rPr>
                <w:sz w:val="18"/>
              </w:rPr>
              <w:t>Authenticates both ends of the transmission.</w:t>
            </w:r>
          </w:p>
        </w:tc>
      </w:tr>
      <w:tr>
        <w:tc>
          <w:tcPr>
            <w:tcW w:type="dxa" w:w="504"/>
          </w:tcPr>
          <w:p>
            <w:pPr>
              <w:spacing w:after="40"/>
            </w:pPr>
            <w:r/>
            <w:r>
              <w:rPr>
                <w:sz w:val="18"/>
              </w:rPr>
              <w:t>32</w:t>
            </w:r>
          </w:p>
        </w:tc>
        <w:tc>
          <w:tcPr>
            <w:tcW w:type="dxa" w:w="4104"/>
          </w:tcPr>
          <w:p>
            <w:pPr>
              <w:spacing w:after="40"/>
            </w:pPr>
            <w:r/>
            <w:r>
              <w:rPr>
                <w:sz w:val="18"/>
              </w:rPr>
              <w:t>Testimony moved from “I don’t recall sending that email” to “I may have forwarded it inadvertently as part of cleaning out my inbox” to “it’s possible I forwarded it without thinking about what the attachment was.”</w:t>
            </w:r>
          </w:p>
        </w:tc>
        <w:tc>
          <w:tcPr>
            <w:tcW w:type="dxa" w:w="1512"/>
          </w:tcPr>
          <w:p>
            <w:pPr>
              <w:spacing w:after="40"/>
            </w:pPr>
            <w:r/>
            <w:r>
              <w:rPr>
                <w:sz w:val="18"/>
              </w:rPr>
              <w:t>Vol. I at 132–134</w:t>
            </w:r>
          </w:p>
        </w:tc>
        <w:tc>
          <w:tcPr>
            <w:tcW w:type="dxa" w:w="3240"/>
          </w:tcPr>
          <w:p>
            <w:pPr>
              <w:spacing w:after="40"/>
            </w:pPr>
            <w:r/>
            <w:r>
              <w:rPr>
                <w:sz w:val="18"/>
              </w:rPr>
              <w:t>Shifting explanations, refuted by Forensic Rpt. § 5.2 (new standalone message, no subject or body, the only email to his personal account in Aug. 1–28).</w:t>
            </w:r>
          </w:p>
        </w:tc>
      </w:tr>
      <w:tr>
        <w:tc>
          <w:tcPr>
            <w:tcW w:type="dxa" w:w="504"/>
          </w:tcPr>
          <w:p>
            <w:pPr>
              <w:spacing w:after="40"/>
            </w:pPr>
            <w:r/>
            <w:r>
              <w:rPr>
                <w:sz w:val="18"/>
              </w:rPr>
              <w:t>33</w:t>
            </w:r>
          </w:p>
        </w:tc>
        <w:tc>
          <w:tcPr>
            <w:tcW w:type="dxa" w:w="4104"/>
          </w:tcPr>
          <w:p>
            <w:pPr>
              <w:spacing w:after="40"/>
            </w:pPr>
            <w:r/>
            <w:r>
              <w:rPr>
                <w:sz w:val="18"/>
              </w:rPr>
              <w:t>The filename “essentially tells you what the file is.”</w:t>
            </w:r>
          </w:p>
        </w:tc>
        <w:tc>
          <w:tcPr>
            <w:tcW w:type="dxa" w:w="1512"/>
          </w:tcPr>
          <w:p>
            <w:pPr>
              <w:spacing w:after="40"/>
            </w:pPr>
            <w:r/>
            <w:r>
              <w:rPr>
                <w:sz w:val="18"/>
              </w:rPr>
              <w:t>Vol. I at 134</w:t>
            </w:r>
          </w:p>
        </w:tc>
        <w:tc>
          <w:tcPr>
            <w:tcW w:type="dxa" w:w="3240"/>
          </w:tcPr>
          <w:p>
            <w:pPr>
              <w:spacing w:after="40"/>
            </w:pPr>
            <w:r/>
            <w:r>
              <w:rPr>
                <w:sz w:val="18"/>
              </w:rPr>
              <w:t>Undercuts any claim that he did not know what he was sending.</w:t>
            </w:r>
          </w:p>
        </w:tc>
      </w:tr>
      <w:tr>
        <w:tc>
          <w:tcPr>
            <w:tcW w:type="dxa" w:w="504"/>
          </w:tcPr>
          <w:p>
            <w:pPr>
              <w:spacing w:after="40"/>
            </w:pPr>
            <w:r/>
            <w:r>
              <w:rPr>
                <w:sz w:val="18"/>
              </w:rPr>
              <w:t>34</w:t>
            </w:r>
          </w:p>
        </w:tc>
        <w:tc>
          <w:tcPr>
            <w:tcW w:type="dxa" w:w="4104"/>
          </w:tcPr>
          <w:p>
            <w:pPr>
              <w:spacing w:after="40"/>
            </w:pPr>
            <w:r/>
            <w:r>
              <w:rPr>
                <w:sz w:val="18"/>
              </w:rPr>
              <w:t>Did not disclose the Blue Book email at the exit interview.</w:t>
            </w:r>
          </w:p>
        </w:tc>
        <w:tc>
          <w:tcPr>
            <w:tcW w:type="dxa" w:w="1512"/>
          </w:tcPr>
          <w:p>
            <w:pPr>
              <w:spacing w:after="40"/>
            </w:pPr>
            <w:r/>
            <w:r>
              <w:rPr>
                <w:sz w:val="18"/>
              </w:rPr>
              <w:t>Vol. I at 178</w:t>
            </w:r>
          </w:p>
        </w:tc>
        <w:tc>
          <w:tcPr>
            <w:tcW w:type="dxa" w:w="3240"/>
          </w:tcPr>
          <w:p>
            <w:pPr>
              <w:spacing w:after="40"/>
            </w:pPr>
            <w:r/>
            <w:r>
              <w:rPr>
                <w:sz w:val="18"/>
              </w:rPr>
              <w:t>False Separation Acknowledgment § 2(b) certification.</w:t>
            </w:r>
          </w:p>
        </w:tc>
      </w:tr>
      <w:tr>
        <w:tc>
          <w:tcPr>
            <w:tcW w:type="dxa" w:w="504"/>
          </w:tcPr>
          <w:p>
            <w:pPr>
              <w:spacing w:after="40"/>
            </w:pPr>
            <w:r/>
            <w:r>
              <w:rPr>
                <w:sz w:val="18"/>
              </w:rPr>
              <w:t>35</w:t>
            </w:r>
          </w:p>
        </w:tc>
        <w:tc>
          <w:tcPr>
            <w:tcW w:type="dxa" w:w="4104"/>
          </w:tcPr>
          <w:p>
            <w:pPr>
              <w:spacing w:after="40"/>
            </w:pPr>
            <w:r/>
            <w:r>
              <w:rPr>
                <w:sz w:val="18"/>
              </w:rPr>
              <w:t>Does not know whether the email still exists; “may have deleted it”; cannot say when; later “I believe I deleted it. I would need to double-check.”</w:t>
            </w:r>
          </w:p>
        </w:tc>
        <w:tc>
          <w:tcPr>
            <w:tcW w:type="dxa" w:w="1512"/>
          </w:tcPr>
          <w:p>
            <w:pPr>
              <w:spacing w:after="40"/>
            </w:pPr>
            <w:r/>
            <w:r>
              <w:rPr>
                <w:sz w:val="18"/>
              </w:rPr>
              <w:t>Vol. I at 136–137; Vol. II 332:20–333:2</w:t>
            </w:r>
          </w:p>
        </w:tc>
        <w:tc>
          <w:tcPr>
            <w:tcW w:type="dxa" w:w="3240"/>
          </w:tcPr>
          <w:p>
            <w:pPr>
              <w:spacing w:after="40"/>
            </w:pPr>
            <w:r/>
            <w:r>
              <w:rPr>
                <w:sz w:val="18"/>
              </w:rPr>
              <w:t>Possible post-notice deletion (spoliation) and a basis for forensic collection of the Gmail account. His counsel blocked questions about preservation steps on privilege grounds (Vol. I at 137); facts of preservation are not privileged.</w:t>
            </w:r>
          </w:p>
        </w:tc>
      </w:tr>
      <w:tr>
        <w:tc>
          <w:tcPr>
            <w:tcW w:type="dxa" w:w="504"/>
          </w:tcPr>
          <w:p>
            <w:pPr>
              <w:spacing w:after="40"/>
            </w:pPr>
            <w:r/>
            <w:r>
              <w:rPr>
                <w:sz w:val="18"/>
              </w:rPr>
              <w:t>36</w:t>
            </w:r>
          </w:p>
        </w:tc>
        <w:tc>
          <w:tcPr>
            <w:tcW w:type="dxa" w:w="4104"/>
          </w:tcPr>
          <w:p>
            <w:pPr>
              <w:spacing w:after="40"/>
            </w:pPr>
            <w:r/>
            <w:r>
              <w:rPr>
                <w:sz w:val="18"/>
              </w:rPr>
              <w:t>Did not consider emailing a file to himself to be “removing” or “copying.”</w:t>
            </w:r>
          </w:p>
        </w:tc>
        <w:tc>
          <w:tcPr>
            <w:tcW w:type="dxa" w:w="1512"/>
          </w:tcPr>
          <w:p>
            <w:pPr>
              <w:spacing w:after="40"/>
            </w:pPr>
            <w:r/>
            <w:r>
              <w:rPr>
                <w:sz w:val="18"/>
              </w:rPr>
              <w:t>Vol. I at 135</w:t>
            </w:r>
          </w:p>
        </w:tc>
        <w:tc>
          <w:tcPr>
            <w:tcW w:type="dxa" w:w="3240"/>
          </w:tcPr>
          <w:p>
            <w:pPr>
              <w:spacing w:after="40"/>
            </w:pPr>
            <w:r/>
            <w:r>
              <w:rPr>
                <w:sz w:val="18"/>
              </w:rPr>
              <w:t>Rog 7 as actually served expressly covers anything “forwarded” or “emailed” and “pricing information” (see Part VI). The excuse fails on the interrogatory’s own text.</w:t>
            </w:r>
          </w:p>
        </w:tc>
      </w:tr>
    </w:tbl>
    <w:p>
      <w:pPr>
        <w:spacing w:after="40"/>
      </w:pPr>
    </w:p>
    <w:p>
      <w:pPr>
        <w:pStyle w:val="Heading2"/>
      </w:pPr>
      <w:r>
        <w:t>F. AdaptGrip Patent Prosecution File Access (July 1 – Aug. 15, 2024)</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37</w:t>
            </w:r>
          </w:p>
        </w:tc>
        <w:tc>
          <w:tcPr>
            <w:tcW w:type="dxa" w:w="4104"/>
          </w:tcPr>
          <w:p>
            <w:pPr>
              <w:spacing w:after="40"/>
            </w:pPr>
            <w:r/>
            <w:r>
              <w:rPr>
                <w:sz w:val="18"/>
              </w:rPr>
              <w:t>Accessed the AdaptGrip patent prosecution files during the period; has “no reason to dispute” 47 accesses.</w:t>
            </w:r>
          </w:p>
        </w:tc>
        <w:tc>
          <w:tcPr>
            <w:tcW w:type="dxa" w:w="1512"/>
          </w:tcPr>
          <w:p>
            <w:pPr>
              <w:spacing w:after="40"/>
            </w:pPr>
            <w:r/>
            <w:r>
              <w:rPr>
                <w:sz w:val="18"/>
              </w:rPr>
              <w:t>Vol. I at 156</w:t>
            </w:r>
          </w:p>
        </w:tc>
        <w:tc>
          <w:tcPr>
            <w:tcW w:type="dxa" w:w="3240"/>
          </w:tcPr>
          <w:p>
            <w:pPr>
              <w:spacing w:after="40"/>
            </w:pPr>
            <w:r/>
            <w:r>
              <w:rPr>
                <w:sz w:val="18"/>
              </w:rPr>
              <w:t>Adopts the Ex. 13 / Forensic Rpt. § 5.3 count.</w:t>
            </w:r>
          </w:p>
        </w:tc>
      </w:tr>
      <w:tr>
        <w:tc>
          <w:tcPr>
            <w:tcW w:type="dxa" w:w="504"/>
          </w:tcPr>
          <w:p>
            <w:pPr>
              <w:spacing w:after="40"/>
            </w:pPr>
            <w:r/>
            <w:r>
              <w:rPr>
                <w:sz w:val="18"/>
              </w:rPr>
              <w:t>38</w:t>
            </w:r>
          </w:p>
        </w:tc>
        <w:tc>
          <w:tcPr>
            <w:tcW w:type="dxa" w:w="4104"/>
          </w:tcPr>
          <w:p>
            <w:pPr>
              <w:spacing w:after="40"/>
            </w:pPr>
            <w:r/>
            <w:r>
              <w:rPr>
                <w:sz w:val="18"/>
              </w:rPr>
              <w:t>Cannot identify any specific project, new filing, office action, or deadline that explains the increase; “I can’t tell you exactly why the number was higher.”</w:t>
            </w:r>
          </w:p>
        </w:tc>
        <w:tc>
          <w:tcPr>
            <w:tcW w:type="dxa" w:w="1512"/>
          </w:tcPr>
          <w:p>
            <w:pPr>
              <w:spacing w:after="40"/>
            </w:pPr>
            <w:r/>
            <w:r>
              <w:rPr>
                <w:sz w:val="18"/>
              </w:rPr>
              <w:t>Vol. I at 157–158</w:t>
            </w:r>
          </w:p>
        </w:tc>
        <w:tc>
          <w:tcPr>
            <w:tcW w:type="dxa" w:w="3240"/>
          </w:tcPr>
          <w:p>
            <w:pPr>
              <w:spacing w:after="40"/>
            </w:pPr>
            <w:r/>
            <w:r>
              <w:rPr>
                <w:sz w:val="18"/>
              </w:rPr>
              <w:t>No business justification, consistent with Forensic Rpt. § 5.3 (no Jira items).</w:t>
            </w:r>
          </w:p>
        </w:tc>
      </w:tr>
      <w:tr>
        <w:tc>
          <w:tcPr>
            <w:tcW w:type="dxa" w:w="504"/>
          </w:tcPr>
          <w:p>
            <w:pPr>
              <w:spacing w:after="40"/>
            </w:pPr>
            <w:r/>
            <w:r>
              <w:rPr>
                <w:sz w:val="18"/>
              </w:rPr>
              <w:t>39</w:t>
            </w:r>
          </w:p>
        </w:tc>
        <w:tc>
          <w:tcPr>
            <w:tcW w:type="dxa" w:w="4104"/>
          </w:tcPr>
          <w:p>
            <w:pPr>
              <w:spacing w:after="40"/>
            </w:pPr>
            <w:r/>
            <w:r>
              <w:rPr>
                <w:sz w:val="18"/>
              </w:rPr>
              <w:t>May have taken notes; if on paper, “I don’t know. I may have discarded them.”</w:t>
            </w:r>
          </w:p>
        </w:tc>
        <w:tc>
          <w:tcPr>
            <w:tcW w:type="dxa" w:w="1512"/>
          </w:tcPr>
          <w:p>
            <w:pPr>
              <w:spacing w:after="40"/>
            </w:pPr>
            <w:r/>
            <w:r>
              <w:rPr>
                <w:sz w:val="18"/>
              </w:rPr>
              <w:t>Vol. I at 159</w:t>
            </w:r>
          </w:p>
        </w:tc>
        <w:tc>
          <w:tcPr>
            <w:tcW w:type="dxa" w:w="3240"/>
          </w:tcPr>
          <w:p>
            <w:pPr>
              <w:spacing w:after="40"/>
            </w:pPr>
            <w:r/>
            <w:r>
              <w:rPr>
                <w:sz w:val="18"/>
              </w:rPr>
              <w:t>Possible retention or destruction of derivative materials; covered by Sep. Ack. § 1(f). Follow up in document requests.</w:t>
            </w:r>
          </w:p>
        </w:tc>
      </w:tr>
    </w:tbl>
    <w:p>
      <w:pPr>
        <w:spacing w:after="40"/>
      </w:pPr>
    </w:p>
    <w:p>
      <w:pPr>
        <w:pStyle w:val="Heading2"/>
      </w:pPr>
      <w:r>
        <w:t>G. Separation Acknowledgment (Aug. 28, 2024)</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40</w:t>
            </w:r>
          </w:p>
        </w:tc>
        <w:tc>
          <w:tcPr>
            <w:tcW w:type="dxa" w:w="4104"/>
          </w:tcPr>
          <w:p>
            <w:pPr>
              <w:spacing w:after="40"/>
            </w:pPr>
            <w:r/>
            <w:r>
              <w:rPr>
                <w:sz w:val="18"/>
              </w:rPr>
              <w:t>Recognizes Ex. 6; signed it August 28, 2024 during the exit interview with HR Director Lisa Marchetti; understood it was “a formal document.”</w:t>
            </w:r>
          </w:p>
        </w:tc>
        <w:tc>
          <w:tcPr>
            <w:tcW w:type="dxa" w:w="1512"/>
          </w:tcPr>
          <w:p>
            <w:pPr>
              <w:spacing w:after="40"/>
            </w:pPr>
            <w:r/>
            <w:r>
              <w:rPr>
                <w:sz w:val="18"/>
              </w:rPr>
              <w:t>Vol. I at 176, 179</w:t>
            </w:r>
          </w:p>
        </w:tc>
        <w:tc>
          <w:tcPr>
            <w:tcW w:type="dxa" w:w="3240"/>
          </w:tcPr>
          <w:p>
            <w:pPr>
              <w:spacing w:after="40"/>
            </w:pPr>
            <w:r/>
            <w:r>
              <w:rPr>
                <w:sz w:val="18"/>
              </w:rPr>
              <w:t>Execution and authenticity.</w:t>
            </w:r>
          </w:p>
        </w:tc>
      </w:tr>
      <w:tr>
        <w:tc>
          <w:tcPr>
            <w:tcW w:type="dxa" w:w="504"/>
          </w:tcPr>
          <w:p>
            <w:pPr>
              <w:spacing w:after="40"/>
            </w:pPr>
            <w:r/>
            <w:r>
              <w:rPr>
                <w:sz w:val="18"/>
              </w:rPr>
              <w:t>41</w:t>
            </w:r>
          </w:p>
        </w:tc>
        <w:tc>
          <w:tcPr>
            <w:tcW w:type="dxa" w:w="4104"/>
          </w:tcPr>
          <w:p>
            <w:pPr>
              <w:spacing w:after="40"/>
            </w:pPr>
            <w:r/>
            <w:r>
              <w:rPr>
                <w:sz w:val="18"/>
              </w:rPr>
              <w:t>Did not return the USB drive; did not disclose the Blue Book email; explanation: “I forgot” / “It slipped my mind” / “overwhelmed with the transition.”</w:t>
            </w:r>
          </w:p>
        </w:tc>
        <w:tc>
          <w:tcPr>
            <w:tcW w:type="dxa" w:w="1512"/>
          </w:tcPr>
          <w:p>
            <w:pPr>
              <w:spacing w:after="40"/>
            </w:pPr>
            <w:r/>
            <w:r>
              <w:rPr>
                <w:sz w:val="18"/>
              </w:rPr>
              <w:t>Vol. I at 177–179</w:t>
            </w:r>
          </w:p>
        </w:tc>
        <w:tc>
          <w:tcPr>
            <w:tcW w:type="dxa" w:w="3240"/>
          </w:tcPr>
          <w:p>
            <w:pPr>
              <w:spacing w:after="40"/>
            </w:pPr>
            <w:r/>
            <w:r>
              <w:rPr>
                <w:sz w:val="18"/>
              </w:rPr>
              <w:t>Certification false when made (Sep. Ack. §§ 1(d), 2(a)–(b), 4(a), 4(c)). Section 5 makes misrepresentation an independent basis for action and “evidence of willful and deliberate misconduct.” His “forgot” defense is weak: the C&amp;D letter received ~5 days earlier specifically demanded return of USB drives and of the Blue Book from his Gmail.</w:t>
            </w:r>
          </w:p>
        </w:tc>
      </w:tr>
      <w:tr>
        <w:tc>
          <w:tcPr>
            <w:tcW w:type="dxa" w:w="504"/>
          </w:tcPr>
          <w:p>
            <w:pPr>
              <w:spacing w:after="40"/>
            </w:pPr>
            <w:r/>
            <w:r>
              <w:rPr>
                <w:sz w:val="18"/>
              </w:rPr>
              <w:t>42</w:t>
            </w:r>
          </w:p>
        </w:tc>
        <w:tc>
          <w:tcPr>
            <w:tcW w:type="dxa" w:w="4104"/>
          </w:tcPr>
          <w:p>
            <w:pPr>
              <w:spacing w:after="40"/>
            </w:pPr>
            <w:r/>
            <w:r>
              <w:rPr>
                <w:sz w:val="18"/>
              </w:rPr>
              <w:t>If asked at the exit interview whether he had CMS data on personal devices, he “would have said no.”</w:t>
            </w:r>
          </w:p>
        </w:tc>
        <w:tc>
          <w:tcPr>
            <w:tcW w:type="dxa" w:w="1512"/>
          </w:tcPr>
          <w:p>
            <w:pPr>
              <w:spacing w:after="40"/>
            </w:pPr>
            <w:r/>
            <w:r>
              <w:rPr>
                <w:sz w:val="18"/>
              </w:rPr>
              <w:t>Vol. I at 180</w:t>
            </w:r>
          </w:p>
        </w:tc>
        <w:tc>
          <w:tcPr>
            <w:tcW w:type="dxa" w:w="3240"/>
          </w:tcPr>
          <w:p>
            <w:pPr>
              <w:spacing w:after="40"/>
            </w:pPr>
            <w:r/>
            <w:r>
              <w:rPr>
                <w:sz w:val="18"/>
              </w:rPr>
              <w:t>Confirms he would have repeated the false representation.</w:t>
            </w:r>
          </w:p>
        </w:tc>
      </w:tr>
    </w:tbl>
    <w:p>
      <w:pPr>
        <w:spacing w:after="40"/>
      </w:pPr>
    </w:p>
    <w:p>
      <w:pPr>
        <w:pStyle w:val="Heading2"/>
      </w:pPr>
      <w:r>
        <w:t>H. Spoliation — iPhone Factory Reset and Gmail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43</w:t>
            </w:r>
          </w:p>
        </w:tc>
        <w:tc>
          <w:tcPr>
            <w:tcW w:type="dxa" w:w="4104"/>
          </w:tcPr>
          <w:p>
            <w:pPr>
              <w:spacing w:after="40"/>
            </w:pPr>
            <w:r/>
            <w:r>
              <w:rPr>
                <w:sz w:val="18"/>
              </w:rPr>
              <w:t>Used his personal iPhone 15 Pro to call Adwell “a few times”; text messages with PAG were “possible.”</w:t>
            </w:r>
          </w:p>
        </w:tc>
        <w:tc>
          <w:tcPr>
            <w:tcW w:type="dxa" w:w="1512"/>
          </w:tcPr>
          <w:p>
            <w:pPr>
              <w:spacing w:after="40"/>
            </w:pPr>
            <w:r/>
            <w:r>
              <w:rPr>
                <w:sz w:val="18"/>
              </w:rPr>
              <w:t>Vol. I at 191</w:t>
            </w:r>
          </w:p>
        </w:tc>
        <w:tc>
          <w:tcPr>
            <w:tcW w:type="dxa" w:w="3240"/>
          </w:tcPr>
          <w:p>
            <w:pPr>
              <w:spacing w:after="40"/>
            </w:pPr>
            <w:r/>
            <w:r>
              <w:rPr>
                <w:sz w:val="18"/>
              </w:rPr>
              <w:t>Establishes relevant ESI on the device.</w:t>
            </w:r>
          </w:p>
        </w:tc>
      </w:tr>
      <w:tr>
        <w:tc>
          <w:tcPr>
            <w:tcW w:type="dxa" w:w="504"/>
          </w:tcPr>
          <w:p>
            <w:pPr>
              <w:spacing w:after="40"/>
            </w:pPr>
            <w:r/>
            <w:r>
              <w:rPr>
                <w:sz w:val="18"/>
              </w:rPr>
              <w:t>44</w:t>
            </w:r>
          </w:p>
        </w:tc>
        <w:tc>
          <w:tcPr>
            <w:tcW w:type="dxa" w:w="4104"/>
          </w:tcPr>
          <w:p>
            <w:pPr>
              <w:spacing w:after="40"/>
            </w:pPr>
            <w:r/>
            <w:r>
              <w:rPr>
                <w:sz w:val="18"/>
              </w:rPr>
              <w:t>Received the C&amp;D letter around August 22–23, 2024; understood CMS considered litigation possible and that he was on notice to preserve communications (“Yes, I understood that.”).</w:t>
            </w:r>
          </w:p>
        </w:tc>
        <w:tc>
          <w:tcPr>
            <w:tcW w:type="dxa" w:w="1512"/>
          </w:tcPr>
          <w:p>
            <w:pPr>
              <w:spacing w:after="40"/>
            </w:pPr>
            <w:r/>
            <w:r>
              <w:rPr>
                <w:sz w:val="18"/>
              </w:rPr>
              <w:t>Vol. I at 87–88, 192</w:t>
            </w:r>
          </w:p>
        </w:tc>
        <w:tc>
          <w:tcPr>
            <w:tcW w:type="dxa" w:w="3240"/>
          </w:tcPr>
          <w:p>
            <w:pPr>
              <w:spacing w:after="40"/>
            </w:pPr>
            <w:r/>
            <w:r>
              <w:rPr>
                <w:sz w:val="18"/>
              </w:rPr>
              <w:t>Duty to preserve attached no later than receipt (the letter was also emailed to his Gmail on August 22).</w:t>
            </w:r>
          </w:p>
        </w:tc>
      </w:tr>
      <w:tr>
        <w:tc>
          <w:tcPr>
            <w:tcW w:type="dxa" w:w="504"/>
          </w:tcPr>
          <w:p>
            <w:pPr>
              <w:spacing w:after="40"/>
            </w:pPr>
            <w:r/>
            <w:r>
              <w:rPr>
                <w:sz w:val="18"/>
              </w:rPr>
              <w:t>45</w:t>
            </w:r>
          </w:p>
        </w:tc>
        <w:tc>
          <w:tcPr>
            <w:tcW w:type="dxa" w:w="4104"/>
          </w:tcPr>
          <w:p>
            <w:pPr>
              <w:spacing w:after="40"/>
            </w:pPr>
            <w:r/>
            <w:r>
              <w:rPr>
                <w:sz w:val="18"/>
              </w:rPr>
              <w:t>Performed a factory reset on or about September 1, 2024 (ten days after the letter, two days before starting at PAG); it deleted texts, call logs, photos, and all data; he does not believe he made a backup; data is gone “if there was no backup.”</w:t>
            </w:r>
          </w:p>
        </w:tc>
        <w:tc>
          <w:tcPr>
            <w:tcW w:type="dxa" w:w="1512"/>
          </w:tcPr>
          <w:p>
            <w:pPr>
              <w:spacing w:after="40"/>
            </w:pPr>
            <w:r/>
            <w:r>
              <w:rPr>
                <w:sz w:val="18"/>
              </w:rPr>
              <w:t>Vol. I at 192–194</w:t>
            </w:r>
          </w:p>
        </w:tc>
        <w:tc>
          <w:tcPr>
            <w:tcW w:type="dxa" w:w="3240"/>
          </w:tcPr>
          <w:p>
            <w:pPr>
              <w:spacing w:after="40"/>
            </w:pPr>
            <w:r/>
            <w:r>
              <w:rPr>
                <w:sz w:val="18"/>
              </w:rPr>
              <w:t>Core spoliation admission. The C&amp;D (§ VI) expressly stated “You must not perform any factory reset.” Rog 6 also admits the phone accessed CMS email through Outlook.</w:t>
            </w:r>
          </w:p>
        </w:tc>
      </w:tr>
      <w:tr>
        <w:tc>
          <w:tcPr>
            <w:tcW w:type="dxa" w:w="504"/>
          </w:tcPr>
          <w:p>
            <w:pPr>
              <w:spacing w:after="40"/>
            </w:pPr>
            <w:r/>
            <w:r>
              <w:rPr>
                <w:sz w:val="18"/>
              </w:rPr>
              <w:t>46</w:t>
            </w:r>
          </w:p>
        </w:tc>
        <w:tc>
          <w:tcPr>
            <w:tcW w:type="dxa" w:w="4104"/>
          </w:tcPr>
          <w:p>
            <w:pPr>
              <w:spacing w:after="40"/>
            </w:pPr>
            <w:r/>
            <w:r>
              <w:rPr>
                <w:sz w:val="18"/>
              </w:rPr>
              <w:t>Explanation: the phone was “running slowly” and he wanted “a fresh start with the new job”; “in hindsight, I probably should have thought about that.”</w:t>
            </w:r>
          </w:p>
        </w:tc>
        <w:tc>
          <w:tcPr>
            <w:tcW w:type="dxa" w:w="1512"/>
          </w:tcPr>
          <w:p>
            <w:pPr>
              <w:spacing w:after="40"/>
            </w:pPr>
            <w:r/>
            <w:r>
              <w:rPr>
                <w:sz w:val="18"/>
              </w:rPr>
              <w:t>Vol. I at 192–195</w:t>
            </w:r>
          </w:p>
        </w:tc>
        <w:tc>
          <w:tcPr>
            <w:tcW w:type="dxa" w:w="3240"/>
          </w:tcPr>
          <w:p>
            <w:pPr>
              <w:spacing w:after="40"/>
            </w:pPr>
            <w:r/>
            <w:r>
              <w:rPr>
                <w:sz w:val="18"/>
              </w:rPr>
              <w:t>Pretext argument: timing (eve of PAG start) and “fresh start” language suggest intent. Request iCloud and carrier records to test the “no backup” claim.</w:t>
            </w:r>
          </w:p>
        </w:tc>
      </w:tr>
      <w:tr>
        <w:tc>
          <w:tcPr>
            <w:tcW w:type="dxa" w:w="504"/>
          </w:tcPr>
          <w:p>
            <w:pPr>
              <w:spacing w:after="40"/>
            </w:pPr>
            <w:r/>
            <w:r>
              <w:rPr>
                <w:sz w:val="18"/>
              </w:rPr>
              <w:t>47</w:t>
            </w:r>
          </w:p>
        </w:tc>
        <w:tc>
          <w:tcPr>
            <w:tcW w:type="dxa" w:w="4104"/>
          </w:tcPr>
          <w:p>
            <w:pPr>
              <w:spacing w:after="40"/>
            </w:pPr>
            <w:r/>
            <w:r>
              <w:rPr>
                <w:sz w:val="18"/>
              </w:rPr>
              <w:t>Counsel instructed him not to answer whether he consulted counsel before the reset.</w:t>
            </w:r>
          </w:p>
        </w:tc>
        <w:tc>
          <w:tcPr>
            <w:tcW w:type="dxa" w:w="1512"/>
          </w:tcPr>
          <w:p>
            <w:pPr>
              <w:spacing w:after="40"/>
            </w:pPr>
            <w:r/>
            <w:r>
              <w:rPr>
                <w:sz w:val="18"/>
              </w:rPr>
              <w:t>Vol. I at 194</w:t>
            </w:r>
          </w:p>
        </w:tc>
        <w:tc>
          <w:tcPr>
            <w:tcW w:type="dxa" w:w="3240"/>
          </w:tcPr>
          <w:p>
            <w:pPr>
              <w:spacing w:after="40"/>
            </w:pPr>
            <w:r/>
            <w:r>
              <w:rPr>
                <w:sz w:val="18"/>
              </w:rPr>
              <w:t>The fact of a consultation (as opposed to its content) is generally discoverable. Reserved for motion practice.</w:t>
            </w:r>
          </w:p>
        </w:tc>
      </w:tr>
    </w:tbl>
    <w:p>
      <w:pPr>
        <w:spacing w:after="40"/>
      </w:pPr>
    </w:p>
    <w:p>
      <w:pPr>
        <w:pStyle w:val="Heading2"/>
      </w:pPr>
      <w:r>
        <w:t>I. Role at PAG, MillEdge Pro, and Use of CMS Know-How</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48</w:t>
            </w:r>
          </w:p>
        </w:tc>
        <w:tc>
          <w:tcPr>
            <w:tcW w:type="dxa" w:w="4104"/>
          </w:tcPr>
          <w:p>
            <w:pPr>
              <w:spacing w:after="40"/>
            </w:pPr>
            <w:r/>
            <w:r>
              <w:rPr>
                <w:sz w:val="18"/>
              </w:rPr>
              <w:t>PAG competes with CMS in CNC toolpath optimization; MillEdge Pro and OptiMill operate in “the same general space”; both target aerospace and automotive machining with “significant overlap.”</w:t>
            </w:r>
          </w:p>
        </w:tc>
        <w:tc>
          <w:tcPr>
            <w:tcW w:type="dxa" w:w="1512"/>
          </w:tcPr>
          <w:p>
            <w:pPr>
              <w:spacing w:after="40"/>
            </w:pPr>
            <w:r/>
            <w:r>
              <w:rPr>
                <w:sz w:val="18"/>
              </w:rPr>
              <w:t>Vol. I at 200–201; Vol. II 303:20–304:9</w:t>
            </w:r>
          </w:p>
        </w:tc>
        <w:tc>
          <w:tcPr>
            <w:tcW w:type="dxa" w:w="3240"/>
          </w:tcPr>
          <w:p>
            <w:pPr>
              <w:spacing w:after="40"/>
            </w:pPr>
            <w:r/>
            <w:r>
              <w:rPr>
                <w:sz w:val="18"/>
              </w:rPr>
              <w:t>Competing Business under § 7(a); also undercuts the resignation letter’s “different sector” statement.</w:t>
            </w:r>
          </w:p>
        </w:tc>
      </w:tr>
      <w:tr>
        <w:tc>
          <w:tcPr>
            <w:tcW w:type="dxa" w:w="504"/>
          </w:tcPr>
          <w:p>
            <w:pPr>
              <w:spacing w:after="40"/>
            </w:pPr>
            <w:r/>
            <w:r>
              <w:rPr>
                <w:sz w:val="18"/>
              </w:rPr>
              <w:t>49</w:t>
            </w:r>
          </w:p>
        </w:tc>
        <w:tc>
          <w:tcPr>
            <w:tcW w:type="dxa" w:w="4104"/>
          </w:tcPr>
          <w:p>
            <w:pPr>
              <w:spacing w:after="40"/>
            </w:pPr>
            <w:r/>
            <w:r>
              <w:rPr>
                <w:sz w:val="18"/>
              </w:rPr>
              <w:t>Knew when he resigned that PAG was developing a CNC optimization product and that CNC optimization was a CMS core area (“I knew there was overlap”).</w:t>
            </w:r>
          </w:p>
        </w:tc>
        <w:tc>
          <w:tcPr>
            <w:tcW w:type="dxa" w:w="1512"/>
          </w:tcPr>
          <w:p>
            <w:pPr>
              <w:spacing w:after="40"/>
            </w:pPr>
            <w:r/>
            <w:r>
              <w:rPr>
                <w:sz w:val="18"/>
              </w:rPr>
              <w:t>Vol. I at 196–197</w:t>
            </w:r>
          </w:p>
        </w:tc>
        <w:tc>
          <w:tcPr>
            <w:tcW w:type="dxa" w:w="3240"/>
          </w:tcPr>
          <w:p>
            <w:pPr>
              <w:spacing w:after="40"/>
            </w:pPr>
            <w:r/>
            <w:r>
              <w:rPr>
                <w:sz w:val="18"/>
              </w:rPr>
              <w:t>Knowing breach.</w:t>
            </w:r>
          </w:p>
        </w:tc>
      </w:tr>
      <w:tr>
        <w:tc>
          <w:tcPr>
            <w:tcW w:type="dxa" w:w="504"/>
          </w:tcPr>
          <w:p>
            <w:pPr>
              <w:spacing w:after="40"/>
            </w:pPr>
            <w:r/>
            <w:r>
              <w:rPr>
                <w:sz w:val="18"/>
              </w:rPr>
              <w:t>50</w:t>
            </w:r>
          </w:p>
        </w:tc>
        <w:tc>
          <w:tcPr>
            <w:tcW w:type="dxa" w:w="4104"/>
          </w:tcPr>
          <w:p>
            <w:pPr>
              <w:spacing w:after="40"/>
            </w:pPr>
            <w:r/>
            <w:r>
              <w:rPr>
                <w:sz w:val="18"/>
              </w:rPr>
              <w:t>VP of Engineering over 14 engineers, including a six-person “CNC Optimization Team” (lead: Ravi Chandrasekaran) reporting ultimately to him.</w:t>
            </w:r>
          </w:p>
        </w:tc>
        <w:tc>
          <w:tcPr>
            <w:tcW w:type="dxa" w:w="1512"/>
          </w:tcPr>
          <w:p>
            <w:pPr>
              <w:spacing w:after="40"/>
            </w:pPr>
            <w:r/>
            <w:r>
              <w:rPr>
                <w:sz w:val="18"/>
              </w:rPr>
              <w:t>Vol. II 297:12–23</w:t>
            </w:r>
          </w:p>
        </w:tc>
        <w:tc>
          <w:tcPr>
            <w:tcW w:type="dxa" w:w="3240"/>
          </w:tcPr>
          <w:p>
            <w:pPr>
              <w:spacing w:after="40"/>
            </w:pPr>
            <w:r/>
            <w:r>
              <w:rPr>
                <w:sz w:val="18"/>
              </w:rPr>
              <w:t>Direct supervisory role over the competing product.</w:t>
            </w:r>
          </w:p>
        </w:tc>
      </w:tr>
      <w:tr>
        <w:tc>
          <w:tcPr>
            <w:tcW w:type="dxa" w:w="504"/>
          </w:tcPr>
          <w:p>
            <w:pPr>
              <w:spacing w:after="40"/>
            </w:pPr>
            <w:r/>
            <w:r>
              <w:rPr>
                <w:sz w:val="18"/>
              </w:rPr>
              <w:t>51</w:t>
            </w:r>
          </w:p>
        </w:tc>
        <w:tc>
          <w:tcPr>
            <w:tcW w:type="dxa" w:w="4104"/>
          </w:tcPr>
          <w:p>
            <w:pPr>
              <w:spacing w:after="40"/>
            </w:pPr>
            <w:r/>
            <w:r>
              <w:rPr>
                <w:sz w:val="18"/>
              </w:rPr>
              <w:t>Attended the MillEdge Pro “Technical Architecture Review” on his second day (agenda: optimization engine architecture; toolpath algorithm benchmarking; competitive differentiation strategy) and offered suggestions on the optimization engine.</w:t>
            </w:r>
          </w:p>
        </w:tc>
        <w:tc>
          <w:tcPr>
            <w:tcW w:type="dxa" w:w="1512"/>
          </w:tcPr>
          <w:p>
            <w:pPr>
              <w:spacing w:after="40"/>
            </w:pPr>
            <w:r/>
            <w:r>
              <w:rPr>
                <w:sz w:val="18"/>
              </w:rPr>
              <w:t>Vol. II 298:20–300:3</w:t>
            </w:r>
          </w:p>
        </w:tc>
        <w:tc>
          <w:tcPr>
            <w:tcW w:type="dxa" w:w="3240"/>
          </w:tcPr>
          <w:p>
            <w:pPr>
              <w:spacing w:after="40"/>
            </w:pPr>
            <w:r/>
            <w:r>
              <w:rPr>
                <w:sz w:val="18"/>
              </w:rPr>
              <w:t>Participation in “design, development” (§ 7(a)(i)); “competitive differentiation” agenda supports an inference of use.</w:t>
            </w:r>
          </w:p>
        </w:tc>
      </w:tr>
      <w:tr>
        <w:tc>
          <w:tcPr>
            <w:tcW w:type="dxa" w:w="504"/>
          </w:tcPr>
          <w:p>
            <w:pPr>
              <w:spacing w:after="40"/>
            </w:pPr>
            <w:r/>
            <w:r>
              <w:rPr>
                <w:sz w:val="18"/>
              </w:rPr>
              <w:t>52</w:t>
            </w:r>
          </w:p>
        </w:tc>
        <w:tc>
          <w:tcPr>
            <w:tcW w:type="dxa" w:w="4104"/>
          </w:tcPr>
          <w:p>
            <w:pPr>
              <w:spacing w:after="40"/>
            </w:pPr>
            <w:r/>
            <w:r>
              <w:rPr>
                <w:sz w:val="18"/>
              </w:rPr>
              <w:t>Eleven commits under “dyoon-pag” in September 2024, including “optimization engine refactor — initial pass,” “engagement angle parameters,” “convergence criteria update,” and “engagement angle calculation — harmonic analysis integration.”</w:t>
            </w:r>
          </w:p>
        </w:tc>
        <w:tc>
          <w:tcPr>
            <w:tcW w:type="dxa" w:w="1512"/>
          </w:tcPr>
          <w:p>
            <w:pPr>
              <w:spacing w:after="40"/>
            </w:pPr>
            <w:r/>
            <w:r>
              <w:rPr>
                <w:sz w:val="18"/>
              </w:rPr>
              <w:t>Vol. II 300:16–301:6, 322:1–323:13</w:t>
            </w:r>
          </w:p>
        </w:tc>
        <w:tc>
          <w:tcPr>
            <w:tcW w:type="dxa" w:w="3240"/>
          </w:tcPr>
          <w:p>
            <w:pPr>
              <w:spacing w:after="40"/>
            </w:pPr>
            <w:r/>
            <w:r>
              <w:rPr>
                <w:sz w:val="18"/>
              </w:rPr>
              <w:t>Hands-on development; the “harmonic analysis integration” commit maps onto HarmonicPath.</w:t>
            </w:r>
          </w:p>
        </w:tc>
      </w:tr>
      <w:tr>
        <w:tc>
          <w:tcPr>
            <w:tcW w:type="dxa" w:w="504"/>
          </w:tcPr>
          <w:p>
            <w:pPr>
              <w:spacing w:after="40"/>
            </w:pPr>
            <w:r/>
            <w:r>
              <w:rPr>
                <w:sz w:val="18"/>
              </w:rPr>
              <w:t>53</w:t>
            </w:r>
          </w:p>
        </w:tc>
        <w:tc>
          <w:tcPr>
            <w:tcW w:type="dxa" w:w="4104"/>
          </w:tcPr>
          <w:p>
            <w:pPr>
              <w:spacing w:after="40"/>
            </w:pPr>
            <w:r/>
            <w:r>
              <w:rPr>
                <w:sz w:val="18"/>
              </w:rPr>
              <w:t>Rog 12 (“not involved in the development of any CNC optimization products”) was “not as precise as it should have been”; “I do have some involvement with MillEdge Pro”; “I should have worded that differently.”</w:t>
            </w:r>
          </w:p>
        </w:tc>
        <w:tc>
          <w:tcPr>
            <w:tcW w:type="dxa" w:w="1512"/>
          </w:tcPr>
          <w:p>
            <w:pPr>
              <w:spacing w:after="40"/>
            </w:pPr>
            <w:r/>
            <w:r>
              <w:rPr>
                <w:sz w:val="18"/>
              </w:rPr>
              <w:t>Vol. II 302:14–303:16, 325:13–16</w:t>
            </w:r>
          </w:p>
        </w:tc>
        <w:tc>
          <w:tcPr>
            <w:tcW w:type="dxa" w:w="3240"/>
          </w:tcPr>
          <w:p>
            <w:pPr>
              <w:spacing w:after="40"/>
            </w:pPr>
            <w:r/>
            <w:r>
              <w:rPr>
                <w:sz w:val="18"/>
              </w:rPr>
              <w:t>Admission that the sworn answer was inaccurate.</w:t>
            </w:r>
          </w:p>
        </w:tc>
      </w:tr>
      <w:tr>
        <w:tc>
          <w:tcPr>
            <w:tcW w:type="dxa" w:w="504"/>
          </w:tcPr>
          <w:p>
            <w:pPr>
              <w:spacing w:after="40"/>
            </w:pPr>
            <w:r/>
            <w:r>
              <w:rPr>
                <w:sz w:val="18"/>
              </w:rPr>
              <w:t>54</w:t>
            </w:r>
          </w:p>
        </w:tc>
        <w:tc>
          <w:tcPr>
            <w:tcW w:type="dxa" w:w="4104"/>
          </w:tcPr>
          <w:p>
            <w:pPr>
              <w:spacing w:after="40"/>
            </w:pPr>
            <w:r/>
            <w:r>
              <w:rPr>
                <w:sz w:val="18"/>
              </w:rPr>
              <w:t>Helped with “final technical reviews” before the October 21, 2024 launch, about seven weeks after he arrived.</w:t>
            </w:r>
          </w:p>
        </w:tc>
        <w:tc>
          <w:tcPr>
            <w:tcW w:type="dxa" w:w="1512"/>
          </w:tcPr>
          <w:p>
            <w:pPr>
              <w:spacing w:after="40"/>
            </w:pPr>
            <w:r/>
            <w:r>
              <w:rPr>
                <w:sz w:val="18"/>
              </w:rPr>
              <w:t>Vol. II 306:10–17; Vol. I at 198</w:t>
            </w:r>
          </w:p>
        </w:tc>
        <w:tc>
          <w:tcPr>
            <w:tcW w:type="dxa" w:w="3240"/>
          </w:tcPr>
          <w:p>
            <w:pPr>
              <w:spacing w:after="40"/>
            </w:pPr>
            <w:r/>
            <w:r>
              <w:rPr>
                <w:sz w:val="18"/>
              </w:rPr>
              <w:t>Head-start and acceleration theory; damages.</w:t>
            </w:r>
          </w:p>
        </w:tc>
      </w:tr>
      <w:tr>
        <w:tc>
          <w:tcPr>
            <w:tcW w:type="dxa" w:w="504"/>
          </w:tcPr>
          <w:p>
            <w:pPr>
              <w:spacing w:after="40"/>
            </w:pPr>
            <w:r/>
            <w:r>
              <w:rPr>
                <w:sz w:val="18"/>
              </w:rPr>
              <w:t>55</w:t>
            </w:r>
          </w:p>
        </w:tc>
        <w:tc>
          <w:tcPr>
            <w:tcW w:type="dxa" w:w="4104"/>
          </w:tcPr>
          <w:p>
            <w:pPr>
              <w:spacing w:after="40"/>
            </w:pPr>
            <w:r/>
            <w:r>
              <w:rPr>
                <w:sz w:val="18"/>
              </w:rPr>
              <w:t>Described MillEdge Pro as using “harmonic frequency matching for tool engagement angles,” the same phrase used in CMS’s HarmonicPath documentation (Ex. 25 at 3); cannot identify any outside paper, standard, textbook, or competitor using it.</w:t>
            </w:r>
          </w:p>
        </w:tc>
        <w:tc>
          <w:tcPr>
            <w:tcW w:type="dxa" w:w="1512"/>
          </w:tcPr>
          <w:p>
            <w:pPr>
              <w:spacing w:after="40"/>
            </w:pPr>
            <w:r/>
            <w:r>
              <w:rPr>
                <w:sz w:val="18"/>
              </w:rPr>
              <w:t>Vol. II 318:20–320:24, 321:17–24, 343:5–9</w:t>
            </w:r>
          </w:p>
        </w:tc>
        <w:tc>
          <w:tcPr>
            <w:tcW w:type="dxa" w:w="3240"/>
          </w:tcPr>
          <w:p>
            <w:pPr>
              <w:spacing w:after="40"/>
            </w:pPr>
            <w:r/>
            <w:r>
              <w:rPr>
                <w:sz w:val="18"/>
              </w:rPr>
              <w:t>Circumstantial evidence of use/disclosure of HarmonicPath. Strong basis for a code-comparison expert.</w:t>
            </w:r>
          </w:p>
        </w:tc>
      </w:tr>
      <w:tr>
        <w:tc>
          <w:tcPr>
            <w:tcW w:type="dxa" w:w="504"/>
          </w:tcPr>
          <w:p>
            <w:pPr>
              <w:spacing w:after="40"/>
            </w:pPr>
            <w:r/>
            <w:r>
              <w:rPr>
                <w:sz w:val="18"/>
              </w:rPr>
              <w:t>56</w:t>
            </w:r>
          </w:p>
        </w:tc>
        <w:tc>
          <w:tcPr>
            <w:tcW w:type="dxa" w:w="4104"/>
          </w:tcPr>
          <w:p>
            <w:pPr>
              <w:spacing w:after="40"/>
            </w:pPr>
            <w:r/>
            <w:r>
              <w:rPr>
                <w:sz w:val="18"/>
              </w:rPr>
              <w:t>Initially said he “tried” to keep CMS know-how separate, then corrected to “did.”</w:t>
            </w:r>
          </w:p>
        </w:tc>
        <w:tc>
          <w:tcPr>
            <w:tcW w:type="dxa" w:w="1512"/>
          </w:tcPr>
          <w:p>
            <w:pPr>
              <w:spacing w:after="40"/>
            </w:pPr>
            <w:r/>
            <w:r>
              <w:rPr>
                <w:sz w:val="18"/>
              </w:rPr>
              <w:t>Vol. II 324:10–18</w:t>
            </w:r>
          </w:p>
        </w:tc>
        <w:tc>
          <w:tcPr>
            <w:tcW w:type="dxa" w:w="3240"/>
          </w:tcPr>
          <w:p>
            <w:pPr>
              <w:spacing w:after="40"/>
            </w:pPr>
            <w:r/>
            <w:r>
              <w:rPr>
                <w:sz w:val="18"/>
              </w:rPr>
              <w:t>Impeachment and credibility; the correction is noted on the record.</w:t>
            </w:r>
          </w:p>
        </w:tc>
      </w:tr>
      <w:tr>
        <w:tc>
          <w:tcPr>
            <w:tcW w:type="dxa" w:w="504"/>
          </w:tcPr>
          <w:p>
            <w:pPr>
              <w:spacing w:after="40"/>
            </w:pPr>
            <w:r/>
            <w:r>
              <w:rPr>
                <w:sz w:val="18"/>
              </w:rPr>
              <w:t>57</w:t>
            </w:r>
          </w:p>
        </w:tc>
        <w:tc>
          <w:tcPr>
            <w:tcW w:type="dxa" w:w="4104"/>
          </w:tcPr>
          <w:p>
            <w:pPr>
              <w:spacing w:after="40"/>
            </w:pPr>
            <w:r/>
            <w:r>
              <w:rPr>
                <w:sz w:val="18"/>
              </w:rPr>
              <w:t>Has continuing access to the MillEdge Pro codebase, commit privileges, and administrative server access.</w:t>
            </w:r>
          </w:p>
        </w:tc>
        <w:tc>
          <w:tcPr>
            <w:tcW w:type="dxa" w:w="1512"/>
          </w:tcPr>
          <w:p>
            <w:pPr>
              <w:spacing w:after="40"/>
            </w:pPr>
            <w:r/>
            <w:r>
              <w:rPr>
                <w:sz w:val="18"/>
              </w:rPr>
              <w:t>Vol. II 330:12–331:5</w:t>
            </w:r>
          </w:p>
        </w:tc>
        <w:tc>
          <w:tcPr>
            <w:tcW w:type="dxa" w:w="3240"/>
          </w:tcPr>
          <w:p>
            <w:pPr>
              <w:spacing w:after="40"/>
            </w:pPr>
            <w:r/>
            <w:r>
              <w:rPr>
                <w:sz w:val="18"/>
              </w:rPr>
              <w:t>Ongoing risk of use; supports injunctive relief and a code-preservation order.</w:t>
            </w:r>
          </w:p>
        </w:tc>
      </w:tr>
      <w:tr>
        <w:tc>
          <w:tcPr>
            <w:tcW w:type="dxa" w:w="504"/>
          </w:tcPr>
          <w:p>
            <w:pPr>
              <w:spacing w:after="40"/>
            </w:pPr>
            <w:r/>
            <w:r>
              <w:rPr>
                <w:sz w:val="18"/>
              </w:rPr>
              <w:t>58</w:t>
            </w:r>
          </w:p>
        </w:tc>
        <w:tc>
          <w:tcPr>
            <w:tcW w:type="dxa" w:w="4104"/>
          </w:tcPr>
          <w:p>
            <w:pPr>
              <w:spacing w:after="40"/>
            </w:pPr>
            <w:r/>
            <w:r>
              <w:rPr>
                <w:sz w:val="18"/>
              </w:rPr>
              <w:t>MillEdge Pro’s claimed “up to 25%” reduction falls within HarmonicPath’s 22–28% range; he could name no comparable product.</w:t>
            </w:r>
          </w:p>
        </w:tc>
        <w:tc>
          <w:tcPr>
            <w:tcW w:type="dxa" w:w="1512"/>
          </w:tcPr>
          <w:p>
            <w:pPr>
              <w:spacing w:after="40"/>
            </w:pPr>
            <w:r/>
            <w:r>
              <w:rPr>
                <w:sz w:val="18"/>
              </w:rPr>
              <w:t>Vol. II 304:23–305:21</w:t>
            </w:r>
          </w:p>
        </w:tc>
        <w:tc>
          <w:tcPr>
            <w:tcW w:type="dxa" w:w="3240"/>
          </w:tcPr>
          <w:p>
            <w:pPr>
              <w:spacing w:after="40"/>
            </w:pPr>
            <w:r/>
            <w:r>
              <w:rPr>
                <w:sz w:val="18"/>
              </w:rPr>
              <w:t>Circumstantial similarity; expert follow-up.</w:t>
            </w:r>
          </w:p>
        </w:tc>
      </w:tr>
    </w:tbl>
    <w:p>
      <w:pPr>
        <w:spacing w:after="40"/>
      </w:pPr>
    </w:p>
    <w:p>
      <w:pPr>
        <w:pStyle w:val="Heading2"/>
      </w:pPr>
      <w:r>
        <w:t>J. Other Admissions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04"/>
            <w:shd w:val="clear" w:color="auto" w:fill="1F3A5F"/>
          </w:tcPr>
          <w:p>
            <w:r/>
            <w:r>
              <w:rPr>
                <w:b/>
                <w:color w:val="FFFFFF"/>
                <w:sz w:val="18"/>
              </w:rPr>
              <w:t>#</w:t>
            </w:r>
          </w:p>
        </w:tc>
        <w:tc>
          <w:tcPr>
            <w:tcW w:type="dxa" w:w="4104"/>
            <w:shd w:val="clear" w:color="auto" w:fill="1F3A5F"/>
          </w:tcPr>
          <w:p>
            <w:r/>
            <w:r>
              <w:rPr>
                <w:b/>
                <w:color w:val="FFFFFF"/>
                <w:sz w:val="18"/>
              </w:rPr>
              <w:t>Admission</w:t>
            </w:r>
          </w:p>
        </w:tc>
        <w:tc>
          <w:tcPr>
            <w:tcW w:type="dxa" w:w="1512"/>
            <w:shd w:val="clear" w:color="auto" w:fill="1F3A5F"/>
          </w:tcPr>
          <w:p>
            <w:r/>
            <w:r>
              <w:rPr>
                <w:b/>
                <w:color w:val="FFFFFF"/>
                <w:sz w:val="18"/>
              </w:rPr>
              <w:t>Cite</w:t>
            </w:r>
          </w:p>
        </w:tc>
        <w:tc>
          <w:tcPr>
            <w:tcW w:type="dxa" w:w="3240"/>
            <w:shd w:val="clear" w:color="auto" w:fill="1F3A5F"/>
          </w:tcPr>
          <w:p>
            <w:r/>
            <w:r>
              <w:rPr>
                <w:b/>
                <w:color w:val="FFFFFF"/>
                <w:sz w:val="18"/>
              </w:rPr>
              <w:t>Use / Significance</w:t>
            </w:r>
          </w:p>
        </w:tc>
      </w:tr>
      <w:tr>
        <w:tc>
          <w:tcPr>
            <w:tcW w:type="dxa" w:w="504"/>
          </w:tcPr>
          <w:p>
            <w:pPr>
              <w:spacing w:after="40"/>
            </w:pPr>
            <w:r/>
            <w:r>
              <w:rPr>
                <w:sz w:val="18"/>
              </w:rPr>
              <w:t>59</w:t>
            </w:r>
          </w:p>
        </w:tc>
        <w:tc>
          <w:tcPr>
            <w:tcW w:type="dxa" w:w="4104"/>
          </w:tcPr>
          <w:p>
            <w:pPr>
              <w:spacing w:after="40"/>
            </w:pPr>
            <w:r/>
            <w:r>
              <w:rPr>
                <w:sz w:val="18"/>
              </w:rPr>
              <w:t>Since leaving CMS he has stayed in touch with CMS engineers Kevin Matsuda, Jennifer Colegrove, and Michael Roth; had lunch with Matsuda in October 2024.</w:t>
            </w:r>
          </w:p>
        </w:tc>
        <w:tc>
          <w:tcPr>
            <w:tcW w:type="dxa" w:w="1512"/>
          </w:tcPr>
          <w:p>
            <w:pPr>
              <w:spacing w:after="40"/>
            </w:pPr>
            <w:r/>
            <w:r>
              <w:rPr>
                <w:sz w:val="18"/>
              </w:rPr>
              <w:t>Vol. II 331:12–332:14</w:t>
            </w:r>
          </w:p>
        </w:tc>
        <w:tc>
          <w:tcPr>
            <w:tcW w:type="dxa" w:w="3240"/>
          </w:tcPr>
          <w:p>
            <w:pPr>
              <w:spacing w:after="40"/>
            </w:pPr>
            <w:r/>
            <w:r>
              <w:rPr>
                <w:sz w:val="18"/>
              </w:rPr>
              <w:t>Rog 14 did not identify anyone. Investigate for § 7(b) non-solicitation and information leakage; interview or depose the three engineers.</w:t>
            </w:r>
          </w:p>
        </w:tc>
      </w:tr>
      <w:tr>
        <w:tc>
          <w:tcPr>
            <w:tcW w:type="dxa" w:w="504"/>
          </w:tcPr>
          <w:p>
            <w:pPr>
              <w:spacing w:after="40"/>
            </w:pPr>
            <w:r/>
            <w:r>
              <w:rPr>
                <w:sz w:val="18"/>
              </w:rPr>
              <w:t>60</w:t>
            </w:r>
          </w:p>
        </w:tc>
        <w:tc>
          <w:tcPr>
            <w:tcW w:type="dxa" w:w="4104"/>
          </w:tcPr>
          <w:p>
            <w:pPr>
              <w:spacing w:after="40"/>
            </w:pPr>
            <w:r/>
            <w:r>
              <w:rPr>
                <w:sz w:val="18"/>
              </w:rPr>
              <w:t>Consulted an attorney about the non-compete before joining PAG and, relying on that consultation, believed in good faith that joining was permissible (redirect); counsel asserted privilege over the same subject.</w:t>
            </w:r>
          </w:p>
        </w:tc>
        <w:tc>
          <w:tcPr>
            <w:tcW w:type="dxa" w:w="1512"/>
          </w:tcPr>
          <w:p>
            <w:pPr>
              <w:spacing w:after="40"/>
            </w:pPr>
            <w:r/>
            <w:r>
              <w:rPr>
                <w:sz w:val="18"/>
              </w:rPr>
              <w:t>Vol. II 328:9–20, 340:18–341:1</w:t>
            </w:r>
          </w:p>
        </w:tc>
        <w:tc>
          <w:tcPr>
            <w:tcW w:type="dxa" w:w="3240"/>
          </w:tcPr>
          <w:p>
            <w:pPr>
              <w:spacing w:after="40"/>
            </w:pPr>
            <w:r/>
            <w:r>
              <w:rPr>
                <w:sz w:val="18"/>
              </w:rPr>
              <w:t>Sword/shield problem: he cannot rely on advice of counsel for good faith while withholding it. Move to compel or to preclude.</w:t>
            </w:r>
          </w:p>
        </w:tc>
      </w:tr>
      <w:tr>
        <w:tc>
          <w:tcPr>
            <w:tcW w:type="dxa" w:w="504"/>
          </w:tcPr>
          <w:p>
            <w:pPr>
              <w:spacing w:after="40"/>
            </w:pPr>
            <w:r/>
            <w:r>
              <w:rPr>
                <w:sz w:val="18"/>
              </w:rPr>
              <w:t>61</w:t>
            </w:r>
          </w:p>
        </w:tc>
        <w:tc>
          <w:tcPr>
            <w:tcW w:type="dxa" w:w="4104"/>
          </w:tcPr>
          <w:p>
            <w:pPr>
              <w:spacing w:after="40"/>
            </w:pPr>
            <w:r/>
            <w:r>
              <w:rPr>
                <w:sz w:val="18"/>
              </w:rPr>
              <w:t>PAG’s Series A ($18.5M) came from Sycamore Ventures, for whom he did paid advisory work in 2017 (~$15,000); he denies any role in PAG’s fundraising.</w:t>
            </w:r>
          </w:p>
        </w:tc>
        <w:tc>
          <w:tcPr>
            <w:tcW w:type="dxa" w:w="1512"/>
          </w:tcPr>
          <w:p>
            <w:pPr>
              <w:spacing w:after="40"/>
            </w:pPr>
            <w:r/>
            <w:r>
              <w:rPr>
                <w:sz w:val="18"/>
              </w:rPr>
              <w:t>Vol. I at 66–67, 197–198; Vol. II 306:18–307:13</w:t>
            </w:r>
          </w:p>
        </w:tc>
        <w:tc>
          <w:tcPr>
            <w:tcW w:type="dxa" w:w="3240"/>
          </w:tcPr>
          <w:p>
            <w:pPr>
              <w:spacing w:after="40"/>
            </w:pPr>
            <w:r/>
            <w:r>
              <w:rPr>
                <w:sz w:val="18"/>
              </w:rPr>
              <w:t>Lead worth testing through Sycamore and PAG discovery; Ex. 28 deck.</w:t>
            </w:r>
          </w:p>
        </w:tc>
      </w:tr>
      <w:tr>
        <w:tc>
          <w:tcPr>
            <w:tcW w:type="dxa" w:w="504"/>
          </w:tcPr>
          <w:p>
            <w:pPr>
              <w:spacing w:after="40"/>
            </w:pPr>
            <w:r/>
            <w:r>
              <w:rPr>
                <w:sz w:val="18"/>
              </w:rPr>
              <w:t>62</w:t>
            </w:r>
          </w:p>
        </w:tc>
        <w:tc>
          <w:tcPr>
            <w:tcW w:type="dxa" w:w="4104"/>
          </w:tcPr>
          <w:p>
            <w:pPr>
              <w:spacing w:after="40"/>
            </w:pPr>
            <w:r/>
            <w:r>
              <w:rPr>
                <w:sz w:val="18"/>
              </w:rPr>
              <w:t>PAG salary $385,000 plus options with performance milestones (terms not recalled).</w:t>
            </w:r>
          </w:p>
        </w:tc>
        <w:tc>
          <w:tcPr>
            <w:tcW w:type="dxa" w:w="1512"/>
          </w:tcPr>
          <w:p>
            <w:pPr>
              <w:spacing w:after="40"/>
            </w:pPr>
            <w:r/>
            <w:r>
              <w:rPr>
                <w:sz w:val="18"/>
              </w:rPr>
              <w:t>Vol. II 292:20–294:4</w:t>
            </w:r>
          </w:p>
        </w:tc>
        <w:tc>
          <w:tcPr>
            <w:tcW w:type="dxa" w:w="3240"/>
          </w:tcPr>
          <w:p>
            <w:pPr>
              <w:spacing w:after="40"/>
            </w:pPr>
            <w:r/>
            <w:r>
              <w:rPr>
                <w:sz w:val="18"/>
              </w:rPr>
              <w:t>Request the option agreement; milestones tied to MillEdge Pro would show motive and support disgorgement.</w:t>
            </w:r>
          </w:p>
        </w:tc>
      </w:tr>
    </w:tbl>
    <w:p>
      <w:pPr>
        <w:spacing w:after="40"/>
      </w:pPr>
    </w:p>
    <w:p>
      <w:pPr>
        <w:pStyle w:val="Heading1"/>
      </w:pPr>
      <w:r>
        <w:t>V. Contradictions and Inconsistencies</w:t>
      </w:r>
    </w:p>
    <w:p>
      <w:r>
        <w:t>The contradictions below are grouped by impeachment value. Category A goes to liability and credibility on contested issues. Category B covers sworn biographical inconsistencies that bear on credibility, Emp. Agmt. § 4(c), and the reliability of his interrogatory verification. Each should be locked in through requests for admission and, where needed, a reconvened deposition before the errata period closes.</w:t>
      </w:r>
    </w:p>
    <w:p>
      <w:pPr>
        <w:pStyle w:val="Heading2"/>
      </w:pPr>
      <w:r>
        <w:t>A. Liability-Critical Contradictions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1F3A5F"/>
          </w:tcPr>
          <w:p>
            <w:r/>
            <w:r>
              <w:rPr>
                <w:b/>
                <w:color w:val="FFFFFF"/>
                <w:sz w:val="18"/>
              </w:rPr>
              <w:t>#</w:t>
            </w:r>
          </w:p>
        </w:tc>
        <w:tc>
          <w:tcPr>
            <w:tcW w:type="dxa" w:w="1440"/>
            <w:shd w:val="clear" w:color="auto" w:fill="1F3A5F"/>
          </w:tcPr>
          <w:p>
            <w:r/>
            <w:r>
              <w:rPr>
                <w:b/>
                <w:color w:val="FFFFFF"/>
                <w:sz w:val="18"/>
              </w:rPr>
              <w:t>Issue</w:t>
            </w:r>
          </w:p>
        </w:tc>
        <w:tc>
          <w:tcPr>
            <w:tcW w:type="dxa" w:w="2520"/>
            <w:shd w:val="clear" w:color="auto" w:fill="1F3A5F"/>
          </w:tcPr>
          <w:p>
            <w:r/>
            <w:r>
              <w:rPr>
                <w:b/>
                <w:color w:val="FFFFFF"/>
                <w:sz w:val="18"/>
              </w:rPr>
              <w:t>Statement</w:t>
            </w:r>
          </w:p>
        </w:tc>
        <w:tc>
          <w:tcPr>
            <w:tcW w:type="dxa" w:w="2808"/>
            <w:shd w:val="clear" w:color="auto" w:fill="1F3A5F"/>
          </w:tcPr>
          <w:p>
            <w:r/>
            <w:r>
              <w:rPr>
                <w:b/>
                <w:color w:val="FFFFFF"/>
                <w:sz w:val="18"/>
              </w:rPr>
              <w:t>Contrary testimony / evidence</w:t>
            </w:r>
          </w:p>
        </w:tc>
        <w:tc>
          <w:tcPr>
            <w:tcW w:type="dxa" w:w="2160"/>
            <w:shd w:val="clear" w:color="auto" w:fill="1F3A5F"/>
          </w:tcPr>
          <w:p>
            <w:r/>
            <w:r>
              <w:rPr>
                <w:b/>
                <w:color w:val="FFFFFF"/>
                <w:sz w:val="18"/>
              </w:rPr>
              <w:t>Significance</w:t>
            </w:r>
          </w:p>
        </w:tc>
      </w:tr>
      <w:tr>
        <w:tc>
          <w:tcPr>
            <w:tcW w:type="dxa" w:w="432"/>
          </w:tcPr>
          <w:p>
            <w:pPr>
              <w:spacing w:after="40"/>
            </w:pPr>
            <w:r/>
            <w:r>
              <w:rPr>
                <w:sz w:val="18"/>
              </w:rPr>
              <w:t>1</w:t>
            </w:r>
          </w:p>
        </w:tc>
        <w:tc>
          <w:tcPr>
            <w:tcW w:type="dxa" w:w="1440"/>
          </w:tcPr>
          <w:p>
            <w:pPr>
              <w:spacing w:after="40"/>
            </w:pPr>
            <w:r/>
            <w:r>
              <w:rPr>
                <w:sz w:val="18"/>
              </w:rPr>
              <w:t>First awareness of PAG</w:t>
            </w:r>
          </w:p>
        </w:tc>
        <w:tc>
          <w:tcPr>
            <w:tcW w:type="dxa" w:w="2520"/>
          </w:tcPr>
          <w:p>
            <w:pPr>
              <w:spacing w:after="40"/>
            </w:pPr>
            <w:r/>
            <w:r>
              <w:rPr>
                <w:sz w:val="18"/>
              </w:rPr>
              <w:t>Rog 3: first became aware of PAG “in approximately late August 2024.”</w:t>
            </w:r>
          </w:p>
        </w:tc>
        <w:tc>
          <w:tcPr>
            <w:tcW w:type="dxa" w:w="2808"/>
          </w:tcPr>
          <w:p>
            <w:pPr>
              <w:spacing w:after="40"/>
            </w:pPr>
            <w:r/>
            <w:r>
              <w:rPr>
                <w:sz w:val="18"/>
              </w:rPr>
              <w:t>Vol. I at 64, 66, 196: first heard of PAG at the June 22 dinner. Vol. II 309:6–10: met Adwell ~June 8–9. Forensic Rpt. § 5.4.2: searched PAG and its Careers page on his CMS laptop on Aug. 11.</w:t>
            </w:r>
          </w:p>
        </w:tc>
        <w:tc>
          <w:tcPr>
            <w:tcW w:type="dxa" w:w="2160"/>
          </w:tcPr>
          <w:p>
            <w:pPr>
              <w:spacing w:after="40"/>
            </w:pPr>
            <w:r/>
            <w:r>
              <w:rPr>
                <w:sz w:val="18"/>
              </w:rPr>
              <w:t>Sworn interrogatory answer false by at least two months; demand supplementation (MCR 2.302(E)).</w:t>
            </w:r>
          </w:p>
        </w:tc>
      </w:tr>
      <w:tr>
        <w:tc>
          <w:tcPr>
            <w:tcW w:type="dxa" w:w="432"/>
          </w:tcPr>
          <w:p>
            <w:pPr>
              <w:spacing w:after="40"/>
            </w:pPr>
            <w:r/>
            <w:r>
              <w:rPr>
                <w:sz w:val="18"/>
              </w:rPr>
              <w:t>2</w:t>
            </w:r>
          </w:p>
        </w:tc>
        <w:tc>
          <w:tcPr>
            <w:tcW w:type="dxa" w:w="1440"/>
          </w:tcPr>
          <w:p>
            <w:pPr>
              <w:spacing w:after="40"/>
            </w:pPr>
            <w:r/>
            <w:r>
              <w:rPr>
                <w:sz w:val="18"/>
              </w:rPr>
              <w:t>First communication with PAG</w:t>
            </w:r>
          </w:p>
        </w:tc>
        <w:tc>
          <w:tcPr>
            <w:tcW w:type="dxa" w:w="2520"/>
          </w:tcPr>
          <w:p>
            <w:pPr>
              <w:spacing w:after="40"/>
            </w:pPr>
            <w:r/>
            <w:r>
              <w:rPr>
                <w:sz w:val="18"/>
              </w:rPr>
              <w:t>Rog 4 (and Rog 11): “I first spoke with Marcus Adwell in late August 2024 after submitting my resignation,” by telephone.</w:t>
            </w:r>
          </w:p>
        </w:tc>
        <w:tc>
          <w:tcPr>
            <w:tcW w:type="dxa" w:w="2808"/>
          </w:tcPr>
          <w:p>
            <w:pPr>
              <w:spacing w:after="40"/>
            </w:pPr>
            <w:r/>
            <w:r>
              <w:rPr>
                <w:sz w:val="18"/>
              </w:rPr>
              <w:t>Vol. I at 60–64 (June 22 dinner; “I should have mentioned [it]”). Vol. II 294–296, 308–316 (June 15 email; June 22 dinner; July 18 Quinlan coffee; July 28, Aug. 5, Aug. 14 emails).</w:t>
            </w:r>
          </w:p>
        </w:tc>
        <w:tc>
          <w:tcPr>
            <w:tcW w:type="dxa" w:w="2160"/>
          </w:tcPr>
          <w:p>
            <w:pPr>
              <w:spacing w:after="40"/>
            </w:pPr>
            <w:r/>
            <w:r>
              <w:rPr>
                <w:sz w:val="18"/>
              </w:rPr>
              <w:t>Central to recruitment and interference claims. On redirect, defense recast Rog 4 as limited to “potential employment” (Vol. II 336:20–24). The interrogatory as served is not so limited (Part VI).</w:t>
            </w:r>
          </w:p>
        </w:tc>
      </w:tr>
      <w:tr>
        <w:tc>
          <w:tcPr>
            <w:tcW w:type="dxa" w:w="432"/>
          </w:tcPr>
          <w:p>
            <w:pPr>
              <w:spacing w:after="40"/>
            </w:pPr>
            <w:r/>
            <w:r>
              <w:rPr>
                <w:sz w:val="18"/>
              </w:rPr>
              <w:t>3</w:t>
            </w:r>
          </w:p>
        </w:tc>
        <w:tc>
          <w:tcPr>
            <w:tcW w:type="dxa" w:w="1440"/>
          </w:tcPr>
          <w:p>
            <w:pPr>
              <w:spacing w:after="40"/>
            </w:pPr>
            <w:r/>
            <w:r>
              <w:rPr>
                <w:sz w:val="18"/>
              </w:rPr>
              <w:t>Nature of the June 22 dinner</w:t>
            </w:r>
          </w:p>
        </w:tc>
        <w:tc>
          <w:tcPr>
            <w:tcW w:type="dxa" w:w="2520"/>
          </w:tcPr>
          <w:p>
            <w:pPr>
              <w:spacing w:after="40"/>
            </w:pPr>
            <w:r/>
            <w:r>
              <w:rPr>
                <w:sz w:val="18"/>
              </w:rPr>
              <w:t>Vol. I at 63; Vol. II 312:10–11, 336:10–337:3: “social”; “general networking”; not looking for a job.</w:t>
            </w:r>
          </w:p>
        </w:tc>
        <w:tc>
          <w:tcPr>
            <w:tcW w:type="dxa" w:w="2808"/>
          </w:tcPr>
          <w:p>
            <w:pPr>
              <w:spacing w:after="40"/>
            </w:pPr>
            <w:r/>
            <w:r>
              <w:rPr>
                <w:sz w:val="18"/>
              </w:rPr>
              <w:t>Vol. II 310:8–311:16: he raised his non-compete and Adwell said “We should look into that.” Vol. II 312:12–16: “I suppose not” (not just social). Vol. II 342:8: “somewhere in between.”</w:t>
            </w:r>
          </w:p>
        </w:tc>
        <w:tc>
          <w:tcPr>
            <w:tcW w:type="dxa" w:w="2160"/>
          </w:tcPr>
          <w:p>
            <w:pPr>
              <w:spacing w:after="40"/>
            </w:pPr>
            <w:r/>
            <w:r>
              <w:rPr>
                <w:sz w:val="18"/>
              </w:rPr>
              <w:t>Disclosing a non-compete to a competitor’s founder is inconsistent with a purely social dinner.</w:t>
            </w:r>
          </w:p>
        </w:tc>
      </w:tr>
      <w:tr>
        <w:tc>
          <w:tcPr>
            <w:tcW w:type="dxa" w:w="432"/>
          </w:tcPr>
          <w:p>
            <w:pPr>
              <w:spacing w:after="40"/>
            </w:pPr>
            <w:r/>
            <w:r>
              <w:rPr>
                <w:sz w:val="18"/>
              </w:rPr>
              <w:t>4</w:t>
            </w:r>
          </w:p>
        </w:tc>
        <w:tc>
          <w:tcPr>
            <w:tcW w:type="dxa" w:w="1440"/>
          </w:tcPr>
          <w:p>
            <w:pPr>
              <w:spacing w:after="40"/>
            </w:pPr>
            <w:r/>
            <w:r>
              <w:rPr>
                <w:sz w:val="18"/>
              </w:rPr>
              <w:t>Prior relationship with Adwell</w:t>
            </w:r>
          </w:p>
        </w:tc>
        <w:tc>
          <w:tcPr>
            <w:tcW w:type="dxa" w:w="2520"/>
          </w:tcPr>
          <w:p>
            <w:pPr>
              <w:spacing w:after="40"/>
            </w:pPr>
            <w:r/>
            <w:r>
              <w:rPr>
                <w:sz w:val="18"/>
              </w:rPr>
              <w:t>Vol. I at 60–61: acquaintances since Purdue who “reconnected over the years at industry events”; “We tried to catch up every so often.”</w:t>
            </w:r>
          </w:p>
        </w:tc>
        <w:tc>
          <w:tcPr>
            <w:tcW w:type="dxa" w:w="2808"/>
          </w:tcPr>
          <w:p>
            <w:pPr>
              <w:spacing w:after="40"/>
            </w:pPr>
            <w:r/>
            <w:r>
              <w:rPr>
                <w:sz w:val="18"/>
              </w:rPr>
              <w:t>Vol. II 309:9–10: “I knew of Marcus but we hadn’t really spoken before.”</w:t>
            </w:r>
          </w:p>
        </w:tc>
        <w:tc>
          <w:tcPr>
            <w:tcW w:type="dxa" w:w="2160"/>
          </w:tcPr>
          <w:p>
            <w:pPr>
              <w:spacing w:after="40"/>
            </w:pPr>
            <w:r/>
            <w:r>
              <w:rPr>
                <w:sz w:val="18"/>
              </w:rPr>
              <w:t>Direct Vol. I vs. Vol. II inconsistency; useful for general credibility.</w:t>
            </w:r>
          </w:p>
        </w:tc>
      </w:tr>
      <w:tr>
        <w:tc>
          <w:tcPr>
            <w:tcW w:type="dxa" w:w="432"/>
          </w:tcPr>
          <w:p>
            <w:pPr>
              <w:spacing w:after="40"/>
            </w:pPr>
            <w:r/>
            <w:r>
              <w:rPr>
                <w:sz w:val="18"/>
              </w:rPr>
              <w:t>5</w:t>
            </w:r>
          </w:p>
        </w:tc>
        <w:tc>
          <w:tcPr>
            <w:tcW w:type="dxa" w:w="1440"/>
          </w:tcPr>
          <w:p>
            <w:pPr>
              <w:spacing w:after="40"/>
            </w:pPr>
            <w:r/>
            <w:r>
              <w:rPr>
                <w:sz w:val="18"/>
              </w:rPr>
              <w:t>Contacts between June 22 and Aug. 16</w:t>
            </w:r>
          </w:p>
        </w:tc>
        <w:tc>
          <w:tcPr>
            <w:tcW w:type="dxa" w:w="2520"/>
          </w:tcPr>
          <w:p>
            <w:pPr>
              <w:spacing w:after="40"/>
            </w:pPr>
            <w:r/>
            <w:r>
              <w:rPr>
                <w:sz w:val="18"/>
              </w:rPr>
              <w:t>Vol. I at 65: “Maybe one or two phone calls”; no specific job discussed; “very informal.”</w:t>
            </w:r>
          </w:p>
        </w:tc>
        <w:tc>
          <w:tcPr>
            <w:tcW w:type="dxa" w:w="2808"/>
          </w:tcPr>
          <w:p>
            <w:pPr>
              <w:spacing w:after="40"/>
            </w:pPr>
            <w:r/>
            <w:r>
              <w:rPr>
                <w:sz w:val="18"/>
              </w:rPr>
              <w:t>Vol. II 294:21–295:12: emails and a follow-up meeting. Ex. 22: July 18 (coffee re “engineering team”), July 28 (“Very interested”), Aug. 5 (“the VP role”), Aug. 14 (“Wrapping things up”).</w:t>
            </w:r>
          </w:p>
        </w:tc>
        <w:tc>
          <w:tcPr>
            <w:tcW w:type="dxa" w:w="2160"/>
          </w:tcPr>
          <w:p>
            <w:pPr>
              <w:spacing w:after="40"/>
            </w:pPr>
            <w:r/>
            <w:r>
              <w:rPr>
                <w:sz w:val="18"/>
              </w:rPr>
              <w:t>Vol. I minimized pre-resignation recruitment; documents produced by PAG impeach.</w:t>
            </w:r>
          </w:p>
        </w:tc>
      </w:tr>
      <w:tr>
        <w:tc>
          <w:tcPr>
            <w:tcW w:type="dxa" w:w="432"/>
          </w:tcPr>
          <w:p>
            <w:pPr>
              <w:spacing w:after="40"/>
            </w:pPr>
            <w:r/>
            <w:r>
              <w:rPr>
                <w:sz w:val="18"/>
              </w:rPr>
              <w:t>6</w:t>
            </w:r>
          </w:p>
        </w:tc>
        <w:tc>
          <w:tcPr>
            <w:tcW w:type="dxa" w:w="1440"/>
          </w:tcPr>
          <w:p>
            <w:pPr>
              <w:spacing w:after="40"/>
            </w:pPr>
            <w:r/>
            <w:r>
              <w:rPr>
                <w:sz w:val="18"/>
              </w:rPr>
              <w:t>Teresa Quinlan</w:t>
            </w:r>
          </w:p>
        </w:tc>
        <w:tc>
          <w:tcPr>
            <w:tcW w:type="dxa" w:w="2520"/>
          </w:tcPr>
          <w:p>
            <w:pPr>
              <w:spacing w:after="40"/>
            </w:pPr>
            <w:r/>
            <w:r>
              <w:rPr>
                <w:sz w:val="18"/>
              </w:rPr>
              <w:t>Vol. I at 66: no communications with Quinlan June–Aug. 2024. Vol. I at 197: first met her “after I started at PAG … September 2024.” Rog 4: telephone calls with Quinlan in “late August 2024.”</w:t>
            </w:r>
          </w:p>
        </w:tc>
        <w:tc>
          <w:tcPr>
            <w:tcW w:type="dxa" w:w="2808"/>
          </w:tcPr>
          <w:p>
            <w:pPr>
              <w:spacing w:after="40"/>
            </w:pPr>
            <w:r/>
            <w:r>
              <w:rPr>
                <w:sz w:val="18"/>
              </w:rPr>
              <w:t>Vol. II 312:23–313:22: met Quinlan in person in mid-July 2024 at Adwell’s suggestion; “interview-type questions.”</w:t>
            </w:r>
          </w:p>
        </w:tc>
        <w:tc>
          <w:tcPr>
            <w:tcW w:type="dxa" w:w="2160"/>
          </w:tcPr>
          <w:p>
            <w:pPr>
              <w:spacing w:after="40"/>
            </w:pPr>
            <w:r/>
            <w:r>
              <w:rPr>
                <w:sz w:val="18"/>
              </w:rPr>
              <w:t>Three inconsistent sworn versions. Quinlan’s involvement ties PAG’s leadership to recruitment while he was CTO.</w:t>
            </w:r>
          </w:p>
        </w:tc>
      </w:tr>
      <w:tr>
        <w:tc>
          <w:tcPr>
            <w:tcW w:type="dxa" w:w="432"/>
          </w:tcPr>
          <w:p>
            <w:pPr>
              <w:spacing w:after="40"/>
            </w:pPr>
            <w:r/>
            <w:r>
              <w:rPr>
                <w:sz w:val="18"/>
              </w:rPr>
              <w:t>7</w:t>
            </w:r>
          </w:p>
        </w:tc>
        <w:tc>
          <w:tcPr>
            <w:tcW w:type="dxa" w:w="1440"/>
          </w:tcPr>
          <w:p>
            <w:pPr>
              <w:spacing w:after="40"/>
            </w:pPr>
            <w:r/>
            <w:r>
              <w:rPr>
                <w:sz w:val="18"/>
              </w:rPr>
              <w:t>When he learned of the VP role</w:t>
            </w:r>
          </w:p>
        </w:tc>
        <w:tc>
          <w:tcPr>
            <w:tcW w:type="dxa" w:w="2520"/>
          </w:tcPr>
          <w:p>
            <w:pPr>
              <w:spacing w:after="40"/>
            </w:pPr>
            <w:r/>
            <w:r>
              <w:rPr>
                <w:sz w:val="18"/>
              </w:rPr>
              <w:t>Vol. II 290:14–291:16: learned of the opportunity “sometime in August” after deciding to leave; role not discussed until August.</w:t>
            </w:r>
          </w:p>
        </w:tc>
        <w:tc>
          <w:tcPr>
            <w:tcW w:type="dxa" w:w="2808"/>
          </w:tcPr>
          <w:p>
            <w:pPr>
              <w:spacing w:after="40"/>
            </w:pPr>
            <w:r/>
            <w:r>
              <w:rPr>
                <w:sz w:val="18"/>
              </w:rPr>
              <w:t>Vol. I at 85–86: “general discussions with Marcus about a role at PAG” before resigning. Ex. 22 July 18 email (team-building coffee); July 28 email. Forensic Rpt. § 5.4.2 (Aug. 11 Careers page visit).</w:t>
            </w:r>
          </w:p>
        </w:tc>
        <w:tc>
          <w:tcPr>
            <w:tcW w:type="dxa" w:w="2160"/>
          </w:tcPr>
          <w:p>
            <w:pPr>
              <w:spacing w:after="40"/>
            </w:pPr>
            <w:r/>
            <w:r>
              <w:rPr>
                <w:sz w:val="18"/>
              </w:rPr>
              <w:t>His decision to leave and the PAG discussions overlapped; undercuts the claim that he resigned on his own initiative.</w:t>
            </w:r>
          </w:p>
        </w:tc>
      </w:tr>
      <w:tr>
        <w:tc>
          <w:tcPr>
            <w:tcW w:type="dxa" w:w="432"/>
          </w:tcPr>
          <w:p>
            <w:pPr>
              <w:spacing w:after="40"/>
            </w:pPr>
            <w:r/>
            <w:r>
              <w:rPr>
                <w:sz w:val="18"/>
              </w:rPr>
              <w:t>8</w:t>
            </w:r>
          </w:p>
        </w:tc>
        <w:tc>
          <w:tcPr>
            <w:tcW w:type="dxa" w:w="1440"/>
          </w:tcPr>
          <w:p>
            <w:pPr>
              <w:spacing w:after="40"/>
            </w:pPr>
            <w:r/>
            <w:r>
              <w:rPr>
                <w:sz w:val="18"/>
              </w:rPr>
              <w:t>Reasons for resigning</w:t>
            </w:r>
          </w:p>
        </w:tc>
        <w:tc>
          <w:tcPr>
            <w:tcW w:type="dxa" w:w="2520"/>
          </w:tcPr>
          <w:p>
            <w:pPr>
              <w:spacing w:after="40"/>
            </w:pPr>
            <w:r/>
            <w:r>
              <w:rPr>
                <w:sz w:val="18"/>
              </w:rPr>
              <w:t>Resignation letter (Vol. I at 83): leaving for “a different sector of the automation industry.” Rog 5: new challenges, smaller company, and relocating to the Detroit area “to be closer to family”; no outside influence.</w:t>
            </w:r>
          </w:p>
        </w:tc>
        <w:tc>
          <w:tcPr>
            <w:tcW w:type="dxa" w:w="2808"/>
          </w:tcPr>
          <w:p>
            <w:pPr>
              <w:spacing w:after="40"/>
            </w:pPr>
            <w:r/>
            <w:r>
              <w:rPr>
                <w:sz w:val="18"/>
              </w:rPr>
              <w:t>Vol. I at 5: moved to Troy because it “is closer to my new office.” Vol. I at 84–85: PAG’s product is the same type of software he led at CMS (“I see your point”). Vol. I at 85: the PAG opportunity “was attractive.”</w:t>
            </w:r>
          </w:p>
        </w:tc>
        <w:tc>
          <w:tcPr>
            <w:tcW w:type="dxa" w:w="2160"/>
          </w:tcPr>
          <w:p>
            <w:pPr>
              <w:spacing w:after="40"/>
            </w:pPr>
            <w:r/>
            <w:r>
              <w:rPr>
                <w:sz w:val="18"/>
              </w:rPr>
              <w:t>Pretextual resignation narrative; supports willfulness and concealment.</w:t>
            </w:r>
          </w:p>
        </w:tc>
      </w:tr>
      <w:tr>
        <w:tc>
          <w:tcPr>
            <w:tcW w:type="dxa" w:w="432"/>
          </w:tcPr>
          <w:p>
            <w:pPr>
              <w:spacing w:after="40"/>
            </w:pPr>
            <w:r/>
            <w:r>
              <w:rPr>
                <w:sz w:val="18"/>
              </w:rPr>
              <w:t>9</w:t>
            </w:r>
          </w:p>
        </w:tc>
        <w:tc>
          <w:tcPr>
            <w:tcW w:type="dxa" w:w="1440"/>
          </w:tcPr>
          <w:p>
            <w:pPr>
              <w:spacing w:after="40"/>
            </w:pPr>
            <w:r/>
            <w:r>
              <w:rPr>
                <w:sz w:val="18"/>
              </w:rPr>
              <w:t>Belief that the radius was 100 miles</w:t>
            </w:r>
          </w:p>
        </w:tc>
        <w:tc>
          <w:tcPr>
            <w:tcW w:type="dxa" w:w="2520"/>
          </w:tcPr>
          <w:p>
            <w:pPr>
              <w:spacing w:after="40"/>
            </w:pPr>
            <w:r/>
            <w:r>
              <w:rPr>
                <w:sz w:val="18"/>
              </w:rPr>
              <w:t>Vol. I at 22–24, 89, 197; Vol. II 327:12–19: believed 100 miles until the deposition (“I think when we discussed it yesterday”).</w:t>
            </w:r>
          </w:p>
        </w:tc>
        <w:tc>
          <w:tcPr>
            <w:tcW w:type="dxa" w:w="2808"/>
          </w:tcPr>
          <w:p>
            <w:pPr>
              <w:spacing w:after="40"/>
            </w:pPr>
            <w:r/>
            <w:r>
              <w:rPr>
                <w:sz w:val="18"/>
              </w:rPr>
              <w:t>C&amp;D (received Aug. 23–24) states 150 miles and that Troy is ~142 miles away. Sep. Ack. § 3(b) (signed Aug. 28) states “one hundred fifty (150) mile radius,” and § 3(e) represents he understood the geographic reach. Vol. II 311:17–24: PAG’s counsel’s view turned on “the distance.”</w:t>
            </w:r>
          </w:p>
        </w:tc>
        <w:tc>
          <w:tcPr>
            <w:tcW w:type="dxa" w:w="2160"/>
          </w:tcPr>
          <w:p>
            <w:pPr>
              <w:spacing w:after="40"/>
            </w:pPr>
            <w:r/>
            <w:r>
              <w:rPr>
                <w:sz w:val="18"/>
              </w:rPr>
              <w:t>The claimed good-faith mistake is irreconcilable with two documents he received or signed before starting at PAG. Strong impeachment; also defeats any equitable “good faith” argument.</w:t>
            </w:r>
          </w:p>
        </w:tc>
      </w:tr>
      <w:tr>
        <w:tc>
          <w:tcPr>
            <w:tcW w:type="dxa" w:w="432"/>
          </w:tcPr>
          <w:p>
            <w:pPr>
              <w:spacing w:after="40"/>
            </w:pPr>
            <w:r/>
            <w:r>
              <w:rPr>
                <w:sz w:val="18"/>
              </w:rPr>
              <w:t>10</w:t>
            </w:r>
          </w:p>
        </w:tc>
        <w:tc>
          <w:tcPr>
            <w:tcW w:type="dxa" w:w="1440"/>
          </w:tcPr>
          <w:p>
            <w:pPr>
              <w:spacing w:after="40"/>
            </w:pPr>
            <w:r/>
            <w:r>
              <w:rPr>
                <w:sz w:val="18"/>
              </w:rPr>
              <w:t>Source and nature of USB files</w:t>
            </w:r>
          </w:p>
        </w:tc>
        <w:tc>
          <w:tcPr>
            <w:tcW w:type="dxa" w:w="2520"/>
          </w:tcPr>
          <w:p>
            <w:pPr>
              <w:spacing w:after="40"/>
            </w:pPr>
            <w:r/>
            <w:r>
              <w:rPr>
                <w:sz w:val="18"/>
              </w:rPr>
              <w:t>Vol. I at 104–108, 110: “personal reference materials and publicly available papers” kept in “my working area.”</w:t>
            </w:r>
          </w:p>
        </w:tc>
        <w:tc>
          <w:tcPr>
            <w:tcW w:type="dxa" w:w="2808"/>
          </w:tcPr>
          <w:p>
            <w:pPr>
              <w:spacing w:after="40"/>
            </w:pPr>
            <w:r/>
            <w:r>
              <w:rPr>
                <w:sz w:val="18"/>
              </w:rPr>
              <w:t>Forensic Rpt. § 5.1 / App. F: all 3,847 files are .cpp, .py, .h, .json, or .md from OptiMill-v3\src, \algorithms\harmonicpath, \test, and AdaptGrip\firmware. There are no PDFs or papers. The OptiMill-v3 directory was freshly created by a full git clone on Aug. 9 (§ 5.4.1). USB-transfer searches were run on Aug. 8 (§ 5.4.2).</w:t>
            </w:r>
          </w:p>
        </w:tc>
        <w:tc>
          <w:tcPr>
            <w:tcW w:type="dxa" w:w="2160"/>
          </w:tcPr>
          <w:p>
            <w:pPr>
              <w:spacing w:after="40"/>
            </w:pPr>
            <w:r/>
            <w:r>
              <w:rPr>
                <w:sz w:val="18"/>
              </w:rPr>
              <w:t>Physically implausible explanation; a fresh clone cannot contain personal papers unless they were committed to CMS’s repository. Supports intent and premeditation.</w:t>
            </w:r>
          </w:p>
        </w:tc>
      </w:tr>
      <w:tr>
        <w:tc>
          <w:tcPr>
            <w:tcW w:type="dxa" w:w="432"/>
          </w:tcPr>
          <w:p>
            <w:pPr>
              <w:spacing w:after="40"/>
            </w:pPr>
            <w:r/>
            <w:r>
              <w:rPr>
                <w:sz w:val="18"/>
              </w:rPr>
              <w:t>11</w:t>
            </w:r>
          </w:p>
        </w:tc>
        <w:tc>
          <w:tcPr>
            <w:tcW w:type="dxa" w:w="1440"/>
          </w:tcPr>
          <w:p>
            <w:pPr>
              <w:spacing w:after="40"/>
            </w:pPr>
            <w:r/>
            <w:r>
              <w:rPr>
                <w:sz w:val="18"/>
              </w:rPr>
              <w:t>Rog 7 / Rog 15 — no copying, no CMS materials possessed</w:t>
            </w:r>
          </w:p>
        </w:tc>
        <w:tc>
          <w:tcPr>
            <w:tcW w:type="dxa" w:w="2520"/>
          </w:tcPr>
          <w:p>
            <w:pPr>
              <w:spacing w:after="40"/>
            </w:pPr>
            <w:r/>
            <w:r>
              <w:rPr>
                <w:sz w:val="18"/>
              </w:rPr>
              <w:t>Rog 7: “I did not remove or copy any confidential or proprietary documents from CMS”; all work was on company equipment. Rog 15: no CMS documents on any personal device, email account, or external storage. Vol. I at 103: Rog 7 is accurate.</w:t>
            </w:r>
          </w:p>
        </w:tc>
        <w:tc>
          <w:tcPr>
            <w:tcW w:type="dxa" w:w="2808"/>
          </w:tcPr>
          <w:p>
            <w:pPr>
              <w:spacing w:after="40"/>
            </w:pPr>
            <w:r/>
            <w:r>
              <w:rPr>
                <w:sz w:val="18"/>
              </w:rPr>
              <w:t>Vol. I at 102–110, 177; Vol. II 332:15–19 (USB copying; drive retained at home). Vol. I at 132–137 (Blue Book in Gmail, possibly still there). Forensic Rpt. §§ 5.1–5.2.</w:t>
            </w:r>
          </w:p>
        </w:tc>
        <w:tc>
          <w:tcPr>
            <w:tcW w:type="dxa" w:w="2160"/>
          </w:tcPr>
          <w:p>
            <w:pPr>
              <w:spacing w:after="40"/>
            </w:pPr>
            <w:r/>
            <w:r>
              <w:rPr>
                <w:sz w:val="18"/>
              </w:rPr>
              <w:t>Sworn answers false when verified (Nov. 1, 2024), more than two months after he possessed the drive and email. Basis for sanctions and supplementation.</w:t>
            </w:r>
          </w:p>
        </w:tc>
      </w:tr>
      <w:tr>
        <w:tc>
          <w:tcPr>
            <w:tcW w:type="dxa" w:w="432"/>
          </w:tcPr>
          <w:p>
            <w:pPr>
              <w:spacing w:after="40"/>
            </w:pPr>
            <w:r/>
            <w:r>
              <w:rPr>
                <w:sz w:val="18"/>
              </w:rPr>
              <w:t>12</w:t>
            </w:r>
          </w:p>
        </w:tc>
        <w:tc>
          <w:tcPr>
            <w:tcW w:type="dxa" w:w="1440"/>
          </w:tcPr>
          <w:p>
            <w:pPr>
              <w:spacing w:after="40"/>
            </w:pPr>
            <w:r/>
            <w:r>
              <w:rPr>
                <w:sz w:val="18"/>
              </w:rPr>
              <w:t>Rog 6 — devices used</w:t>
            </w:r>
          </w:p>
        </w:tc>
        <w:tc>
          <w:tcPr>
            <w:tcW w:type="dxa" w:w="2520"/>
          </w:tcPr>
          <w:p>
            <w:pPr>
              <w:spacing w:after="40"/>
            </w:pPr>
            <w:r/>
            <w:r>
              <w:rPr>
                <w:sz w:val="18"/>
              </w:rPr>
              <w:t>Rog 6 lists only the Dell laptop and iPhone 15 Pro; the interrogatory expressly asked for “external storage devices.”</w:t>
            </w:r>
          </w:p>
        </w:tc>
        <w:tc>
          <w:tcPr>
            <w:tcW w:type="dxa" w:w="2808"/>
          </w:tcPr>
          <w:p>
            <w:pPr>
              <w:spacing w:after="40"/>
            </w:pPr>
            <w:r/>
            <w:r>
              <w:rPr>
                <w:sz w:val="18"/>
              </w:rPr>
              <w:t>Vol. I at 102–103 and Forensic Rpt. § 5.1: SanDisk USB drive used on Aug. 10. Vol. I at 101: he owns “several USB drives.”</w:t>
            </w:r>
          </w:p>
        </w:tc>
        <w:tc>
          <w:tcPr>
            <w:tcW w:type="dxa" w:w="2160"/>
          </w:tcPr>
          <w:p>
            <w:pPr>
              <w:spacing w:after="40"/>
            </w:pPr>
            <w:r/>
            <w:r>
              <w:rPr>
                <w:sz w:val="18"/>
              </w:rPr>
              <w:t>Material omission; demand identification of all USB drives and their production.</w:t>
            </w:r>
          </w:p>
        </w:tc>
      </w:tr>
      <w:tr>
        <w:tc>
          <w:tcPr>
            <w:tcW w:type="dxa" w:w="432"/>
          </w:tcPr>
          <w:p>
            <w:pPr>
              <w:spacing w:after="40"/>
            </w:pPr>
            <w:r/>
            <w:r>
              <w:rPr>
                <w:sz w:val="18"/>
              </w:rPr>
              <w:t>13</w:t>
            </w:r>
          </w:p>
        </w:tc>
        <w:tc>
          <w:tcPr>
            <w:tcW w:type="dxa" w:w="1440"/>
          </w:tcPr>
          <w:p>
            <w:pPr>
              <w:spacing w:after="40"/>
            </w:pPr>
            <w:r/>
            <w:r>
              <w:rPr>
                <w:sz w:val="18"/>
              </w:rPr>
              <w:t>Blue Book email</w:t>
            </w:r>
          </w:p>
        </w:tc>
        <w:tc>
          <w:tcPr>
            <w:tcW w:type="dxa" w:w="2520"/>
          </w:tcPr>
          <w:p>
            <w:pPr>
              <w:spacing w:after="40"/>
            </w:pPr>
            <w:r/>
            <w:r>
              <w:rPr>
                <w:sz w:val="18"/>
              </w:rPr>
              <w:t>Vol. I at 132–133: “I don’t recall sending that email.” Vol. I at 133–135: “may have forwarded it inadvertently” while “cleaning out my inbox”; forwarded “things to my personal account” “sometimes.”</w:t>
            </w:r>
          </w:p>
        </w:tc>
        <w:tc>
          <w:tcPr>
            <w:tcW w:type="dxa" w:w="2808"/>
          </w:tcPr>
          <w:p>
            <w:pPr>
              <w:spacing w:after="40"/>
            </w:pPr>
            <w:r/>
            <w:r>
              <w:rPr>
                <w:sz w:val="18"/>
              </w:rPr>
              <w:t>Forensic Rpt. § 5.2: a newly composed message (not a forward), no subject or body, attachment from the restricted Finance share, and the only email to his personal account between Aug. 1 and 28.</w:t>
            </w:r>
          </w:p>
        </w:tc>
        <w:tc>
          <w:tcPr>
            <w:tcW w:type="dxa" w:w="2160"/>
          </w:tcPr>
          <w:p>
            <w:pPr>
              <w:spacing w:after="40"/>
            </w:pPr>
            <w:r/>
            <w:r>
              <w:rPr>
                <w:sz w:val="18"/>
              </w:rPr>
              <w:t>Each explanation is contradicted by server-side and client-side artifacts.</w:t>
            </w:r>
          </w:p>
        </w:tc>
      </w:tr>
      <w:tr>
        <w:tc>
          <w:tcPr>
            <w:tcW w:type="dxa" w:w="432"/>
          </w:tcPr>
          <w:p>
            <w:pPr>
              <w:spacing w:after="40"/>
            </w:pPr>
            <w:r/>
            <w:r>
              <w:rPr>
                <w:sz w:val="18"/>
              </w:rPr>
              <w:t>14</w:t>
            </w:r>
          </w:p>
        </w:tc>
        <w:tc>
          <w:tcPr>
            <w:tcW w:type="dxa" w:w="1440"/>
          </w:tcPr>
          <w:p>
            <w:pPr>
              <w:spacing w:after="40"/>
            </w:pPr>
            <w:r/>
            <w:r>
              <w:rPr>
                <w:sz w:val="18"/>
              </w:rPr>
              <w:t>Rog 12 — role at PAG</w:t>
            </w:r>
          </w:p>
        </w:tc>
        <w:tc>
          <w:tcPr>
            <w:tcW w:type="dxa" w:w="2520"/>
          </w:tcPr>
          <w:p>
            <w:pPr>
              <w:spacing w:after="40"/>
            </w:pPr>
            <w:r/>
            <w:r>
              <w:rPr>
                <w:sz w:val="18"/>
              </w:rPr>
              <w:t>Rog 12: “I am not involved in the development of any CNC optimization products”; duties “managerial and administrative” with no hands-on development. Vol. I at 198–199: not a hands-on developer.</w:t>
            </w:r>
          </w:p>
        </w:tc>
        <w:tc>
          <w:tcPr>
            <w:tcW w:type="dxa" w:w="2808"/>
          </w:tcPr>
          <w:p>
            <w:pPr>
              <w:spacing w:after="40"/>
            </w:pPr>
            <w:r/>
            <w:r>
              <w:rPr>
                <w:sz w:val="18"/>
              </w:rPr>
              <w:t>Vol. II 298–303, 306, 322–325: architecture review, optimization-engine suggestions, 11 commits, launch reviews, weekly MillEdge Pro meetings; concedes the answer was imprecise.</w:t>
            </w:r>
          </w:p>
        </w:tc>
        <w:tc>
          <w:tcPr>
            <w:tcW w:type="dxa" w:w="2160"/>
          </w:tcPr>
          <w:p>
            <w:pPr>
              <w:spacing w:after="40"/>
            </w:pPr>
            <w:r/>
            <w:r>
              <w:rPr>
                <w:sz w:val="18"/>
              </w:rPr>
              <w:t>Admitted inaccuracy of a sworn answer; core to the § 7(a) breach.</w:t>
            </w:r>
          </w:p>
        </w:tc>
      </w:tr>
      <w:tr>
        <w:tc>
          <w:tcPr>
            <w:tcW w:type="dxa" w:w="432"/>
          </w:tcPr>
          <w:p>
            <w:pPr>
              <w:spacing w:after="40"/>
            </w:pPr>
            <w:r/>
            <w:r>
              <w:rPr>
                <w:sz w:val="18"/>
              </w:rPr>
              <w:t>15</w:t>
            </w:r>
          </w:p>
        </w:tc>
        <w:tc>
          <w:tcPr>
            <w:tcW w:type="dxa" w:w="1440"/>
          </w:tcPr>
          <w:p>
            <w:pPr>
              <w:spacing w:after="40"/>
            </w:pPr>
            <w:r/>
            <w:r>
              <w:rPr>
                <w:sz w:val="18"/>
              </w:rPr>
              <w:t>Character of the commits</w:t>
            </w:r>
          </w:p>
        </w:tc>
        <w:tc>
          <w:tcPr>
            <w:tcW w:type="dxa" w:w="2520"/>
          </w:tcPr>
          <w:p>
            <w:pPr>
              <w:spacing w:after="40"/>
            </w:pPr>
            <w:r/>
            <w:r>
              <w:rPr>
                <w:sz w:val="18"/>
              </w:rPr>
              <w:t>Vol. II 322:7–12: Sept. 5 commit was “structural improvements” to how the optimization engine code was organized. Vol. II 338:4–9 (redirect): none of the commits was to the core optimization engine itself.</w:t>
            </w:r>
          </w:p>
        </w:tc>
        <w:tc>
          <w:tcPr>
            <w:tcW w:type="dxa" w:w="2808"/>
          </w:tcPr>
          <w:p>
            <w:pPr>
              <w:spacing w:after="40"/>
            </w:pPr>
            <w:r/>
            <w:r>
              <w:rPr>
                <w:sz w:val="18"/>
              </w:rPr>
              <w:t>Commit messages: “optimization engine refactor — initial pass,” “— phase 2,” “optimization engine — convergence criteria update” (Vol. II 322–323). Vol. II 342:15–21: he cannot produce diffs.</w:t>
            </w:r>
          </w:p>
        </w:tc>
        <w:tc>
          <w:tcPr>
            <w:tcW w:type="dxa" w:w="2160"/>
          </w:tcPr>
          <w:p>
            <w:pPr>
              <w:spacing w:after="40"/>
            </w:pPr>
            <w:r/>
            <w:r>
              <w:rPr>
                <w:sz w:val="18"/>
              </w:rPr>
              <w:t>Internal inconsistency; obtain the diffs (Ex. 23 source) and have an expert classify each commit.</w:t>
            </w:r>
          </w:p>
        </w:tc>
      </w:tr>
      <w:tr>
        <w:tc>
          <w:tcPr>
            <w:tcW w:type="dxa" w:w="432"/>
          </w:tcPr>
          <w:p>
            <w:pPr>
              <w:spacing w:after="40"/>
            </w:pPr>
            <w:r/>
            <w:r>
              <w:rPr>
                <w:sz w:val="18"/>
              </w:rPr>
              <w:t>16</w:t>
            </w:r>
          </w:p>
        </w:tc>
        <w:tc>
          <w:tcPr>
            <w:tcW w:type="dxa" w:w="1440"/>
          </w:tcPr>
          <w:p>
            <w:pPr>
              <w:spacing w:after="40"/>
            </w:pPr>
            <w:r/>
            <w:r>
              <w:rPr>
                <w:sz w:val="18"/>
              </w:rPr>
              <w:t>Independent development of MillEdge Pro</w:t>
            </w:r>
          </w:p>
        </w:tc>
        <w:tc>
          <w:tcPr>
            <w:tcW w:type="dxa" w:w="2520"/>
          </w:tcPr>
          <w:p>
            <w:pPr>
              <w:spacing w:after="40"/>
            </w:pPr>
            <w:r/>
            <w:r>
              <w:rPr>
                <w:sz w:val="18"/>
              </w:rPr>
              <w:t>Vol. II 321:5–6, 335:2–5 (Kellner): MillEdge Pro “built from the ground up” by PAG’s team; “independent development effort.”</w:t>
            </w:r>
          </w:p>
        </w:tc>
        <w:tc>
          <w:tcPr>
            <w:tcW w:type="dxa" w:w="2808"/>
          </w:tcPr>
          <w:p>
            <w:pPr>
              <w:spacing w:after="40"/>
            </w:pPr>
            <w:r/>
            <w:r>
              <w:rPr>
                <w:sz w:val="18"/>
              </w:rPr>
              <w:t>Vol. I at 198: knew “very little” before joining. Vol. II 306:8–9, 326:8–10: no knowledge of the original launch timeline or the benchmarking methodology because they predated him.</w:t>
            </w:r>
          </w:p>
        </w:tc>
        <w:tc>
          <w:tcPr>
            <w:tcW w:type="dxa" w:w="2160"/>
          </w:tcPr>
          <w:p>
            <w:pPr>
              <w:spacing w:after="40"/>
            </w:pPr>
            <w:r/>
            <w:r>
              <w:rPr>
                <w:sz w:val="18"/>
              </w:rPr>
              <w:t>Lacks personal knowledge; object to and move to strike the foundation for the “independent development” testimony.</w:t>
            </w:r>
          </w:p>
        </w:tc>
      </w:tr>
      <w:tr>
        <w:tc>
          <w:tcPr>
            <w:tcW w:type="dxa" w:w="432"/>
          </w:tcPr>
          <w:p>
            <w:pPr>
              <w:spacing w:after="40"/>
            </w:pPr>
            <w:r/>
            <w:r>
              <w:rPr>
                <w:sz w:val="18"/>
              </w:rPr>
              <w:t>17</w:t>
            </w:r>
          </w:p>
        </w:tc>
        <w:tc>
          <w:tcPr>
            <w:tcW w:type="dxa" w:w="1440"/>
          </w:tcPr>
          <w:p>
            <w:pPr>
              <w:spacing w:after="40"/>
            </w:pPr>
            <w:r/>
            <w:r>
              <w:rPr>
                <w:sz w:val="18"/>
              </w:rPr>
              <w:t>Origin of “harmonic frequency matching” and dissertation topic</w:t>
            </w:r>
          </w:p>
        </w:tc>
        <w:tc>
          <w:tcPr>
            <w:tcW w:type="dxa" w:w="2520"/>
          </w:tcPr>
          <w:p>
            <w:pPr>
              <w:spacing w:after="40"/>
            </w:pPr>
            <w:r/>
            <w:r>
              <w:rPr>
                <w:sz w:val="18"/>
              </w:rPr>
              <w:t>Vol. I at 7: PhD (2010) on “adaptive grip force algorithms for robotic end-effectors”; overlap with AdaptGrip (Vol. I at 43).</w:t>
            </w:r>
          </w:p>
        </w:tc>
        <w:tc>
          <w:tcPr>
            <w:tcW w:type="dxa" w:w="2808"/>
          </w:tcPr>
          <w:p>
            <w:pPr>
              <w:spacing w:after="40"/>
            </w:pPr>
            <w:r/>
            <w:r>
              <w:rPr>
                <w:sz w:val="18"/>
              </w:rPr>
              <w:t>Vol. II 338:24–339:21 (redirect): PhD in 2009 on “machining dynamics … chatter avoidance and vibration analysis”; learned harmonic tool-engagement concepts at Purdue. Emp. Agmt. Ex. A: no prior inventions disclosed; § 8(a)(B) requires contemporaneous written records to exclude prior knowledge.</w:t>
            </w:r>
          </w:p>
        </w:tc>
        <w:tc>
          <w:tcPr>
            <w:tcW w:type="dxa" w:w="2160"/>
          </w:tcPr>
          <w:p>
            <w:pPr>
              <w:spacing w:after="40"/>
            </w:pPr>
            <w:r/>
            <w:r>
              <w:rPr>
                <w:sz w:val="18"/>
              </w:rPr>
              <w:t>Redirect testimony appears tailored to support the “general knowledge” defense; impeach with Vol. I, Rog 1, the CV (Ex. 2), and the Purdue dissertation record.</w:t>
            </w:r>
          </w:p>
        </w:tc>
      </w:tr>
      <w:tr>
        <w:tc>
          <w:tcPr>
            <w:tcW w:type="dxa" w:w="432"/>
          </w:tcPr>
          <w:p>
            <w:pPr>
              <w:spacing w:after="40"/>
            </w:pPr>
            <w:r/>
            <w:r>
              <w:rPr>
                <w:sz w:val="18"/>
              </w:rPr>
              <w:t>18</w:t>
            </w:r>
          </w:p>
        </w:tc>
        <w:tc>
          <w:tcPr>
            <w:tcW w:type="dxa" w:w="1440"/>
          </w:tcPr>
          <w:p>
            <w:pPr>
              <w:spacing w:after="40"/>
            </w:pPr>
            <w:r/>
            <w:r>
              <w:rPr>
                <w:sz w:val="18"/>
              </w:rPr>
              <w:t>Laptop return date</w:t>
            </w:r>
          </w:p>
        </w:tc>
        <w:tc>
          <w:tcPr>
            <w:tcW w:type="dxa" w:w="2520"/>
          </w:tcPr>
          <w:p>
            <w:pPr>
              <w:spacing w:after="40"/>
            </w:pPr>
            <w:r/>
            <w:r>
              <w:rPr>
                <w:sz w:val="18"/>
              </w:rPr>
              <w:t>Vol. I at 89: returned the laptop “On my last day. August 30.”</w:t>
            </w:r>
          </w:p>
        </w:tc>
        <w:tc>
          <w:tcPr>
            <w:tcW w:type="dxa" w:w="2808"/>
          </w:tcPr>
          <w:p>
            <w:pPr>
              <w:spacing w:after="40"/>
            </w:pPr>
            <w:r/>
            <w:r>
              <w:rPr>
                <w:sz w:val="18"/>
              </w:rPr>
              <w:t>Rog 6 and Forensic Rpt. § 4.2 / App. A: returned Aug. 28 to IT Director Parekh at 15:30.</w:t>
            </w:r>
          </w:p>
        </w:tc>
        <w:tc>
          <w:tcPr>
            <w:tcW w:type="dxa" w:w="2160"/>
          </w:tcPr>
          <w:p>
            <w:pPr>
              <w:spacing w:after="40"/>
            </w:pPr>
            <w:r/>
            <w:r>
              <w:rPr>
                <w:sz w:val="18"/>
              </w:rPr>
              <w:t>Minor, but shows imprecision; Aug. 28 is the documented date.</w:t>
            </w:r>
          </w:p>
        </w:tc>
      </w:tr>
      <w:tr>
        <w:tc>
          <w:tcPr>
            <w:tcW w:type="dxa" w:w="432"/>
          </w:tcPr>
          <w:p>
            <w:pPr>
              <w:spacing w:after="40"/>
            </w:pPr>
            <w:r/>
            <w:r>
              <w:rPr>
                <w:sz w:val="18"/>
              </w:rPr>
              <w:t>19</w:t>
            </w:r>
          </w:p>
        </w:tc>
        <w:tc>
          <w:tcPr>
            <w:tcW w:type="dxa" w:w="1440"/>
          </w:tcPr>
          <w:p>
            <w:pPr>
              <w:spacing w:after="40"/>
            </w:pPr>
            <w:r/>
            <w:r>
              <w:rPr>
                <w:sz w:val="18"/>
              </w:rPr>
              <w:t>C&amp;D receipt and preservation</w:t>
            </w:r>
          </w:p>
        </w:tc>
        <w:tc>
          <w:tcPr>
            <w:tcW w:type="dxa" w:w="2520"/>
          </w:tcPr>
          <w:p>
            <w:pPr>
              <w:spacing w:after="40"/>
            </w:pPr>
            <w:r/>
            <w:r>
              <w:rPr>
                <w:sz w:val="18"/>
              </w:rPr>
              <w:t>Vol. I at 136: preserved Gmail “generally.” Vol. I at 195: the C&amp;D only “asked me to preserve documents.”</w:t>
            </w:r>
          </w:p>
        </w:tc>
        <w:tc>
          <w:tcPr>
            <w:tcW w:type="dxa" w:w="2808"/>
          </w:tcPr>
          <w:p>
            <w:pPr>
              <w:spacing w:after="40"/>
            </w:pPr>
            <w:r/>
            <w:r>
              <w:rPr>
                <w:sz w:val="18"/>
              </w:rPr>
              <w:t>C&amp;D § VI: specific directive not to factory-reset any device and to preserve texts with Adwell/Quinlan; also emailed to his Gmail on Aug. 22. Vol. I at 192–194: reset Sept. 1.</w:t>
            </w:r>
          </w:p>
        </w:tc>
        <w:tc>
          <w:tcPr>
            <w:tcW w:type="dxa" w:w="2160"/>
          </w:tcPr>
          <w:p>
            <w:pPr>
              <w:spacing w:after="40"/>
            </w:pPr>
            <w:r/>
            <w:r>
              <w:rPr>
                <w:sz w:val="18"/>
              </w:rPr>
              <w:t>Defeats any claim that he did not understand the scope of the hold.</w:t>
            </w:r>
          </w:p>
        </w:tc>
      </w:tr>
      <w:tr>
        <w:tc>
          <w:tcPr>
            <w:tcW w:type="dxa" w:w="432"/>
          </w:tcPr>
          <w:p>
            <w:pPr>
              <w:spacing w:after="40"/>
            </w:pPr>
            <w:r/>
            <w:r>
              <w:rPr>
                <w:sz w:val="18"/>
              </w:rPr>
              <w:t>20</w:t>
            </w:r>
          </w:p>
        </w:tc>
        <w:tc>
          <w:tcPr>
            <w:tcW w:type="dxa" w:w="1440"/>
          </w:tcPr>
          <w:p>
            <w:pPr>
              <w:spacing w:after="40"/>
            </w:pPr>
            <w:r/>
            <w:r>
              <w:rPr>
                <w:sz w:val="18"/>
              </w:rPr>
              <w:t>Bonus terms at hire</w:t>
            </w:r>
          </w:p>
        </w:tc>
        <w:tc>
          <w:tcPr>
            <w:tcW w:type="dxa" w:w="2520"/>
          </w:tcPr>
          <w:p>
            <w:pPr>
              <w:spacing w:after="40"/>
            </w:pPr>
            <w:r/>
            <w:r>
              <w:rPr>
                <w:sz w:val="18"/>
              </w:rPr>
              <w:t>Vol. I at 9: hire bonus “around 20 percent of base.”</w:t>
            </w:r>
          </w:p>
        </w:tc>
        <w:tc>
          <w:tcPr>
            <w:tcW w:type="dxa" w:w="2808"/>
          </w:tcPr>
          <w:p>
            <w:pPr>
              <w:spacing w:after="40"/>
            </w:pPr>
            <w:r/>
            <w:r>
              <w:rPr>
                <w:sz w:val="18"/>
              </w:rPr>
              <w:t>Emp. Agmt. § 3(b): up to 35% of base ($82,250) from the outset.</w:t>
            </w:r>
          </w:p>
        </w:tc>
        <w:tc>
          <w:tcPr>
            <w:tcW w:type="dxa" w:w="2160"/>
          </w:tcPr>
          <w:p>
            <w:pPr>
              <w:spacing w:after="40"/>
            </w:pPr>
            <w:r/>
            <w:r>
              <w:rPr>
                <w:sz w:val="18"/>
              </w:rPr>
              <w:t>Low significance; undercuts his claimed familiarity with the Agreement.</w:t>
            </w:r>
          </w:p>
        </w:tc>
      </w:tr>
    </w:tbl>
    <w:p>
      <w:pPr>
        <w:spacing w:after="40"/>
      </w:pPr>
    </w:p>
    <w:p>
      <w:pPr>
        <w:pStyle w:val="Heading2"/>
      </w:pPr>
      <w:r>
        <w:t>B. Biographical and Background Inconsistencies (Sworn)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1F3A5F"/>
          </w:tcPr>
          <w:p>
            <w:r/>
            <w:r>
              <w:rPr>
                <w:b/>
                <w:color w:val="FFFFFF"/>
                <w:sz w:val="18"/>
              </w:rPr>
              <w:t>#</w:t>
            </w:r>
          </w:p>
        </w:tc>
        <w:tc>
          <w:tcPr>
            <w:tcW w:type="dxa" w:w="1440"/>
            <w:shd w:val="clear" w:color="auto" w:fill="1F3A5F"/>
          </w:tcPr>
          <w:p>
            <w:r/>
            <w:r>
              <w:rPr>
                <w:b/>
                <w:color w:val="FFFFFF"/>
                <w:sz w:val="18"/>
              </w:rPr>
              <w:t>Issue</w:t>
            </w:r>
          </w:p>
        </w:tc>
        <w:tc>
          <w:tcPr>
            <w:tcW w:type="dxa" w:w="2520"/>
            <w:shd w:val="clear" w:color="auto" w:fill="1F3A5F"/>
          </w:tcPr>
          <w:p>
            <w:r/>
            <w:r>
              <w:rPr>
                <w:b/>
                <w:color w:val="FFFFFF"/>
                <w:sz w:val="18"/>
              </w:rPr>
              <w:t>Statement</w:t>
            </w:r>
          </w:p>
        </w:tc>
        <w:tc>
          <w:tcPr>
            <w:tcW w:type="dxa" w:w="2808"/>
            <w:shd w:val="clear" w:color="auto" w:fill="1F3A5F"/>
          </w:tcPr>
          <w:p>
            <w:r/>
            <w:r>
              <w:rPr>
                <w:b/>
                <w:color w:val="FFFFFF"/>
                <w:sz w:val="18"/>
              </w:rPr>
              <w:t>Contrary testimony / evidence</w:t>
            </w:r>
          </w:p>
        </w:tc>
        <w:tc>
          <w:tcPr>
            <w:tcW w:type="dxa" w:w="2160"/>
            <w:shd w:val="clear" w:color="auto" w:fill="1F3A5F"/>
          </w:tcPr>
          <w:p>
            <w:r/>
            <w:r>
              <w:rPr>
                <w:b/>
                <w:color w:val="FFFFFF"/>
                <w:sz w:val="18"/>
              </w:rPr>
              <w:t>Significance</w:t>
            </w:r>
          </w:p>
        </w:tc>
      </w:tr>
      <w:tr>
        <w:tc>
          <w:tcPr>
            <w:tcW w:type="dxa" w:w="432"/>
          </w:tcPr>
          <w:p>
            <w:pPr>
              <w:spacing w:after="40"/>
            </w:pPr>
            <w:r/>
            <w:r>
              <w:rPr>
                <w:sz w:val="18"/>
              </w:rPr>
              <w:t>21</w:t>
            </w:r>
          </w:p>
        </w:tc>
        <w:tc>
          <w:tcPr>
            <w:tcW w:type="dxa" w:w="1440"/>
          </w:tcPr>
          <w:p>
            <w:pPr>
              <w:spacing w:after="40"/>
            </w:pPr>
            <w:r/>
            <w:r>
              <w:rPr>
                <w:sz w:val="18"/>
              </w:rPr>
              <w:t>Full name</w:t>
            </w:r>
          </w:p>
        </w:tc>
        <w:tc>
          <w:tcPr>
            <w:tcW w:type="dxa" w:w="2520"/>
          </w:tcPr>
          <w:p>
            <w:pPr>
              <w:spacing w:after="40"/>
            </w:pPr>
            <w:r/>
            <w:r>
              <w:rPr>
                <w:sz w:val="18"/>
              </w:rPr>
              <w:t>Vol. I at 5: “Derek James Yoon.”</w:t>
            </w:r>
          </w:p>
        </w:tc>
        <w:tc>
          <w:tcPr>
            <w:tcW w:type="dxa" w:w="2808"/>
          </w:tcPr>
          <w:p>
            <w:pPr>
              <w:spacing w:after="40"/>
            </w:pPr>
            <w:r/>
            <w:r>
              <w:rPr>
                <w:sz w:val="18"/>
              </w:rPr>
              <w:t>Rog 1: “Derek Sung-Ho Yoon.”</w:t>
            </w:r>
          </w:p>
        </w:tc>
        <w:tc>
          <w:tcPr>
            <w:tcW w:type="dxa" w:w="2160"/>
          </w:tcPr>
          <w:p>
            <w:pPr>
              <w:spacing w:after="40"/>
            </w:pPr>
            <w:r/>
            <w:r>
              <w:rPr>
                <w:sz w:val="18"/>
              </w:rPr>
              <w:t>Identity details matter for subpoenas (Google, Apple, carrier, Purdue) and for credibility.</w:t>
            </w:r>
          </w:p>
        </w:tc>
      </w:tr>
      <w:tr>
        <w:tc>
          <w:tcPr>
            <w:tcW w:type="dxa" w:w="432"/>
          </w:tcPr>
          <w:p>
            <w:pPr>
              <w:spacing w:after="40"/>
            </w:pPr>
            <w:r/>
            <w:r>
              <w:rPr>
                <w:sz w:val="18"/>
              </w:rPr>
              <w:t>22</w:t>
            </w:r>
          </w:p>
        </w:tc>
        <w:tc>
          <w:tcPr>
            <w:tcW w:type="dxa" w:w="1440"/>
          </w:tcPr>
          <w:p>
            <w:pPr>
              <w:spacing w:after="40"/>
            </w:pPr>
            <w:r/>
            <w:r>
              <w:rPr>
                <w:sz w:val="18"/>
              </w:rPr>
              <w:t>Date of birth</w:t>
            </w:r>
          </w:p>
        </w:tc>
        <w:tc>
          <w:tcPr>
            <w:tcW w:type="dxa" w:w="2520"/>
          </w:tcPr>
          <w:p>
            <w:pPr>
              <w:spacing w:after="40"/>
            </w:pPr>
            <w:r/>
            <w:r>
              <w:rPr>
                <w:sz w:val="18"/>
              </w:rPr>
              <w:t>Vol. I at 5: September 3, 1983.</w:t>
            </w:r>
          </w:p>
        </w:tc>
        <w:tc>
          <w:tcPr>
            <w:tcW w:type="dxa" w:w="2808"/>
          </w:tcPr>
          <w:p>
            <w:pPr>
              <w:spacing w:after="40"/>
            </w:pPr>
            <w:r/>
            <w:r>
              <w:rPr>
                <w:sz w:val="18"/>
              </w:rPr>
              <w:t>Rog 1: April 14, 1983.</w:t>
            </w:r>
          </w:p>
        </w:tc>
        <w:tc>
          <w:tcPr>
            <w:tcW w:type="dxa" w:w="2160"/>
          </w:tcPr>
          <w:p>
            <w:pPr>
              <w:spacing w:after="40"/>
            </w:pPr>
            <w:r/>
            <w:r>
              <w:rPr>
                <w:sz w:val="18"/>
              </w:rPr>
              <w:t>Same.</w:t>
            </w:r>
          </w:p>
        </w:tc>
      </w:tr>
      <w:tr>
        <w:tc>
          <w:tcPr>
            <w:tcW w:type="dxa" w:w="432"/>
          </w:tcPr>
          <w:p>
            <w:pPr>
              <w:spacing w:after="40"/>
            </w:pPr>
            <w:r/>
            <w:r>
              <w:rPr>
                <w:sz w:val="18"/>
              </w:rPr>
              <w:t>23</w:t>
            </w:r>
          </w:p>
        </w:tc>
        <w:tc>
          <w:tcPr>
            <w:tcW w:type="dxa" w:w="1440"/>
          </w:tcPr>
          <w:p>
            <w:pPr>
              <w:spacing w:after="40"/>
            </w:pPr>
            <w:r/>
            <w:r>
              <w:rPr>
                <w:sz w:val="18"/>
              </w:rPr>
              <w:t>Current address</w:t>
            </w:r>
          </w:p>
        </w:tc>
        <w:tc>
          <w:tcPr>
            <w:tcW w:type="dxa" w:w="2520"/>
          </w:tcPr>
          <w:p>
            <w:pPr>
              <w:spacing w:after="40"/>
            </w:pPr>
            <w:r/>
            <w:r>
              <w:rPr>
                <w:sz w:val="18"/>
              </w:rPr>
              <w:t>Vol. I at 5: 4712 Winthrop Lane, Troy, MI 48098 (since mid-Sept. 2024).</w:t>
            </w:r>
          </w:p>
        </w:tc>
        <w:tc>
          <w:tcPr>
            <w:tcW w:type="dxa" w:w="2808"/>
          </w:tcPr>
          <w:p>
            <w:pPr>
              <w:spacing w:after="40"/>
            </w:pPr>
            <w:r/>
            <w:r>
              <w:rPr>
                <w:sz w:val="18"/>
              </w:rPr>
              <w:t>Rog 1: 1482 Whitfield Lane, Troy, MI 48084.</w:t>
            </w:r>
          </w:p>
        </w:tc>
        <w:tc>
          <w:tcPr>
            <w:tcW w:type="dxa" w:w="2160"/>
          </w:tcPr>
          <w:p>
            <w:pPr>
              <w:spacing w:after="40"/>
            </w:pPr>
            <w:r/>
            <w:r>
              <w:rPr>
                <w:sz w:val="18"/>
              </w:rPr>
              <w:t>The USB drive is at his Troy home (Vol. I at 108); confirm the correct address for any inspection order.</w:t>
            </w:r>
          </w:p>
        </w:tc>
      </w:tr>
      <w:tr>
        <w:tc>
          <w:tcPr>
            <w:tcW w:type="dxa" w:w="432"/>
          </w:tcPr>
          <w:p>
            <w:pPr>
              <w:spacing w:after="40"/>
            </w:pPr>
            <w:r/>
            <w:r>
              <w:rPr>
                <w:sz w:val="18"/>
              </w:rPr>
              <w:t>24</w:t>
            </w:r>
          </w:p>
        </w:tc>
        <w:tc>
          <w:tcPr>
            <w:tcW w:type="dxa" w:w="1440"/>
          </w:tcPr>
          <w:p>
            <w:pPr>
              <w:spacing w:after="40"/>
            </w:pPr>
            <w:r/>
            <w:r>
              <w:rPr>
                <w:sz w:val="18"/>
              </w:rPr>
              <w:t>Prior address</w:t>
            </w:r>
          </w:p>
        </w:tc>
        <w:tc>
          <w:tcPr>
            <w:tcW w:type="dxa" w:w="2520"/>
          </w:tcPr>
          <w:p>
            <w:pPr>
              <w:spacing w:after="40"/>
            </w:pPr>
            <w:r/>
            <w:r>
              <w:rPr>
                <w:sz w:val="18"/>
              </w:rPr>
              <w:t>Vol. I at 5: 1518 Lakewood Boulevard, East Grand Rapids.</w:t>
            </w:r>
          </w:p>
        </w:tc>
        <w:tc>
          <w:tcPr>
            <w:tcW w:type="dxa" w:w="2808"/>
          </w:tcPr>
          <w:p>
            <w:pPr>
              <w:spacing w:after="40"/>
            </w:pPr>
            <w:r/>
            <w:r>
              <w:rPr>
                <w:sz w:val="18"/>
              </w:rPr>
              <w:t>C&amp;D addressed to 1847 Lakeshore Drive, Grand Rapids, MI 49506.</w:t>
            </w:r>
          </w:p>
        </w:tc>
        <w:tc>
          <w:tcPr>
            <w:tcW w:type="dxa" w:w="2160"/>
          </w:tcPr>
          <w:p>
            <w:pPr>
              <w:spacing w:after="40"/>
            </w:pPr>
            <w:r/>
            <w:r>
              <w:rPr>
                <w:sz w:val="18"/>
              </w:rPr>
              <w:t>He admits receipt (Vol. I at 87) and the letter was also emailed. Still confirm the certified-mail green card (Ex. 17) shows his signature or address.</w:t>
            </w:r>
          </w:p>
        </w:tc>
      </w:tr>
      <w:tr>
        <w:tc>
          <w:tcPr>
            <w:tcW w:type="dxa" w:w="432"/>
          </w:tcPr>
          <w:p>
            <w:pPr>
              <w:spacing w:after="40"/>
            </w:pPr>
            <w:r/>
            <w:r>
              <w:rPr>
                <w:sz w:val="18"/>
              </w:rPr>
              <w:t>25</w:t>
            </w:r>
          </w:p>
        </w:tc>
        <w:tc>
          <w:tcPr>
            <w:tcW w:type="dxa" w:w="1440"/>
          </w:tcPr>
          <w:p>
            <w:pPr>
              <w:spacing w:after="40"/>
            </w:pPr>
            <w:r/>
            <w:r>
              <w:rPr>
                <w:sz w:val="18"/>
              </w:rPr>
              <w:t>PhD year / topic</w:t>
            </w:r>
          </w:p>
        </w:tc>
        <w:tc>
          <w:tcPr>
            <w:tcW w:type="dxa" w:w="2520"/>
          </w:tcPr>
          <w:p>
            <w:pPr>
              <w:spacing w:after="40"/>
            </w:pPr>
            <w:r/>
            <w:r>
              <w:rPr>
                <w:sz w:val="18"/>
              </w:rPr>
              <w:t>Vol. I at 7 and Rog 1: PhD 2010 (Aug. 2010); dissertation on adaptive grip force for robotic end-effectors.</w:t>
            </w:r>
          </w:p>
        </w:tc>
        <w:tc>
          <w:tcPr>
            <w:tcW w:type="dxa" w:w="2808"/>
          </w:tcPr>
          <w:p>
            <w:pPr>
              <w:spacing w:after="40"/>
            </w:pPr>
            <w:r/>
            <w:r>
              <w:rPr>
                <w:sz w:val="18"/>
              </w:rPr>
              <w:t>Vol. II 338:24–339:5: PhD 2009; dissertation on machining dynamics and chatter avoidance; in CNC field “since about 2009.”</w:t>
            </w:r>
          </w:p>
        </w:tc>
        <w:tc>
          <w:tcPr>
            <w:tcW w:type="dxa" w:w="2160"/>
          </w:tcPr>
          <w:p>
            <w:pPr>
              <w:spacing w:after="40"/>
            </w:pPr>
            <w:r/>
            <w:r>
              <w:rPr>
                <w:sz w:val="18"/>
              </w:rPr>
              <w:t>See Part V.A above; Emp. Agmt. § 4(c) warranted the PhD.</w:t>
            </w:r>
          </w:p>
        </w:tc>
      </w:tr>
      <w:tr>
        <w:tc>
          <w:tcPr>
            <w:tcW w:type="dxa" w:w="432"/>
          </w:tcPr>
          <w:p>
            <w:pPr>
              <w:spacing w:after="40"/>
            </w:pPr>
            <w:r/>
            <w:r>
              <w:rPr>
                <w:sz w:val="18"/>
              </w:rPr>
              <w:t>26</w:t>
            </w:r>
          </w:p>
        </w:tc>
        <w:tc>
          <w:tcPr>
            <w:tcW w:type="dxa" w:w="1440"/>
          </w:tcPr>
          <w:p>
            <w:pPr>
              <w:spacing w:after="40"/>
            </w:pPr>
            <w:r/>
            <w:r>
              <w:rPr>
                <w:sz w:val="18"/>
              </w:rPr>
              <w:t>Pre-CMS employers</w:t>
            </w:r>
          </w:p>
        </w:tc>
        <w:tc>
          <w:tcPr>
            <w:tcW w:type="dxa" w:w="2520"/>
          </w:tcPr>
          <w:p>
            <w:pPr>
              <w:spacing w:after="40"/>
            </w:pPr>
            <w:r/>
            <w:r>
              <w:rPr>
                <w:sz w:val="18"/>
              </w:rPr>
              <w:t>Vol. I at 7–8: Saxonbrook Precision Technologies (Dearborn), senior engineer, 2010–mid-2015; Meridian Robotics (Sterling Heights), Director of Advanced Automation (~25 engineers), mid-2015–early 2019.</w:t>
            </w:r>
          </w:p>
        </w:tc>
        <w:tc>
          <w:tcPr>
            <w:tcW w:type="dxa" w:w="2808"/>
          </w:tcPr>
          <w:p>
            <w:pPr>
              <w:spacing w:after="40"/>
            </w:pPr>
            <w:r/>
            <w:r>
              <w:rPr>
                <w:sz w:val="18"/>
              </w:rPr>
              <w:t>Rog 2: Strathmore Engineering Corporation (Southfield), Director of Advanced Manufacturing Systems (~12 engineers), June 2014–Feb. 2019; Saxonbrook and Meridian not mentioned.</w:t>
            </w:r>
          </w:p>
        </w:tc>
        <w:tc>
          <w:tcPr>
            <w:tcW w:type="dxa" w:w="2160"/>
          </w:tcPr>
          <w:p>
            <w:pPr>
              <w:spacing w:after="40"/>
            </w:pPr>
            <w:r/>
            <w:r>
              <w:rPr>
                <w:sz w:val="18"/>
              </w:rPr>
              <w:t>Irreconcilable sworn histories. Compare the CV (Ex. 2) and his CMS hiring file; subpoena employment verification. Possible § 4(c) misrepresentation (after-acquired evidence; credibility).</w:t>
            </w:r>
          </w:p>
        </w:tc>
      </w:tr>
      <w:tr>
        <w:tc>
          <w:tcPr>
            <w:tcW w:type="dxa" w:w="432"/>
          </w:tcPr>
          <w:p>
            <w:pPr>
              <w:spacing w:after="40"/>
            </w:pPr>
            <w:r/>
            <w:r>
              <w:rPr>
                <w:sz w:val="18"/>
              </w:rPr>
              <w:t>27</w:t>
            </w:r>
          </w:p>
        </w:tc>
        <w:tc>
          <w:tcPr>
            <w:tcW w:type="dxa" w:w="1440"/>
          </w:tcPr>
          <w:p>
            <w:pPr>
              <w:spacing w:after="40"/>
            </w:pPr>
            <w:r/>
            <w:r>
              <w:rPr>
                <w:sz w:val="18"/>
              </w:rPr>
              <w:t>Litigation history</w:t>
            </w:r>
          </w:p>
        </w:tc>
        <w:tc>
          <w:tcPr>
            <w:tcW w:type="dxa" w:w="2520"/>
          </w:tcPr>
          <w:p>
            <w:pPr>
              <w:spacing w:after="40"/>
            </w:pPr>
            <w:r/>
            <w:r>
              <w:rPr>
                <w:sz w:val="18"/>
              </w:rPr>
              <w:t>Vol. I at 9–10: no prior involvement; knew of the Fontaine suit.</w:t>
            </w:r>
          </w:p>
        </w:tc>
        <w:tc>
          <w:tcPr>
            <w:tcW w:type="dxa" w:w="2808"/>
          </w:tcPr>
          <w:p>
            <w:pPr>
              <w:spacing w:after="40"/>
            </w:pPr>
            <w:r/>
            <w:r>
              <w:rPr>
                <w:sz w:val="18"/>
              </w:rPr>
              <w:t>Vol. I at 201: volunteered that CMS sued Greg Fontaine in 2020 and dropped it (motion to strike pending).</w:t>
            </w:r>
          </w:p>
        </w:tc>
        <w:tc>
          <w:tcPr>
            <w:tcW w:type="dxa" w:w="2160"/>
          </w:tcPr>
          <w:p>
            <w:pPr>
              <w:spacing w:after="40"/>
            </w:pPr>
            <w:r/>
            <w:r>
              <w:rPr>
                <w:sz w:val="18"/>
              </w:rPr>
              <w:t>Signals a “serial litigant” defense theme; prepare a response (Part VII).</w:t>
            </w:r>
          </w:p>
        </w:tc>
      </w:tr>
    </w:tbl>
    <w:p>
      <w:pPr>
        <w:spacing w:after="40"/>
      </w:pPr>
    </w:p>
    <w:p>
      <w:pPr>
        <w:pStyle w:val="Heading1"/>
      </w:pPr>
      <w:r>
        <w:t>VI. Weaknesses in Our Own Record (Fix Before Motion Practice)</w:t>
      </w:r>
    </w:p>
    <w:p>
      <w:r>
        <w:t>Several discrepancies originate on our side of the record. Defense counsel has already exploited one of them on redirect, and others will surface in opposition briefs or on cross-examination of our witnesses. Each should be corrected or explained before we rely on the transcript.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1F3A5F"/>
          </w:tcPr>
          <w:p>
            <w:r/>
            <w:r>
              <w:rPr>
                <w:b/>
                <w:color w:val="FFFFFF"/>
                <w:sz w:val="18"/>
              </w:rPr>
              <w:t>#</w:t>
            </w:r>
          </w:p>
        </w:tc>
        <w:tc>
          <w:tcPr>
            <w:tcW w:type="dxa" w:w="1944"/>
            <w:shd w:val="clear" w:color="auto" w:fill="1F3A5F"/>
          </w:tcPr>
          <w:p>
            <w:r/>
            <w:r>
              <w:rPr>
                <w:b/>
                <w:color w:val="FFFFFF"/>
                <w:sz w:val="18"/>
              </w:rPr>
              <w:t>Issue</w:t>
            </w:r>
          </w:p>
        </w:tc>
        <w:tc>
          <w:tcPr>
            <w:tcW w:type="dxa" w:w="3672"/>
            <w:shd w:val="clear" w:color="auto" w:fill="1F3A5F"/>
          </w:tcPr>
          <w:p>
            <w:r/>
            <w:r>
              <w:rPr>
                <w:b/>
                <w:color w:val="FFFFFF"/>
                <w:sz w:val="18"/>
              </w:rPr>
              <w:t>What the record shows</w:t>
            </w:r>
          </w:p>
        </w:tc>
        <w:tc>
          <w:tcPr>
            <w:tcW w:type="dxa" w:w="3312"/>
            <w:shd w:val="clear" w:color="auto" w:fill="1F3A5F"/>
          </w:tcPr>
          <w:p>
            <w:r/>
            <w:r>
              <w:rPr>
                <w:b/>
                <w:color w:val="FFFFFF"/>
                <w:sz w:val="18"/>
              </w:rPr>
              <w:t>Recommended fix</w:t>
            </w:r>
          </w:p>
        </w:tc>
      </w:tr>
      <w:tr>
        <w:tc>
          <w:tcPr>
            <w:tcW w:type="dxa" w:w="432"/>
          </w:tcPr>
          <w:p>
            <w:pPr>
              <w:spacing w:after="40"/>
            </w:pPr>
            <w:r/>
            <w:r>
              <w:rPr>
                <w:sz w:val="18"/>
              </w:rPr>
              <w:t>1</w:t>
            </w:r>
          </w:p>
        </w:tc>
        <w:tc>
          <w:tcPr>
            <w:tcW w:type="dxa" w:w="1944"/>
          </w:tcPr>
          <w:p>
            <w:pPr>
              <w:spacing w:after="40"/>
            </w:pPr>
            <w:r/>
            <w:r>
              <w:rPr>
                <w:sz w:val="18"/>
              </w:rPr>
              <w:t>Covenant mis-quoted as conjunctive (“and”)</w:t>
            </w:r>
          </w:p>
        </w:tc>
        <w:tc>
          <w:tcPr>
            <w:tcW w:type="dxa" w:w="3672"/>
          </w:tcPr>
          <w:p>
            <w:pPr>
              <w:spacing w:after="40"/>
            </w:pPr>
            <w:r/>
            <w:r>
              <w:rPr>
                <w:sz w:val="18"/>
              </w:rPr>
              <w:t xml:space="preserve">Emp. Agmt. § 7(a)(i) bars work on “CNC toolpath optimization software </w:t>
            </w:r>
            <w:r>
              <w:rPr>
                <w:b/>
                <w:sz w:val="18"/>
              </w:rPr>
              <w:t>or</w:t>
            </w:r>
            <w:r>
              <w:rPr>
                <w:sz w:val="18"/>
              </w:rPr>
              <w:t xml:space="preserve"> robotic end-effector design.” The quotation read to the witness (Vol. I at 21), the C&amp;D (§§ I, IV), and Sep. Ack. § 3(b) all use “software </w:t>
            </w:r>
            <w:r>
              <w:rPr>
                <w:b/>
                <w:sz w:val="18"/>
              </w:rPr>
              <w:t>and</w:t>
            </w:r>
            <w:r>
              <w:rPr>
                <w:sz w:val="18"/>
              </w:rPr>
              <w:t xml:space="preserve"> robotic end-effector design.” The Vol. I quotation also uses operative verbs and “principal office” language that do not appear in § 7(a). Yoon has seeded a software-only theme (Vol. I at 84: moving to “pure software”).</w:t>
            </w:r>
          </w:p>
        </w:tc>
        <w:tc>
          <w:tcPr>
            <w:tcW w:type="dxa" w:w="3312"/>
          </w:tcPr>
          <w:p>
            <w:pPr>
              <w:spacing w:after="40"/>
            </w:pPr>
            <w:r/>
            <w:r>
              <w:rPr>
                <w:sz w:val="18"/>
              </w:rPr>
              <w:t>Rely only on the Agreement’s text (best evidence; Sep. Ack. § 3(a) incorporates the Agreement’s terms). Address the variance in briefing, and use § 7(c) (reformation/severability) as a fallback. Note that the witness’s own paraphrase was disjunctive (Vol. I at 21).</w:t>
            </w:r>
          </w:p>
        </w:tc>
      </w:tr>
      <w:tr>
        <w:tc>
          <w:tcPr>
            <w:tcW w:type="dxa" w:w="432"/>
          </w:tcPr>
          <w:p>
            <w:pPr>
              <w:spacing w:after="40"/>
            </w:pPr>
            <w:r/>
            <w:r>
              <w:rPr>
                <w:sz w:val="18"/>
              </w:rPr>
              <w:t>2</w:t>
            </w:r>
          </w:p>
        </w:tc>
        <w:tc>
          <w:tcPr>
            <w:tcW w:type="dxa" w:w="1944"/>
          </w:tcPr>
          <w:p>
            <w:pPr>
              <w:spacing w:after="40"/>
            </w:pPr>
            <w:r/>
            <w:r>
              <w:rPr>
                <w:sz w:val="18"/>
              </w:rPr>
              <w:t>Interrogatory 4 mis-quoted in Vol. II</w:t>
            </w:r>
          </w:p>
        </w:tc>
        <w:tc>
          <w:tcPr>
            <w:tcW w:type="dxa" w:w="3672"/>
          </w:tcPr>
          <w:p>
            <w:pPr>
              <w:spacing w:after="40"/>
            </w:pPr>
            <w:r/>
            <w:r>
              <w:rPr>
                <w:sz w:val="18"/>
              </w:rPr>
              <w:t>Rog 4 as served asks for the first communication with any PAG officer, member, employee, or agent and the subject matter of each communication, with no employment limitation. Vol. II 312:1–4 (Pratt) and 336:20–24 (Birchfield redirect) quote it as limited to communications “regarding potential employment,” and the redirect built the “formal job discussions” defense on that wording. Vol. I at 59 used yet another paraphrase.</w:t>
            </w:r>
          </w:p>
        </w:tc>
        <w:tc>
          <w:tcPr>
            <w:tcW w:type="dxa" w:w="3312"/>
          </w:tcPr>
          <w:p>
            <w:pPr>
              <w:spacing w:after="40"/>
            </w:pPr>
            <w:r/>
            <w:r>
              <w:rPr>
                <w:sz w:val="18"/>
              </w:rPr>
              <w:t>File the served interrogatories with any motion. Note the misquotation in briefing; Yoon conceded in Vol. I at 63 that the question “doesn’t” limit itself to employment. Even under the narrower wording, the July 18 coffee and Aug. 5 “VP role” email defeat the answer.</w:t>
            </w:r>
          </w:p>
        </w:tc>
      </w:tr>
      <w:tr>
        <w:tc>
          <w:tcPr>
            <w:tcW w:type="dxa" w:w="432"/>
          </w:tcPr>
          <w:p>
            <w:pPr>
              <w:spacing w:after="40"/>
            </w:pPr>
            <w:r/>
            <w:r>
              <w:rPr>
                <w:sz w:val="18"/>
              </w:rPr>
              <w:t>3</w:t>
            </w:r>
          </w:p>
        </w:tc>
        <w:tc>
          <w:tcPr>
            <w:tcW w:type="dxa" w:w="1944"/>
          </w:tcPr>
          <w:p>
            <w:pPr>
              <w:spacing w:after="40"/>
            </w:pPr>
            <w:r/>
            <w:r>
              <w:rPr>
                <w:sz w:val="18"/>
              </w:rPr>
              <w:t>Interrogatory 7 paraphrased narrowly</w:t>
            </w:r>
          </w:p>
        </w:tc>
        <w:tc>
          <w:tcPr>
            <w:tcW w:type="dxa" w:w="3672"/>
          </w:tcPr>
          <w:p>
            <w:pPr>
              <w:spacing w:after="40"/>
            </w:pPr>
            <w:r/>
            <w:r>
              <w:rPr>
                <w:sz w:val="18"/>
              </w:rPr>
              <w:t>Vol. I at 103 read Rog 7 as “remove, copy, download, transfer, or otherwise take.” The served version also covers anything “forwarded, emailed, photographed … pricing information.” Yoon’s “forwarding isn’t removing” answer (Vol. I at 135) relied on the narrower reading.</w:t>
            </w:r>
          </w:p>
        </w:tc>
        <w:tc>
          <w:tcPr>
            <w:tcW w:type="dxa" w:w="3312"/>
          </w:tcPr>
          <w:p>
            <w:pPr>
              <w:spacing w:after="40"/>
            </w:pPr>
            <w:r/>
            <w:r>
              <w:rPr>
                <w:sz w:val="18"/>
              </w:rPr>
              <w:t>Use the served text in all filings and in RFAs.</w:t>
            </w:r>
          </w:p>
        </w:tc>
      </w:tr>
      <w:tr>
        <w:tc>
          <w:tcPr>
            <w:tcW w:type="dxa" w:w="432"/>
          </w:tcPr>
          <w:p>
            <w:pPr>
              <w:spacing w:after="40"/>
            </w:pPr>
            <w:r/>
            <w:r>
              <w:rPr>
                <w:sz w:val="18"/>
              </w:rPr>
              <w:t>4</w:t>
            </w:r>
          </w:p>
        </w:tc>
        <w:tc>
          <w:tcPr>
            <w:tcW w:type="dxa" w:w="1944"/>
          </w:tcPr>
          <w:p>
            <w:pPr>
              <w:spacing w:after="40"/>
            </w:pPr>
            <w:r/>
            <w:r>
              <w:rPr>
                <w:sz w:val="18"/>
              </w:rPr>
              <w:t>Blue Book email timestamp conflict</w:t>
            </w:r>
          </w:p>
        </w:tc>
        <w:tc>
          <w:tcPr>
            <w:tcW w:type="dxa" w:w="3672"/>
          </w:tcPr>
          <w:p>
            <w:pPr>
              <w:spacing w:after="40"/>
            </w:pPr>
            <w:r/>
            <w:r>
              <w:rPr>
                <w:sz w:val="18"/>
              </w:rPr>
              <w:t>Ex. 15 as read into the record: Aug. 12, 2024, “11:47 a.m. Eastern” (Vol. I at 133). Forensic Rpt. § 5.2 and App. D (Exchange transport log): 14:22:17 EDT.</w:t>
            </w:r>
          </w:p>
        </w:tc>
        <w:tc>
          <w:tcPr>
            <w:tcW w:type="dxa" w:w="3312"/>
          </w:tcPr>
          <w:p>
            <w:pPr>
              <w:spacing w:after="40"/>
            </w:pPr>
            <w:r/>
            <w:r>
              <w:rPr>
                <w:sz w:val="18"/>
              </w:rPr>
              <w:t>Have CMS IT and Ridgepoint reconcile the two (time zone, log type, or different event) and produce a short declaration or supplemental report before trial or any sanctions motion.</w:t>
            </w:r>
          </w:p>
        </w:tc>
      </w:tr>
      <w:tr>
        <w:tc>
          <w:tcPr>
            <w:tcW w:type="dxa" w:w="432"/>
          </w:tcPr>
          <w:p>
            <w:pPr>
              <w:spacing w:after="40"/>
            </w:pPr>
            <w:r/>
            <w:r>
              <w:rPr>
                <w:sz w:val="18"/>
              </w:rPr>
              <w:t>5</w:t>
            </w:r>
          </w:p>
        </w:tc>
        <w:tc>
          <w:tcPr>
            <w:tcW w:type="dxa" w:w="1944"/>
          </w:tcPr>
          <w:p>
            <w:pPr>
              <w:spacing w:after="40"/>
            </w:pPr>
            <w:r/>
            <w:r>
              <w:rPr>
                <w:sz w:val="18"/>
              </w:rPr>
              <w:t>C&amp;D claims a “preliminary review” of the laptop before CMS had it</w:t>
            </w:r>
          </w:p>
        </w:tc>
        <w:tc>
          <w:tcPr>
            <w:tcW w:type="dxa" w:w="3672"/>
          </w:tcPr>
          <w:p>
            <w:pPr>
              <w:spacing w:after="40"/>
            </w:pPr>
            <w:r/>
            <w:r>
              <w:rPr>
                <w:sz w:val="18"/>
              </w:rPr>
              <w:t>The Aug. 22 C&amp;D (§ III) says CMS’s preliminary review of the laptop raised concerns and that CMS “has engaged” a forensics firm. The laptop was not returned until Aug. 28 (Forensic Rpt. § 4.2), and Ridgepoint was engaged Sept. 10 (§ 2).</w:t>
            </w:r>
          </w:p>
        </w:tc>
        <w:tc>
          <w:tcPr>
            <w:tcW w:type="dxa" w:w="3312"/>
          </w:tcPr>
          <w:p>
            <w:pPr>
              <w:spacing w:after="40"/>
            </w:pPr>
            <w:r/>
            <w:r>
              <w:rPr>
                <w:sz w:val="18"/>
              </w:rPr>
              <w:t>Confirm what was reviewed before Aug. 22 (e.g., server-side GitLab, Exchange, and DMS logs, or remote endpoint monitoring) and whether an earlier vendor was involved. Prepare Parekh to explain, or the defense will attack the integrity of the investigation.</w:t>
            </w:r>
          </w:p>
        </w:tc>
      </w:tr>
      <w:tr>
        <w:tc>
          <w:tcPr>
            <w:tcW w:type="dxa" w:w="432"/>
          </w:tcPr>
          <w:p>
            <w:pPr>
              <w:spacing w:after="40"/>
            </w:pPr>
            <w:r/>
            <w:r>
              <w:rPr>
                <w:sz w:val="18"/>
              </w:rPr>
              <w:t>6</w:t>
            </w:r>
          </w:p>
        </w:tc>
        <w:tc>
          <w:tcPr>
            <w:tcW w:type="dxa" w:w="1944"/>
          </w:tcPr>
          <w:p>
            <w:pPr>
              <w:spacing w:after="40"/>
            </w:pPr>
            <w:r/>
            <w:r>
              <w:rPr>
                <w:sz w:val="18"/>
              </w:rPr>
              <w:t>Forensic report internal errors</w:t>
            </w:r>
          </w:p>
        </w:tc>
        <w:tc>
          <w:tcPr>
            <w:tcW w:type="dxa" w:w="3672"/>
          </w:tcPr>
          <w:p>
            <w:pPr>
              <w:spacing w:after="40"/>
            </w:pPr>
            <w:r/>
            <w:r>
              <w:rPr>
                <w:sz w:val="18"/>
              </w:rPr>
              <w:t>§ 5.4.1 describes “the twelve-month period from January through June 2024” (six months). Pratt’s Vol. I baseline (“12 months … July 2023 through June 2024,” Vol. I at 157) differs from the report’s 13-month June 2023–June 2024 baseline. The report describes AdaptGrip as an “adaptive workholding … clamping” system, while the record elsewhere describes robotic end-effectors. Displayed hash values (e.g., “…0123456789abcdef”; SHA-256 “a1b2c3d4e5f6…”) and the Dell serial (“DLATXX-…”) look like placeholders.</w:t>
            </w:r>
          </w:p>
        </w:tc>
        <w:tc>
          <w:tcPr>
            <w:tcW w:type="dxa" w:w="3312"/>
          </w:tcPr>
          <w:p>
            <w:pPr>
              <w:spacing w:after="40"/>
            </w:pPr>
            <w:r/>
            <w:r>
              <w:rPr>
                <w:sz w:val="18"/>
              </w:rPr>
              <w:t>Obtain a corrected or supplemental report with native tool output (EnCase verification logs, setupapi and USBSTOR exports, Exchange logs) and certified hash values. Prepare Villalobos for a Daubert/MRE 702 challenge.</w:t>
            </w:r>
          </w:p>
        </w:tc>
      </w:tr>
      <w:tr>
        <w:tc>
          <w:tcPr>
            <w:tcW w:type="dxa" w:w="432"/>
          </w:tcPr>
          <w:p>
            <w:pPr>
              <w:spacing w:after="40"/>
            </w:pPr>
            <w:r/>
            <w:r>
              <w:rPr>
                <w:sz w:val="18"/>
              </w:rPr>
              <w:t>7</w:t>
            </w:r>
          </w:p>
        </w:tc>
        <w:tc>
          <w:tcPr>
            <w:tcW w:type="dxa" w:w="1944"/>
          </w:tcPr>
          <w:p>
            <w:pPr>
              <w:spacing w:after="40"/>
            </w:pPr>
            <w:r/>
            <w:r>
              <w:rPr>
                <w:sz w:val="18"/>
              </w:rPr>
              <w:t>Ridgepoint did not examine the USB drive, phone, Gmail, or PAG systems</w:t>
            </w:r>
          </w:p>
        </w:tc>
        <w:tc>
          <w:tcPr>
            <w:tcW w:type="dxa" w:w="3672"/>
          </w:tcPr>
          <w:p>
            <w:pPr>
              <w:spacing w:after="40"/>
            </w:pPr>
            <w:r/>
            <w:r>
              <w:rPr>
                <w:sz w:val="18"/>
              </w:rPr>
              <w:t>Forensic Rpt. § 2 (Limitations).</w:t>
            </w:r>
          </w:p>
        </w:tc>
        <w:tc>
          <w:tcPr>
            <w:tcW w:type="dxa" w:w="3312"/>
          </w:tcPr>
          <w:p>
            <w:pPr>
              <w:spacing w:after="40"/>
            </w:pPr>
            <w:r/>
            <w:r>
              <w:rPr>
                <w:sz w:val="18"/>
              </w:rPr>
              <w:t>These are the targets of the motion to compel and inspection protocol (Part VIII).</w:t>
            </w:r>
          </w:p>
        </w:tc>
      </w:tr>
      <w:tr>
        <w:tc>
          <w:tcPr>
            <w:tcW w:type="dxa" w:w="432"/>
          </w:tcPr>
          <w:p>
            <w:pPr>
              <w:spacing w:after="40"/>
            </w:pPr>
            <w:r/>
            <w:r>
              <w:rPr>
                <w:sz w:val="18"/>
              </w:rPr>
              <w:t>8</w:t>
            </w:r>
          </w:p>
        </w:tc>
        <w:tc>
          <w:tcPr>
            <w:tcW w:type="dxa" w:w="1944"/>
          </w:tcPr>
          <w:p>
            <w:pPr>
              <w:spacing w:after="40"/>
            </w:pPr>
            <w:r/>
            <w:r>
              <w:rPr>
                <w:sz w:val="18"/>
              </w:rPr>
              <w:t>Distance evidence</w:t>
            </w:r>
          </w:p>
        </w:tc>
        <w:tc>
          <w:tcPr>
            <w:tcW w:type="dxa" w:w="3672"/>
          </w:tcPr>
          <w:p>
            <w:pPr>
              <w:spacing w:after="40"/>
            </w:pPr>
            <w:r/>
            <w:r>
              <w:rPr>
                <w:sz w:val="18"/>
              </w:rPr>
              <w:t>The 142-mile figure comes from counsel (Vol. I at 23) and the C&amp;D; the witness only agreed it “sounds” right. § 7(a) uses a “radius,” which suggests straight-line distance; the record does not say whether 142 miles is driving or straight-line distance.</w:t>
            </w:r>
          </w:p>
        </w:tc>
        <w:tc>
          <w:tcPr>
            <w:tcW w:type="dxa" w:w="3312"/>
          </w:tcPr>
          <w:p>
            <w:pPr>
              <w:spacing w:after="40"/>
            </w:pPr>
            <w:r/>
            <w:r>
              <w:rPr>
                <w:sz w:val="18"/>
              </w:rPr>
              <w:t>Obtain a GIS or surveyor declaration measuring straight-line distance from 7100 Broadmoor Ave SE to 2850 Livernois Rd, Troy. Confirm whether Yoon also works remotely from his Troy home.</w:t>
            </w:r>
          </w:p>
        </w:tc>
      </w:tr>
      <w:tr>
        <w:tc>
          <w:tcPr>
            <w:tcW w:type="dxa" w:w="432"/>
          </w:tcPr>
          <w:p>
            <w:pPr>
              <w:spacing w:after="40"/>
            </w:pPr>
            <w:r/>
            <w:r>
              <w:rPr>
                <w:sz w:val="18"/>
              </w:rPr>
              <w:t>9</w:t>
            </w:r>
          </w:p>
        </w:tc>
        <w:tc>
          <w:tcPr>
            <w:tcW w:type="dxa" w:w="1944"/>
          </w:tcPr>
          <w:p>
            <w:pPr>
              <w:spacing w:after="40"/>
            </w:pPr>
            <w:r/>
            <w:r>
              <w:rPr>
                <w:sz w:val="18"/>
              </w:rPr>
              <w:t>Forum clause overstated</w:t>
            </w:r>
          </w:p>
        </w:tc>
        <w:tc>
          <w:tcPr>
            <w:tcW w:type="dxa" w:w="3672"/>
          </w:tcPr>
          <w:p>
            <w:pPr>
              <w:spacing w:after="40"/>
            </w:pPr>
            <w:r/>
            <w:r>
              <w:rPr>
                <w:sz w:val="18"/>
              </w:rPr>
              <w:t xml:space="preserve">Pratt (Vol. I at 26) and the C&amp;D describe § 12 as designating Kent County Circuit Court exclusively. § 12 actually permits Kent County Circuit Court </w:t>
            </w:r>
            <w:r>
              <w:rPr>
                <w:b/>
                <w:sz w:val="18"/>
              </w:rPr>
              <w:t>or</w:t>
            </w:r>
            <w:r>
              <w:rPr>
                <w:sz w:val="18"/>
              </w:rPr>
              <w:t xml:space="preserve"> the W.D. Michigan.</w:t>
            </w:r>
          </w:p>
        </w:tc>
        <w:tc>
          <w:tcPr>
            <w:tcW w:type="dxa" w:w="3312"/>
          </w:tcPr>
          <w:p>
            <w:pPr>
              <w:spacing w:after="40"/>
            </w:pPr>
            <w:r/>
            <w:r>
              <w:rPr>
                <w:sz w:val="18"/>
              </w:rPr>
              <w:t>Not harmful to venue here; correct in future filings.</w:t>
            </w:r>
          </w:p>
        </w:tc>
      </w:tr>
      <w:tr>
        <w:tc>
          <w:tcPr>
            <w:tcW w:type="dxa" w:w="432"/>
          </w:tcPr>
          <w:p>
            <w:pPr>
              <w:spacing w:after="40"/>
            </w:pPr>
            <w:r/>
            <w:r>
              <w:rPr>
                <w:sz w:val="18"/>
              </w:rPr>
              <w:t>10</w:t>
            </w:r>
          </w:p>
        </w:tc>
        <w:tc>
          <w:tcPr>
            <w:tcW w:type="dxa" w:w="1944"/>
          </w:tcPr>
          <w:p>
            <w:pPr>
              <w:spacing w:after="40"/>
            </w:pPr>
            <w:r/>
            <w:r>
              <w:rPr>
                <w:sz w:val="18"/>
              </w:rPr>
              <w:t>Non-solicitation paraphrase</w:t>
            </w:r>
          </w:p>
        </w:tc>
        <w:tc>
          <w:tcPr>
            <w:tcW w:type="dxa" w:w="3672"/>
          </w:tcPr>
          <w:p>
            <w:pPr>
              <w:spacing w:after="40"/>
            </w:pPr>
            <w:r/>
            <w:r>
              <w:rPr>
                <w:sz w:val="18"/>
              </w:rPr>
              <w:t>Vol. I at 25 and the C&amp;D describe customer non-solicitation as covering customers with whom “the Company” had a relationship. § 7(b)(ii) is limited to customers with whom Yoon had “material contact” or about whom he received Proprietary Information. Sep. Ack. § 3(c) also adds terms (“reduce, or alter”).</w:t>
            </w:r>
          </w:p>
        </w:tc>
        <w:tc>
          <w:tcPr>
            <w:tcW w:type="dxa" w:w="3312"/>
          </w:tcPr>
          <w:p>
            <w:pPr>
              <w:spacing w:after="40"/>
            </w:pPr>
            <w:r/>
            <w:r>
              <w:rPr>
                <w:sz w:val="18"/>
              </w:rPr>
              <w:t>Quote § 7(b) verbatim in any claim based on the Matsuda, Colegrove, or Roth contacts.</w:t>
            </w:r>
          </w:p>
        </w:tc>
      </w:tr>
      <w:tr>
        <w:tc>
          <w:tcPr>
            <w:tcW w:type="dxa" w:w="432"/>
          </w:tcPr>
          <w:p>
            <w:pPr>
              <w:spacing w:after="40"/>
            </w:pPr>
            <w:r/>
            <w:r>
              <w:rPr>
                <w:sz w:val="18"/>
              </w:rPr>
              <w:t>11</w:t>
            </w:r>
          </w:p>
        </w:tc>
        <w:tc>
          <w:tcPr>
            <w:tcW w:type="dxa" w:w="1944"/>
          </w:tcPr>
          <w:p>
            <w:pPr>
              <w:spacing w:after="40"/>
            </w:pPr>
            <w:r/>
            <w:r>
              <w:rPr>
                <w:sz w:val="18"/>
              </w:rPr>
              <w:t>Transcript integrity</w:t>
            </w:r>
          </w:p>
        </w:tc>
        <w:tc>
          <w:tcPr>
            <w:tcW w:type="dxa" w:w="3672"/>
          </w:tcPr>
          <w:p>
            <w:pPr>
              <w:spacing w:after="40"/>
            </w:pPr>
            <w:r/>
            <w:r>
              <w:rPr>
                <w:sz w:val="18"/>
              </w:rPr>
              <w:t>Vol. I certificate: pp. 1–230; Vol. II preamble: Vol. I “comprised” pp. 1–287. Vol. I has page gaps and its exhibit index pages do not match where exhibits were marked (e.g., Ex. 7 index p. 95, marked p. 87). Vol. II front index (Kellner p. 420, redirect p. 425, recross p. 415; exhibits at pp. 293–399) conflicts with the body and back index (Kellner p. 334, redirect p. 336, recross p. 342). Two different reporters and videographers.</w:t>
            </w:r>
          </w:p>
        </w:tc>
        <w:tc>
          <w:tcPr>
            <w:tcW w:type="dxa" w:w="3312"/>
          </w:tcPr>
          <w:p>
            <w:pPr>
              <w:spacing w:after="40"/>
            </w:pPr>
            <w:r/>
            <w:r>
              <w:rPr>
                <w:sz w:val="18"/>
              </w:rPr>
              <w:t>Order certified final transcripts and synchronized video from both reporters; resolve pagination before citing in motions; obtain the full Vol. I (missing pages may contain other testimony).</w:t>
            </w:r>
          </w:p>
        </w:tc>
      </w:tr>
      <w:tr>
        <w:tc>
          <w:tcPr>
            <w:tcW w:type="dxa" w:w="432"/>
          </w:tcPr>
          <w:p>
            <w:pPr>
              <w:spacing w:after="40"/>
            </w:pPr>
            <w:r/>
            <w:r>
              <w:rPr>
                <w:sz w:val="18"/>
              </w:rPr>
              <w:t>12</w:t>
            </w:r>
          </w:p>
        </w:tc>
        <w:tc>
          <w:tcPr>
            <w:tcW w:type="dxa" w:w="1944"/>
          </w:tcPr>
          <w:p>
            <w:pPr>
              <w:spacing w:after="40"/>
            </w:pPr>
            <w:r/>
            <w:r>
              <w:rPr>
                <w:sz w:val="18"/>
              </w:rPr>
              <w:t>Counsel and witness logistics</w:t>
            </w:r>
          </w:p>
        </w:tc>
        <w:tc>
          <w:tcPr>
            <w:tcW w:type="dxa" w:w="3672"/>
          </w:tcPr>
          <w:p>
            <w:pPr>
              <w:spacing w:after="40"/>
            </w:pPr>
            <w:r/>
            <w:r>
              <w:rPr>
                <w:sz w:val="18"/>
              </w:rPr>
              <w:t>Our firm’s address and phone number differ across documents (C&amp;D; Vol. I and II appearances; forensic report; certificate of service). The Sep. Ack. names Marchetti as signatory; the forensic report says Parekh documented the laptop return on the Sep. Ack. form; Yoon recalls Marchetti plus an unnamed HR representative.</w:t>
            </w:r>
          </w:p>
        </w:tc>
        <w:tc>
          <w:tcPr>
            <w:tcW w:type="dxa" w:w="3312"/>
          </w:tcPr>
          <w:p>
            <w:pPr>
              <w:spacing w:after="40"/>
            </w:pPr>
            <w:r/>
            <w:r>
              <w:rPr>
                <w:sz w:val="18"/>
              </w:rPr>
              <w:t>Clean up service lists. Identify the exit-interview attendee(s) and any checklist; take Marchetti’s and Parekh’s declarations.</w:t>
            </w:r>
          </w:p>
        </w:tc>
      </w:tr>
    </w:tbl>
    <w:p>
      <w:pPr>
        <w:spacing w:after="40"/>
      </w:pPr>
    </w:p>
    <w:p>
      <w:pPr>
        <w:pStyle w:val="Heading1"/>
      </w:pPr>
      <w:r>
        <w:t>VII. Anticipated Defense Themes and Responses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24"/>
            <w:shd w:val="clear" w:color="auto" w:fill="1F3A5F"/>
          </w:tcPr>
          <w:p>
            <w:r/>
            <w:r>
              <w:rPr>
                <w:b/>
                <w:color w:val="FFFFFF"/>
                <w:sz w:val="18"/>
              </w:rPr>
              <w:t>Defense theme</w:t>
            </w:r>
          </w:p>
        </w:tc>
        <w:tc>
          <w:tcPr>
            <w:tcW w:type="dxa" w:w="6336"/>
            <w:shd w:val="clear" w:color="auto" w:fill="1F3A5F"/>
          </w:tcPr>
          <w:p>
            <w:r/>
            <w:r>
              <w:rPr>
                <w:b/>
                <w:color w:val="FFFFFF"/>
                <w:sz w:val="18"/>
              </w:rPr>
              <w:t>Our response (record support)</w:t>
            </w:r>
          </w:p>
        </w:tc>
      </w:tr>
      <w:tr>
        <w:tc>
          <w:tcPr>
            <w:tcW w:type="dxa" w:w="3024"/>
          </w:tcPr>
          <w:p>
            <w:pPr>
              <w:spacing w:after="40"/>
            </w:pPr>
            <w:r/>
            <w:r>
              <w:rPr>
                <w:sz w:val="18"/>
              </w:rPr>
            </w:r>
            <w:r>
              <w:rPr>
                <w:b/>
                <w:sz w:val="18"/>
              </w:rPr>
              <w:t>Honest mistake: “I thought it was 100 miles.”</w:t>
            </w:r>
            <w:r>
              <w:rPr>
                <w:sz w:val="18"/>
              </w:rPr>
            </w:r>
          </w:p>
        </w:tc>
        <w:tc>
          <w:tcPr>
            <w:tcW w:type="dxa" w:w="6336"/>
          </w:tcPr>
          <w:p>
            <w:pPr>
              <w:spacing w:after="40"/>
            </w:pPr>
            <w:r/>
            <w:r>
              <w:rPr>
                <w:sz w:val="18"/>
              </w:rPr>
              <w:t>C&amp;D (Aug. 22) and Sep. Ack. § 3(b), (e) (Aug. 28) both state 150 miles before he started at PAG. PAG’s counsel analyzed “the distance” (Vol. II 311:17–24). In any event, mistake is not a defense to breach of a clear covenant.</w:t>
            </w:r>
          </w:p>
        </w:tc>
      </w:tr>
      <w:tr>
        <w:tc>
          <w:tcPr>
            <w:tcW w:type="dxa" w:w="3024"/>
          </w:tcPr>
          <w:p>
            <w:pPr>
              <w:spacing w:after="40"/>
            </w:pPr>
            <w:r/>
            <w:r>
              <w:rPr>
                <w:sz w:val="18"/>
              </w:rPr>
            </w:r>
            <w:r>
              <w:rPr>
                <w:b/>
                <w:sz w:val="18"/>
              </w:rPr>
              <w:t>Software-only work at PAG is outside a conjunctive covenant.</w:t>
            </w:r>
            <w:r>
              <w:rPr>
                <w:sz w:val="18"/>
              </w:rPr>
            </w:r>
          </w:p>
        </w:tc>
        <w:tc>
          <w:tcPr>
            <w:tcW w:type="dxa" w:w="6336"/>
          </w:tcPr>
          <w:p>
            <w:pPr>
              <w:spacing w:after="40"/>
            </w:pPr>
            <w:r/>
            <w:r>
              <w:rPr>
                <w:sz w:val="18"/>
              </w:rPr>
              <w:t>§ 7(a)(i) is disjunctive (“or”); § 7(a)(ii) independently bars employment by an entity engaged in a Competing Business. Correct our own misquotations (Part VI-1).</w:t>
            </w:r>
          </w:p>
        </w:tc>
      </w:tr>
      <w:tr>
        <w:tc>
          <w:tcPr>
            <w:tcW w:type="dxa" w:w="3024"/>
          </w:tcPr>
          <w:p>
            <w:pPr>
              <w:spacing w:after="40"/>
            </w:pPr>
            <w:r/>
            <w:r>
              <w:rPr>
                <w:sz w:val="18"/>
              </w:rPr>
            </w:r>
            <w:r>
              <w:rPr>
                <w:b/>
                <w:sz w:val="18"/>
              </w:rPr>
              <w:t>Overbreadth / unenforceability under MCL 445.774a; no separate consideration.</w:t>
            </w:r>
            <w:r>
              <w:rPr>
                <w:sz w:val="18"/>
              </w:rPr>
            </w:r>
          </w:p>
        </w:tc>
        <w:tc>
          <w:tcPr>
            <w:tcW w:type="dxa" w:w="6336"/>
          </w:tcPr>
          <w:p>
            <w:pPr>
              <w:spacing w:after="40"/>
            </w:pPr>
            <w:r/>
            <w:r>
              <w:rPr>
                <w:sz w:val="18"/>
              </w:rPr>
              <w:t>Senior-executive role, access to the full product line, 18 months, and a 150-mile radius tied to CMS’s market. § 7(c) authorizes reformation. Recitals and § 5 identify consideration, and he admitted he intended to be bound and did not negotiate (Vol. I at 27–28). Research current Michigan authority on reasonableness and on consideration for covenants signed at hire.</w:t>
            </w:r>
          </w:p>
        </w:tc>
      </w:tr>
      <w:tr>
        <w:tc>
          <w:tcPr>
            <w:tcW w:type="dxa" w:w="3024"/>
          </w:tcPr>
          <w:p>
            <w:pPr>
              <w:spacing w:after="40"/>
            </w:pPr>
            <w:r/>
            <w:r>
              <w:rPr>
                <w:sz w:val="18"/>
              </w:rPr>
            </w:r>
            <w:r>
              <w:rPr>
                <w:b/>
                <w:sz w:val="18"/>
              </w:rPr>
              <w:t>General skill and knowledge; concepts learned at Purdue.</w:t>
            </w:r>
            <w:r>
              <w:rPr>
                <w:sz w:val="18"/>
              </w:rPr>
            </w:r>
          </w:p>
        </w:tc>
        <w:tc>
          <w:tcPr>
            <w:tcW w:type="dxa" w:w="6336"/>
          </w:tcPr>
          <w:p>
            <w:pPr>
              <w:spacing w:after="40"/>
            </w:pPr>
            <w:r/>
            <w:r>
              <w:rPr>
                <w:sz w:val="18"/>
              </w:rPr>
              <w:t>Exact-phrase match to Ex. 25; no outside source identified (Vol. II 320, 343). Shifting dissertation topic and year (Vol. I at 7 vs. Vol. II 339). Exhibit A disclosed no prior inventions, and § 8(a)(B) requires contemporaneous written records. 3,847 source files and the HarmonicPath directory went to a USB drive he still holds.</w:t>
            </w:r>
          </w:p>
        </w:tc>
      </w:tr>
      <w:tr>
        <w:tc>
          <w:tcPr>
            <w:tcW w:type="dxa" w:w="3024"/>
          </w:tcPr>
          <w:p>
            <w:pPr>
              <w:spacing w:after="40"/>
            </w:pPr>
            <w:r/>
            <w:r>
              <w:rPr>
                <w:sz w:val="18"/>
              </w:rPr>
            </w:r>
            <w:r>
              <w:rPr>
                <w:b/>
                <w:sz w:val="18"/>
              </w:rPr>
              <w:t>Inadvertence: personal files and inbox cleanup.</w:t>
            </w:r>
            <w:r>
              <w:rPr>
                <w:sz w:val="18"/>
              </w:rPr>
            </w:r>
          </w:p>
        </w:tc>
        <w:tc>
          <w:tcPr>
            <w:tcW w:type="dxa" w:w="6336"/>
          </w:tcPr>
          <w:p>
            <w:pPr>
              <w:spacing w:after="40"/>
            </w:pPr>
            <w:r/>
            <w:r>
              <w:rPr>
                <w:sz w:val="18"/>
              </w:rPr>
              <w:t>Forensic Rpt. §§ 5.1–5.2, 5.4.1–5.4.2: Aug. 8 USB searches, Aug. 9 fresh clone, Saturday-evening transfer, file types, blank standalone email, only one such email.</w:t>
            </w:r>
          </w:p>
        </w:tc>
      </w:tr>
      <w:tr>
        <w:tc>
          <w:tcPr>
            <w:tcW w:type="dxa" w:w="3024"/>
          </w:tcPr>
          <w:p>
            <w:pPr>
              <w:spacing w:after="40"/>
            </w:pPr>
            <w:r/>
            <w:r>
              <w:rPr>
                <w:sz w:val="18"/>
              </w:rPr>
            </w:r>
            <w:r>
              <w:rPr>
                <w:b/>
                <w:sz w:val="18"/>
              </w:rPr>
              <w:t>Independent development at PAG.</w:t>
            </w:r>
            <w:r>
              <w:rPr>
                <w:sz w:val="18"/>
              </w:rPr>
            </w:r>
          </w:p>
        </w:tc>
        <w:tc>
          <w:tcPr>
            <w:tcW w:type="dxa" w:w="6336"/>
          </w:tcPr>
          <w:p>
            <w:pPr>
              <w:spacing w:after="40"/>
            </w:pPr>
            <w:r/>
            <w:r>
              <w:rPr>
                <w:sz w:val="18"/>
              </w:rPr>
              <w:t>He lacks foundation (Vol. II 306, 326). The architecture review agenda includes “competitive differentiation strategy.” Commits touch the optimization engine and “harmonic analysis.” MillEdge Pro launched seven weeks after he arrived. Obtain pre-September code baselines from PAG.</w:t>
            </w:r>
          </w:p>
        </w:tc>
      </w:tr>
      <w:tr>
        <w:tc>
          <w:tcPr>
            <w:tcW w:type="dxa" w:w="3024"/>
          </w:tcPr>
          <w:p>
            <w:pPr>
              <w:spacing w:after="40"/>
            </w:pPr>
            <w:r/>
            <w:r>
              <w:rPr>
                <w:sz w:val="18"/>
              </w:rPr>
            </w:r>
            <w:r>
              <w:rPr>
                <w:b/>
                <w:sz w:val="18"/>
              </w:rPr>
              <w:t>Advice of counsel / good faith.</w:t>
            </w:r>
            <w:r>
              <w:rPr>
                <w:sz w:val="18"/>
              </w:rPr>
            </w:r>
          </w:p>
        </w:tc>
        <w:tc>
          <w:tcPr>
            <w:tcW w:type="dxa" w:w="6336"/>
          </w:tcPr>
          <w:p>
            <w:pPr>
              <w:spacing w:after="40"/>
            </w:pPr>
            <w:r/>
            <w:r>
              <w:rPr>
                <w:sz w:val="18"/>
              </w:rPr>
              <w:t>Privilege cannot be both sword and shield (Vol. II 328, 340–341). Move to compel the advice or preclude reliance.</w:t>
            </w:r>
          </w:p>
        </w:tc>
      </w:tr>
      <w:tr>
        <w:tc>
          <w:tcPr>
            <w:tcW w:type="dxa" w:w="3024"/>
          </w:tcPr>
          <w:p>
            <w:pPr>
              <w:spacing w:after="40"/>
            </w:pPr>
            <w:r/>
            <w:r>
              <w:rPr>
                <w:sz w:val="18"/>
              </w:rPr>
            </w:r>
            <w:r>
              <w:rPr>
                <w:b/>
                <w:sz w:val="18"/>
              </w:rPr>
              <w:t>CMS is a serial litigant (Fontaine, 2020).</w:t>
            </w:r>
            <w:r>
              <w:rPr>
                <w:sz w:val="18"/>
              </w:rPr>
            </w:r>
          </w:p>
        </w:tc>
        <w:tc>
          <w:tcPr>
            <w:tcW w:type="dxa" w:w="6336"/>
          </w:tcPr>
          <w:p>
            <w:pPr>
              <w:spacing w:after="40"/>
            </w:pPr>
            <w:r/>
            <w:r>
              <w:rPr>
                <w:sz w:val="18"/>
              </w:rPr>
              <w:t>Pending motion to strike (Vol. I at 201). Prepare a motion in limine (MRE 401–404) and gather the Fontaine file to rebut any mischaracterization.</w:t>
            </w:r>
          </w:p>
        </w:tc>
      </w:tr>
      <w:tr>
        <w:tc>
          <w:tcPr>
            <w:tcW w:type="dxa" w:w="3024"/>
          </w:tcPr>
          <w:p>
            <w:pPr>
              <w:spacing w:after="40"/>
            </w:pPr>
            <w:r/>
            <w:r>
              <w:rPr>
                <w:sz w:val="18"/>
              </w:rPr>
            </w:r>
            <w:r>
              <w:rPr>
                <w:b/>
                <w:sz w:val="18"/>
              </w:rPr>
              <w:t>No harm: the USB drive was never accessed or shared.</w:t>
            </w:r>
            <w:r>
              <w:rPr>
                <w:sz w:val="18"/>
              </w:rPr>
            </w:r>
          </w:p>
        </w:tc>
        <w:tc>
          <w:tcPr>
            <w:tcW w:type="dxa" w:w="6336"/>
          </w:tcPr>
          <w:p>
            <w:pPr>
              <w:spacing w:after="40"/>
            </w:pPr>
            <w:r/>
            <w:r>
              <w:rPr>
                <w:sz w:val="18"/>
              </w:rPr>
              <w:t>Uncorroborated self-serving denials; the drive was withheld from inspection, the phone was wiped, and the Gmail copy may have been deleted. Seek an adverse inference and forensic examination.</w:t>
            </w:r>
          </w:p>
        </w:tc>
      </w:tr>
    </w:tbl>
    <w:p>
      <w:pPr>
        <w:spacing w:after="40"/>
      </w:pPr>
    </w:p>
    <w:p>
      <w:pPr>
        <w:pStyle w:val="Heading1"/>
      </w:pPr>
      <w:r>
        <w:t>VIII. Recommended Next Steps</w:t>
      </w:r>
    </w:p>
    <w:p>
      <w:r>
        <w:rPr>
          <w:i/>
          <w:sz w:val="18"/>
        </w:rPr>
        <w:t>Priorities assume the case remains in discovery. Court-rule citations are to the Michigan Court Rules and should be confirmed against the current rules and the Court’s scheduling order before filing.</w:t>
      </w:r>
    </w:p>
    <w:p>
      <w:pPr>
        <w:pStyle w:val="Heading2"/>
      </w:pPr>
      <w:r>
        <w:t>A. Immediate (next 7–14 days)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1F3A5F"/>
          </w:tcPr>
          <w:p>
            <w:r/>
            <w:r>
              <w:rPr>
                <w:b/>
                <w:color w:val="FFFFFF"/>
                <w:sz w:val="18"/>
              </w:rPr>
              <w:t>#</w:t>
            </w:r>
          </w:p>
        </w:tc>
        <w:tc>
          <w:tcPr>
            <w:tcW w:type="dxa" w:w="3312"/>
            <w:shd w:val="clear" w:color="auto" w:fill="1F3A5F"/>
          </w:tcPr>
          <w:p>
            <w:r/>
            <w:r>
              <w:rPr>
                <w:b/>
                <w:color w:val="FFFFFF"/>
                <w:sz w:val="18"/>
              </w:rPr>
              <w:t>Action</w:t>
            </w:r>
          </w:p>
        </w:tc>
        <w:tc>
          <w:tcPr>
            <w:tcW w:type="dxa" w:w="3744"/>
            <w:shd w:val="clear" w:color="auto" w:fill="1F3A5F"/>
          </w:tcPr>
          <w:p>
            <w:r/>
            <w:r>
              <w:rPr>
                <w:b/>
                <w:color w:val="FFFFFF"/>
                <w:sz w:val="18"/>
              </w:rPr>
              <w:t>Purpose / record basis</w:t>
            </w:r>
          </w:p>
        </w:tc>
        <w:tc>
          <w:tcPr>
            <w:tcW w:type="dxa" w:w="1872"/>
            <w:shd w:val="clear" w:color="auto" w:fill="1F3A5F"/>
          </w:tcPr>
          <w:p>
            <w:r/>
            <w:r>
              <w:rPr>
                <w:b/>
                <w:color w:val="FFFFFF"/>
                <w:sz w:val="18"/>
              </w:rPr>
              <w:t>Timing / owner</w:t>
            </w:r>
          </w:p>
        </w:tc>
      </w:tr>
      <w:tr>
        <w:tc>
          <w:tcPr>
            <w:tcW w:type="dxa" w:w="432"/>
          </w:tcPr>
          <w:p>
            <w:pPr>
              <w:spacing w:after="40"/>
            </w:pPr>
            <w:r/>
            <w:r>
              <w:rPr>
                <w:sz w:val="18"/>
              </w:rPr>
              <w:t>1</w:t>
            </w:r>
          </w:p>
        </w:tc>
        <w:tc>
          <w:tcPr>
            <w:tcW w:type="dxa" w:w="3312"/>
          </w:tcPr>
          <w:p>
            <w:pPr>
              <w:spacing w:after="40"/>
            </w:pPr>
            <w:r/>
            <w:r>
              <w:rPr>
                <w:sz w:val="18"/>
              </w:rPr>
              <w:t>Calendar the 30-day read-and-sign deadline for both volumes (MCR 2.306(D)(4)); review any errata the day it arrives.</w:t>
            </w:r>
          </w:p>
        </w:tc>
        <w:tc>
          <w:tcPr>
            <w:tcW w:type="dxa" w:w="3744"/>
          </w:tcPr>
          <w:p>
            <w:pPr>
              <w:spacing w:after="40"/>
            </w:pPr>
            <w:r/>
            <w:r>
              <w:rPr>
                <w:sz w:val="18"/>
              </w:rPr>
              <w:t>Expect attempts to “correct” the admissions on the June 22 dinner, the Quinlan meeting, Rog 12, “tried/did,” and the PhD details. Substantive changes support reopening the deposition and fee-shifting; the original answers remain usable.</w:t>
            </w:r>
          </w:p>
        </w:tc>
        <w:tc>
          <w:tcPr>
            <w:tcW w:type="dxa" w:w="1872"/>
          </w:tcPr>
          <w:p>
            <w:pPr>
              <w:spacing w:after="40"/>
            </w:pPr>
            <w:r/>
            <w:r>
              <w:rPr>
                <w:sz w:val="18"/>
              </w:rPr>
              <w:t>Now; paralegal + associate</w:t>
            </w:r>
          </w:p>
        </w:tc>
      </w:tr>
      <w:tr>
        <w:tc>
          <w:tcPr>
            <w:tcW w:type="dxa" w:w="432"/>
          </w:tcPr>
          <w:p>
            <w:pPr>
              <w:spacing w:after="40"/>
            </w:pPr>
            <w:r/>
            <w:r>
              <w:rPr>
                <w:sz w:val="18"/>
              </w:rPr>
              <w:t>2</w:t>
            </w:r>
          </w:p>
        </w:tc>
        <w:tc>
          <w:tcPr>
            <w:tcW w:type="dxa" w:w="3312"/>
          </w:tcPr>
          <w:p>
            <w:pPr>
              <w:spacing w:after="40"/>
            </w:pPr>
            <w:r/>
            <w:r>
              <w:rPr>
                <w:sz w:val="18"/>
              </w:rPr>
              <w:t>Written demand, then motion to compel production and a neutral forensic inspection of the SanDisk drive (S/N SD256-7891-XKR), any other USB drives, his personal computers, and his Gmail account, under an agreed protocol (neutral examiner; chain of custody; no alteration).</w:t>
            </w:r>
          </w:p>
        </w:tc>
        <w:tc>
          <w:tcPr>
            <w:tcW w:type="dxa" w:w="3744"/>
          </w:tcPr>
          <w:p>
            <w:pPr>
              <w:spacing w:after="40"/>
            </w:pPr>
            <w:r/>
            <w:r>
              <w:rPr>
                <w:sz w:val="18"/>
              </w:rPr>
              <w:t>Admissions: drive retained at home (Vol. I at 108; Vol. II 332); counsel took production “under advisement” (Vol. I at 108–109). Drive content and last-access artifacts will test his denials of access and sharing.</w:t>
            </w:r>
          </w:p>
        </w:tc>
        <w:tc>
          <w:tcPr>
            <w:tcW w:type="dxa" w:w="1872"/>
          </w:tcPr>
          <w:p>
            <w:pPr>
              <w:spacing w:after="40"/>
            </w:pPr>
            <w:r/>
            <w:r>
              <w:rPr>
                <w:sz w:val="18"/>
              </w:rPr>
              <w:t>Demand this week; motion if not produced within ~7 days</w:t>
            </w:r>
          </w:p>
        </w:tc>
      </w:tr>
      <w:tr>
        <w:tc>
          <w:tcPr>
            <w:tcW w:type="dxa" w:w="432"/>
          </w:tcPr>
          <w:p>
            <w:pPr>
              <w:spacing w:after="40"/>
            </w:pPr>
            <w:r/>
            <w:r>
              <w:rPr>
                <w:sz w:val="18"/>
              </w:rPr>
              <w:t>3</w:t>
            </w:r>
          </w:p>
        </w:tc>
        <w:tc>
          <w:tcPr>
            <w:tcW w:type="dxa" w:w="3312"/>
          </w:tcPr>
          <w:p>
            <w:pPr>
              <w:spacing w:after="40"/>
            </w:pPr>
            <w:r/>
            <w:r>
              <w:rPr>
                <w:sz w:val="18"/>
              </w:rPr>
              <w:t>Consider moving for a preliminary injunction / TRO (MCR 3.310), or renewing one, if not already in place: return of all CMS materials; no use or disclosure; preservation of PAG code and repositories; enforcement of § 7(a) with § 10 tolling.</w:t>
            </w:r>
          </w:p>
        </w:tc>
        <w:tc>
          <w:tcPr>
            <w:tcW w:type="dxa" w:w="3744"/>
          </w:tcPr>
          <w:p>
            <w:pPr>
              <w:spacing w:after="40"/>
            </w:pPr>
            <w:r/>
            <w:r>
              <w:rPr>
                <w:sz w:val="18"/>
              </w:rPr>
              <w:t>Ongoing possession (USB, possibly Gmail); admin and commit access to MillEdge Pro (Vol. II 330–331); § 10 tolls the Restricted Period during any violation, so the nominal Feb. 28, 2026 end date should be extended.</w:t>
            </w:r>
          </w:p>
        </w:tc>
        <w:tc>
          <w:tcPr>
            <w:tcW w:type="dxa" w:w="1872"/>
          </w:tcPr>
          <w:p>
            <w:pPr>
              <w:spacing w:after="40"/>
            </w:pPr>
            <w:r/>
            <w:r>
              <w:rPr>
                <w:sz w:val="18"/>
              </w:rPr>
              <w:t>Decision memo to partner within 10 days</w:t>
            </w:r>
          </w:p>
        </w:tc>
      </w:tr>
      <w:tr>
        <w:tc>
          <w:tcPr>
            <w:tcW w:type="dxa" w:w="432"/>
          </w:tcPr>
          <w:p>
            <w:pPr>
              <w:spacing w:after="40"/>
            </w:pPr>
            <w:r/>
            <w:r>
              <w:rPr>
                <w:sz w:val="18"/>
              </w:rPr>
              <w:t>4</w:t>
            </w:r>
          </w:p>
        </w:tc>
        <w:tc>
          <w:tcPr>
            <w:tcW w:type="dxa" w:w="3312"/>
          </w:tcPr>
          <w:p>
            <w:pPr>
              <w:spacing w:after="40"/>
            </w:pPr>
            <w:r/>
            <w:r>
              <w:rPr>
                <w:sz w:val="18"/>
              </w:rPr>
              <w:t>Preservation letters and a proposed order to PAG, Adwell, Quinlan, and Chandrasekaran covering MillEdge Pro repositories (full git history), Ex. 21 materials, Slack/Teams, personal phones and texts with Yoon, and the dyoon-pag account.</w:t>
            </w:r>
          </w:p>
        </w:tc>
        <w:tc>
          <w:tcPr>
            <w:tcW w:type="dxa" w:w="3744"/>
          </w:tcPr>
          <w:p>
            <w:pPr>
              <w:spacing w:after="40"/>
            </w:pPr>
            <w:r/>
            <w:r>
              <w:rPr>
                <w:sz w:val="18"/>
              </w:rPr>
              <w:t>Yoon’s phone is wiped; the counterpart messages exist only on PAG-side devices.</w:t>
            </w:r>
          </w:p>
        </w:tc>
        <w:tc>
          <w:tcPr>
            <w:tcW w:type="dxa" w:w="1872"/>
          </w:tcPr>
          <w:p>
            <w:pPr>
              <w:spacing w:after="40"/>
            </w:pPr>
            <w:r/>
            <w:r>
              <w:rPr>
                <w:sz w:val="18"/>
              </w:rPr>
              <w:t>This week</w:t>
            </w:r>
          </w:p>
        </w:tc>
      </w:tr>
      <w:tr>
        <w:tc>
          <w:tcPr>
            <w:tcW w:type="dxa" w:w="432"/>
          </w:tcPr>
          <w:p>
            <w:pPr>
              <w:spacing w:after="40"/>
            </w:pPr>
            <w:r/>
            <w:r>
              <w:rPr>
                <w:sz w:val="18"/>
              </w:rPr>
              <w:t>5</w:t>
            </w:r>
          </w:p>
        </w:tc>
        <w:tc>
          <w:tcPr>
            <w:tcW w:type="dxa" w:w="3312"/>
          </w:tcPr>
          <w:p>
            <w:pPr>
              <w:spacing w:after="40"/>
            </w:pPr>
            <w:r/>
            <w:r>
              <w:rPr>
                <w:sz w:val="18"/>
              </w:rPr>
              <w:t>Ask Ridgepoint and CMS IT to reconcile the Ex. 15 timestamp, correct § 5.4.1, export native artifacts and hashes, and explain the pre-Aug. 22 “preliminary review.”</w:t>
            </w:r>
          </w:p>
        </w:tc>
        <w:tc>
          <w:tcPr>
            <w:tcW w:type="dxa" w:w="3744"/>
          </w:tcPr>
          <w:p>
            <w:pPr>
              <w:spacing w:after="40"/>
            </w:pPr>
            <w:r/>
            <w:r>
              <w:rPr>
                <w:sz w:val="18"/>
              </w:rPr>
              <w:t>Part VI items 4–6. Must be fixed before the sanctions and injunction motions.</w:t>
            </w:r>
          </w:p>
        </w:tc>
        <w:tc>
          <w:tcPr>
            <w:tcW w:type="dxa" w:w="1872"/>
          </w:tcPr>
          <w:p>
            <w:pPr>
              <w:spacing w:after="40"/>
            </w:pPr>
            <w:r/>
            <w:r>
              <w:rPr>
                <w:sz w:val="18"/>
              </w:rPr>
              <w:t>This week; Ridgepoint/Parekh</w:t>
            </w:r>
          </w:p>
        </w:tc>
      </w:tr>
    </w:tbl>
    <w:p>
      <w:pPr>
        <w:spacing w:after="40"/>
      </w:pPr>
    </w:p>
    <w:p>
      <w:pPr>
        <w:pStyle w:val="Heading2"/>
      </w:pPr>
      <w:r>
        <w:t>B. Written Discovery and Motions (30–45 days)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1F3A5F"/>
          </w:tcPr>
          <w:p>
            <w:r/>
            <w:r>
              <w:rPr>
                <w:b/>
                <w:color w:val="FFFFFF"/>
                <w:sz w:val="18"/>
              </w:rPr>
              <w:t>#</w:t>
            </w:r>
          </w:p>
        </w:tc>
        <w:tc>
          <w:tcPr>
            <w:tcW w:type="dxa" w:w="3312"/>
            <w:shd w:val="clear" w:color="auto" w:fill="1F3A5F"/>
          </w:tcPr>
          <w:p>
            <w:r/>
            <w:r>
              <w:rPr>
                <w:b/>
                <w:color w:val="FFFFFF"/>
                <w:sz w:val="18"/>
              </w:rPr>
              <w:t>Action</w:t>
            </w:r>
          </w:p>
        </w:tc>
        <w:tc>
          <w:tcPr>
            <w:tcW w:type="dxa" w:w="3744"/>
            <w:shd w:val="clear" w:color="auto" w:fill="1F3A5F"/>
          </w:tcPr>
          <w:p>
            <w:r/>
            <w:r>
              <w:rPr>
                <w:b/>
                <w:color w:val="FFFFFF"/>
                <w:sz w:val="18"/>
              </w:rPr>
              <w:t>Purpose / record basis</w:t>
            </w:r>
          </w:p>
        </w:tc>
        <w:tc>
          <w:tcPr>
            <w:tcW w:type="dxa" w:w="1872"/>
            <w:shd w:val="clear" w:color="auto" w:fill="1F3A5F"/>
          </w:tcPr>
          <w:p>
            <w:r/>
            <w:r>
              <w:rPr>
                <w:b/>
                <w:color w:val="FFFFFF"/>
                <w:sz w:val="18"/>
              </w:rPr>
              <w:t>Timing / owner</w:t>
            </w:r>
          </w:p>
        </w:tc>
      </w:tr>
      <w:tr>
        <w:tc>
          <w:tcPr>
            <w:tcW w:type="dxa" w:w="432"/>
          </w:tcPr>
          <w:p>
            <w:pPr>
              <w:spacing w:after="40"/>
            </w:pPr>
            <w:r/>
            <w:r>
              <w:rPr>
                <w:sz w:val="18"/>
              </w:rPr>
              <w:t>6</w:t>
            </w:r>
          </w:p>
        </w:tc>
        <w:tc>
          <w:tcPr>
            <w:tcW w:type="dxa" w:w="3312"/>
          </w:tcPr>
          <w:p>
            <w:pPr>
              <w:spacing w:after="40"/>
            </w:pPr>
            <w:r/>
            <w:r>
              <w:rPr>
                <w:sz w:val="18"/>
              </w:rPr>
              <w:t>Deficiency letter demanding supplemental, verified answers to Rogs 1–4, 6, 7, 11, 12, 14, 15 (MCR 2.302(E)); then a motion to compel with fees (MCR 2.313(A)).</w:t>
            </w:r>
          </w:p>
        </w:tc>
        <w:tc>
          <w:tcPr>
            <w:tcW w:type="dxa" w:w="3744"/>
          </w:tcPr>
          <w:p>
            <w:pPr>
              <w:spacing w:after="40"/>
            </w:pPr>
            <w:r/>
            <w:r>
              <w:rPr>
                <w:sz w:val="18"/>
              </w:rPr>
              <w:t>Admitted inaccuracies (Vol. I at 63–64; Vol. II 303, 325) and the contradictions in Part V. Ask for each communication with PAG (date, method, participants) and each person at CMS contacted.</w:t>
            </w:r>
          </w:p>
        </w:tc>
        <w:tc>
          <w:tcPr>
            <w:tcW w:type="dxa" w:w="1872"/>
          </w:tcPr>
          <w:p>
            <w:pPr>
              <w:spacing w:after="40"/>
            </w:pPr>
            <w:r/>
            <w:r>
              <w:rPr>
                <w:sz w:val="18"/>
              </w:rPr>
              <w:t>Letter within 10 days</w:t>
            </w:r>
          </w:p>
        </w:tc>
      </w:tr>
      <w:tr>
        <w:tc>
          <w:tcPr>
            <w:tcW w:type="dxa" w:w="432"/>
          </w:tcPr>
          <w:p>
            <w:pPr>
              <w:spacing w:after="40"/>
            </w:pPr>
            <w:r/>
            <w:r>
              <w:rPr>
                <w:sz w:val="18"/>
              </w:rPr>
              <w:t>7</w:t>
            </w:r>
          </w:p>
        </w:tc>
        <w:tc>
          <w:tcPr>
            <w:tcW w:type="dxa" w:w="3312"/>
          </w:tcPr>
          <w:p>
            <w:pPr>
              <w:spacing w:after="40"/>
            </w:pPr>
            <w:r/>
            <w:r>
              <w:rPr>
                <w:sz w:val="18"/>
              </w:rPr>
              <w:t>Motion for spoliation sanctions: adverse-inference instruction (M Civ JI 6.01) and/or other relief under the Court’s inherent authority and MCR 2.313, plus fees, for the Sept. 1 factory reset and any post-notice Gmail deletion.</w:t>
            </w:r>
          </w:p>
        </w:tc>
        <w:tc>
          <w:tcPr>
            <w:tcW w:type="dxa" w:w="3744"/>
          </w:tcPr>
          <w:p>
            <w:pPr>
              <w:spacing w:after="40"/>
            </w:pPr>
            <w:r/>
            <w:r>
              <w:rPr>
                <w:sz w:val="18"/>
              </w:rPr>
              <w:t>Vol. I at 192–195; C&amp;D § VI (express no-reset directive, also emailed); Vol. I at 136–137; Vol. II 332–333. First obtain iCloud backup status, Apple account data, and carrier call/SMS metadata to measure prejudice and rebut “no backup.”</w:t>
            </w:r>
          </w:p>
        </w:tc>
        <w:tc>
          <w:tcPr>
            <w:tcW w:type="dxa" w:w="1872"/>
          </w:tcPr>
          <w:p>
            <w:pPr>
              <w:spacing w:after="40"/>
            </w:pPr>
            <w:r/>
            <w:r>
              <w:rPr>
                <w:sz w:val="18"/>
              </w:rPr>
              <w:t>File after carrier/Apple discovery</w:t>
            </w:r>
          </w:p>
        </w:tc>
      </w:tr>
      <w:tr>
        <w:tc>
          <w:tcPr>
            <w:tcW w:type="dxa" w:w="432"/>
          </w:tcPr>
          <w:p>
            <w:pPr>
              <w:spacing w:after="40"/>
            </w:pPr>
            <w:r/>
            <w:r>
              <w:rPr>
                <w:sz w:val="18"/>
              </w:rPr>
              <w:t>8</w:t>
            </w:r>
          </w:p>
        </w:tc>
        <w:tc>
          <w:tcPr>
            <w:tcW w:type="dxa" w:w="3312"/>
          </w:tcPr>
          <w:p>
            <w:pPr>
              <w:spacing w:after="40"/>
            </w:pPr>
            <w:r/>
            <w:r>
              <w:rPr>
                <w:sz w:val="18"/>
              </w:rPr>
              <w:t>Requests for admission (MCR 2.312) locking the key facts (see Appendix).</w:t>
            </w:r>
          </w:p>
        </w:tc>
        <w:tc>
          <w:tcPr>
            <w:tcW w:type="dxa" w:w="3744"/>
          </w:tcPr>
          <w:p>
            <w:pPr>
              <w:spacing w:after="40"/>
            </w:pPr>
            <w:r/>
            <w:r>
              <w:rPr>
                <w:sz w:val="18"/>
              </w:rPr>
              <w:t>Converts deposition admissions into conclusive admissions and limits errata maneuvering.</w:t>
            </w:r>
          </w:p>
        </w:tc>
        <w:tc>
          <w:tcPr>
            <w:tcW w:type="dxa" w:w="1872"/>
          </w:tcPr>
          <w:p>
            <w:pPr>
              <w:spacing w:after="40"/>
            </w:pPr>
            <w:r/>
            <w:r>
              <w:rPr>
                <w:sz w:val="18"/>
              </w:rPr>
              <w:t>Serve within 14 days</w:t>
            </w:r>
          </w:p>
        </w:tc>
      </w:tr>
      <w:tr>
        <w:tc>
          <w:tcPr>
            <w:tcW w:type="dxa" w:w="432"/>
          </w:tcPr>
          <w:p>
            <w:pPr>
              <w:spacing w:after="40"/>
            </w:pPr>
            <w:r/>
            <w:r>
              <w:rPr>
                <w:sz w:val="18"/>
              </w:rPr>
              <w:t>9</w:t>
            </w:r>
          </w:p>
        </w:tc>
        <w:tc>
          <w:tcPr>
            <w:tcW w:type="dxa" w:w="3312"/>
          </w:tcPr>
          <w:p>
            <w:pPr>
              <w:spacing w:after="40"/>
            </w:pPr>
            <w:r/>
            <w:r>
              <w:rPr>
                <w:sz w:val="18"/>
              </w:rPr>
              <w:t>Document requests to Yoon: CV versions; PAG offer letter and option agreement (milestones); all communications with Adwell, Quinlan, PAG, and Sycamore (including Gmail and texts); notes on the AdaptGrip patent review; iCloud/Google Takeout exports; device inventory.</w:t>
            </w:r>
          </w:p>
        </w:tc>
        <w:tc>
          <w:tcPr>
            <w:tcW w:type="dxa" w:w="3744"/>
          </w:tcPr>
          <w:p>
            <w:pPr>
              <w:spacing w:after="40"/>
            </w:pPr>
            <w:r/>
            <w:r>
              <w:rPr>
                <w:sz w:val="18"/>
              </w:rPr>
              <w:t>Vol. I at 159 (notes possibly discarded); Vol. II 293–294 (option milestones); Ex. 22 came only from PAG.</w:t>
            </w:r>
          </w:p>
        </w:tc>
        <w:tc>
          <w:tcPr>
            <w:tcW w:type="dxa" w:w="1872"/>
          </w:tcPr>
          <w:p>
            <w:pPr>
              <w:spacing w:after="40"/>
            </w:pPr>
            <w:r/>
            <w:r>
              <w:rPr>
                <w:sz w:val="18"/>
              </w:rPr>
              <w:t>Serve within 14 days</w:t>
            </w:r>
          </w:p>
        </w:tc>
      </w:tr>
      <w:tr>
        <w:tc>
          <w:tcPr>
            <w:tcW w:type="dxa" w:w="432"/>
          </w:tcPr>
          <w:p>
            <w:pPr>
              <w:spacing w:after="40"/>
            </w:pPr>
            <w:r/>
            <w:r>
              <w:rPr>
                <w:sz w:val="18"/>
              </w:rPr>
              <w:t>10</w:t>
            </w:r>
          </w:p>
        </w:tc>
        <w:tc>
          <w:tcPr>
            <w:tcW w:type="dxa" w:w="3312"/>
          </w:tcPr>
          <w:p>
            <w:pPr>
              <w:spacing w:after="40"/>
            </w:pPr>
            <w:r/>
            <w:r>
              <w:rPr>
                <w:sz w:val="18"/>
              </w:rPr>
              <w:t>Requests to PAG: MillEdge Pro full repository history and pre-Sept. 3, 2024 baseline; Ex. 23 commit diffs; Ex. 21 materials and minutes; benchmarking data behind the 25% claim; Series A deck and diligence materials (Ex. 28); hiring file for Yoon; any non-privileged pre-hire analysis of his non-compete.</w:t>
            </w:r>
          </w:p>
        </w:tc>
        <w:tc>
          <w:tcPr>
            <w:tcW w:type="dxa" w:w="3744"/>
          </w:tcPr>
          <w:p>
            <w:pPr>
              <w:spacing w:after="40"/>
            </w:pPr>
            <w:r/>
            <w:r>
              <w:rPr>
                <w:sz w:val="18"/>
              </w:rPr>
              <w:t>Vol. II 298–306, 311, 322–326, 334–335.</w:t>
            </w:r>
          </w:p>
        </w:tc>
        <w:tc>
          <w:tcPr>
            <w:tcW w:type="dxa" w:w="1872"/>
          </w:tcPr>
          <w:p>
            <w:pPr>
              <w:spacing w:after="40"/>
            </w:pPr>
            <w:r/>
            <w:r>
              <w:rPr>
                <w:sz w:val="18"/>
              </w:rPr>
              <w:t>Serve within 14 days</w:t>
            </w:r>
          </w:p>
        </w:tc>
      </w:tr>
      <w:tr>
        <w:tc>
          <w:tcPr>
            <w:tcW w:type="dxa" w:w="432"/>
          </w:tcPr>
          <w:p>
            <w:pPr>
              <w:spacing w:after="40"/>
            </w:pPr>
            <w:r/>
            <w:r>
              <w:rPr>
                <w:sz w:val="18"/>
              </w:rPr>
              <w:t>11</w:t>
            </w:r>
          </w:p>
        </w:tc>
        <w:tc>
          <w:tcPr>
            <w:tcW w:type="dxa" w:w="3312"/>
          </w:tcPr>
          <w:p>
            <w:pPr>
              <w:spacing w:after="40"/>
            </w:pPr>
            <w:r/>
            <w:r>
              <w:rPr>
                <w:sz w:val="18"/>
              </w:rPr>
              <w:t>Move to amend the protective order to a two-way order with an attorneys’-eyes-only tier and a source-code inspection protocol (MCR 2.302(C)).</w:t>
            </w:r>
          </w:p>
        </w:tc>
        <w:tc>
          <w:tcPr>
            <w:tcW w:type="dxa" w:w="3744"/>
          </w:tcPr>
          <w:p>
            <w:pPr>
              <w:spacing w:after="40"/>
            </w:pPr>
            <w:r/>
            <w:r>
              <w:rPr>
                <w:sz w:val="18"/>
              </w:rPr>
              <w:t>PAG and Yoon refused technical testimony because the order covers only CMS information (Vol. I at 199–200; Vol. II 317–318).</w:t>
            </w:r>
          </w:p>
        </w:tc>
        <w:tc>
          <w:tcPr>
            <w:tcW w:type="dxa" w:w="1872"/>
          </w:tcPr>
          <w:p>
            <w:pPr>
              <w:spacing w:after="40"/>
            </w:pPr>
            <w:r/>
            <w:r>
              <w:rPr>
                <w:sz w:val="18"/>
              </w:rPr>
              <w:t>Meet and confer now</w:t>
            </w:r>
          </w:p>
        </w:tc>
      </w:tr>
      <w:tr>
        <w:tc>
          <w:tcPr>
            <w:tcW w:type="dxa" w:w="432"/>
          </w:tcPr>
          <w:p>
            <w:pPr>
              <w:spacing w:after="40"/>
            </w:pPr>
            <w:r/>
            <w:r>
              <w:rPr>
                <w:sz w:val="18"/>
              </w:rPr>
              <w:t>12</w:t>
            </w:r>
          </w:p>
        </w:tc>
        <w:tc>
          <w:tcPr>
            <w:tcW w:type="dxa" w:w="3312"/>
          </w:tcPr>
          <w:p>
            <w:pPr>
              <w:spacing w:after="40"/>
            </w:pPr>
            <w:r/>
            <w:r>
              <w:rPr>
                <w:sz w:val="18"/>
              </w:rPr>
              <w:t>Motion on privilege: (a) the fact and date of attorney consultations (pre-reset; pre-PAG) are not privileged; (b) preservation steps are facts; (c) advice-of-counsel waiver if Yoon relies on good faith (Vol. II 340:18–341:1).</w:t>
            </w:r>
          </w:p>
        </w:tc>
        <w:tc>
          <w:tcPr>
            <w:tcW w:type="dxa" w:w="3744"/>
          </w:tcPr>
          <w:p>
            <w:pPr>
              <w:spacing w:after="40"/>
            </w:pPr>
            <w:r/>
            <w:r>
              <w:rPr>
                <w:sz w:val="18"/>
              </w:rPr>
              <w:t>Instructions not to answer at Vol. I at 137, 194; Vol. II 328.</w:t>
            </w:r>
          </w:p>
        </w:tc>
        <w:tc>
          <w:tcPr>
            <w:tcW w:type="dxa" w:w="1872"/>
          </w:tcPr>
          <w:p>
            <w:pPr>
              <w:spacing w:after="40"/>
            </w:pPr>
            <w:r/>
            <w:r>
              <w:rPr>
                <w:sz w:val="18"/>
              </w:rPr>
              <w:t>With motion to compel</w:t>
            </w:r>
          </w:p>
        </w:tc>
      </w:tr>
      <w:tr>
        <w:tc>
          <w:tcPr>
            <w:tcW w:type="dxa" w:w="432"/>
          </w:tcPr>
          <w:p>
            <w:pPr>
              <w:spacing w:after="40"/>
            </w:pPr>
            <w:r/>
            <w:r>
              <w:rPr>
                <w:sz w:val="18"/>
              </w:rPr>
              <w:t>13</w:t>
            </w:r>
          </w:p>
        </w:tc>
        <w:tc>
          <w:tcPr>
            <w:tcW w:type="dxa" w:w="3312"/>
          </w:tcPr>
          <w:p>
            <w:pPr>
              <w:spacing w:after="40"/>
            </w:pPr>
            <w:r/>
            <w:r>
              <w:rPr>
                <w:sz w:val="18"/>
              </w:rPr>
              <w:t>Third-party subpoenas (MCR 2.305): Purdue (degree date and dissertation), prior employers (Saxonbrook, Meridian Robotics, Strathmore), mobile carrier (call/SMS logs Jun.–Sept. 2024), Michigan Automation Council (June 2024 event), and Sycamore Ventures (communications about PAG and Yoon). Google and Apple content generally requires the account holder’s consent or a party order, so seek an order compelling Yoon to export or consent.</w:t>
            </w:r>
          </w:p>
        </w:tc>
        <w:tc>
          <w:tcPr>
            <w:tcW w:type="dxa" w:w="3744"/>
          </w:tcPr>
          <w:p>
            <w:pPr>
              <w:spacing w:after="40"/>
            </w:pPr>
            <w:r/>
            <w:r>
              <w:rPr>
                <w:sz w:val="18"/>
              </w:rPr>
              <w:t>Part V.B contradictions; Vol. II 309; Vol. I at 66–67.</w:t>
            </w:r>
          </w:p>
        </w:tc>
        <w:tc>
          <w:tcPr>
            <w:tcW w:type="dxa" w:w="1872"/>
          </w:tcPr>
          <w:p>
            <w:pPr>
              <w:spacing w:after="40"/>
            </w:pPr>
            <w:r/>
            <w:r>
              <w:rPr>
                <w:sz w:val="18"/>
              </w:rPr>
              <w:t>Within 30 days</w:t>
            </w:r>
          </w:p>
        </w:tc>
      </w:tr>
    </w:tbl>
    <w:p>
      <w:pPr>
        <w:spacing w:after="40"/>
      </w:pPr>
    </w:p>
    <w:p>
      <w:pPr>
        <w:pStyle w:val="Heading2"/>
      </w:pPr>
      <w:r>
        <w:t>C. Depositions, Experts, and Pleadings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1F3A5F"/>
          </w:tcPr>
          <w:p>
            <w:r/>
            <w:r>
              <w:rPr>
                <w:b/>
                <w:color w:val="FFFFFF"/>
                <w:sz w:val="18"/>
              </w:rPr>
              <w:t>#</w:t>
            </w:r>
          </w:p>
        </w:tc>
        <w:tc>
          <w:tcPr>
            <w:tcW w:type="dxa" w:w="3312"/>
            <w:shd w:val="clear" w:color="auto" w:fill="1F3A5F"/>
          </w:tcPr>
          <w:p>
            <w:r/>
            <w:r>
              <w:rPr>
                <w:b/>
                <w:color w:val="FFFFFF"/>
                <w:sz w:val="18"/>
              </w:rPr>
              <w:t>Action</w:t>
            </w:r>
          </w:p>
        </w:tc>
        <w:tc>
          <w:tcPr>
            <w:tcW w:type="dxa" w:w="3744"/>
            <w:shd w:val="clear" w:color="auto" w:fill="1F3A5F"/>
          </w:tcPr>
          <w:p>
            <w:r/>
            <w:r>
              <w:rPr>
                <w:b/>
                <w:color w:val="FFFFFF"/>
                <w:sz w:val="18"/>
              </w:rPr>
              <w:t>Purpose / record basis</w:t>
            </w:r>
          </w:p>
        </w:tc>
        <w:tc>
          <w:tcPr>
            <w:tcW w:type="dxa" w:w="1872"/>
            <w:shd w:val="clear" w:color="auto" w:fill="1F3A5F"/>
          </w:tcPr>
          <w:p>
            <w:r/>
            <w:r>
              <w:rPr>
                <w:b/>
                <w:color w:val="FFFFFF"/>
                <w:sz w:val="18"/>
              </w:rPr>
              <w:t>Timing / owner</w:t>
            </w:r>
          </w:p>
        </w:tc>
      </w:tr>
      <w:tr>
        <w:tc>
          <w:tcPr>
            <w:tcW w:type="dxa" w:w="432"/>
          </w:tcPr>
          <w:p>
            <w:pPr>
              <w:spacing w:after="40"/>
            </w:pPr>
            <w:r/>
            <w:r>
              <w:rPr>
                <w:sz w:val="18"/>
              </w:rPr>
              <w:t>14</w:t>
            </w:r>
          </w:p>
        </w:tc>
        <w:tc>
          <w:tcPr>
            <w:tcW w:type="dxa" w:w="3312"/>
          </w:tcPr>
          <w:p>
            <w:pPr>
              <w:spacing w:after="40"/>
            </w:pPr>
            <w:r/>
            <w:r>
              <w:rPr>
                <w:sz w:val="18"/>
              </w:rPr>
              <w:t>Depose Marcus Adwell, Teresa Quinlan, and Ravi Chandrasekaran; consider a PAG corporate-representative deposition (MCR 2.306(B)(5)).</w:t>
            </w:r>
          </w:p>
        </w:tc>
        <w:tc>
          <w:tcPr>
            <w:tcW w:type="dxa" w:w="3744"/>
          </w:tcPr>
          <w:p>
            <w:pPr>
              <w:spacing w:after="40"/>
            </w:pPr>
            <w:r/>
            <w:r>
              <w:rPr>
                <w:sz w:val="18"/>
              </w:rPr>
              <w:t>June 8–9 event, June 22 dinner and non-compete disclosure, July coffee, VP-role emails, PAG’s pre-hire legal review, MillEdge Pro architecture before and after Yoon, the commits, and the launch acceleration.</w:t>
            </w:r>
          </w:p>
        </w:tc>
        <w:tc>
          <w:tcPr>
            <w:tcW w:type="dxa" w:w="1872"/>
          </w:tcPr>
          <w:p>
            <w:pPr>
              <w:spacing w:after="40"/>
            </w:pPr>
            <w:r/>
            <w:r>
              <w:rPr>
                <w:sz w:val="18"/>
              </w:rPr>
              <w:t>After PAG document production</w:t>
            </w:r>
          </w:p>
        </w:tc>
      </w:tr>
      <w:tr>
        <w:tc>
          <w:tcPr>
            <w:tcW w:type="dxa" w:w="432"/>
          </w:tcPr>
          <w:p>
            <w:pPr>
              <w:spacing w:after="40"/>
            </w:pPr>
            <w:r/>
            <w:r>
              <w:rPr>
                <w:sz w:val="18"/>
              </w:rPr>
              <w:t>15</w:t>
            </w:r>
          </w:p>
        </w:tc>
        <w:tc>
          <w:tcPr>
            <w:tcW w:type="dxa" w:w="3312"/>
          </w:tcPr>
          <w:p>
            <w:pPr>
              <w:spacing w:after="40"/>
            </w:pPr>
            <w:r/>
            <w:r>
              <w:rPr>
                <w:sz w:val="18"/>
              </w:rPr>
              <w:t>Reconvene Yoon’s deposition (rights reserved at Vol. II 333:12–15, 344:5–8) on: AdaptGrip firmware files on the USB drive (not covered); the Aug. 8 and Aug. 11 browser activity; the Aug. 9 clone; the commit diffs; Rog 1–2 biographical conflicts; errata changes; Matsuda/Colegrove/Roth contacts; preservation steps.</w:t>
            </w:r>
          </w:p>
        </w:tc>
        <w:tc>
          <w:tcPr>
            <w:tcW w:type="dxa" w:w="3744"/>
          </w:tcPr>
          <w:p>
            <w:pPr>
              <w:spacing w:after="40"/>
            </w:pPr>
            <w:r/>
            <w:r>
              <w:rPr>
                <w:sz w:val="18"/>
              </w:rPr>
              <w:t>Gaps identified in Parts IV–V.</w:t>
            </w:r>
          </w:p>
        </w:tc>
        <w:tc>
          <w:tcPr>
            <w:tcW w:type="dxa" w:w="1872"/>
          </w:tcPr>
          <w:p>
            <w:pPr>
              <w:spacing w:after="40"/>
            </w:pPr>
            <w:r/>
            <w:r>
              <w:rPr>
                <w:sz w:val="18"/>
              </w:rPr>
              <w:t>After the drive inspection and PAG code production</w:t>
            </w:r>
          </w:p>
        </w:tc>
      </w:tr>
      <w:tr>
        <w:tc>
          <w:tcPr>
            <w:tcW w:type="dxa" w:w="432"/>
          </w:tcPr>
          <w:p>
            <w:pPr>
              <w:spacing w:after="40"/>
            </w:pPr>
            <w:r/>
            <w:r>
              <w:rPr>
                <w:sz w:val="18"/>
              </w:rPr>
              <w:t>16</w:t>
            </w:r>
          </w:p>
        </w:tc>
        <w:tc>
          <w:tcPr>
            <w:tcW w:type="dxa" w:w="3312"/>
          </w:tcPr>
          <w:p>
            <w:pPr>
              <w:spacing w:after="40"/>
            </w:pPr>
            <w:r/>
            <w:r>
              <w:rPr>
                <w:sz w:val="18"/>
              </w:rPr>
              <w:t>Declarations or depositions of Lisa Marchetti (exit interview checklist, USB questions) and James Parekh (chain of custody, pre-Aug. 22 review, IT Policy § 3.4); interview Matsuda, Colegrove, and Roth.</w:t>
            </w:r>
          </w:p>
        </w:tc>
        <w:tc>
          <w:tcPr>
            <w:tcW w:type="dxa" w:w="3744"/>
          </w:tcPr>
          <w:p>
            <w:pPr>
              <w:spacing w:after="40"/>
            </w:pPr>
            <w:r/>
            <w:r>
              <w:rPr>
                <w:sz w:val="18"/>
              </w:rPr>
              <w:t>Vol. I at 179–180; Forensic Rpt. § 4.2; Vol. II 331–332.</w:t>
            </w:r>
          </w:p>
        </w:tc>
        <w:tc>
          <w:tcPr>
            <w:tcW w:type="dxa" w:w="1872"/>
          </w:tcPr>
          <w:p>
            <w:pPr>
              <w:spacing w:after="40"/>
            </w:pPr>
            <w:r/>
            <w:r>
              <w:rPr>
                <w:sz w:val="18"/>
              </w:rPr>
              <w:t>30 days</w:t>
            </w:r>
          </w:p>
        </w:tc>
      </w:tr>
      <w:tr>
        <w:tc>
          <w:tcPr>
            <w:tcW w:type="dxa" w:w="432"/>
          </w:tcPr>
          <w:p>
            <w:pPr>
              <w:spacing w:after="40"/>
            </w:pPr>
            <w:r/>
            <w:r>
              <w:rPr>
                <w:sz w:val="18"/>
              </w:rPr>
              <w:t>17</w:t>
            </w:r>
          </w:p>
        </w:tc>
        <w:tc>
          <w:tcPr>
            <w:tcW w:type="dxa" w:w="3312"/>
          </w:tcPr>
          <w:p>
            <w:pPr>
              <w:spacing w:after="40"/>
            </w:pPr>
            <w:r/>
            <w:r>
              <w:rPr>
                <w:sz w:val="18"/>
              </w:rPr>
              <w:t>Retain a source-code comparison expert (OptiMill/HarmonicPath vs. MillEdge Pro, including the dyoon-pag commits) and a damages expert (head start, unjust enrichment/disgorgement, reasonable royalty; $6.2M development cost; AdaptGrip revenue).</w:t>
            </w:r>
          </w:p>
        </w:tc>
        <w:tc>
          <w:tcPr>
            <w:tcW w:type="dxa" w:w="3744"/>
          </w:tcPr>
          <w:p>
            <w:pPr>
              <w:spacing w:after="40"/>
            </w:pPr>
            <w:r/>
            <w:r>
              <w:rPr>
                <w:sz w:val="18"/>
              </w:rPr>
              <w:t>Vol. I at 41–44; Vol. II 304–306, 318–323.</w:t>
            </w:r>
          </w:p>
        </w:tc>
        <w:tc>
          <w:tcPr>
            <w:tcW w:type="dxa" w:w="1872"/>
          </w:tcPr>
          <w:p>
            <w:pPr>
              <w:spacing w:after="40"/>
            </w:pPr>
            <w:r/>
            <w:r>
              <w:rPr>
                <w:sz w:val="18"/>
              </w:rPr>
              <w:t>Engage now (AEO order needed)</w:t>
            </w:r>
          </w:p>
        </w:tc>
      </w:tr>
      <w:tr>
        <w:tc>
          <w:tcPr>
            <w:tcW w:type="dxa" w:w="432"/>
          </w:tcPr>
          <w:p>
            <w:pPr>
              <w:spacing w:after="40"/>
            </w:pPr>
            <w:r/>
            <w:r>
              <w:rPr>
                <w:sz w:val="18"/>
              </w:rPr>
              <w:t>18</w:t>
            </w:r>
          </w:p>
        </w:tc>
        <w:tc>
          <w:tcPr>
            <w:tcW w:type="dxa" w:w="3312"/>
          </w:tcPr>
          <w:p>
            <w:pPr>
              <w:spacing w:after="40"/>
            </w:pPr>
            <w:r/>
            <w:r>
              <w:rPr>
                <w:sz w:val="18"/>
              </w:rPr>
              <w:t>Evaluate amending the complaint: breach of the Separation Acknowledgment / fraudulent misrepresentation (Sep. Ack. § 5); tortious interference and civil conspiracy against PAG (knowledge from June 22); breach of fiduciary duty for pre-resignation conduct while CTO; DTSA count if strategically useful (§ 12 also allows W.D. Mich.).</w:t>
            </w:r>
          </w:p>
        </w:tc>
        <w:tc>
          <w:tcPr>
            <w:tcW w:type="dxa" w:w="3744"/>
          </w:tcPr>
          <w:p>
            <w:pPr>
              <w:spacing w:after="40"/>
            </w:pPr>
            <w:r/>
            <w:r>
              <w:rPr>
                <w:sz w:val="18"/>
              </w:rPr>
              <w:t>Parts IV.C, IV.G; Forensic Rpt.</w:t>
            </w:r>
          </w:p>
        </w:tc>
        <w:tc>
          <w:tcPr>
            <w:tcW w:type="dxa" w:w="1872"/>
          </w:tcPr>
          <w:p>
            <w:pPr>
              <w:spacing w:after="40"/>
            </w:pPr>
            <w:r/>
            <w:r>
              <w:rPr>
                <w:sz w:val="18"/>
              </w:rPr>
              <w:t>Strategy call with partner</w:t>
            </w:r>
          </w:p>
        </w:tc>
      </w:tr>
      <w:tr>
        <w:tc>
          <w:tcPr>
            <w:tcW w:type="dxa" w:w="432"/>
          </w:tcPr>
          <w:p>
            <w:pPr>
              <w:spacing w:after="40"/>
            </w:pPr>
            <w:r/>
            <w:r>
              <w:rPr>
                <w:sz w:val="18"/>
              </w:rPr>
              <w:t>19</w:t>
            </w:r>
          </w:p>
        </w:tc>
        <w:tc>
          <w:tcPr>
            <w:tcW w:type="dxa" w:w="3312"/>
          </w:tcPr>
          <w:p>
            <w:pPr>
              <w:spacing w:after="40"/>
            </w:pPr>
            <w:r/>
            <w:r>
              <w:rPr>
                <w:sz w:val="18"/>
              </w:rPr>
              <w:t>Prepare motions in limine (Fontaine litigation; any undisclosed advice-of-counsel evidence) and impeachment clips from the video for the PI hearing and trial.</w:t>
            </w:r>
          </w:p>
        </w:tc>
        <w:tc>
          <w:tcPr>
            <w:tcW w:type="dxa" w:w="3744"/>
          </w:tcPr>
          <w:p>
            <w:pPr>
              <w:spacing w:after="40"/>
            </w:pPr>
            <w:r/>
            <w:r>
              <w:rPr>
                <w:sz w:val="18"/>
              </w:rPr>
              <w:t>Vol. I at 201; Vol. II 340–341.</w:t>
            </w:r>
          </w:p>
        </w:tc>
        <w:tc>
          <w:tcPr>
            <w:tcW w:type="dxa" w:w="1872"/>
          </w:tcPr>
          <w:p>
            <w:pPr>
              <w:spacing w:after="40"/>
            </w:pPr>
            <w:r/>
            <w:r>
              <w:rPr>
                <w:sz w:val="18"/>
              </w:rPr>
              <w:t>Ongoing</w:t>
            </w:r>
          </w:p>
        </w:tc>
      </w:tr>
    </w:tbl>
    <w:p>
      <w:pPr>
        <w:spacing w:after="40"/>
      </w:pPr>
    </w:p>
    <w:p>
      <w:pPr>
        <w:pStyle w:val="Heading1"/>
      </w:pPr>
      <w:r>
        <w:t>Appendix — Proposed Requests for Admission (Draft)</w:t>
      </w:r>
    </w:p>
    <w:p>
      <w:pPr>
        <w:pStyle w:val="ListNumber"/>
        <w:spacing w:after="60"/>
      </w:pPr>
      <w:r>
        <w:t>Admit that on August 10, 2024 you connected the SanDisk Ultra 256GB USB drive bearing serial number SD256-7891-XKR to your CMS-issued laptop (asset tag CMS-IT-4471).</w:t>
      </w:r>
    </w:p>
    <w:p>
      <w:pPr>
        <w:pStyle w:val="ListNumber"/>
        <w:spacing w:after="60"/>
      </w:pPr>
      <w:r>
        <w:t>Admit that the files you copied to that drive on August 10, 2024 included files from C:\Users\dyoon\Repos\OptiMill-v3\algorithms\harmonicpath\.</w:t>
      </w:r>
    </w:p>
    <w:p>
      <w:pPr>
        <w:pStyle w:val="ListNumber"/>
        <w:spacing w:after="60"/>
      </w:pPr>
      <w:r>
        <w:t>Admit that the files you copied to that drive on August 10, 2024 included files from C:\Users\dyoon\Repos\AdaptGrip\firmware\.</w:t>
      </w:r>
    </w:p>
    <w:p>
      <w:pPr>
        <w:pStyle w:val="ListNumber"/>
        <w:spacing w:after="60"/>
      </w:pPr>
      <w:r>
        <w:t>Admit that you have not returned that drive to CMS.</w:t>
      </w:r>
    </w:p>
    <w:p>
      <w:pPr>
        <w:pStyle w:val="ListNumber"/>
        <w:spacing w:after="60"/>
      </w:pPr>
      <w:r>
        <w:t>Admit that on August 12, 2024 you sent the file CMS_Pricing_Master_2024_Q3.xlsx from dyoon@corbinmachining.com to derek.yoon.personal@gmail.com.</w:t>
      </w:r>
    </w:p>
    <w:p>
      <w:pPr>
        <w:pStyle w:val="ListNumber"/>
        <w:spacing w:after="60"/>
      </w:pPr>
      <w:r>
        <w:t>Admit that the Blue Book constitutes Proprietary Information as defined in Section 8(a) of the Employment Agreement.</w:t>
      </w:r>
    </w:p>
    <w:p>
      <w:pPr>
        <w:pStyle w:val="ListNumber"/>
        <w:spacing w:after="60"/>
      </w:pPr>
      <w:r>
        <w:t>Admit that you received Plaintiff’s August 22, 2024 letter at derek.yoon.personal@gmail.com on August 22, 2024.</w:t>
      </w:r>
    </w:p>
    <w:p>
      <w:pPr>
        <w:pStyle w:val="ListNumber"/>
        <w:spacing w:after="60"/>
      </w:pPr>
      <w:r>
        <w:t>Admit that the Separation Acknowledgment you signed on August 28, 2024 stated that the non-competition radius was one hundred fifty (150) miles.</w:t>
      </w:r>
    </w:p>
    <w:p>
      <w:pPr>
        <w:pStyle w:val="ListNumber"/>
        <w:spacing w:after="60"/>
      </w:pPr>
      <w:r>
        <w:t>Admit that you performed a factory reset of your iPhone 15 Pro on or about September 1, 2024, after receiving the August 22, 2024 letter.</w:t>
      </w:r>
    </w:p>
    <w:p>
      <w:pPr>
        <w:pStyle w:val="ListNumber"/>
        <w:spacing w:after="60"/>
      </w:pPr>
      <w:r>
        <w:t>Admit that you met Marcus Adwell at a Michigan Automation Council event in June 2024 and dined with him on June 22, 2024.</w:t>
      </w:r>
    </w:p>
    <w:p>
      <w:pPr>
        <w:pStyle w:val="ListNumber"/>
        <w:spacing w:after="60"/>
      </w:pPr>
      <w:r>
        <w:t>Admit that you told Marcus Adwell on June 22, 2024 that you were subject to a non-compete with CMS.</w:t>
      </w:r>
    </w:p>
    <w:p>
      <w:pPr>
        <w:pStyle w:val="ListNumber"/>
        <w:spacing w:after="60"/>
      </w:pPr>
      <w:r>
        <w:t>Admit that you met Teresa Quinlan in person in July 2024, before you resigned from CMS.</w:t>
      </w:r>
    </w:p>
    <w:p>
      <w:pPr>
        <w:pStyle w:val="ListNumber"/>
        <w:spacing w:after="60"/>
      </w:pPr>
      <w:r>
        <w:t>Admit that you made eleven commits to the MillEdge Pro codebase in September 2024 under the username dyoon-pag.</w:t>
      </w:r>
    </w:p>
    <w:p>
      <w:pPr>
        <w:pStyle w:val="ListNumber"/>
        <w:spacing w:after="60"/>
      </w:pPr>
      <w:r>
        <w:t>Admit that your answers to Interrogatories 3, 4, 7, 12, and 15 were inaccurate when verified on November 1, 2024.</w:t>
      </w:r>
    </w:p>
    <w:p>
      <w:pPr>
        <w:pStyle w:val="ListNumber"/>
        <w:spacing w:after="60"/>
      </w:pPr>
      <w:r>
        <w:t>Admit that PAG’s office at 2850 Livernois Road, Troy, Michigan is within 150 miles of 7100 Broadmoor Avenue SE, Grand Rapids, Michigan.</w:t>
      </w:r>
    </w:p>
    <w:p>
      <w:r/>
    </w:p>
    <w:p>
      <w:r>
        <w:rPr>
          <w:i/>
          <w:sz w:val="18"/>
        </w:rPr>
        <w:t>This memorandum summarizes the deposition and supporting documents for internal strategy purposes. Characterizations of exhibits not in the review set (e.g., Exs. 5, 9, 13, 15, 20–25, 28) are based on how they were described on the record and should be verified against the exhibits themselves before use in any filing.</w:t>
      </w:r>
    </w:p>
    <w:sectPr w:rsidR="00FC693F" w:rsidRPr="0006063C" w:rsidSect="00034616">
      <w:footerReference w:type="default" r:id="rId9"/>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