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DRAFT — FOR PARTNER REVIEW — PRIVILEGED AND CONFIDENTIAL ATTORNEY WORK PRODUCT</w:t>
      </w:r>
    </w:p>
    <w:p>
      <w:pPr>
        <w:jc w:val="center"/>
      </w:pPr>
      <w:r>
        <w:rPr>
          <w:sz w:val="20"/>
        </w:rPr>
        <w:t>Whitfield &amp; Crane LLP Draft No. 1 — Not for execution. Bracketed items to be completed or confirmed before execution (see Issues Memorandum).</w:t>
      </w:r>
    </w:p>
    <w:p/>
    <w:p>
      <w:pPr>
        <w:jc w:val="center"/>
      </w:pPr>
      <w:r>
        <w:rPr>
          <w:b/>
          <w:sz w:val="28"/>
        </w:rPr>
        <w:t>PRIYA CHANDRASEKARAN 2025 GRANTOR RETAINED ANNUITY TRUST</w:t>
      </w:r>
    </w:p>
    <w:p>
      <w:pPr>
        <w:jc w:val="center"/>
      </w:pPr>
      <w:r>
        <w:rPr>
          <w:b/>
          <w:sz w:val="26"/>
        </w:rPr>
        <w:t>TRUST AGREEMENT</w:t>
      </w:r>
    </w:p>
    <w:p/>
    <w:p>
      <w:pPr>
        <w:jc w:val="both"/>
      </w:pPr>
      <w:r>
        <w:t xml:space="preserve">THIS TRUST AGREEMENT (this "Agreement") is made as of [__________], 2025, by and between </w:t>
      </w:r>
      <w:r>
        <w:rPr>
          <w:b/>
        </w:rPr>
        <w:t>DR. PRIYA CHANDRASEKARAN</w:t>
      </w:r>
      <w:r>
        <w:t xml:space="preserve">, of 42 Overlook Terrace, Guilford, Connecticut 06437, as grantor (the "Grantor"), and </w:t>
      </w:r>
      <w:r>
        <w:rPr>
          <w:b/>
        </w:rPr>
        <w:t>DR. PRIYA CHANDRASEKARAN</w:t>
      </w:r>
      <w:r>
        <w:t xml:space="preserve">, as individual trustee (the "Individual Trustee"), and </w:t>
      </w:r>
      <w:r>
        <w:rPr>
          <w:b/>
        </w:rPr>
        <w:t>WHEATLEY NATIONAL BANK &amp; TRUST</w:t>
      </w:r>
      <w:r>
        <w:t>, 400 Chapel Street, New Haven, Connecticut 06510, as independent trustee (the "Independent Trustee") (the Individual Trustee and the Independent Trustee, together with their respective successors, being referred to collectively as the "Trustees" and each as a "Trustee").</w:t>
      </w:r>
    </w:p>
    <w:p>
      <w:pPr>
        <w:pStyle w:val="Heading1"/>
      </w:pPr>
      <w:r>
        <w:t>RECITALS</w:t>
      </w:r>
    </w:p>
    <w:p>
      <w:pPr>
        <w:jc w:val="both"/>
      </w:pPr>
      <w:r>
        <w:t>A. The Grantor desires to establish an irrevocable trust in which the Grantor retains a qualified annuity interest within the meaning of Section 2702(b)(1) of the Internal Revenue Code of 1986, as amended (the "Code"), and Treasury Regulations Section 25.2702-3, for a fixed term of three (3) years, with the remainder passing to or for the benefit of the Grantor’s children as provided herein.</w:t>
      </w:r>
    </w:p>
    <w:p>
      <w:pPr>
        <w:jc w:val="both"/>
      </w:pPr>
      <w:r>
        <w:t>B. The Grantor intends to transfer to the Trustees, in a single transfer on the Funding Date (as defined below), four hundred thousand (400,000) shares of common stock of Helios Biosciences, Inc., a Delaware corporation (the "Company"), which shares are subject to the Amended and Restated Stockholders’ Agreement of the Company dated as of September 15, 2021 (as amended from time to time, the "Stockholders’ Agreement").</w:t>
      </w:r>
    </w:p>
    <w:p>
      <w:pPr>
        <w:jc w:val="both"/>
      </w:pPr>
      <w:r>
        <w:t>C. The Trustees have agreed to hold such property, and any property later received by them under this Agreement, IN TRUST, on the terms set forth below.</w:t>
      </w:r>
    </w:p>
    <w:p>
      <w:pPr>
        <w:jc w:val="both"/>
      </w:pPr>
      <w:r>
        <w:t>NOW, THEREFORE, the Grantor and the Trustees agree as follows:</w:t>
      </w:r>
    </w:p>
    <w:p>
      <w:pPr>
        <w:pStyle w:val="Heading1"/>
      </w:pPr>
      <w:r>
        <w:t>ARTICLE I — NAME; IRREVOCABILITY; DEFINITIONS</w:t>
      </w:r>
    </w:p>
    <w:p>
      <w:pPr>
        <w:jc w:val="both"/>
      </w:pPr>
      <w:r>
        <w:rPr>
          <w:b/>
        </w:rPr>
        <w:t>1.1 Name.</w:t>
      </w:r>
      <w:r>
        <w:t xml:space="preserve"> The trust created by this Agreement shall be known as the "PRIYA CHANDRASEKARAN 2025 GRANTOR RETAINED ANNUITY TRUST" (the "Trust"), and the Trustees may hold title to Trust property in that name or in the names of the Trustees as trustees of the Trust.</w:t>
      </w:r>
    </w:p>
    <w:p>
      <w:pPr>
        <w:jc w:val="both"/>
      </w:pPr>
      <w:r>
        <w:rPr>
          <w:b/>
        </w:rPr>
        <w:t>1.2 Irrevocability.</w:t>
      </w:r>
      <w:r>
        <w:t xml:space="preserve"> This Agreement and the Trust are irrevocable. The Grantor expressly waives all rights and powers, whether alone or in conjunction with others, and regardless of when or from what source the Grantor may heretofore or hereafter have acquired such rights or powers, to alter, amend, revoke, or terminate this Agreement or the Trust, or any of the terms of this Agreement, in whole or in part, except as expressly provided in Section 11.3 (amendment solely to preserve qualification under Section 2702 of the Code).</w:t>
      </w:r>
    </w:p>
    <w:p>
      <w:pPr>
        <w:jc w:val="both"/>
      </w:pPr>
      <w:r>
        <w:rPr>
          <w:b/>
        </w:rPr>
        <w:t>1.3 Definitions.</w:t>
      </w:r>
      <w:r>
        <w:t xml:space="preserve"> As used in this Agreement:</w:t>
      </w:r>
    </w:p>
    <w:p>
      <w:pPr>
        <w:ind w:left="720"/>
        <w:jc w:val="both"/>
      </w:pPr>
      <w:r>
        <w:t>"</w:t>
      </w:r>
      <w:r>
        <w:rPr>
          <w:b/>
        </w:rPr>
        <w:t>Annuity Amount</w:t>
      </w:r>
      <w:r>
        <w:t>" means the amount described in Section 3.1.</w:t>
      </w:r>
    </w:p>
    <w:p>
      <w:pPr>
        <w:ind w:left="720"/>
        <w:jc w:val="both"/>
      </w:pPr>
      <w:r>
        <w:t>"</w:t>
      </w:r>
      <w:r>
        <w:rPr>
          <w:b/>
        </w:rPr>
        <w:t>Annuity Payment Date</w:t>
      </w:r>
      <w:r>
        <w:t>" means each anniversary of the Funding Date occurring during the Annuity Term, the last of which shall be the third (3rd) anniversary of the Funding Date.</w:t>
      </w:r>
    </w:p>
    <w:p>
      <w:pPr>
        <w:ind w:left="720"/>
        <w:jc w:val="both"/>
      </w:pPr>
      <w:r>
        <w:t>"</w:t>
      </w:r>
      <w:r>
        <w:rPr>
          <w:b/>
        </w:rPr>
        <w:t>Annuity Term</w:t>
      </w:r>
      <w:r>
        <w:t>" means the period beginning on the Funding Date and ending on (and including) the third (3rd) anniversary of the Funding Date. The Annuity Term is a fixed term of years that shall not be shortened, extended, or accelerated for any reason, including the Grantor’s death.</w:t>
      </w:r>
    </w:p>
    <w:p>
      <w:pPr>
        <w:ind w:left="720"/>
        <w:jc w:val="both"/>
      </w:pPr>
      <w:r>
        <w:t>"</w:t>
      </w:r>
      <w:r>
        <w:rPr>
          <w:b/>
        </w:rPr>
        <w:t>Annuity Year</w:t>
      </w:r>
      <w:r>
        <w:t>" means each twelve-month period beginning on the Funding Date or on an anniversary of the Funding Date.</w:t>
      </w:r>
    </w:p>
    <w:p>
      <w:pPr>
        <w:ind w:left="720"/>
        <w:jc w:val="both"/>
      </w:pPr>
      <w:r>
        <w:t>"</w:t>
      </w:r>
      <w:r>
        <w:rPr>
          <w:b/>
        </w:rPr>
        <w:t>Funding Date</w:t>
      </w:r>
      <w:r>
        <w:t>" means the date on which the Initial Trust Property is transferred to the Trustees, which date shall be the date on which the transfer of the Shares is recorded on the stock transfer books of the Company following satisfaction of the conditions set forth in Section 2.2, and which the Trustees shall confirm in a written certificate signed by the Independent Trustee and attached to this Agreement as Schedule B.</w:t>
      </w:r>
    </w:p>
    <w:p>
      <w:pPr>
        <w:ind w:left="720"/>
        <w:jc w:val="both"/>
      </w:pPr>
      <w:r>
        <w:t>"</w:t>
      </w:r>
      <w:r>
        <w:rPr>
          <w:b/>
        </w:rPr>
        <w:t>Independent Appraiser</w:t>
      </w:r>
      <w:r>
        <w:t>" means a qualified appraiser (within the meaning of Treasury Regulations Section 301.6501(c)-1(f)(3)) who is independent of the Grantor, the Individual Trustee, and each beneficiary, who is experienced in valuing interests in privately held life sciences companies, and who is engaged by the Independent Trustee.</w:t>
      </w:r>
    </w:p>
    <w:p>
      <w:pPr>
        <w:ind w:left="720"/>
        <w:jc w:val="both"/>
      </w:pPr>
      <w:r>
        <w:t>"</w:t>
      </w:r>
      <w:r>
        <w:rPr>
          <w:b/>
        </w:rPr>
        <w:t>Initial Fair Market Value</w:t>
      </w:r>
      <w:r>
        <w:t>" means the net fair market value of the Initial Trust Property as of the Funding Date, as finally determined for federal gift tax purposes.</w:t>
      </w:r>
    </w:p>
    <w:p>
      <w:pPr>
        <w:ind w:left="720"/>
        <w:jc w:val="both"/>
      </w:pPr>
      <w:r>
        <w:t>"</w:t>
      </w:r>
      <w:r>
        <w:rPr>
          <w:b/>
        </w:rPr>
        <w:t>Initial Trust Property</w:t>
      </w:r>
      <w:r>
        <w:t>" means the property described in Schedule A, being the four hundred thousand (400,000) shares of common stock of the Company (the "Shares") [and the sum of 0 in cash] transferred to the Trustees in a single transfer on the Funding Date.</w:t>
      </w:r>
    </w:p>
    <w:p>
      <w:pPr>
        <w:ind w:left="720"/>
        <w:jc w:val="both"/>
      </w:pPr>
      <w:r>
        <w:t>"</w:t>
      </w:r>
      <w:r>
        <w:rPr>
          <w:b/>
        </w:rPr>
        <w:t>Related or Subordinate Party</w:t>
      </w:r>
      <w:r>
        <w:t>" means has the meaning given in Section 672(c) of the Code, and in addition includes the Grantor’s spouse and any descendant of the Grantor or spouse of such descendant.</w:t>
      </w:r>
    </w:p>
    <w:p>
      <w:pPr>
        <w:ind w:left="720"/>
        <w:jc w:val="both"/>
      </w:pPr>
      <w:r>
        <w:t>"</w:t>
      </w:r>
      <w:r>
        <w:rPr>
          <w:b/>
        </w:rPr>
        <w:t>Remainder Beneficiaries</w:t>
      </w:r>
      <w:r>
        <w:t>" means the Grantor’s three children, ANANYA CHANDRASEKARAN-PATEL, ROHAN CHANDRASEKARAN, and MEERA CHANDRASEKARAN, and the descendants of any of them who take under Article V.</w:t>
      </w:r>
    </w:p>
    <w:p>
      <w:pPr>
        <w:ind w:left="720"/>
        <w:jc w:val="both"/>
      </w:pPr>
      <w:r>
        <w:t>"</w:t>
      </w:r>
      <w:r>
        <w:rPr>
          <w:b/>
        </w:rPr>
        <w:t>Section 7520 Rate</w:t>
      </w:r>
      <w:r>
        <w:t>" means the interest rate determined under Section 7520(a)(2) of the Code that the Grantor elects to use for valuing the Grantor’s retained interest on the Grantor’s federal gift tax return for the year of the Funding Date.</w:t>
      </w:r>
    </w:p>
    <w:p>
      <w:pPr>
        <w:ind w:left="432"/>
        <w:jc w:val="both"/>
      </w:pPr>
      <w:r>
        <w:rPr>
          <w:i/>
          <w:color w:val="1F3A93"/>
          <w:sz w:val="20"/>
        </w:rPr>
        <w:t>[Drafting Note: Defined terms should conform to the final Funding Date. The Agreement is drafted so that NO property passes to the Trust before the Funding Date; a nominal pre-funding deposit (e.g., $10) followed by a transfer of the Shares would be an "additional contribution" prohibited by Treas. Reg. 25.2702-3(b)(5). If cash is to be added to give the Trust liquidity for fees and appraisals (Issues Memorandum, Issue 18), it must be transferred simultaneously with the Shares as part of the single Initial Trust Property.]</w:t>
      </w:r>
    </w:p>
    <w:p>
      <w:pPr>
        <w:pStyle w:val="Heading1"/>
      </w:pPr>
      <w:r>
        <w:t>ARTICLE II — TRUST PROPERTY; CONDITIONS TO FUNDING</w:t>
      </w:r>
    </w:p>
    <w:p>
      <w:pPr>
        <w:jc w:val="both"/>
      </w:pPr>
      <w:r>
        <w:rPr>
          <w:b/>
        </w:rPr>
        <w:t>2.1 Initial Trust Property.</w:t>
      </w:r>
      <w:r>
        <w:t xml:space="preserve"> On the Funding Date, the Grantor shall transfer the Initial Trust Property to the Trustees, who shall hold it, together with all investments and reinvestments thereof (the "Trust Estate"), upon the terms of this Agreement. The Trustees acknowledge that the Initial Trust Property is to consist of the Shares described on Schedule A.</w:t>
      </w:r>
    </w:p>
    <w:p>
      <w:pPr>
        <w:jc w:val="both"/>
      </w:pPr>
      <w:r>
        <w:rPr>
          <w:b/>
        </w:rPr>
        <w:t>2.2 Conditions Precedent to Transfer of Shares.</w:t>
      </w:r>
      <w:r>
        <w:t xml:space="preserve"> The Grantor shall not deliver, and the Trustees shall not accept, the Shares unless and until each of the following has occurred: (a) the Board of Directors of the Company (the "Board") has granted its prior written consent to the transfer of the Shares to the Trust under Section 4.2(a) of the Stockholders’ Agreement; (b) the Company’s right of first refusal under Section 4.2(b) of the Stockholders’ Agreement has been waived in writing or has expired unexercised, and the transfer will be completed within the Transfer Completion Period (as defined therein); (c) each Trustee has executed and delivered to the Company a Joinder Agreement in the form required by Section 4.1(d) of the Stockholders’ Agreement; and (d) the Independent Trustee has confirmed in writing that its review of the Stockholders’ Agreement and the Independent Trustee’s acceptance procedures are complete. If the Company exercises its right of first refusal, this Agreement shall be of no force or effect and no trust shall be deemed created hereunder.</w:t>
      </w:r>
    </w:p>
    <w:p>
      <w:pPr>
        <w:jc w:val="both"/>
      </w:pPr>
      <w:r>
        <w:rPr>
          <w:b/>
        </w:rPr>
        <w:t>2.3 No Additional Contributions.</w:t>
      </w:r>
      <w:r>
        <w:t xml:space="preserve"> No additional contributions shall be made to the Trust after the Funding Date. Any property that is transferred to the Trustees after the Funding Date, other than (a) income and appreciation of the Trust Estate, and (b) property received in exchange for Trust property (including property received under Section 9.1), shall not be accepted by the Trustees and, if received, shall be promptly returned to the transferor without becoming part of the Trust Estate.</w:t>
      </w:r>
    </w:p>
    <w:p>
      <w:pPr>
        <w:jc w:val="both"/>
      </w:pPr>
      <w:r>
        <w:rPr>
          <w:b/>
        </w:rPr>
        <w:t>2.4 Single Trust; No Separate Shares During Annuity Term.</w:t>
      </w:r>
      <w:r>
        <w:t xml:space="preserve"> During the Annuity Term the Trust Estate shall be held as a single trust and shall not be divided into separate shares.</w:t>
      </w:r>
    </w:p>
    <w:p>
      <w:pPr>
        <w:pStyle w:val="Heading1"/>
      </w:pPr>
      <w:r>
        <w:t>ARTICLE III — RETAINED ANNUITY INTEREST</w:t>
      </w:r>
    </w:p>
    <w:p>
      <w:pPr>
        <w:jc w:val="both"/>
      </w:pPr>
      <w:r>
        <w:rPr>
          <w:b/>
        </w:rPr>
        <w:t>3.1 Annuity Amount.</w:t>
      </w:r>
      <w:r>
        <w:t xml:space="preserve"> During the Annuity Term, the Trustees shall pay to the Grantor in each Annuity Year an annuity amount (the "Annuity Amount") equal to [37.2726] percent ([37.2726]%) of the Initial Fair Market Value. The Annuity Amount shall be payable in a single installment on each Annuity Payment Date, in arrears.</w:t>
      </w:r>
    </w:p>
    <w:p>
      <w:pPr>
        <w:ind w:left="432"/>
        <w:jc w:val="both"/>
      </w:pPr>
      <w:r>
        <w:rPr>
          <w:i/>
          <w:color w:val="1F3A93"/>
          <w:sz w:val="20"/>
        </w:rPr>
        <w:t>[Drafting Note: The bracketed percentage is ILLUSTRATIVE ONLY. It is the percentage that produces a remainder value of approximately zero for a three-year term with annual payments in arrears at an assumed Section 7520 rate of 5.8% (annuity factor 2.682934; 1/2.682934 = 37.2726%). The percentage must be fixed in the executed instrument (it may not float with the rate) and must be recomputed when the Funding Date is set, using the LOWEST of the Section 7520 rates for the month of the Funding Date and the two preceding months (all three will be published before a funding in the third month). It should be rounded DOWN to four decimal places so that a small positive gift results (to be reported on Form 709). Using a percentage of the Initial Fair Market Value "as finally determined for federal gift tax purposes" (Treas. Reg. 25.2702-3(b)(1)(ii)(B)) protects the zeroed-out result whether the Shares are ultimately valued at $13.50, $20.00, or some other value. See Issues Memorandum Appendix A for the rate table. A fixed-dollar annuity of $2,850,000 (as in the Silveroak model) must NOT be used.]</w:t>
      </w:r>
    </w:p>
    <w:p>
      <w:pPr>
        <w:jc w:val="both"/>
      </w:pPr>
      <w:r>
        <w:rPr>
          <w:b/>
        </w:rPr>
        <w:t>3.2 Source of Payment.</w:t>
      </w:r>
      <w:r>
        <w:t xml:space="preserve"> The Annuity Amount shall be paid from the net income of the Trust Estate and, to the extent the net income is insufficient, from principal. Any net income for an Annuity Year in excess of the Annuity Amount shall be added to principal and shall not be distributed to the Grantor or any other person.</w:t>
      </w:r>
    </w:p>
    <w:p>
      <w:pPr>
        <w:jc w:val="both"/>
      </w:pPr>
      <w:r>
        <w:rPr>
          <w:b/>
        </w:rPr>
        <w:t>3.3 Time of Payment.</w:t>
      </w:r>
      <w:r>
        <w:t xml:space="preserve"> Each payment of the Annuity Amount shall be made on the applicable Annuity Payment Date; provided, however, that a payment may be made after such date if it is made no later than one hundred five (105) days after the Annuity Payment Date, as permitted by Treasury Regulations Section 25.2702-3(b)(4). The Independent Trustee shall cause each payment to be made within such period and shall commence any process required under the Stockholders’ Agreement for an in-kind payment of Shares sufficiently in advance of each Annuity Payment Date to permit timely payment.</w:t>
      </w:r>
    </w:p>
    <w:p>
      <w:pPr>
        <w:jc w:val="both"/>
      </w:pPr>
      <w:r>
        <w:rPr>
          <w:b/>
        </w:rPr>
        <w:t>3.4 Payment in Cash or in Kind.</w:t>
      </w:r>
      <w:r>
        <w:t xml:space="preserve"> The Annuity Amount may be paid in cash, in kind, or partly in cash and partly in kind, as the Independent Trustee shall determine in its sole discretion. Property distributed in kind (including Shares) shall be valued at its fair market value on the date of distribution, as determined by the Independent Trustee on the basis of a written appraisal by an Independent Appraiser as of that date (or, if the Shares are then publicly traded on an established securities market, on the basis of the mean between the highest and lowest quoted selling prices on that date). The Individual Trustee and the Grantor shall have no power to determine, or to participate in determining, the value of any property distributed in kind.</w:t>
      </w:r>
    </w:p>
    <w:p>
      <w:pPr>
        <w:jc w:val="both"/>
      </w:pPr>
      <w:r>
        <w:rPr>
          <w:b/>
        </w:rPr>
        <w:t>3.5 Prohibition on Notes and Similar Obligations.</w:t>
      </w:r>
      <w:r>
        <w:t xml:space="preserve"> In no event shall the Annuity Amount be paid, in whole or in part, directly or indirectly, by the issuance of a note, other debt instrument, option, or other similar financial arrangement, and the Trustees shall not borrow from any person (including the Grantor) for the purpose of making any payment of the Annuity Amount, all as provided in Treasury Regulations Section 25.2702-3(d)(6).</w:t>
      </w:r>
    </w:p>
    <w:p>
      <w:pPr>
        <w:jc w:val="both"/>
      </w:pPr>
      <w:r>
        <w:rPr>
          <w:b/>
        </w:rPr>
        <w:t>3.6 Short Annuity Year; Proration.</w:t>
      </w:r>
      <w:r>
        <w:t xml:space="preserve"> If any Annuity Year is a short period, the Annuity Amount for such period shall be prorated on a daily basis, in accordance with Treasury Regulations Section 25.2702-3(b)(3).</w:t>
      </w:r>
    </w:p>
    <w:p>
      <w:pPr>
        <w:jc w:val="both"/>
      </w:pPr>
      <w:r>
        <w:rPr>
          <w:b/>
        </w:rPr>
        <w:t>3.7 Incorrect Valuation.</w:t>
      </w:r>
      <w:r>
        <w:t xml:space="preserve"> If the Initial Fair Market Value is incorrectly determined by the Trustees, then within a reasonable period after the final determination of the correct value, (a) the Trustees shall pay to the Grantor (or the Grantor’s estate) any amount by which the Annuity Amounts paid were less than the amounts properly payable, or (b) the Grantor (or the Grantor’s estate) shall repay to the Trust any amount by which the Annuity Amounts paid exceeded the amounts properly payable, in each case without interest, as required by Treasury Regulations Section 25.2702-3(b)(2).</w:t>
      </w:r>
    </w:p>
    <w:p>
      <w:pPr>
        <w:jc w:val="both"/>
      </w:pPr>
      <w:r>
        <w:rPr>
          <w:b/>
        </w:rPr>
        <w:t>3.8 No Payments to Others; No Commutation.</w:t>
      </w:r>
      <w:r>
        <w:t xml:space="preserve"> During the Annuity Term, no distribution shall be made from the Trust to or for the benefit of any person other than the Grantor (or the Grantor’s estate) and, after the Grantor’s death, as provided in Article IV. The Grantor’s annuity interest may not be commuted or prepaid. No Trustee shall have any discretionary power to make distributions other than the Annuity Amount.</w:t>
      </w:r>
    </w:p>
    <w:p>
      <w:pPr>
        <w:jc w:val="both"/>
      </w:pPr>
      <w:r>
        <w:rPr>
          <w:b/>
        </w:rPr>
        <w:t>3.9 Interest Not Assignable.</w:t>
      </w:r>
      <w:r>
        <w:t xml:space="preserve"> The Grantor’s annuity interest shall not be subject to voluntary or involuntary transfer, assignment, anticipation, or encumbrance, except that the Grantor may release or assign such interest to the Trustees for the benefit of the Remainder Beneficiaries.</w:t>
      </w:r>
    </w:p>
    <w:p>
      <w:pPr>
        <w:pStyle w:val="Heading1"/>
      </w:pPr>
      <w:r>
        <w:t>ARTICLE IV — DEATH OF GRANTOR DURING ANNUITY TERM</w:t>
      </w:r>
    </w:p>
    <w:p>
      <w:pPr>
        <w:jc w:val="both"/>
      </w:pPr>
      <w:r>
        <w:rPr>
          <w:b/>
        </w:rPr>
        <w:t>4.1 Annuity Payable to Estate for Balance of Term.</w:t>
      </w:r>
      <w:r>
        <w:t xml:space="preserve"> If the Grantor dies before the expiration of the Annuity Term, the Annuity Amount (including any unpaid Annuity Amounts for prior Annuity Years) shall continue to be paid, on the Annuity Payment Dates and for the balance of the Annuity Term, to the legal representative of the Grantor’s estate, in all respects as if the Grantor had survived. The Grantor’s death shall not terminate or shorten the Annuity Term.</w:t>
      </w:r>
    </w:p>
    <w:p>
      <w:pPr>
        <w:jc w:val="both"/>
      </w:pPr>
      <w:r>
        <w:rPr>
          <w:b/>
        </w:rPr>
        <w:t>4.2 Disposition of Trust Estate.</w:t>
      </w:r>
      <w:r>
        <w:t xml:space="preserve"> If the Grantor dies during the Annuity Term, then upon the expiration of the Annuity Term and after the payments described in Section 4.1, the Trustees shall distribute the portion of the Trust Estate that is includible in the Grantor’s gross estate for federal estate tax purposes (as finally determined, including under Section 2036 of the Code and Treasury Regulations Section 20.2036-1(c)(2)) (the "Includible Portion") [ALTERNATIVE A: to the Remainder Beneficiaries in accordance with Article V] [ALTERNATIVE B: if the Grantor’s spouse, VIKRAM CHANDRASEKARAN, survives the Grantor, to the trustee of a separate trust for his benefit that satisfies the requirements of Section 2056(b)(7) of the Code (qualified terminable interest property), the terms of which are set forth in Schedule C, and otherwise in accordance with Article V], and shall distribute the balance of the Trust Estate, if any, in accordance with Article V.</w:t>
      </w:r>
    </w:p>
    <w:p>
      <w:pPr>
        <w:ind w:left="432"/>
        <w:jc w:val="both"/>
      </w:pPr>
      <w:r>
        <w:rPr>
          <w:i/>
          <w:color w:val="1F3A93"/>
          <w:sz w:val="20"/>
        </w:rPr>
        <w:t>[Drafting Note: Section 4.1 keeps the annuity payable to the estate for the full fixed term, so the retained interest is valued as a term-certain annuity (Treas. Reg. 25.2702-3(e), Example 5; Walton v. Commissioner, 115 T.C. 589 (2000)). Ending the annuity at death would require valuing it as a shorter-of-term-or-life interest and would produce a taxable gift. Client decision required (Issues Memorandum, Issue 21). Alternative A follows the intake instructions literally but exposes the Includible Portion to federal and Connecticut estate tax at the Grantor’s death with no marital deduction. Alternative B defers that tax until Vikram’s death. Under either alternative, the right of recovery under Section 2207B of the Code and the tax apportionment clause of the 2017 Revocable Trust/pour-over will must be coordinated with Section 4.3.]</w:t>
      </w:r>
    </w:p>
    <w:p>
      <w:pPr>
        <w:jc w:val="both"/>
      </w:pPr>
      <w:r>
        <w:rPr>
          <w:b/>
        </w:rPr>
        <w:t>4.3 Estate Taxes.</w:t>
      </w:r>
      <w:r>
        <w:t xml:space="preserve"> If any portion of the Trust Estate is includible in the Grantor’s gross estate, the Trustees shall, when such tax is due (whether before or after the expiration of the Annuity Term), pay to the Grantor’s legal representative, from the Trust Estate, the amount (if any) recoverable under Section 2207B of the Code [and any corresponding Connecticut law], unless the Grantor’s will specifically waives such recovery with reference to this Trust.</w:t>
      </w:r>
    </w:p>
    <w:p>
      <w:pPr>
        <w:pStyle w:val="Heading1"/>
      </w:pPr>
      <w:r>
        <w:t>ARTICLE V — TERMINATION; DISPOSITION OF REMAINDER</w:t>
      </w:r>
    </w:p>
    <w:p>
      <w:pPr>
        <w:jc w:val="both"/>
      </w:pPr>
      <w:r>
        <w:rPr>
          <w:b/>
        </w:rPr>
        <w:t>5.1 Division at End of Annuity Term.</w:t>
      </w:r>
      <w:r>
        <w:t xml:space="preserve"> Upon the expiration of the Annuity Term (the "Termination Date"), after payment of the final Annuity Amount and any expenses, the Trustees shall divide the remaining Trust Estate into equal shares, one share for each child of the Grantor who is then living and one share for each child of the Grantor who is then deceased but who has one or more descendants then living.</w:t>
      </w:r>
    </w:p>
    <w:p>
      <w:pPr>
        <w:jc w:val="both"/>
      </w:pPr>
      <w:r>
        <w:rPr>
          <w:b/>
        </w:rPr>
        <w:t>5.2 Distribution of Shares.</w:t>
      </w:r>
      <w:r>
        <w:t xml:space="preserve"> Each share set aside for a living child shall be distributed outright to such child. Each share set aside for a deceased child shall be distributed to such child’s descendants then living, per stirpes, subject to Section 5.4.</w:t>
      </w:r>
    </w:p>
    <w:p>
      <w:pPr>
        <w:jc w:val="both"/>
      </w:pPr>
      <w:r>
        <w:rPr>
          <w:b/>
        </w:rPr>
        <w:t>5.3 Failure of Descendants.</w:t>
      </w:r>
      <w:r>
        <w:t xml:space="preserve"> If no child of the Grantor and no descendant of a deceased child of the Grantor is living on the Termination Date, the remaining Trust Estate shall be distributed to the persons who would then be entitled to inherit the Grantor’s estate under the laws of the State of Connecticut then in effect, as if the Grantor had died on the Termination Date, intestate, unmarried, and domiciled in Connecticut.</w:t>
      </w:r>
    </w:p>
    <w:p>
      <w:pPr>
        <w:ind w:left="432"/>
        <w:jc w:val="both"/>
      </w:pPr>
      <w:r>
        <w:rPr>
          <w:i/>
          <w:color w:val="1F3A93"/>
          <w:sz w:val="20"/>
        </w:rPr>
        <w:t>[Drafting Note: Section 5.1 follows the per stirpes pattern of the 2017 Revocable Trust (a predeceased child’s share passes to that child’s descendants; a predeceased child with no descendants simply drops out, so the shares of the surviving children AND of the descendants of any other predeceased child are augmented). The intake memo language ("to the surviving remainder beneficiaries in equal portions") is ambiguous and could exclude a grandchild such as Zara. Confirm with client (Issue 22). A gift to a grandchild may have GST consequences (Issue 23). If the client wants post-term creditor and divorce protection, replace outright distribution with continuing trusts for each child (Issue 24).]</w:t>
      </w:r>
    </w:p>
    <w:p>
      <w:pPr>
        <w:jc w:val="both"/>
      </w:pPr>
      <w:r>
        <w:rPr>
          <w:b/>
        </w:rPr>
        <w:t>5.4 Beneficiary Under Age Twenty-Five or Under Disability.</w:t>
      </w:r>
      <w:r>
        <w:t xml:space="preserve"> If any property becomes distributable under this Article V to a person who has not attained the age of twenty-five (25) years or who, in the Independent Trustee’s judgment, is under a legal or other disability, the Independent Trustee may (a) distribute such property to a custodian for such person under the Connecticut Uniform Transfers to Minors Act (or the comparable law of the beneficiary’s domicile), to be held until the latest age permitted, or (b) retain such property in a separate trust for such person, applying so much of the income and principal as the Independent Trustee considers advisable for such person’s health, education, maintenance, and support, and distributing the balance to such person upon attaining age twenty-five (25), or to such person’s estate if such person dies before attaining that age. Any Shares so held shall remain subject to the Stockholders’ Agreement.</w:t>
      </w:r>
    </w:p>
    <w:p>
      <w:pPr>
        <w:jc w:val="both"/>
      </w:pPr>
      <w:r>
        <w:rPr>
          <w:b/>
        </w:rPr>
        <w:t>5.5 Shares Subject to Stockholders’ Agreement.</w:t>
      </w:r>
      <w:r>
        <w:t xml:space="preserve"> Any distribution of Shares under this Article V shall be made in compliance with the Stockholders’ Agreement, including delivery of a Transfer Notice and expiry or waiver of the Company’s right of first refusal and execution by each distributee (or the distributee’s custodian or trustee) of a Joinder Agreement. The Trustees may continue to hold the Trust Estate after the Termination Date, solely as nominee for the persons entitled to it, for such period as is reasonably necessary to comply with the Stockholders’ Agreement, and such holding shall not extend the Annuity Term or give any person other than such persons any interest in the Trust Estate.</w:t>
      </w:r>
    </w:p>
    <w:p>
      <w:pPr>
        <w:pStyle w:val="Heading1"/>
      </w:pPr>
      <w:r>
        <w:t>ARTICLE VI — TRUSTEES; ALLOCATION OF AUTHORITY</w:t>
      </w:r>
    </w:p>
    <w:p>
      <w:pPr>
        <w:jc w:val="both"/>
      </w:pPr>
      <w:r>
        <w:rPr>
          <w:b/>
        </w:rPr>
        <w:t>6.1 Initial Trustees.</w:t>
      </w:r>
      <w:r>
        <w:t xml:space="preserve"> The initial Trustees are DR. PRIYA CHANDRASEKARAN, as Individual Trustee, and WHEATLEY NATIONAL BANK &amp; TRUST, as Independent Trustee.</w:t>
      </w:r>
    </w:p>
    <w:p>
      <w:pPr>
        <w:jc w:val="both"/>
      </w:pPr>
      <w:r>
        <w:rPr>
          <w:b/>
        </w:rPr>
        <w:t>6.2 Exclusive Powers of the Independent Trustee.</w:t>
      </w:r>
      <w:r>
        <w:t xml:space="preserve"> Notwithstanding any other provision of this Agreement, the following powers and discretions (the "Reserved Powers") shall be exercisable solely by the Independent Trustee, and no Individual Trustee who is the Grantor, the Grantor’s spouse, or a Related or Subordinate Party shall participate in their exercise: (a) all determinations of the fair market value of any Trust property, including property distributed in kind in satisfaction of the Annuity Amount and property substituted under Section 9.1, and the selection and engagement of any Independent Appraiser; (b) all decisions regarding the retention, sale, exchange, reinvestment, and allocation of Trust assets, including the Shares; (c) the right to vote the Shares and any other stock held by the Trust, to give or withhold any consent, proxy, or waiver as a stockholder, and to exercise any rights or perform any obligations of the Trust as a "Stockholder" under the Stockholders’ Agreement, including under Section 4.3 thereof (Drag-Along Rights); (d) the determination whether the Annuity Amount shall be paid in cash or in kind and the selection of property to be distributed in kind; (e) any discretion with respect to the distribution of property under Section 5.4 or otherwise; (f) the allocation of receipts and disbursements between income and principal; and (g) the exercise of any tax election other than an election required to be made by the Grantor individually.</w:t>
      </w:r>
    </w:p>
    <w:p>
      <w:pPr>
        <w:ind w:left="432"/>
        <w:jc w:val="both"/>
      </w:pPr>
      <w:r>
        <w:rPr>
          <w:i/>
          <w:color w:val="1F3A93"/>
          <w:sz w:val="20"/>
        </w:rPr>
        <w:t>[Drafting Note: Section 6.2 implements Wheatley’s written conditions (Hollister email of May 28, 2025, items 1–3) and goes further by vesting the VOTE of the Helios Shares in Wheatley. Dr. Chandrasekaran holds 1,560,000 of 7,800,000 outstanding shares (20.0%), so Helios is a "controlled corporation" under Section 2036(b)(2); a retained vote (including as trustee) over transferred shares risks inclusion under Section 2036(b) and, on relinquishment at term end, under Section 2035 (Issue 13). This narrows the "day-to-day administrative control" the client requested (Issue 10).]</w:t>
      </w:r>
    </w:p>
    <w:p>
      <w:pPr>
        <w:jc w:val="both"/>
      </w:pPr>
      <w:r>
        <w:rPr>
          <w:b/>
        </w:rPr>
        <w:t>6.3 Powers of the Individual Trustee.</w:t>
      </w:r>
      <w:r>
        <w:t xml:space="preserve"> The Individual Trustee shall have only the following ministerial and administrative powers, to be exercised in a non-discretionary manner: (a) maintaining the books and records of the Trust; (b) corresponding with the Trust’s accountants and tax preparers and furnishing information for tax reporting; (c) executing stock powers, Transfer Notices, Joinder Agreements, and other documents at the written direction of the Independent Trustee; (d) receiving and forwarding to the Independent Trustee notices from the Company; and (e) such other ministerial acts as the Independent Trustee may request in writing. The Individual Trustee shall have no power to make or influence any determination reserved to the Independent Trustee.</w:t>
      </w:r>
    </w:p>
    <w:p>
      <w:pPr>
        <w:jc w:val="both"/>
      </w:pPr>
      <w:r>
        <w:rPr>
          <w:b/>
        </w:rPr>
        <w:t>6.4 Action by Trustees.</w:t>
      </w:r>
      <w:r>
        <w:t xml:space="preserve"> Except for the Reserved Powers, which the Independent Trustee alone may exercise, the Trustees shall act jointly; provided that if the Trustees cannot agree on any matter that is not a Reserved Power within ten (10) business days, the determination of the Independent Trustee shall control. Either Trustee may delegate ministerial acts to the other in writing. Third parties may rely conclusively on a written certificate of the Independent Trustee as to any matter concerning the Trust.</w:t>
      </w:r>
    </w:p>
    <w:p>
      <w:pPr>
        <w:jc w:val="both"/>
      </w:pPr>
      <w:r>
        <w:rPr>
          <w:b/>
        </w:rPr>
        <w:t>6.5 Successor Individual Trustee.</w:t>
      </w:r>
      <w:r>
        <w:t xml:space="preserve"> If the Grantor ceases to serve as Individual Trustee for any reason, VIKRAM CHANDRASEKARAN shall serve as successor Individual Trustee, with only the powers described in Section 6.3. If he fails or ceases to serve, no successor Individual Trustee shall be appointed and the Independent Trustee shall serve as sole Trustee with all powers of the Trustees. In no event shall any Remainder Beneficiary serve as a Trustee during the Annuity Term.</w:t>
      </w:r>
    </w:p>
    <w:p>
      <w:pPr>
        <w:jc w:val="both"/>
      </w:pPr>
      <w:r>
        <w:rPr>
          <w:b/>
        </w:rPr>
        <w:t>6.6 Successor Independent Trustee.</w:t>
      </w:r>
      <w:r>
        <w:t xml:space="preserve"> If Wheatley National Bank &amp; Trust ceases to serve as Independent Trustee, the Grantor (or, if the Grantor is not living or is incapacitated, a majority of the adult Remainder Beneficiaries) shall appoint as successor Independent Trustee a bank or trust company authorized to exercise trust powers in the United States, having trust assets under administration of not less than $1,000,000,000, that is not a Related or Subordinate Party with respect to the Grantor or the person making the appointment. If no successor is appointed within thirty (30) days, the resigning Independent Trustee may petition a court of competent jurisdiction to appoint a qualifying successor. At all times there shall be an Independent Trustee meeting these requirements.</w:t>
      </w:r>
    </w:p>
    <w:p>
      <w:pPr>
        <w:jc w:val="both"/>
      </w:pPr>
      <w:r>
        <w:rPr>
          <w:b/>
        </w:rPr>
        <w:t>6.7 Removal of Independent Trustee.</w:t>
      </w:r>
      <w:r>
        <w:t xml:space="preserve"> The Grantor may remove the Independent Trustee by written notice, but only if, simultaneously, a successor Independent Trustee meeting the requirements of Section 6.6 is appointed and has accepted in writing. The Grantor may not appoint herself, her spouse, or any Related or Subordinate Party as Independent Trustee.</w:t>
      </w:r>
    </w:p>
    <w:p>
      <w:pPr>
        <w:jc w:val="both"/>
      </w:pPr>
      <w:r>
        <w:rPr>
          <w:b/>
        </w:rPr>
        <w:t>6.8 Resignation.</w:t>
      </w:r>
      <w:r>
        <w:t xml:space="preserve"> Any Trustee may resign by giving thirty (30) days’ written notice to the Grantor (if living) and the other Trustee, effective upon the acceptance of a successor Independent Trustee where one is required.</w:t>
      </w:r>
    </w:p>
    <w:p>
      <w:pPr>
        <w:jc w:val="both"/>
      </w:pPr>
      <w:r>
        <w:rPr>
          <w:b/>
        </w:rPr>
        <w:t>6.9 Compensation and Expenses.</w:t>
      </w:r>
      <w:r>
        <w:t xml:space="preserve"> The Independent Trustee shall be entitled to compensation in accordance with its published fee schedule as in effect from time to time (currently 0.35% per annum of the fair market value of the Trust Estate, subject to an annual minimum of $8,500, billed quarterly in arrears), as set forth in its acceptance agreement. The Individual Trustee shall serve without compensation but shall be reimbursed for reasonable expenses. All proper expenses of the Trust, including appraisal fees, shall be paid from the Trust Estate. Neither the Grantor nor any other person shall pay any Trust expense directly.</w:t>
      </w:r>
    </w:p>
    <w:p>
      <w:pPr>
        <w:ind w:left="432"/>
        <w:jc w:val="both"/>
      </w:pPr>
      <w:r>
        <w:rPr>
          <w:i/>
          <w:color w:val="1F3A93"/>
          <w:sz w:val="20"/>
        </w:rPr>
        <w:t>[Drafting Note: Section 6.9: the Trust will hold only illiquid, non-dividend-paying Shares. Payment of Trust expenses by the Grantor could be treated as an additional contribution. Liquidity must be addressed before funding (Issue 18).]</w:t>
      </w:r>
    </w:p>
    <w:p>
      <w:pPr>
        <w:jc w:val="both"/>
      </w:pPr>
      <w:r>
        <w:rPr>
          <w:b/>
        </w:rPr>
        <w:t>6.10 Bond; Accounting; Liability.</w:t>
      </w:r>
      <w:r>
        <w:t xml:space="preserve"> No Trustee shall be required to give bond in any jurisdiction. The Trustees shall be excused from filing accounts in any court. The Independent Trustee shall render an account at least annually to the Grantor and to each adult Remainder Beneficiary. No individual Trustee shall be liable for any act or omission except for willful misconduct or gross negligence, and no Individual Trustee shall be liable for any act or omission of the Independent Trustee in the exercise of a Reserved Power.</w:t>
      </w:r>
    </w:p>
    <w:p>
      <w:pPr>
        <w:jc w:val="both"/>
      </w:pPr>
      <w:r>
        <w:rPr>
          <w:b/>
        </w:rPr>
        <w:t>6.11 Acceptance.</w:t>
      </w:r>
      <w:r>
        <w:t xml:space="preserve"> Each Trustee accepts its appointment by signing this Agreement. A successor Trustee shall accept by a written instrument delivered to the other Trustee, and shall have all the rights and powers of its predecessor, without any conveyance.</w:t>
      </w:r>
    </w:p>
    <w:p>
      <w:pPr>
        <w:pStyle w:val="Heading1"/>
      </w:pPr>
      <w:r>
        <w:t>ARTICLE VII — ADMINISTRATIVE POWERS</w:t>
      </w:r>
    </w:p>
    <w:p>
      <w:pPr>
        <w:jc w:val="both"/>
      </w:pPr>
      <w:r>
        <w:rPr>
          <w:b/>
        </w:rPr>
        <w:t>7.1 General Powers.</w:t>
      </w:r>
      <w:r>
        <w:t xml:space="preserve"> Subject to Section 6.2, Article III, Article XI, and the Stockholders’ Agreement, the Trustees shall have all powers conferred on trustees by the laws of the State of Connecticut, including the Connecticut Uniform Trust Code, and in addition the following powers, exercisable in a fiduciary capacity without court order: (a) to retain any property, including the Shares, without regard to diversification, risk, productivity, or the proportion that any one asset bears to the whole; (b) to sell, exchange, or otherwise dispose of property for cash or on credit (but not to the Grantor except as provided in Section 9.1); (c) to hold property in nominee name or in book-entry form; (d) to employ and compensate agents, counsel, accountants, and appraisers; (e) to participate in any merger, consolidation, reorganization, recapitalization, public offering, or sale of the Company, and to enter into lock-up, registration-rights, and similar agreements; (f) to execute and deliver all instruments; and (g) to settle claims.</w:t>
      </w:r>
    </w:p>
    <w:p>
      <w:pPr>
        <w:jc w:val="both"/>
      </w:pPr>
      <w:r>
        <w:rPr>
          <w:b/>
        </w:rPr>
        <w:t>7.2 Retention of Concentrated Position.</w:t>
      </w:r>
      <w:r>
        <w:t xml:space="preserve"> The Grantor directs that the Shares may be retained notwithstanding that they constitute all or substantially all of the Trust Estate and are not readily marketable. The duty to diversify under the Connecticut Uniform Prudent Investor Act shall not apply to the retention of the Shares, and the Independent Trustee shall not be liable for any loss resulting from the retention of the Shares in good faith.</w:t>
      </w:r>
    </w:p>
    <w:p>
      <w:pPr>
        <w:jc w:val="both"/>
      </w:pPr>
      <w:r>
        <w:rPr>
          <w:b/>
        </w:rPr>
        <w:t>7.3 Prohibited Transactions.</w:t>
      </w:r>
      <w:r>
        <w:t xml:space="preserve"> Notwithstanding any other provision of this Agreement: (a) no Trustee shall lend Trust income or principal to the Grantor or the Grantor’s spouse; (b) no person shall purchase, exchange, or otherwise deal with or dispose of Trust property for less than adequate and full consideration in money or money’s worth; (c) no Trustee shall borrow funds to pay the Annuity Amount; and (d) no person shall have any power to apply Trust income or principal to pay premiums on insurance on the life of the Grantor.</w:t>
      </w:r>
    </w:p>
    <w:p>
      <w:pPr>
        <w:pStyle w:val="Heading1"/>
      </w:pPr>
      <w:r>
        <w:t>ARTICLE VIII — HELIOS STOCKHOLDERS’ AGREEMENT</w:t>
      </w:r>
    </w:p>
    <w:p>
      <w:pPr>
        <w:jc w:val="both"/>
      </w:pPr>
      <w:r>
        <w:rPr>
          <w:b/>
        </w:rPr>
        <w:t>8.1 Trust Bound by Stockholders’ Agreement.</w:t>
      </w:r>
      <w:r>
        <w:t xml:space="preserve"> The Trustees, and each successor Trustee, shall hold the Shares subject to, and shall comply with, all of the terms of the Stockholders’ Agreement as in effect from time to time, and each Trustee shall execute a Joinder Agreement as a condition to its service. Any transfer of Shares by the Trustees (including any distribution in kind to the Grantor or the Grantor’s estate, any substitution under Section 9.1, and any distribution under Article IV or Article V) shall be made only in compliance with Article IV of the Stockholders’ Agreement.</w:t>
      </w:r>
    </w:p>
    <w:p>
      <w:pPr>
        <w:jc w:val="both"/>
      </w:pPr>
      <w:r>
        <w:rPr>
          <w:b/>
        </w:rPr>
        <w:t>8.2 Drag-Along Obligations.</w:t>
      </w:r>
      <w:r>
        <w:t xml:space="preserve"> Without limiting Section 8.1, and as required by Section 4.3(c) of the Stockholders’ Agreement, the Trustees (including every successor Trustee) are expressly bound by and shall comply with Section 4.3 of the Stockholders’ Agreement (Drag-Along Rights), including the obligations to vote all Shares held by the Trust in favor of a Drag-Along Sale, to refrain from exercising dissenters’ or appraisal rights, to tender and transfer all such Shares on the same terms as the Dragging Stockholders, and to execute and deliver all agreements, instruments, and documents reasonably requested in connection with such sale. The Independent Trustee shall exercise these obligations under Section 6.2(c). Any consideration received in a Drag-Along Sale shall be held as part of the Trust Estate.</w:t>
      </w:r>
    </w:p>
    <w:p>
      <w:pPr>
        <w:jc w:val="both"/>
      </w:pPr>
      <w:r>
        <w:rPr>
          <w:b/>
        </w:rPr>
        <w:t>8.3 Conflict.</w:t>
      </w:r>
      <w:r>
        <w:t xml:space="preserve"> If any provision of this Agreement conflicts with the Stockholders’ Agreement as to the transfer of or voting of Shares, the Stockholders’ Agreement shall control, except that nothing in this Section 8.3 shall permit any action that would cause the Grantor’s retained interest to fail to be a qualified annuity interest under Section 2702 of the Code.</w:t>
      </w:r>
    </w:p>
    <w:p>
      <w:pPr>
        <w:pStyle w:val="Heading1"/>
      </w:pPr>
      <w:r>
        <w:t>ARTICLE IX — GRANTOR TRUST PROVISIONS</w:t>
      </w:r>
    </w:p>
    <w:p>
      <w:pPr>
        <w:jc w:val="both"/>
      </w:pPr>
      <w:r>
        <w:rPr>
          <w:b/>
        </w:rPr>
        <w:t>9.1 Power of Substitution.</w:t>
      </w:r>
      <w:r>
        <w:t xml:space="preserve"> The Grantor shall have the power, exercisable at any time and from time to time during the Annuity Term in a nonfiduciary capacity and without the approval or consent of any person in a fiduciary capacity, to reacquire any property of the Trust Estate by substituting other property of an equivalent value, within the meaning of Section 675(4)(C) of the Code. Before any substitution is completed, the Independent Trustee shall determine, on the basis of an appraisal by an Independent Appraiser, that the properties acquired and substituted are of equivalent value, and shall ensure that the substitution will not shift benefits among the beneficiaries, consistent with Revenue Ruling 2008-22. Any substitution of Shares shall comply with Article VIII. The Grantor may release this power, in whole or in part, by a written instrument delivered to the Trustees; this power is personal to the Grantor and may not be exercised by any agent under a power of attorney or by any guardian or conservator [unless the Grantor’s durable power of attorney expressly so provides].</w:t>
      </w:r>
    </w:p>
    <w:p>
      <w:pPr>
        <w:jc w:val="both"/>
      </w:pPr>
      <w:r>
        <w:rPr>
          <w:b/>
        </w:rPr>
        <w:t>9.2 Grantor Trust Intent.</w:t>
      </w:r>
      <w:r>
        <w:t xml:space="preserve"> It is the Grantor’s intention that the Grantor be treated as the owner of the entire Trust for federal and Connecticut income tax purposes under Sections 671 through 677 of the Code, and that all items of income, deduction, and credit be reported by the Grantor. The Grantor shall have no right to reimbursement from the Trust for any income tax attributable to Trust income, and no Trustee shall have any power to make any such reimbursement.</w:t>
      </w:r>
    </w:p>
    <w:p>
      <w:pPr>
        <w:pStyle w:val="Heading1"/>
      </w:pPr>
      <w:r>
        <w:t>ARTICLE X — SPENDTHRIFT PROVISION</w:t>
      </w:r>
    </w:p>
    <w:p>
      <w:pPr>
        <w:jc w:val="both"/>
      </w:pPr>
      <w:r>
        <w:rPr>
          <w:b/>
        </w:rPr>
        <w:t>10.1 Spendthrift Restraint.</w:t>
      </w:r>
      <w:r>
        <w:t xml:space="preserve"> To the fullest extent permitted by law, including the Connecticut Uniform Trust Code, no interest of any beneficiary in the income or principal of the Trust shall be subject to voluntary or involuntary alienation, assignment, anticipation, pledge, or encumbrance, or to the claims of any creditor of such beneficiary (including any claim of a spouse or former spouse in connection with the dissolution of marriage, legal separation, or annulment) or to legal process, prior to its actual receipt by such beneficiary. This Section 10.1 constitutes a spendthrift provision and is a material purpose of the Trust. This Section 10.1 shall not restrict the exercise of the Grantor’s power of release under Section 3.9 or the power of substitution under Section 9.1.</w:t>
      </w:r>
    </w:p>
    <w:p>
      <w:pPr>
        <w:ind w:left="432"/>
        <w:jc w:val="both"/>
      </w:pPr>
      <w:r>
        <w:rPr>
          <w:i/>
          <w:color w:val="1F3A93"/>
          <w:sz w:val="20"/>
        </w:rPr>
        <w:t>[Drafting Note: Spendthrift protection ends when property is distributed outright at the Termination Date. See Issue 24.]</w:t>
      </w:r>
    </w:p>
    <w:p>
      <w:pPr>
        <w:pStyle w:val="Heading1"/>
      </w:pPr>
      <w:r>
        <w:t>ARTICLE XI — SECTION 2702 COMPLIANCE</w:t>
      </w:r>
    </w:p>
    <w:p>
      <w:pPr>
        <w:jc w:val="both"/>
      </w:pPr>
      <w:r>
        <w:rPr>
          <w:b/>
        </w:rPr>
        <w:t>11.1 Governing Intent.</w:t>
      </w:r>
      <w:r>
        <w:t xml:space="preserve"> The Grantor intends that the Grantor’s retained interest constitute a "qualified annuity interest" within the meaning of Section 2702(b)(1) of the Code and Treasury Regulations Section 25.2702-3(b) and (d). This Agreement shall be construed, and the Trust administered, in a manner consistent with that intent, and any provision that would prevent such qualification shall be void and of no effect.</w:t>
      </w:r>
    </w:p>
    <w:p>
      <w:pPr>
        <w:jc w:val="both"/>
      </w:pPr>
      <w:r>
        <w:rPr>
          <w:b/>
        </w:rPr>
        <w:t>11.2 Governing Instrument Requirements.</w:t>
      </w:r>
      <w:r>
        <w:t xml:space="preserve"> Without limitation, (a) the Annuity Amount is payable at least annually and is a fixed percentage of the Initial Fair Market Value; (b) no additional contributions may be made; (c) the Annuity Term is a fixed term; (d) no distributions may be made to anyone other than the Grantor or the Grantor’s estate during the Annuity Term; (e) the annuity interest may not be commuted; and (f) payment by note or similar instrument is prohibited.</w:t>
      </w:r>
    </w:p>
    <w:p>
      <w:pPr>
        <w:jc w:val="both"/>
      </w:pPr>
      <w:r>
        <w:rPr>
          <w:b/>
        </w:rPr>
        <w:t>11.3 Amendment to Preserve Qualification.</w:t>
      </w:r>
      <w:r>
        <w:t xml:space="preserve"> The Independent Trustee (but not any Individual Trustee who is the Grantor or a Related or Subordinate Party) may amend the administrative and technical provisions of this Agreement solely to the extent necessary to cause the Grantor’s retained interest to qualify as a qualified annuity interest, provided that no such amendment shall change the Annuity Amount, the Annuity Term, or the identity or shares of the Remainder Beneficiaries.</w:t>
      </w:r>
    </w:p>
    <w:p>
      <w:pPr>
        <w:pStyle w:val="Heading1"/>
      </w:pPr>
      <w:r>
        <w:t>ARTICLE XII — GENERAL PROVISIONS</w:t>
      </w:r>
    </w:p>
    <w:p>
      <w:pPr>
        <w:jc w:val="both"/>
      </w:pPr>
      <w:r>
        <w:rPr>
          <w:b/>
        </w:rPr>
        <w:t>12.1 Governing Law; Situs.</w:t>
      </w:r>
      <w:r>
        <w:t xml:space="preserve"> This Agreement and the Trust shall be governed by and construed in accordance with the laws of the State of Connecticut, without regard to its conflict of laws principles. The situs of the Trust shall be Connecticut.</w:t>
      </w:r>
    </w:p>
    <w:p>
      <w:pPr>
        <w:jc w:val="both"/>
      </w:pPr>
      <w:r>
        <w:rPr>
          <w:b/>
        </w:rPr>
        <w:t>12.2 Children and Descendants.</w:t>
      </w:r>
      <w:r>
        <w:t xml:space="preserve"> References to "children" and "descendants" include persons legally adopted before attaining age eighteen (18) and their descendants. "Per stirpes" means a division into equal shares at the level of the Grantor’s children, one share for each child then living and one share for each child then deceased leaving descendants then living, with the share of each deceased child divided among that child’s descendants in the same manner.</w:t>
      </w:r>
    </w:p>
    <w:p>
      <w:pPr>
        <w:jc w:val="both"/>
      </w:pPr>
      <w:r>
        <w:rPr>
          <w:b/>
        </w:rPr>
        <w:t>12.3 Survivorship.</w:t>
      </w:r>
      <w:r>
        <w:t xml:space="preserve"> A beneficiary who does not survive the Termination Date by thirty (30) days shall be deemed to have predeceased it; provided that no such survivorship requirement shall delay any payment to the Grantor or the Grantor’s estate.</w:t>
      </w:r>
    </w:p>
    <w:p>
      <w:pPr>
        <w:jc w:val="both"/>
      </w:pPr>
      <w:r>
        <w:rPr>
          <w:b/>
        </w:rPr>
        <w:t>12.4 Incapacity.</w:t>
      </w:r>
      <w:r>
        <w:t xml:space="preserve"> An individual shall be deemed incapacitated if a court so determines or two licensed physicians certify in writing that the individual is unable to manage his or her financial affairs.</w:t>
      </w:r>
    </w:p>
    <w:p>
      <w:pPr>
        <w:jc w:val="both"/>
      </w:pPr>
      <w:r>
        <w:rPr>
          <w:b/>
        </w:rPr>
        <w:t>12.5 Headings; Severability; Counterparts.</w:t>
      </w:r>
      <w:r>
        <w:t xml:space="preserve"> Headings are for convenience only. If any provision is invalid, the remaining provisions shall continue in effect. This Agreement may be executed in counterparts.</w:t>
      </w:r>
    </w:p>
    <w:p/>
    <w:p>
      <w:pPr>
        <w:jc w:val="both"/>
      </w:pPr>
      <w:r>
        <w:t>IN WITNESS WHEREOF, the Grantor and the Trustees have executed this Agreement as of the date first written above.</w:t>
      </w:r>
    </w:p>
    <w:p>
      <w:r>
        <w:rPr>
          <w:b/>
        </w:rPr>
        <w:t>GRANTOR:</w:t>
      </w:r>
    </w:p>
    <w:p>
      <w:pPr>
        <w:spacing w:after="0"/>
      </w:pPr>
      <w:r>
        <w:t>______________________________</w:t>
      </w:r>
    </w:p>
    <w:p>
      <w:r>
        <w:t>Dr. Priya Chandrasekaran</w:t>
      </w:r>
    </w:p>
    <w:p>
      <w:r>
        <w:rPr>
          <w:b/>
        </w:rPr>
        <w:t>INDIVIDUAL TRUSTEE:</w:t>
      </w:r>
    </w:p>
    <w:p>
      <w:pPr>
        <w:spacing w:after="0"/>
      </w:pPr>
      <w:r>
        <w:t>______________________________</w:t>
      </w:r>
    </w:p>
    <w:p>
      <w:r>
        <w:t>Dr. Priya Chandrasekaran</w:t>
      </w:r>
    </w:p>
    <w:p>
      <w:r>
        <w:rPr>
          <w:b/>
        </w:rPr>
        <w:t>INDEPENDENT TRUSTEE:</w:t>
      </w:r>
    </w:p>
    <w:p>
      <w:pPr>
        <w:spacing w:after="0"/>
      </w:pPr>
      <w:r>
        <w:t>WHEATLEY NATIONAL BANK &amp; TRUST</w:t>
      </w:r>
    </w:p>
    <w:p>
      <w:pPr>
        <w:spacing w:after="0"/>
      </w:pPr>
      <w:r>
        <w:t>By: ______________________________</w:t>
      </w:r>
    </w:p>
    <w:p>
      <w:pPr>
        <w:spacing w:after="0"/>
      </w:pPr>
      <w:r>
        <w:t>Name: Margaret Hollister</w:t>
      </w:r>
    </w:p>
    <w:p>
      <w:r>
        <w:t>Title: Vice President &amp; Senior Trust Officer</w:t>
      </w:r>
    </w:p>
    <w:p/>
    <w:p>
      <w:pPr>
        <w:jc w:val="center"/>
      </w:pPr>
      <w:r>
        <w:rPr>
          <w:b/>
        </w:rPr>
        <w:t>ACKNOWLEDGMENT</w:t>
      </w:r>
    </w:p>
    <w:p>
      <w:pPr>
        <w:jc w:val="both"/>
      </w:pPr>
      <w:r>
        <w:t>STATE OF CONNECTICUT     )</w:t>
      </w:r>
    </w:p>
    <w:p>
      <w:pPr>
        <w:jc w:val="both"/>
      </w:pPr>
      <w:r>
        <w:t xml:space="preserve">                                                ) ss. [__________]</w:t>
      </w:r>
    </w:p>
    <w:p>
      <w:pPr>
        <w:jc w:val="both"/>
      </w:pPr>
      <w:r>
        <w:t>COUNTY OF [__________]    )</w:t>
      </w:r>
    </w:p>
    <w:p>
      <w:pPr>
        <w:jc w:val="both"/>
      </w:pPr>
      <w:r>
        <w:t>On this ____ day of __________, 2025, before me, the undersigned officer, personally appeared Dr. Priya Chandrasekaran, known to me (or satisfactorily proven) to be the person whose name is subscribed to the within instrument, and acknowledged that she executed the same for the purposes therein contained, as her free act and deed, individually and as Individual Trustee.</w:t>
      </w:r>
    </w:p>
    <w:p>
      <w:pPr>
        <w:spacing w:after="0"/>
      </w:pPr>
      <w:r>
        <w:t>______________________________</w:t>
      </w:r>
    </w:p>
    <w:p>
      <w:pPr>
        <w:spacing w:after="0"/>
      </w:pPr>
      <w:r>
        <w:t>Notary Public / Commissioner of the Superior Court</w:t>
      </w:r>
    </w:p>
    <w:p>
      <w:r>
        <w:t>My commission expires:</w:t>
      </w:r>
    </w:p>
    <w:p>
      <w:r>
        <w:t>[Corresponding acknowledgment for Wheatley National Bank &amp; Trust to be added in form required by Wheatley.]</w:t>
      </w:r>
    </w:p>
    <w:p>
      <w:r>
        <w:br w:type="page"/>
      </w:r>
    </w:p>
    <w:p>
      <w:pPr>
        <w:jc w:val="center"/>
      </w:pPr>
      <w:r>
        <w:rPr>
          <w:b/>
        </w:rPr>
        <w:t>SCHEDULE A</w:t>
      </w:r>
    </w:p>
    <w:p>
      <w:pPr>
        <w:jc w:val="center"/>
      </w:pPr>
      <w:r>
        <w:rPr>
          <w:b/>
        </w:rPr>
        <w:t>INITIAL TRUST PROPERTY</w:t>
      </w:r>
    </w:p>
    <w:tbl>
      <w:tblPr>
        <w:tblStyle w:val="TableGrid"/>
        <w:tblW w:type="auto" w:w="0"/>
        <w:tblLook w:firstColumn="1" w:firstRow="1" w:lastColumn="0" w:lastRow="0" w:noHBand="0" w:noVBand="1" w:val="04A0"/>
      </w:tblPr>
      <w:tblGrid>
        <w:gridCol w:w="3120"/>
        <w:gridCol w:w="3120"/>
        <w:gridCol w:w="3120"/>
      </w:tblGrid>
      <w:tr>
        <w:tc>
          <w:tcPr>
            <w:tcW w:type="dxa" w:w="4032"/>
            <w:shd w:val="clear" w:color="auto" w:fill="D9D9D9"/>
          </w:tcPr>
          <w:p>
            <w:pPr>
              <w:spacing w:after="0"/>
            </w:pPr>
            <w:r>
              <w:rPr>
                <w:b/>
                <w:sz w:val="19"/>
              </w:rPr>
            </w:r>
            <w:r>
              <w:rPr>
                <w:b/>
                <w:sz w:val="19"/>
              </w:rPr>
              <w:t>Description</w:t>
            </w:r>
          </w:p>
        </w:tc>
        <w:tc>
          <w:tcPr>
            <w:tcW w:type="dxa" w:w="1728"/>
            <w:shd w:val="clear" w:color="auto" w:fill="D9D9D9"/>
          </w:tcPr>
          <w:p>
            <w:pPr>
              <w:spacing w:after="0"/>
            </w:pPr>
            <w:r>
              <w:rPr>
                <w:b/>
                <w:sz w:val="19"/>
              </w:rPr>
            </w:r>
            <w:r>
              <w:rPr>
                <w:b/>
                <w:sz w:val="19"/>
              </w:rPr>
              <w:t>Quantity</w:t>
            </w:r>
          </w:p>
        </w:tc>
        <w:tc>
          <w:tcPr>
            <w:tcW w:type="dxa" w:w="3600"/>
            <w:shd w:val="clear" w:color="auto" w:fill="D9D9D9"/>
          </w:tcPr>
          <w:p>
            <w:pPr>
              <w:spacing w:after="0"/>
            </w:pPr>
            <w:r>
              <w:rPr>
                <w:b/>
                <w:sz w:val="19"/>
              </w:rPr>
            </w:r>
            <w:r>
              <w:rPr>
                <w:b/>
                <w:sz w:val="19"/>
              </w:rPr>
              <w:t>Notes</w:t>
            </w:r>
          </w:p>
        </w:tc>
      </w:tr>
      <w:tr>
        <w:tc>
          <w:tcPr>
            <w:tcW w:type="dxa" w:w="4032"/>
          </w:tcPr>
          <w:p>
            <w:pPr>
              <w:spacing w:after="0"/>
            </w:pPr>
            <w:r>
              <w:rPr>
                <w:sz w:val="19"/>
              </w:rPr>
            </w:r>
            <w:r>
              <w:rPr>
                <w:sz w:val="19"/>
              </w:rPr>
              <w:t>Common stock, par value $[____], of Helios Biosciences, Inc., a Delaware corporation</w:t>
            </w:r>
          </w:p>
        </w:tc>
        <w:tc>
          <w:tcPr>
            <w:tcW w:type="dxa" w:w="1728"/>
          </w:tcPr>
          <w:p>
            <w:pPr>
              <w:spacing w:after="0"/>
            </w:pPr>
            <w:r>
              <w:rPr>
                <w:sz w:val="19"/>
              </w:rPr>
            </w:r>
            <w:r>
              <w:rPr>
                <w:sz w:val="19"/>
              </w:rPr>
              <w:t>400,000 shares</w:t>
            </w:r>
          </w:p>
        </w:tc>
        <w:tc>
          <w:tcPr>
            <w:tcW w:type="dxa" w:w="3600"/>
          </w:tcPr>
          <w:p>
            <w:pPr>
              <w:spacing w:after="0"/>
            </w:pPr>
            <w:r>
              <w:rPr>
                <w:sz w:val="19"/>
              </w:rPr>
            </w:r>
            <w:r>
              <w:rPr>
                <w:sz w:val="19"/>
              </w:rPr>
              <w:t>Certificate No(s). [____] or book-entry position; subject to the Stockholders’ Agreement. Per-share fair market value as of the Funding Date to be determined by qualified appraisal (see Issues Memorandum, Issues 1–3); not $20.00.</w:t>
            </w:r>
          </w:p>
        </w:tc>
      </w:tr>
      <w:tr>
        <w:tc>
          <w:tcPr>
            <w:tcW w:type="dxa" w:w="4032"/>
          </w:tcPr>
          <w:p>
            <w:pPr>
              <w:spacing w:after="0"/>
            </w:pPr>
            <w:r>
              <w:rPr>
                <w:sz w:val="19"/>
              </w:rPr>
            </w:r>
            <w:r>
              <w:rPr>
                <w:sz w:val="19"/>
              </w:rPr>
              <w:t>[Cash, if any (to be transferred simultaneously with the Shares)]</w:t>
            </w:r>
          </w:p>
        </w:tc>
        <w:tc>
          <w:tcPr>
            <w:tcW w:type="dxa" w:w="1728"/>
          </w:tcPr>
          <w:p>
            <w:pPr>
              <w:spacing w:after="0"/>
            </w:pPr>
            <w:r>
              <w:rPr>
                <w:sz w:val="19"/>
              </w:rPr>
            </w:r>
            <w:r>
              <w:rPr>
                <w:sz w:val="19"/>
              </w:rPr>
              <w:t>$[______]</w:t>
            </w:r>
          </w:p>
        </w:tc>
        <w:tc>
          <w:tcPr>
            <w:tcW w:type="dxa" w:w="3600"/>
          </w:tcPr>
          <w:p>
            <w:pPr>
              <w:spacing w:after="0"/>
            </w:pPr>
            <w:r>
              <w:rPr>
                <w:sz w:val="19"/>
              </w:rPr>
            </w:r>
            <w:r>
              <w:rPr>
                <w:sz w:val="19"/>
              </w:rPr>
              <w:t>[Optional liquidity reserve for Trust expenses (Issue 18)]</w:t>
            </w:r>
          </w:p>
        </w:tc>
      </w:tr>
    </w:tbl>
    <w:p/>
    <w:p>
      <w:pPr>
        <w:jc w:val="center"/>
      </w:pPr>
      <w:r>
        <w:rPr>
          <w:b/>
        </w:rPr>
        <w:t>SCHEDULE B</w:t>
      </w:r>
    </w:p>
    <w:p>
      <w:pPr>
        <w:jc w:val="center"/>
      </w:pPr>
      <w:r>
        <w:rPr>
          <w:b/>
        </w:rPr>
        <w:t>CERTIFICATE OF FUNDING DATE AND ANNUITY AMOUNT</w:t>
      </w:r>
    </w:p>
    <w:p>
      <w:pPr>
        <w:jc w:val="both"/>
      </w:pPr>
      <w:r>
        <w:t>The Independent Trustee certifies that (a) the Funding Date is [__________], 20[__]; (b) the Initial Trust Property was received on that date in a single transfer; (c) the Board consent dated [____] and the [waiver/expiry] of the Company’s right of first refusal dated [____] are attached; and (d) based on the appraisal of [Independent Appraiser] dated [____], the Initial Fair Market Value as reported on the Grantor’s Form 709 is $[__________], and the Annuity Amount is $[__________] per Annuity Year (subject to Section 3.7).</w:t>
      </w:r>
    </w:p>
    <w:p>
      <w:r>
        <w:t>______________________________   Wheatley National Bank &amp; Trust, by its authorized officer</w:t>
      </w:r>
    </w:p>
    <w:p/>
    <w:p>
      <w:pPr>
        <w:jc w:val="center"/>
      </w:pPr>
      <w:r>
        <w:rPr>
          <w:b/>
        </w:rPr>
        <w:t>[SCHEDULE C]</w:t>
      </w:r>
    </w:p>
    <w:p>
      <w:pPr>
        <w:jc w:val="center"/>
      </w:pPr>
      <w:r>
        <w:rPr>
          <w:b/>
        </w:rPr>
        <w:t>[MARITAL TRUST TERMS — ONLY IF ALTERNATIVE B OF SECTION 4.2 IS SELECTED]</w:t>
      </w:r>
    </w:p>
    <w:p>
      <w:pPr>
        <w:jc w:val="both"/>
      </w:pPr>
      <w:r>
        <w:t>[To be drafted: all net income to Vikram Chandrasekaran at least annually for life; no person may appoint principal to anyone other than him during his life; principal for his health, education, maintenance and support in the Independent Trustee’s discretion; power to compel the trustee to make unproductive property productive; on his death, remaining property to the Grantor’s descendants, per stirpes, in the manner provided in Article V; executor authorized to make the QTIP election.]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