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 — ATTORNEY-CLIENT COMMUNICATION / ATTORNEY WORK PRODUCT</w:t>
      </w:r>
    </w:p>
    <w:p>
      <w:pPr>
        <w:jc w:val="center"/>
      </w:pPr>
      <w:r>
        <w:rPr>
          <w:i/>
          <w:sz w:val="18"/>
        </w:rPr>
        <w:t>Prepared at the direction of counsel in connection with In re Grand Jury Investigation, Grand Jury No. 24-GJ-0387 (S.D.N.Y.)</w:t>
      </w:r>
    </w:p>
    <w:p>
      <w:pPr>
        <w:jc w:val="center"/>
      </w:pPr>
      <w:r>
        <w:rPr>
          <w:b/>
          <w:sz w:val="26"/>
        </w:rPr>
        <w:t>HALSTEAD, ROWE &amp; KIMBALL LLP</w:t>
      </w:r>
    </w:p>
    <w:p>
      <w:pPr>
        <w:jc w:val="center"/>
      </w:pPr>
      <w:r>
        <w:rPr>
          <w:b/>
          <w:sz w:val="24"/>
        </w:rPr>
        <w:t>MEMORANDUM</w:t>
      </w:r>
    </w:p>
    <w:tbl>
      <w:tblPr>
        <w:tblStyle w:val="TableGrid"/>
        <w:tblW w:type="auto" w:w="0"/>
        <w:jc w:val="center"/>
        <w:tblLook w:firstColumn="1" w:firstRow="1" w:lastColumn="0" w:lastRow="0" w:noHBand="0" w:noVBand="1" w:val="04A0"/>
      </w:tblPr>
      <w:tblGrid>
        <w:gridCol w:w="4680"/>
        <w:gridCol w:w="4680"/>
      </w:tblGrid>
      <w:tr>
        <w:tc>
          <w:tcPr>
            <w:tcW w:type="dxa" w:w="1296"/>
          </w:tcPr>
          <w:p>
            <w:pPr>
              <w:spacing w:after="20"/>
            </w:pPr>
            <w:r/>
            <w:r>
              <w:rPr>
                <w:sz w:val="20"/>
              </w:rPr>
              <w:t>TO:</w:t>
            </w:r>
          </w:p>
        </w:tc>
        <w:tc>
          <w:tcPr>
            <w:tcW w:type="dxa" w:w="8064"/>
          </w:tcPr>
          <w:p>
            <w:pPr>
              <w:spacing w:after="20"/>
            </w:pPr>
            <w:r/>
            <w:r>
              <w:rPr>
                <w:sz w:val="20"/>
              </w:rPr>
              <w:t>Margaret Halstead, Partner</w:t>
            </w:r>
          </w:p>
        </w:tc>
      </w:tr>
      <w:tr>
        <w:tc>
          <w:tcPr>
            <w:tcW w:type="dxa" w:w="1296"/>
          </w:tcPr>
          <w:p>
            <w:pPr>
              <w:spacing w:after="20"/>
            </w:pPr>
            <w:r/>
            <w:r>
              <w:rPr>
                <w:sz w:val="20"/>
              </w:rPr>
              <w:t>CC:</w:t>
            </w:r>
          </w:p>
        </w:tc>
        <w:tc>
          <w:tcPr>
            <w:tcW w:type="dxa" w:w="8064"/>
          </w:tcPr>
          <w:p>
            <w:pPr>
              <w:spacing w:after="20"/>
            </w:pPr>
            <w:r/>
            <w:r>
              <w:rPr>
                <w:sz w:val="20"/>
              </w:rPr>
              <w:t>Jordan Tavares, Senior Associate</w:t>
            </w:r>
          </w:p>
        </w:tc>
      </w:tr>
      <w:tr>
        <w:tc>
          <w:tcPr>
            <w:tcW w:type="dxa" w:w="1296"/>
          </w:tcPr>
          <w:p>
            <w:pPr>
              <w:spacing w:after="20"/>
            </w:pPr>
            <w:r/>
            <w:r>
              <w:rPr>
                <w:sz w:val="20"/>
              </w:rPr>
              <w:t>FROM:</w:t>
            </w:r>
          </w:p>
        </w:tc>
        <w:tc>
          <w:tcPr>
            <w:tcW w:type="dxa" w:w="8064"/>
          </w:tcPr>
          <w:p>
            <w:pPr>
              <w:spacing w:after="20"/>
            </w:pPr>
            <w:r/>
            <w:r>
              <w:rPr>
                <w:sz w:val="20"/>
              </w:rPr>
              <w:t>Ridgeline / MedCore Production Team</w:t>
            </w:r>
          </w:p>
        </w:tc>
      </w:tr>
      <w:tr>
        <w:tc>
          <w:tcPr>
            <w:tcW w:type="dxa" w:w="1296"/>
          </w:tcPr>
          <w:p>
            <w:pPr>
              <w:spacing w:after="20"/>
            </w:pPr>
            <w:r/>
            <w:r>
              <w:rPr>
                <w:sz w:val="20"/>
              </w:rPr>
              <w:t>DATE:</w:t>
            </w:r>
          </w:p>
        </w:tc>
        <w:tc>
          <w:tcPr>
            <w:tcW w:type="dxa" w:w="8064"/>
          </w:tcPr>
          <w:p>
            <w:pPr>
              <w:spacing w:after="20"/>
            </w:pPr>
            <w:r/>
            <w:r>
              <w:rPr>
                <w:sz w:val="20"/>
              </w:rPr>
              <w:t>April 11, 2025 (based on Production Tracker data as of April 10, 2025)</w:t>
            </w:r>
          </w:p>
        </w:tc>
      </w:tr>
      <w:tr>
        <w:tc>
          <w:tcPr>
            <w:tcW w:type="dxa" w:w="1296"/>
          </w:tcPr>
          <w:p>
            <w:pPr>
              <w:spacing w:after="20"/>
            </w:pPr>
            <w:r/>
            <w:r>
              <w:rPr>
                <w:sz w:val="20"/>
              </w:rPr>
              <w:t>RE:</w:t>
            </w:r>
          </w:p>
        </w:tc>
        <w:tc>
          <w:tcPr>
            <w:tcW w:type="dxa" w:w="8064"/>
          </w:tcPr>
          <w:p>
            <w:pPr>
              <w:spacing w:after="20"/>
            </w:pPr>
            <w:r/>
            <w:r>
              <w:rPr>
                <w:sz w:val="20"/>
              </w:rPr>
              <w:t>Ridgeline Capital Partners LLC — Gap Analysis of First Rolling Production (RC-PROD-001 through RC-PROD-014872) Against the 18 Schedule A Requests of the January 14, 2025 Grand Jury Subpoena, and Recommended Remediation</w:t>
            </w:r>
          </w:p>
        </w:tc>
      </w:tr>
    </w:tbl>
    <w:p>
      <w:pPr>
        <w:spacing w:after="40"/>
      </w:pPr>
    </w:p>
    <w:p>
      <w:pPr>
        <w:pStyle w:val="Heading1"/>
      </w:pPr>
      <w:r>
        <w:t>I. Bottom Line</w:t>
      </w:r>
    </w:p>
    <w:p>
      <w:r>
        <w:t xml:space="preserve">The first rolling production (14,872 documents, ~87,400 pages, transmitted to AUSA Navarro on April 10, 2025) met the April 15 deadline and is substantial in the transactional categories (Requests 1, 5 and 12). Measured against the Subpoena itself, however, it is </w:t>
      </w:r>
      <w:r>
        <w:rPr>
          <w:b/>
        </w:rPr>
        <w:t>materially incomplete in the categories that matter most to the Government’s theory</w:t>
      </w:r>
      <w:r>
        <w:t xml:space="preserve"> (alleged misrepresentations to Veriton about VeriScan Pro testing accuracy, FDA 510(k) status and revenue), and it carries </w:t>
      </w:r>
      <w:r>
        <w:rPr>
          <w:b/>
        </w:rPr>
        <w:t>compliance defects that will draw scrutiny independent of volume</w:t>
      </w:r>
      <w:r>
        <w:t>. In order of urgency:</w:t>
      </w:r>
    </w:p>
    <w:p>
      <w:pPr>
        <w:pStyle w:val="ListNumber"/>
        <w:spacing w:after="60"/>
      </w:pPr>
      <w:r>
        <w:rPr>
          <w:b/>
        </w:rPr>
        <w:t>Preservation incident requiring a partner decision now.</w:t>
      </w:r>
      <w:r>
        <w:t xml:space="preserve"> Garrett Whitford’s personal iPhone was factory-reset on January 20, 2025 — six days after service of the Subpoena (Jan. 14) and, per the Production Timeline, three days after HRK issued the legal hold (Jan. 17). Signal and WhatsApp data are unrecoverable; Mr. Whitford acknowledged business use of both apps in his Jan. 24 questionnaire, and Mr. Krell says Mr. Whitford “used Signal a lot” and ran a WhatsApp group with Cromdale bankers about the sale. Paragraph 6 of our own Production Protocol letter commits us to disclose preservation issues “promptly”; we have known since February 4. Disclosure, remediation and a joint-representation conflict review should proceed immediately (Part V.D).</w:t>
      </w:r>
    </w:p>
    <w:p>
      <w:pPr>
        <w:pStyle w:val="ListNumber"/>
        <w:spacing w:after="60"/>
      </w:pPr>
      <w:r>
        <w:rPr>
          <w:b/>
        </w:rPr>
        <w:t>Three Requests show zero documents produced</w:t>
      </w:r>
      <w:r>
        <w:t xml:space="preserve"> — Request 9 (complaints/whistleblower), Request 11 (non-HRK counsel; 100% withheld) and Request 16 (internal investigations/legal holds/retention). Each zero is indefensible as it stands. Request 9 is zero because the Review Coding Guide rewrote the request: it limits “complaints, concerns” to “formal complaints submitted through established reporting channels,” while the Subpoena expressly covers concerns “whether formal or informal” about “testing data integrity, product quality, clinical data accuracy.” As a result, the </w:t>
      </w:r>
      <w:r>
        <w:rPr>
          <w:b/>
        </w:rPr>
        <w:t>August 14, 2021 Marcus Webb email to Diana Cheng-Rourke about VeriScan Pro testing accuracy — in our collection, and the single most important document identified to date — was coded non-responsive and withheld.</w:t>
      </w:r>
      <w:r>
        <w:t xml:space="preserve"> It must be re-coded and produced, with its family, Dr. Anand’s response and all forwards, in the next production.</w:t>
      </w:r>
    </w:p>
    <w:p>
      <w:pPr>
        <w:pStyle w:val="ListNumber"/>
        <w:spacing w:after="60"/>
      </w:pPr>
      <w:r>
        <w:rPr>
          <w:b/>
        </w:rPr>
        <w:t>Request 3 (FDA 510(k)) is materially insufficient</w:t>
      </w:r>
      <w:r>
        <w:t xml:space="preserve"> — 241 documents, all from email, for two pending 510(k) applications. The MedCore Documentum regulatory repository (est. 8,500–12,000 documents) and MedCore’s Regulatory Affairs, Quality Assurance and R&amp;D file shares were never collected. Request 3 was one of five Government-designated priority categories (Protocol ¶ 2.5), yet our Coding Guide deferred it to Phase 2.</w:t>
      </w:r>
    </w:p>
    <w:p>
      <w:pPr>
        <w:pStyle w:val="ListNumber"/>
        <w:spacing w:after="60"/>
      </w:pPr>
      <w:r>
        <w:rPr>
          <w:b/>
        </w:rPr>
        <w:t>Privilege-log non-compliance.</w:t>
      </w:r>
      <w:r>
        <w:t xml:space="preserve"> 4,232 documents are coded privileged but only 1,847 were logged with the production; 2,385 (56.4%) are being withheld without a log entry, contrary to Protocol ¶¶ 5.2–5.3 (log “complete as to all documents withheld from that production”) and Subpoena Instruction IV (failure to log “may result in waiver”). Several designations are also unlikely to survive challenge: 100% withholding of Adler, Connolly &amp; Strauss (ACS) communications despite multi-party threads with Cromdale bankers; communications with MedCore’s auditor Pennfield; and “joint defense” claims over Fund III LP-counsel communications.</w:t>
      </w:r>
    </w:p>
    <w:p>
      <w:pPr>
        <w:pStyle w:val="ListNumber"/>
        <w:spacing w:after="60"/>
      </w:pPr>
      <w:r>
        <w:rPr>
          <w:b/>
        </w:rPr>
        <w:t>Board materials (Request 7) and personal-device data (Request 15) have known holes</w:t>
      </w:r>
      <w:r>
        <w:t>: Q3 2021 and Q1 2022 MedCore board minutes exist only on the uncollected MedCore Board — Corporate Secretary SharePoint site (the Q3 2021 meeting reportedly discussed VeriScan Pro “testing data validation” weeks after the Webb email); Dr. Anand’s personal Gmail and iPhone are uncollected; Mr. Krell’s Signal disappearing-message threads continued to auto-delete after service of the Subpoena.</w:t>
      </w:r>
    </w:p>
    <w:p>
      <w:pPr>
        <w:pStyle w:val="ListNumber"/>
        <w:spacing w:after="60"/>
      </w:pPr>
      <w:r>
        <w:rPr>
          <w:b/>
        </w:rPr>
        <w:t>Our representations to the Government need correcting.</w:t>
      </w:r>
      <w:r>
        <w:t xml:space="preserve"> The Protocol letter states that HRK represents Dr. Anand; Stratton’s April 8 collection memo records that she is represented by Miriam Solano (Wren &amp; Kessler) and is “not represented by HRK.” Several factual statements in our internal records also conflict (e.g., Whitford iCloud backup dated Jan. 13 vs. Jan. 18; Krell device an iPhone vs. a Samsung Galaxy) and must be reconciled before anything is said to AUSA Navarro (Appendix A).</w:t>
      </w:r>
    </w:p>
    <w:p>
      <w:pPr>
        <w:pStyle w:val="ListNumber"/>
        <w:spacing w:after="60"/>
      </w:pPr>
      <w:r>
        <w:rPr>
          <w:b/>
        </w:rPr>
        <w:t>The matter file contains six documents from an unrelated matter</w:t>
      </w:r>
      <w:r>
        <w:t xml:space="preserve"> (a Thornfield &amp; Associates representation concerning Fund III valuations of Aldersgate and Meridian, Subpoena No. GJ-2025-0438-SDNY and SEC File NY-2024-0871), including a first-production log and a 300-entry privilege log that do not correspond to our production. We could not locate our own transmitted privilege log in the file. We must confirm immediately that the log transmitted to AUSA Navarro on April 10 was ours and that no third-party material was transmitted (Part II.B).</w:t>
      </w:r>
    </w:p>
    <w:p>
      <w:r>
        <w:rPr>
          <w:b/>
        </w:rPr>
        <w:t>Overall assessment:</w:t>
      </w:r>
      <w:r>
        <w:t xml:space="preserve"> of the 18 Requests, we rate 3 CRITICAL (zero production: Requests 9, 11, 16), 3 RED (materially incomplete or known collection hole: Requests 3, 7, 15), 10 AMBER (partial, remediable through supplemental collection, re-review or privilege re-assessment: Requests 2, 4, 5, 6, 8, 10, 13, 14, 17, 18), and 2 GREEN-with-caveats (Requests 1 and 12). We do </w:t>
      </w:r>
      <w:r>
        <w:rPr>
          <w:b/>
        </w:rPr>
        <w:t>not</w:t>
      </w:r>
      <w:r>
        <w:t xml:space="preserve"> recommend providing an unqualified Instruction G compliance certification for any production until the items in Part VI are completed; any certification already delivered with the April 10 production should be supplemented with express exceptions. A 30-day remediation plan keyed to the target second production (May 15, 2025) and the June 30 final deadline is in Part VI, and recommended Government communications are in Part VII.</w:t>
      </w:r>
    </w:p>
    <w:p>
      <w:pPr>
        <w:pStyle w:val="Heading1"/>
      </w:pPr>
      <w:r>
        <w:t>II. Scope, Sources and a Threshold File-Integrity Issue</w:t>
      </w:r>
    </w:p>
    <w:p>
      <w:pPr>
        <w:pStyle w:val="Heading2"/>
      </w:pPr>
      <w:r>
        <w:t>A. What we compared</w:t>
      </w:r>
    </w:p>
    <w:p>
      <w:r>
        <w:t>We compared the first rolling production, as reported in the Production Tracker (Summary, Per-Category Detail, Custodian Breakdown, Privilege Log Summary and Production Timeline tabs, last updated April 10, 2025), against (i) the Subpoena’s Instructions I–V, Definitions and 18 Schedule A Requests and General Instructions A–H; (ii) the February 21, 2025 Production Protocol letter to AUSA Navarro; and (iii) what our own records show should exist: Stratton’s April 8, 2025 Custodian Collection Summary Memorandum, Allison Bray’s March 28, 2025 collection-gaps email, the March 18, 2025 interview memoranda for Diana Cheng-Rourke and Tobias Krell, and the March 3, 2025 Review Coding Guide. A full list is in Appendix C. We did not have access to Relativity, the load file, the production cover letter, the Exhibit A search terms, or the privilege log actually transmitted on April 10; findings that depend on those items are flagged as requiring verification.</w:t>
      </w:r>
    </w:p>
    <w:p>
      <w:pPr>
        <w:pStyle w:val="Heading2"/>
      </w:pPr>
      <w:r>
        <w:t>B. Six documents in the file belong to a different matter</w:t>
      </w:r>
    </w:p>
    <w:p>
      <w:r>
        <w:t xml:space="preserve">Six documents in the working file do not relate to this matter and </w:t>
      </w:r>
      <w:r>
        <w:rPr>
          <w:b/>
        </w:rPr>
        <w:t>must not be relied on</w:t>
      </w:r>
      <w:r>
        <w:t xml:space="preserve"> for our gap analysis: (1) “First Production Log” (categories A–N; Bates RC-[letter]-######; custodians Delacroix, Venkatesh, Kessler, Chen, Galindo, Pryce, Banerjee, K. Whitford); (2) “Privilege Log” (300 entries, RC-PRIV-000001–000300, Thornfield &amp; Associates as counsel, with an internal “Do Not Produce” review-notes column); (3) Meet-and-Confer Notes of March 20, 2025 (Rebecca Sato of Thornfield &amp; Associates; AUSA Catherine Marchetti; Subpoena No. GJ-2025-0438-SDNY, issued Jan. 22, 2025); (4) an SEC Division of Enforcement preservation letter of October 28, 2024 (File No. NY-2024-0871, Fund III valuations of Aldersgate Therapeutics and Meridian Industrial Solutions); (5) an excerpt of a “2023 Annual Report to Limited Partners” (Bates RC-G-004182); and (6) a Compliance Manual Section 7 (Valuation Policies) excerpt. These concern a “Ridgeline Capital Partners LLC” at 425 Park Avenue with different principals, a Fund III formed in 2021, different counsel, a different AUSA and a different subpoena; none mentions MedCore.</w:t>
      </w:r>
    </w:p>
    <w:p>
      <w:r>
        <w:t>Recommended handling:</w:t>
      </w:r>
    </w:p>
    <w:p>
      <w:pPr>
        <w:pStyle w:val="ListBullet"/>
        <w:spacing w:after="60"/>
      </w:pPr>
      <w:r>
        <w:rPr>
          <w:b/>
        </w:rPr>
        <w:t>Confirm what was transmitted on April 10.</w:t>
      </w:r>
      <w:r>
        <w:t xml:space="preserve"> Verify that the privilege log served with RC-PROD-001–014872 was our 1,847-entry MedCore log and that none of the six documents (in particular the other matter’s privilege log with internal review notes) was included in the production volume or cover materials. If anything was sent in error, send a written notice under Protocol ¶ 5.4 / FRE 502(b) the same day.</w:t>
      </w:r>
    </w:p>
    <w:p>
      <w:pPr>
        <w:pStyle w:val="ListBullet"/>
        <w:spacing w:after="60"/>
      </w:pPr>
      <w:r>
        <w:rPr>
          <w:b/>
        </w:rPr>
        <w:t>Sequester and notify.</w:t>
      </w:r>
      <w:r>
        <w:t xml:space="preserve"> These appear to be another firm’s privileged work product. Stop further review, sequester them, determine how they entered our file (shared vendor workspace? shared Bates prefix “RC-”?), and evaluate notice to the sender under N.Y. Rule of Professional Conduct 4.4(b). Confirm with Stratton that no other-matter data is commingled in the MedCore Relativity workspace (52,318 documents).</w:t>
      </w:r>
    </w:p>
    <w:p>
      <w:pPr>
        <w:pStyle w:val="ListBullet"/>
        <w:spacing w:after="60"/>
      </w:pPr>
      <w:r>
        <w:rPr>
          <w:b/>
        </w:rPr>
        <w:t>Rule out a relationship between the matters.</w:t>
      </w:r>
      <w:r>
        <w:t xml:space="preserve"> Conduct a conflicts check. If, contrary to appearances, the SEC/Thornfield matter involves our client (the Subpoena’s definition of “Ridgeline” includes Fund III and affiliates), the consequences would be significant: a parallel SEC investigation, a preservation trigger as early as October 28, 2024, and potential overlap with Requests 10 and 18. Nothing in our matter records suggests this, but it must be confirmed rather than assumed.</w:t>
      </w:r>
    </w:p>
    <w:p>
      <w:pPr>
        <w:pStyle w:val="ListBullet"/>
        <w:spacing w:after="60"/>
      </w:pPr>
      <w:r>
        <w:rPr>
          <w:b/>
        </w:rPr>
        <w:t>Locate our own privilege log</w:t>
      </w:r>
      <w:r>
        <w:t xml:space="preserve"> for the April 10 production; it is not in the file we reviewed, so this memo’s privilege analysis relies on the Tracker’s Privilege Log Summary tab.</w:t>
      </w:r>
    </w:p>
    <w:p>
      <w:pPr>
        <w:pStyle w:val="Heading1"/>
      </w:pPr>
      <w:r>
        <w:t>III. The First Production at a Glance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736"/>
            <w:shd w:val="clear" w:color="auto" w:fill="D9E1F2"/>
          </w:tcPr>
          <w:p>
            <w:r>
              <w:rPr>
                <w:b/>
              </w:rPr>
            </w:r>
            <w:r>
              <w:rPr>
                <w:b/>
                <w:sz w:val="17"/>
              </w:rPr>
              <w:t>Metric (Tracker, as of 04/10/2025)</w:t>
            </w:r>
          </w:p>
        </w:tc>
        <w:tc>
          <w:tcPr>
            <w:tcW w:type="dxa" w:w="2016"/>
            <w:shd w:val="clear" w:color="auto" w:fill="D9E1F2"/>
          </w:tcPr>
          <w:p>
            <w:r>
              <w:rPr>
                <w:b/>
              </w:rPr>
            </w:r>
            <w:r>
              <w:rPr>
                <w:b/>
                <w:sz w:val="17"/>
              </w:rPr>
              <w:t>Figure</w:t>
            </w:r>
          </w:p>
        </w:tc>
        <w:tc>
          <w:tcPr>
            <w:tcW w:type="dxa" w:w="4608"/>
            <w:shd w:val="clear" w:color="auto" w:fill="D9E1F2"/>
          </w:tcPr>
          <w:p>
            <w:r>
              <w:rPr>
                <w:b/>
              </w:rPr>
            </w:r>
            <w:r>
              <w:rPr>
                <w:b/>
                <w:sz w:val="17"/>
              </w:rPr>
              <w:t>Observation</w:t>
            </w:r>
          </w:p>
        </w:tc>
      </w:tr>
      <w:tr>
        <w:tc>
          <w:tcPr>
            <w:tcW w:type="dxa" w:w="2736"/>
          </w:tcPr>
          <w:p>
            <w:pPr>
              <w:spacing w:after="20"/>
            </w:pPr>
            <w:r/>
            <w:r>
              <w:rPr>
                <w:sz w:val="17"/>
              </w:rPr>
              <w:t>Documents collected / reviewed</w:t>
            </w:r>
          </w:p>
        </w:tc>
        <w:tc>
          <w:tcPr>
            <w:tcW w:type="dxa" w:w="2016"/>
          </w:tcPr>
          <w:p>
            <w:pPr>
              <w:spacing w:after="20"/>
            </w:pPr>
            <w:r/>
            <w:r>
              <w:rPr>
                <w:sz w:val="17"/>
              </w:rPr>
              <w:t>52,318 / 52,318</w:t>
            </w:r>
          </w:p>
        </w:tc>
        <w:tc>
          <w:tcPr>
            <w:tcW w:type="dxa" w:w="4608"/>
          </w:tcPr>
          <w:p>
            <w:pPr>
              <w:spacing w:after="20"/>
            </w:pPr>
            <w:r/>
            <w:r>
              <w:rPr>
                <w:sz w:val="17"/>
              </w:rPr>
              <w:t>Stratton memo: 86,125 pre-dedup items → 52,318 unique. Collections from 4 custodians plus Ridgeline R:\ drive (8,219), Ridgeline “MedCore Deal Team” SharePoint (1,844) and partial MedCore shares (4,188).</w:t>
            </w:r>
          </w:p>
        </w:tc>
      </w:tr>
      <w:tr>
        <w:tc>
          <w:tcPr>
            <w:tcW w:type="dxa" w:w="2736"/>
          </w:tcPr>
          <w:p>
            <w:pPr>
              <w:spacing w:after="20"/>
            </w:pPr>
            <w:r/>
            <w:r>
              <w:rPr>
                <w:sz w:val="17"/>
              </w:rPr>
              <w:t>Coded responsive / non-responsive / privileged</w:t>
            </w:r>
          </w:p>
        </w:tc>
        <w:tc>
          <w:tcPr>
            <w:tcW w:type="dxa" w:w="2016"/>
          </w:tcPr>
          <w:p>
            <w:pPr>
              <w:spacing w:after="20"/>
            </w:pPr>
            <w:r/>
            <w:r>
              <w:rPr>
                <w:sz w:val="17"/>
              </w:rPr>
              <w:t>18,441 / 29,645 / 4,232</w:t>
            </w:r>
          </w:p>
        </w:tc>
        <w:tc>
          <w:tcPr>
            <w:tcW w:type="dxa" w:w="4608"/>
          </w:tcPr>
          <w:p>
            <w:pPr>
              <w:spacing w:after="20"/>
            </w:pPr>
            <w:r/>
            <w:r>
              <w:rPr>
                <w:sz w:val="17"/>
              </w:rPr>
              <w:t>Adds to 52,318. Responsive rate 35%.</w:t>
            </w:r>
          </w:p>
        </w:tc>
      </w:tr>
      <w:tr>
        <w:tc>
          <w:tcPr>
            <w:tcW w:type="dxa" w:w="2736"/>
          </w:tcPr>
          <w:p>
            <w:pPr>
              <w:spacing w:after="20"/>
            </w:pPr>
            <w:r/>
            <w:r>
              <w:rPr>
                <w:sz w:val="17"/>
              </w:rPr>
              <w:t>Produced (unique)</w:t>
            </w:r>
          </w:p>
        </w:tc>
        <w:tc>
          <w:tcPr>
            <w:tcW w:type="dxa" w:w="2016"/>
          </w:tcPr>
          <w:p>
            <w:pPr>
              <w:spacing w:after="20"/>
            </w:pPr>
            <w:r/>
            <w:r>
              <w:rPr>
                <w:sz w:val="17"/>
              </w:rPr>
              <w:t>14,872 (~87,400 pp.)</w:t>
            </w:r>
          </w:p>
        </w:tc>
        <w:tc>
          <w:tcPr>
            <w:tcW w:type="dxa" w:w="4608"/>
          </w:tcPr>
          <w:p>
            <w:pPr>
              <w:spacing w:after="20"/>
            </w:pPr>
            <w:r/>
            <w:r>
              <w:rPr>
                <w:sz w:val="17"/>
              </w:rPr>
              <w:t>80.6% of responsive. 3,569 responsive docs remain in QC/redaction.</w:t>
            </w:r>
          </w:p>
        </w:tc>
      </w:tr>
      <w:tr>
        <w:tc>
          <w:tcPr>
            <w:tcW w:type="dxa" w:w="2736"/>
          </w:tcPr>
          <w:p>
            <w:pPr>
              <w:spacing w:after="20"/>
            </w:pPr>
            <w:r/>
            <w:r>
              <w:rPr>
                <w:sz w:val="17"/>
              </w:rPr>
              <w:t>Category tags on produced docs</w:t>
            </w:r>
          </w:p>
        </w:tc>
        <w:tc>
          <w:tcPr>
            <w:tcW w:type="dxa" w:w="2016"/>
          </w:tcPr>
          <w:p>
            <w:pPr>
              <w:spacing w:after="20"/>
            </w:pPr>
            <w:r/>
            <w:r>
              <w:rPr>
                <w:sz w:val="17"/>
              </w:rPr>
              <w:t>15,887</w:t>
            </w:r>
          </w:p>
        </w:tc>
        <w:tc>
          <w:tcPr>
            <w:tcW w:type="dxa" w:w="4608"/>
          </w:tcPr>
          <w:p>
            <w:pPr>
              <w:spacing w:after="20"/>
            </w:pPr>
            <w:r/>
            <w:r>
              <w:rPr>
                <w:sz w:val="17"/>
              </w:rPr>
              <w:t>1,015 multi-tagged documents.</w:t>
            </w:r>
          </w:p>
        </w:tc>
      </w:tr>
      <w:tr>
        <w:tc>
          <w:tcPr>
            <w:tcW w:type="dxa" w:w="2736"/>
          </w:tcPr>
          <w:p>
            <w:pPr>
              <w:spacing w:after="20"/>
            </w:pPr>
            <w:r/>
            <w:r>
              <w:rPr>
                <w:sz w:val="17"/>
              </w:rPr>
              <w:t>Privileged — logged / not logged</w:t>
            </w:r>
          </w:p>
        </w:tc>
        <w:tc>
          <w:tcPr>
            <w:tcW w:type="dxa" w:w="2016"/>
          </w:tcPr>
          <w:p>
            <w:pPr>
              <w:spacing w:after="20"/>
            </w:pPr>
            <w:r/>
            <w:r>
              <w:rPr>
                <w:sz w:val="17"/>
              </w:rPr>
              <w:t>1,847 / 2,385</w:t>
            </w:r>
          </w:p>
        </w:tc>
        <w:tc>
          <w:tcPr>
            <w:tcW w:type="dxa" w:w="4608"/>
          </w:tcPr>
          <w:p>
            <w:pPr>
              <w:spacing w:after="20"/>
            </w:pPr>
            <w:r/>
            <w:r>
              <w:rPr>
                <w:sz w:val="17"/>
              </w:rPr>
              <w:t>56.4% unlogged — non-compliant with Protocol ¶¶ 5.2–5.3 and Subpoena Instr. IV.</w:t>
            </w:r>
          </w:p>
        </w:tc>
      </w:tr>
      <w:tr>
        <w:tc>
          <w:tcPr>
            <w:tcW w:type="dxa" w:w="2736"/>
          </w:tcPr>
          <w:p>
            <w:pPr>
              <w:spacing w:after="20"/>
            </w:pPr>
            <w:r/>
            <w:r>
              <w:rPr>
                <w:sz w:val="17"/>
              </w:rPr>
              <w:t>Requests with zero production</w:t>
            </w:r>
          </w:p>
        </w:tc>
        <w:tc>
          <w:tcPr>
            <w:tcW w:type="dxa" w:w="2016"/>
          </w:tcPr>
          <w:p>
            <w:pPr>
              <w:spacing w:after="20"/>
            </w:pPr>
            <w:r/>
            <w:r>
              <w:rPr>
                <w:sz w:val="17"/>
              </w:rPr>
              <w:t>3 of 18 (Req. 9, 11, 16)</w:t>
            </w:r>
          </w:p>
        </w:tc>
        <w:tc>
          <w:tcPr>
            <w:tcW w:type="dxa" w:w="4608"/>
          </w:tcPr>
          <w:p>
            <w:pPr>
              <w:spacing w:after="20"/>
            </w:pPr>
            <w:r/>
            <w:r>
              <w:rPr>
                <w:sz w:val="17"/>
              </w:rPr>
              <w:t>Req. 11: 100% withheld as privileged.</w:t>
            </w:r>
          </w:p>
        </w:tc>
      </w:tr>
      <w:tr>
        <w:tc>
          <w:tcPr>
            <w:tcW w:type="dxa" w:w="2736"/>
          </w:tcPr>
          <w:p>
            <w:pPr>
              <w:spacing w:after="20"/>
            </w:pPr>
            <w:r/>
            <w:r>
              <w:rPr>
                <w:sz w:val="17"/>
              </w:rPr>
              <w:t>Non-custodial sources</w:t>
            </w:r>
          </w:p>
        </w:tc>
        <w:tc>
          <w:tcPr>
            <w:tcW w:type="dxa" w:w="2016"/>
          </w:tcPr>
          <w:p>
            <w:pPr>
              <w:spacing w:after="20"/>
            </w:pPr>
            <w:r/>
            <w:r>
              <w:rPr>
                <w:sz w:val="17"/>
              </w:rPr>
              <w:t>14,251 docs ingested; 0 production attributed</w:t>
            </w:r>
          </w:p>
        </w:tc>
        <w:tc>
          <w:tcPr>
            <w:tcW w:type="dxa" w:w="4608"/>
          </w:tcPr>
          <w:p>
            <w:pPr>
              <w:spacing w:after="20"/>
            </w:pPr>
            <w:r/>
            <w:r>
              <w:rPr>
                <w:sz w:val="17"/>
              </w:rPr>
              <w:t>Tracker attributes no produced documents to the R:\ drive, deal-team SharePoint or MedCore shares (318 privileged). Either attribution is lost through de-duplication or these sources were not fully reviewed — must be confirmed.</w:t>
            </w:r>
          </w:p>
        </w:tc>
      </w:tr>
      <w:tr>
        <w:tc>
          <w:tcPr>
            <w:tcW w:type="dxa" w:w="2736"/>
          </w:tcPr>
          <w:p>
            <w:pPr>
              <w:spacing w:after="20"/>
            </w:pPr>
            <w:r/>
            <w:r>
              <w:rPr>
                <w:sz w:val="17"/>
              </w:rPr>
              <w:t>Government priority categories (Protocol ¶ 2.5)</w:t>
            </w:r>
          </w:p>
        </w:tc>
        <w:tc>
          <w:tcPr>
            <w:tcW w:type="dxa" w:w="2016"/>
          </w:tcPr>
          <w:p>
            <w:pPr>
              <w:spacing w:after="20"/>
            </w:pPr>
            <w:r/>
            <w:r>
              <w:rPr>
                <w:sz w:val="17"/>
              </w:rPr>
              <w:t>Req. 2, 3, 4, 5, 15</w:t>
            </w:r>
          </w:p>
        </w:tc>
        <w:tc>
          <w:tcPr>
            <w:tcW w:type="dxa" w:w="4608"/>
          </w:tcPr>
          <w:p>
            <w:pPr>
              <w:spacing w:after="20"/>
            </w:pPr>
            <w:r/>
            <w:r>
              <w:rPr>
                <w:sz w:val="17"/>
              </w:rPr>
              <w:t>Req. 3: 241 docs (Insufficient); Req. 15: Anand none, Whitford iMessage only; Req. 2 and 4: Partial. Coding Guide Phase 1 instead prioritized Req. 1, 4, 5, 7, 8, 12, 17, 18.</w:t>
            </w:r>
          </w:p>
        </w:tc>
      </w:tr>
    </w:tbl>
    <w:p>
      <w:pPr>
        <w:spacing w:after="40"/>
      </w:pPr>
    </w:p>
    <w:p>
      <w:r>
        <w:rPr>
          <w:b/>
        </w:rPr>
        <w:t>Reliability of the Tracker itself.</w:t>
      </w:r>
      <w:r>
        <w:t xml:space="preserve"> Several Tracker figures do not reconcile and should not be repeated to the Government until corrected (details in Appendix A): (a) Request 11 per-custodian detail shows 1,247 logged plus 501 unlogged (1,748), while the Summary and Privilege Log Summary show 1,247 total, of which 746 logged; (b) Request 5 detail shows 124 logged plus 44 unlogged (168) against 156 on the Summary; (c) the QC queue is 3,569 (Summary), 3,211 (Custodian Breakdown) and 905 (sum of per-request detail); (d) the per-request Bates ranges overlap (e.g., Req. 7 Cheng-Rourke RC-PROD-007201–007512 sits inside the Req. 5 Cheng-Rourke and Krell ranges; Req. 3 Anand RC-PROD-005412–005519 overlaps Req. 4 Krell and Anand ranges), begin at RC-PROD-000112 (000001–000111 unaccounted for), leave RC-PROD-007688–008073 unassigned except to Req. 5, and run to RC-PROD-015333 for Request 18 — 461 numbers beyond the last Bates number produced (014872). The category-to-Bates mapping in the Tracker is therefore notional; the authoritative source must be the load file’s “Request Category Designation(s)” field required by Protocol ¶ 3.3(xiii).</w:t>
      </w:r>
    </w:p>
    <w:p>
      <w:pPr>
        <w:sectPr>
          <w:footerReference w:type="default" r:id="rId9"/>
          <w:pgSz w:w="12240" w:h="15840"/>
          <w:pgMar w:top="1296" w:right="1440" w:bottom="1296" w:left="1440" w:header="720" w:footer="720" w:gutter="0"/>
          <w:cols w:space="720"/>
          <w:docGrid w:linePitch="360"/>
        </w:sectPr>
      </w:pPr>
    </w:p>
    <w:p>
      <w:pPr>
        <w:pStyle w:val="Heading1"/>
      </w:pPr>
      <w:r>
        <w:t>IV. Request-by-Request Gap Analysis</w:t>
      </w:r>
    </w:p>
    <w:p>
      <w:r>
        <w:rPr>
          <w:sz w:val="18"/>
        </w:rPr>
        <w:t>Figures are from the Tracker (Prod = produced; Priv = privileged, logged/unlogged; QC = still in QC/redaction). “Tracker” is the coverage rating in the Tracker; “Our rating” reflects the Subpoena text and the facts in our collection, interview and vendor records. CRITICAL = zero production; RED = materially incomplete/known hole; AMBER = partial, remediable; GREEN = substantially complete subject to stated checks.</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rPr>
          <w:tblHeader w:val="true"/>
        </w:trPr>
        <w:tc>
          <w:tcPr>
            <w:tcW w:type="dxa" w:w="648"/>
            <w:shd w:val="clear" w:color="auto" w:fill="D9E1F2"/>
          </w:tcPr>
          <w:p>
            <w:r>
              <w:rPr>
                <w:b/>
              </w:rPr>
            </w:r>
            <w:r>
              <w:rPr>
                <w:b/>
                <w:sz w:val="15"/>
              </w:rPr>
              <w:t>Req.</w:t>
            </w:r>
          </w:p>
        </w:tc>
        <w:tc>
          <w:tcPr>
            <w:tcW w:type="dxa" w:w="2520"/>
            <w:shd w:val="clear" w:color="auto" w:fill="D9E1F2"/>
          </w:tcPr>
          <w:p>
            <w:r>
              <w:rPr>
                <w:b/>
              </w:rPr>
            </w:r>
            <w:r>
              <w:rPr>
                <w:b/>
                <w:sz w:val="15"/>
              </w:rPr>
              <w:t>Subpoena scope (key elements)</w:t>
            </w:r>
          </w:p>
        </w:tc>
        <w:tc>
          <w:tcPr>
            <w:tcW w:type="dxa" w:w="1512"/>
            <w:shd w:val="clear" w:color="auto" w:fill="D9E1F2"/>
          </w:tcPr>
          <w:p>
            <w:r>
              <w:rPr>
                <w:b/>
              </w:rPr>
            </w:r>
            <w:r>
              <w:rPr>
                <w:b/>
                <w:sz w:val="15"/>
              </w:rPr>
              <w:t>First production</w:t>
            </w:r>
          </w:p>
        </w:tc>
        <w:tc>
          <w:tcPr>
            <w:tcW w:type="dxa" w:w="1368"/>
            <w:shd w:val="clear" w:color="auto" w:fill="D9E1F2"/>
          </w:tcPr>
          <w:p>
            <w:r>
              <w:rPr>
                <w:b/>
              </w:rPr>
            </w:r>
            <w:r>
              <w:rPr>
                <w:b/>
                <w:sz w:val="15"/>
              </w:rPr>
              <w:t>Tracker → Our rating</w:t>
            </w:r>
          </w:p>
        </w:tc>
        <w:tc>
          <w:tcPr>
            <w:tcW w:type="dxa" w:w="4320"/>
            <w:shd w:val="clear" w:color="auto" w:fill="D9E1F2"/>
          </w:tcPr>
          <w:p>
            <w:r>
              <w:rPr>
                <w:b/>
              </w:rPr>
            </w:r>
            <w:r>
              <w:rPr>
                <w:b/>
                <w:sz w:val="15"/>
              </w:rPr>
              <w:t>Gaps and risks identified</w:t>
            </w:r>
          </w:p>
        </w:tc>
        <w:tc>
          <w:tcPr>
            <w:tcW w:type="dxa" w:w="3744"/>
            <w:shd w:val="clear" w:color="auto" w:fill="D9E1F2"/>
          </w:tcPr>
          <w:p>
            <w:r>
              <w:rPr>
                <w:b/>
              </w:rPr>
            </w:r>
            <w:r>
              <w:rPr>
                <w:b/>
                <w:sz w:val="15"/>
              </w:rPr>
              <w:t>Remediation</w:t>
            </w:r>
          </w:p>
        </w:tc>
      </w:tr>
      <w:tr>
        <w:tc>
          <w:tcPr>
            <w:tcW w:type="dxa" w:w="648"/>
          </w:tcPr>
          <w:p>
            <w:pPr>
              <w:spacing w:after="20"/>
            </w:pPr>
            <w:r/>
            <w:r>
              <w:rPr>
                <w:sz w:val="15"/>
              </w:rPr>
              <w:t>1</w:t>
            </w:r>
          </w:p>
        </w:tc>
        <w:tc>
          <w:tcPr>
            <w:tcW w:type="dxa" w:w="2520"/>
          </w:tcPr>
          <w:p>
            <w:pPr>
              <w:spacing w:after="20"/>
            </w:pPr>
            <w:r/>
            <w:r>
              <w:rPr>
                <w:sz w:val="15"/>
              </w:rPr>
              <w:t>Acquisition of MedCore (1/1/2019–3/31/2020): diligence, models, valuations, LOIs/IOIs, credit and security docs, closing binders, IC materials; how MedCore was identified; competing bids.</w:t>
            </w:r>
          </w:p>
        </w:tc>
        <w:tc>
          <w:tcPr>
            <w:tcW w:type="dxa" w:w="1512"/>
          </w:tcPr>
          <w:p>
            <w:pPr>
              <w:spacing w:after="20"/>
            </w:pPr>
            <w:r/>
            <w:r>
              <w:rPr>
                <w:sz w:val="15"/>
              </w:rPr>
              <w:t>Prod 2,134</w:t>
            </w:r>
          </w:p>
          <w:p>
            <w:pPr>
              <w:spacing w:after="20"/>
            </w:pPr>
            <w:r>
              <w:rPr>
                <w:sz w:val="15"/>
              </w:rPr>
              <w:t>Priv 87 (87/0)</w:t>
            </w:r>
          </w:p>
          <w:p>
            <w:pPr>
              <w:spacing w:after="20"/>
            </w:pPr>
            <w:r>
              <w:rPr>
                <w:sz w:val="15"/>
              </w:rPr>
              <w:t>QC 102</w:t>
            </w:r>
          </w:p>
        </w:tc>
        <w:tc>
          <w:tcPr>
            <w:tcW w:type="dxa" w:w="1368"/>
            <w:shd w:val="clear" w:color="auto" w:fill="D9EAD3"/>
          </w:tcPr>
          <w:p>
            <w:pPr>
              <w:spacing w:after="20"/>
            </w:pPr>
            <w:r/>
            <w:r>
              <w:rPr>
                <w:sz w:val="15"/>
              </w:rPr>
              <w:t>Comprehensive →</w:t>
            </w:r>
          </w:p>
          <w:p>
            <w:pPr>
              <w:spacing w:after="20"/>
            </w:pPr>
            <w:r>
              <w:rPr>
                <w:sz w:val="15"/>
              </w:rPr>
              <w:t>GREEN (caveats)</w:t>
            </w:r>
          </w:p>
        </w:tc>
        <w:tc>
          <w:tcPr>
            <w:tcW w:type="dxa" w:w="4320"/>
          </w:tcPr>
          <w:p>
            <w:pPr>
              <w:spacing w:after="20"/>
            </w:pPr>
            <w:r/>
            <w:r>
              <w:rPr>
                <w:sz w:val="15"/>
              </w:rPr>
              <w:t>ACS acquisition files (merger agreement drafts, diligence) and the third-party quality-of-earnings provider’s files are not in our collection (Instr. E). Sourcing and competing-bid materials need confirmation: Krell says Whitford’s Cromdale relationships were “instrumental” in sourcing, and those 2019 communications may have run over Whitford’s lost Signal/WhatsApp. Anand documents tagged Jan.–Mar. 2020 although interviews place her start in April 2020 — check date coding.</w:t>
            </w:r>
          </w:p>
        </w:tc>
        <w:tc>
          <w:tcPr>
            <w:tcW w:type="dxa" w:w="3744"/>
          </w:tcPr>
          <w:p>
            <w:pPr>
              <w:spacing w:after="20"/>
            </w:pPr>
            <w:r/>
            <w:r>
              <w:rPr>
                <w:sz w:val="15"/>
              </w:rPr>
              <w:t>Targeted searches (sourcing, “Project”/code names, competing bids, Cromdale 2019); confirm credit/security/intercreditor agreements and IC memos are in the volume; include ACS and QoE provider in Instr. E letter.</w:t>
            </w:r>
          </w:p>
        </w:tc>
      </w:tr>
      <w:tr>
        <w:tc>
          <w:tcPr>
            <w:tcW w:type="dxa" w:w="648"/>
          </w:tcPr>
          <w:p>
            <w:pPr>
              <w:spacing w:after="20"/>
            </w:pPr>
            <w:r/>
            <w:r>
              <w:rPr>
                <w:sz w:val="15"/>
              </w:rPr>
              <w:t>2</w:t>
            </w:r>
          </w:p>
        </w:tc>
        <w:tc>
          <w:tcPr>
            <w:tcW w:type="dxa" w:w="2520"/>
          </w:tcPr>
          <w:p>
            <w:pPr>
              <w:spacing w:after="20"/>
            </w:pPr>
            <w:r/>
            <w:r>
              <w:rPr>
                <w:sz w:val="15"/>
              </w:rPr>
              <w:t>All Ridgeline–MedCore communications on revenue, projections, recognition, pipeline, backlog, targets, accuracy of revenue data (Relevant Period). PRIORITY (Protocol ¶ 2.5).</w:t>
            </w:r>
          </w:p>
        </w:tc>
        <w:tc>
          <w:tcPr>
            <w:tcW w:type="dxa" w:w="1512"/>
          </w:tcPr>
          <w:p>
            <w:pPr>
              <w:spacing w:after="20"/>
            </w:pPr>
            <w:r/>
            <w:r>
              <w:rPr>
                <w:sz w:val="15"/>
              </w:rPr>
              <w:t>Prod 1,956</w:t>
            </w:r>
          </w:p>
          <w:p>
            <w:pPr>
              <w:spacing w:after="20"/>
            </w:pPr>
            <w:r>
              <w:rPr>
                <w:sz w:val="15"/>
              </w:rPr>
              <w:t>Priv 312 (198/114)</w:t>
            </w:r>
          </w:p>
          <w:p>
            <w:pPr>
              <w:spacing w:after="20"/>
            </w:pPr>
            <w:r>
              <w:rPr>
                <w:sz w:val="15"/>
              </w:rPr>
              <w:t>QC 145</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Anand personal Gmail uncollected (she used it “more than most,” esp. spring/summer 2020). Anand preferred WhatsApp with Krell; ensure Krell/Cheng-Rourke WhatsApp and Signal messages are tagged to Req. 2, not only Req. 15. Board packages (revenue, pipeline) on uncollected SharePoint. Privilege counterparty listed as Pennfield (auditor) — auditor communications are generally not privileged. 114 privileged documents unlogged.</w:t>
            </w:r>
          </w:p>
        </w:tc>
        <w:tc>
          <w:tcPr>
            <w:tcW w:type="dxa" w:w="3744"/>
          </w:tcPr>
          <w:p>
            <w:pPr>
              <w:spacing w:after="20"/>
            </w:pPr>
            <w:r/>
            <w:r>
              <w:rPr>
                <w:sz w:val="15"/>
              </w:rPr>
              <w:t>Escalate Anand Gmail (Part V.C); re-tag messaging data; re-review Pennfield-related privilege calls; log all withheld documents before next production.</w:t>
            </w:r>
          </w:p>
        </w:tc>
      </w:tr>
      <w:tr>
        <w:tc>
          <w:tcPr>
            <w:tcW w:type="dxa" w:w="648"/>
          </w:tcPr>
          <w:p>
            <w:pPr>
              <w:spacing w:after="20"/>
            </w:pPr>
            <w:r/>
            <w:r>
              <w:rPr>
                <w:sz w:val="15"/>
              </w:rPr>
              <w:t>3</w:t>
            </w:r>
          </w:p>
        </w:tc>
        <w:tc>
          <w:tcPr>
            <w:tcW w:type="dxa" w:w="2520"/>
          </w:tcPr>
          <w:p>
            <w:pPr>
              <w:spacing w:after="20"/>
            </w:pPr>
            <w:r/>
            <w:r>
              <w:rPr>
                <w:sz w:val="15"/>
              </w:rPr>
              <w:t>FDA 510(k): applications, data, testing and clinical validation, approval-likelihood analyses, FDA correspondence (AI requests, deficiency notices), Ridgeline–MedCore communications on FDA status, all documents referencing MC-510k-2021-04 and MC-510k-2022-01, predicate/SE analyses, third-party lab reports. PRIORITY.</w:t>
            </w:r>
          </w:p>
        </w:tc>
        <w:tc>
          <w:tcPr>
            <w:tcW w:type="dxa" w:w="1512"/>
          </w:tcPr>
          <w:p>
            <w:pPr>
              <w:spacing w:after="20"/>
            </w:pPr>
            <w:r/>
            <w:r>
              <w:rPr>
                <w:sz w:val="15"/>
              </w:rPr>
              <w:t>Prod 241</w:t>
            </w:r>
          </w:p>
          <w:p>
            <w:pPr>
              <w:spacing w:after="20"/>
            </w:pPr>
            <w:r>
              <w:rPr>
                <w:sz w:val="15"/>
              </w:rPr>
              <w:t>Priv 14 (14/0)</w:t>
            </w:r>
          </w:p>
          <w:p>
            <w:pPr>
              <w:spacing w:after="20"/>
            </w:pPr>
            <w:r>
              <w:rPr>
                <w:sz w:val="15"/>
              </w:rPr>
              <w:t>QC 0</w:t>
            </w:r>
          </w:p>
        </w:tc>
        <w:tc>
          <w:tcPr>
            <w:tcW w:type="dxa" w:w="1368"/>
            <w:shd w:val="clear" w:color="auto" w:fill="F4CCCC"/>
          </w:tcPr>
          <w:p>
            <w:pPr>
              <w:spacing w:after="20"/>
            </w:pPr>
            <w:r/>
            <w:r>
              <w:rPr>
                <w:sz w:val="15"/>
              </w:rPr>
              <w:t>Insufficient →</w:t>
            </w:r>
          </w:p>
          <w:p>
            <w:pPr>
              <w:spacing w:after="20"/>
            </w:pPr>
            <w:r>
              <w:rPr>
                <w:sz w:val="15"/>
              </w:rPr>
              <w:t>RED</w:t>
            </w:r>
          </w:p>
        </w:tc>
        <w:tc>
          <w:tcPr>
            <w:tcW w:type="dxa" w:w="4320"/>
          </w:tcPr>
          <w:p>
            <w:pPr>
              <w:spacing w:after="20"/>
            </w:pPr>
            <w:r/>
            <w:r>
              <w:rPr>
                <w:sz w:val="15"/>
              </w:rPr>
              <w:t>Only email-derived documents. MedCore Documentum DMS (est. 8,500–12,000 documents in regulatory folder tree) and MedCore Regulatory Affairs, QA and R&amp;D shares never collected; no submissions, FDA correspondence or validation data produced. Board regulatory updates on SharePoint. Intralinks data-room regulatory folder (“summary of the 510(k) submissions”) not collected. Systems are now under Veriton’s control — possession/custody/control must be addressed under Instr. E. Webb email (testing accuracy) also responsive here.</w:t>
            </w:r>
          </w:p>
        </w:tc>
        <w:tc>
          <w:tcPr>
            <w:tcW w:type="dxa" w:w="3744"/>
          </w:tcPr>
          <w:p>
            <w:pPr>
              <w:spacing w:after="20"/>
            </w:pPr>
            <w:r/>
            <w:r>
              <w:rPr>
                <w:sz w:val="15"/>
              </w:rPr>
              <w:t>Authorize Stratton Documentum export now (Bray est. 5–7 business days; $18–25k) and the Regulatory/QA/R&amp;D shares; route access through Preston &amp; Gage invoking any SPA post-closing records-access covenant; run application-number and term searches across current collection; written Instr. E notice to AUSA if Veriton access is delayed.</w:t>
            </w:r>
          </w:p>
        </w:tc>
      </w:tr>
      <w:tr>
        <w:tc>
          <w:tcPr>
            <w:tcW w:type="dxa" w:w="648"/>
          </w:tcPr>
          <w:p>
            <w:pPr>
              <w:spacing w:after="20"/>
            </w:pPr>
            <w:r/>
            <w:r>
              <w:rPr>
                <w:sz w:val="15"/>
              </w:rPr>
              <w:t>4</w:t>
            </w:r>
          </w:p>
        </w:tc>
        <w:tc>
          <w:tcPr>
            <w:tcW w:type="dxa" w:w="2520"/>
          </w:tcPr>
          <w:p>
            <w:pPr>
              <w:spacing w:after="20"/>
            </w:pPr>
            <w:r/>
            <w:r>
              <w:rPr>
                <w:sz w:val="15"/>
              </w:rPr>
              <w:t>CIM, teasers, management presentations, marketing materials for the sale: all drafts, comments, redlines, communications on accuracy/completeness/distribution, and backup data relied on. PRIORITY.</w:t>
            </w:r>
          </w:p>
        </w:tc>
        <w:tc>
          <w:tcPr>
            <w:tcW w:type="dxa" w:w="1512"/>
          </w:tcPr>
          <w:p>
            <w:pPr>
              <w:spacing w:after="20"/>
            </w:pPr>
            <w:r/>
            <w:r>
              <w:rPr>
                <w:sz w:val="15"/>
              </w:rPr>
              <w:t>Prod 1,388</w:t>
            </w:r>
          </w:p>
          <w:p>
            <w:pPr>
              <w:spacing w:after="20"/>
            </w:pPr>
            <w:r>
              <w:rPr>
                <w:sz w:val="15"/>
              </w:rPr>
              <w:t>Priv 203 (134/69)</w:t>
            </w:r>
          </w:p>
          <w:p>
            <w:pPr>
              <w:spacing w:after="20"/>
            </w:pPr>
            <w:r>
              <w:rPr>
                <w:sz w:val="15"/>
              </w:rPr>
              <w:t>QC 93</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Intralinks VDR (contents, index, Q&amp;A, access logs) not collected — a defined “Document” type and central to what Veriton was shown. The MedCore “summary data sheet” of VeriScan Pro performance that Krell used in the CIM must be located with its source. Cromdale-held drafts/comments not collected. Multi-party ACS/Cromdale/MedCore threads on CIM content are likely withheld as privileged although third-party presence defeats privilege. Whitford’s lost messaging.</w:t>
            </w:r>
          </w:p>
        </w:tc>
        <w:tc>
          <w:tcPr>
            <w:tcW w:type="dxa" w:w="3744"/>
          </w:tcPr>
          <w:p>
            <w:pPr>
              <w:spacing w:after="20"/>
            </w:pPr>
            <w:r/>
            <w:r>
              <w:rPr>
                <w:sz w:val="15"/>
              </w:rPr>
              <w:t>Collect Intralinks export (including audit/access logs); targeted search for the VeriScan Pro data sheet and its transmittal chain; release non-privileged multi-party threads; Instr. E request to Cromdale.</w:t>
            </w:r>
          </w:p>
        </w:tc>
      </w:tr>
      <w:tr>
        <w:tc>
          <w:tcPr>
            <w:tcW w:type="dxa" w:w="648"/>
          </w:tcPr>
          <w:p>
            <w:pPr>
              <w:spacing w:after="20"/>
            </w:pPr>
            <w:r/>
            <w:r>
              <w:rPr>
                <w:sz w:val="15"/>
              </w:rPr>
              <w:t>5</w:t>
            </w:r>
          </w:p>
        </w:tc>
        <w:tc>
          <w:tcPr>
            <w:tcW w:type="dxa" w:w="2520"/>
          </w:tcPr>
          <w:p>
            <w:pPr>
              <w:spacing w:after="20"/>
            </w:pPr>
            <w:r/>
            <w:r>
              <w:rPr>
                <w:sz w:val="15"/>
              </w:rPr>
              <w:t>All communications with any potential buyer (Veriton and others) on the sale, diligence, management presentations, site visits, data room access, bids, negotiation. PRIORITY.</w:t>
            </w:r>
          </w:p>
        </w:tc>
        <w:tc>
          <w:tcPr>
            <w:tcW w:type="dxa" w:w="1512"/>
          </w:tcPr>
          <w:p>
            <w:pPr>
              <w:spacing w:after="20"/>
            </w:pPr>
            <w:r/>
            <w:r>
              <w:rPr>
                <w:sz w:val="15"/>
              </w:rPr>
              <w:t>Prod 2,847</w:t>
            </w:r>
          </w:p>
          <w:p>
            <w:pPr>
              <w:spacing w:after="20"/>
            </w:pPr>
            <w:r>
              <w:rPr>
                <w:sz w:val="15"/>
              </w:rPr>
              <w:t>Priv 156 (Summary) / 168 (detail)</w:t>
            </w:r>
          </w:p>
          <w:p>
            <w:pPr>
              <w:spacing w:after="20"/>
            </w:pPr>
            <w:r>
              <w:rPr>
                <w:sz w:val="15"/>
              </w:rPr>
              <w:t>QC 193</w:t>
            </w:r>
          </w:p>
        </w:tc>
        <w:tc>
          <w:tcPr>
            <w:tcW w:type="dxa" w:w="1368"/>
            <w:shd w:val="clear" w:color="auto" w:fill="FCE5CD"/>
          </w:tcPr>
          <w:p>
            <w:pPr>
              <w:spacing w:after="20"/>
            </w:pPr>
            <w:r/>
            <w:r>
              <w:rPr>
                <w:sz w:val="15"/>
              </w:rPr>
              <w:t>Comprehensive →</w:t>
            </w:r>
          </w:p>
          <w:p>
            <w:pPr>
              <w:spacing w:after="20"/>
            </w:pPr>
            <w:r>
              <w:rPr>
                <w:sz w:val="15"/>
              </w:rPr>
              <w:t>AMBER</w:t>
            </w:r>
          </w:p>
        </w:tc>
        <w:tc>
          <w:tcPr>
            <w:tcW w:type="dxa" w:w="4320"/>
          </w:tcPr>
          <w:p>
            <w:pPr>
              <w:spacing w:after="20"/>
            </w:pPr>
            <w:r/>
            <w:r>
              <w:rPr>
                <w:sz w:val="15"/>
              </w:rPr>
              <w:t>Rated comprehensive on volume, but: data-room access/Q&amp;A logs not collected; confirm communications with the 8–10 teaser recipients and 5–6 NDA parties other than Veriton are present; Aug. 2022 management presentation and site-visit materials (Anand’s FDA-timeline statements); Whitford messaging lost. Privilege withholding of “buyer negotiation” communications is anomalous — communications with a counterparty are not privileged; only internal ACS advice could be. Tracker privilege counts inconsistent.</w:t>
            </w:r>
          </w:p>
        </w:tc>
        <w:tc>
          <w:tcPr>
            <w:tcW w:type="dxa" w:w="3744"/>
          </w:tcPr>
          <w:p>
            <w:pPr>
              <w:spacing w:after="20"/>
            </w:pPr>
            <w:r/>
            <w:r>
              <w:rPr>
                <w:sz w:val="15"/>
              </w:rPr>
              <w:t>Bidder-by-bidder completeness check against Cromdale buyer list; collect VDR logs; re-review the 156–168 privilege calls; correct Tracker.</w:t>
            </w:r>
          </w:p>
        </w:tc>
      </w:tr>
      <w:tr>
        <w:tc>
          <w:tcPr>
            <w:tcW w:type="dxa" w:w="648"/>
          </w:tcPr>
          <w:p>
            <w:pPr>
              <w:spacing w:after="20"/>
            </w:pPr>
            <w:r/>
            <w:r>
              <w:rPr>
                <w:sz w:val="15"/>
              </w:rPr>
              <w:t>6</w:t>
            </w:r>
          </w:p>
        </w:tc>
        <w:tc>
          <w:tcPr>
            <w:tcW w:type="dxa" w:w="2520"/>
          </w:tcPr>
          <w:p>
            <w:pPr>
              <w:spacing w:after="20"/>
            </w:pPr>
            <w:r/>
            <w:r>
              <w:rPr>
                <w:sz w:val="15"/>
              </w:rPr>
              <w:t>All communications with investment bankers/financial advisors re the sale, incl. Cromdale Consulting Aldwyn &amp; Co.; engagement and fee letters, success fee, tail, amendments; pitch books, process letters, buyer lists.</w:t>
            </w:r>
          </w:p>
        </w:tc>
        <w:tc>
          <w:tcPr>
            <w:tcW w:type="dxa" w:w="1512"/>
          </w:tcPr>
          <w:p>
            <w:pPr>
              <w:spacing w:after="20"/>
            </w:pPr>
            <w:r/>
            <w:r>
              <w:rPr>
                <w:sz w:val="15"/>
              </w:rPr>
              <w:t>Prod 612</w:t>
            </w:r>
          </w:p>
          <w:p>
            <w:pPr>
              <w:spacing w:after="20"/>
            </w:pPr>
            <w:r>
              <w:rPr>
                <w:sz w:val="15"/>
              </w:rPr>
              <w:t>Priv 78 (78/0)</w:t>
            </w:r>
          </w:p>
          <w:p>
            <w:pPr>
              <w:spacing w:after="20"/>
            </w:pPr>
            <w:r>
              <w:rPr>
                <w:sz w:val="15"/>
              </w:rPr>
              <w:t>QC 41</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Whitford personally negotiated Cromdale fee terms (Krell); confirm engagement letter, fee/tail/minimum-fee terms and amendments are produced. Whitford’s WhatsApp group with 2–3 Cromdale bankers is lost from his device — recoverable only from Cromdale or from messages Whitford forwarded to Krell. Whitford’s prior employment at Cromdale makes these communications sensitive. Cromdale materials not in Relativity. Stratton memo describes a “third-party subpoena” issued by HRK to Cromdale — defense counsel cannot issue a grand-jury subpoena; correct to “preservation/document request.”</w:t>
            </w:r>
          </w:p>
        </w:tc>
        <w:tc>
          <w:tcPr>
            <w:tcW w:type="dxa" w:w="3744"/>
          </w:tcPr>
          <w:p>
            <w:pPr>
              <w:spacing w:after="20"/>
            </w:pPr>
            <w:r/>
            <w:r>
              <w:rPr>
                <w:sz w:val="15"/>
              </w:rPr>
              <w:t>Instr. E request to Cromdale for engagement file and WhatsApp/text messages with Ridgeline personnel; search Krell WhatsApp for forwards; verify fee documents in volume.</w:t>
            </w:r>
          </w:p>
        </w:tc>
      </w:tr>
      <w:tr>
        <w:tc>
          <w:tcPr>
            <w:tcW w:type="dxa" w:w="648"/>
          </w:tcPr>
          <w:p>
            <w:pPr>
              <w:spacing w:after="20"/>
            </w:pPr>
            <w:r/>
            <w:r>
              <w:rPr>
                <w:sz w:val="15"/>
              </w:rPr>
              <w:t>7</w:t>
            </w:r>
          </w:p>
        </w:tc>
        <w:tc>
          <w:tcPr>
            <w:tcW w:type="dxa" w:w="2520"/>
          </w:tcPr>
          <w:p>
            <w:pPr>
              <w:spacing w:after="20"/>
            </w:pPr>
            <w:r/>
            <w:r>
              <w:rPr>
                <w:sz w:val="15"/>
              </w:rPr>
              <w:t>MedCore board minutes, resolutions, UWCs, packages, agendas, notices, attendance, committee (audit/comp/special) materials, Apr. 2020–Nov. 2022.</w:t>
            </w:r>
          </w:p>
        </w:tc>
        <w:tc>
          <w:tcPr>
            <w:tcW w:type="dxa" w:w="1512"/>
          </w:tcPr>
          <w:p>
            <w:pPr>
              <w:spacing w:after="20"/>
            </w:pPr>
            <w:r/>
            <w:r>
              <w:rPr>
                <w:sz w:val="15"/>
              </w:rPr>
              <w:t>Prod 487</w:t>
            </w:r>
          </w:p>
          <w:p>
            <w:pPr>
              <w:spacing w:after="20"/>
            </w:pPr>
            <w:r>
              <w:rPr>
                <w:sz w:val="15"/>
              </w:rPr>
              <w:t>Priv 22 (22/0)</w:t>
            </w:r>
          </w:p>
          <w:p>
            <w:pPr>
              <w:spacing w:after="20"/>
            </w:pPr>
            <w:r>
              <w:rPr>
                <w:sz w:val="15"/>
              </w:rPr>
              <w:t>QC 0</w:t>
            </w:r>
          </w:p>
        </w:tc>
        <w:tc>
          <w:tcPr>
            <w:tcW w:type="dxa" w:w="1368"/>
            <w:shd w:val="clear" w:color="auto" w:fill="F4CCCC"/>
          </w:tcPr>
          <w:p>
            <w:pPr>
              <w:spacing w:after="20"/>
            </w:pPr>
            <w:r/>
            <w:r>
              <w:rPr>
                <w:sz w:val="15"/>
              </w:rPr>
              <w:t>Partial — Gaps →</w:t>
            </w:r>
          </w:p>
          <w:p>
            <w:pPr>
              <w:spacing w:after="20"/>
            </w:pPr>
            <w:r>
              <w:rPr>
                <w:sz w:val="15"/>
              </w:rPr>
              <w:t>RED</w:t>
            </w:r>
          </w:p>
        </w:tc>
        <w:tc>
          <w:tcPr>
            <w:tcW w:type="dxa" w:w="4320"/>
          </w:tcPr>
          <w:p>
            <w:pPr>
              <w:spacing w:after="20"/>
            </w:pPr>
            <w:r/>
            <w:r>
              <w:rPr>
                <w:sz w:val="15"/>
              </w:rPr>
              <w:t>Q3 2021 and Q1 2022 minutes/packages confirmed to exist only on the uncollected MedCore Board — Corporate Secretary SharePoint site; Stratton reports minutes for all quarters were maintained exclusively there, so other quarters are represented only by email copies. Q3 2021 meeting reportedly discussed VeriScan Pro “testing data validation” (Cheng-Rourke). Tracker says Whitford and Krell “did not attend board meetings; no responsive documents,” but Cheng-Rourke places Whitford at Q3 2021 and Krell attended some meetings as an observer. Committee materials not addressed.</w:t>
            </w:r>
          </w:p>
        </w:tc>
        <w:tc>
          <w:tcPr>
            <w:tcW w:type="dxa" w:w="3744"/>
          </w:tcPr>
          <w:p>
            <w:pPr>
              <w:spacing w:after="20"/>
            </w:pPr>
            <w:r/>
            <w:r>
              <w:rPr>
                <w:sz w:val="15"/>
              </w:rPr>
              <w:t>Collect SharePoint (Bray: 2–3 days; Stratton memo: 5–7 days once access granted); build a meeting index (≈11 quarterly meetings plus ad hoc) and reconcile; re-review Whitford/Krell files for board materials; include committee materials.</w:t>
            </w:r>
          </w:p>
        </w:tc>
      </w:tr>
      <w:tr>
        <w:tc>
          <w:tcPr>
            <w:tcW w:type="dxa" w:w="648"/>
          </w:tcPr>
          <w:p>
            <w:pPr>
              <w:spacing w:after="20"/>
            </w:pPr>
            <w:r/>
            <w:r>
              <w:rPr>
                <w:sz w:val="15"/>
              </w:rPr>
              <w:t>8</w:t>
            </w:r>
          </w:p>
        </w:tc>
        <w:tc>
          <w:tcPr>
            <w:tcW w:type="dxa" w:w="2520"/>
          </w:tcPr>
          <w:p>
            <w:pPr>
              <w:spacing w:after="20"/>
            </w:pPr>
            <w:r/>
            <w:r>
              <w:rPr>
                <w:sz w:val="15"/>
              </w:rPr>
              <w:t>MedCore financial statements (audited/unaudited), audit reports, rep and management letters, internal control assessments, adjustments/restatements; communications with Pennfield; internal audit and QoE reports.</w:t>
            </w:r>
          </w:p>
        </w:tc>
        <w:tc>
          <w:tcPr>
            <w:tcW w:type="dxa" w:w="1512"/>
          </w:tcPr>
          <w:p>
            <w:pPr>
              <w:spacing w:after="20"/>
            </w:pPr>
            <w:r/>
            <w:r>
              <w:rPr>
                <w:sz w:val="15"/>
              </w:rPr>
              <w:t>Prod 921</w:t>
            </w:r>
          </w:p>
          <w:p>
            <w:pPr>
              <w:spacing w:after="20"/>
            </w:pPr>
            <w:r>
              <w:rPr>
                <w:sz w:val="15"/>
              </w:rPr>
              <w:t>Priv 45 (45/0)</w:t>
            </w:r>
          </w:p>
          <w:p>
            <w:pPr>
              <w:spacing w:after="20"/>
            </w:pPr>
            <w:r>
              <w:rPr>
                <w:sz w:val="15"/>
              </w:rPr>
              <w:t>QC 67</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Pennfield workpapers, rep letters and management letters not collected (third party); QoE reports (acquisition and any sell-side) to be confirmed; MedCore Finance share only partially collected. Privilege claims involving Pennfield (198 documents firm-wide) are vulnerable: there is no federal accountant-client privilege and disclosure to an outside auditor generally waives attorney-client privilege.</w:t>
            </w:r>
          </w:p>
        </w:tc>
        <w:tc>
          <w:tcPr>
            <w:tcW w:type="dxa" w:w="3744"/>
          </w:tcPr>
          <w:p>
            <w:pPr>
              <w:spacing w:after="20"/>
            </w:pPr>
            <w:r/>
            <w:r>
              <w:rPr>
                <w:sz w:val="15"/>
              </w:rPr>
              <w:t>Include Pennfield in Instr. E letter / request; re-review Pennfield-related privilege calls; targeted search for QoE and internal-control documents.</w:t>
            </w:r>
          </w:p>
        </w:tc>
      </w:tr>
      <w:tr>
        <w:tc>
          <w:tcPr>
            <w:tcW w:type="dxa" w:w="648"/>
          </w:tcPr>
          <w:p>
            <w:pPr>
              <w:spacing w:after="20"/>
            </w:pPr>
            <w:r/>
            <w:r>
              <w:rPr>
                <w:sz w:val="15"/>
              </w:rPr>
              <w:t>9</w:t>
            </w:r>
          </w:p>
        </w:tc>
        <w:tc>
          <w:tcPr>
            <w:tcW w:type="dxa" w:w="2520"/>
          </w:tcPr>
          <w:p>
            <w:pPr>
              <w:spacing w:after="20"/>
            </w:pPr>
            <w:r/>
            <w:r>
              <w:rPr>
                <w:sz w:val="15"/>
              </w:rPr>
              <w:t>Complaints, concerns or whistleblower reports, “whether formal or informal,” re financial reporting, revenue, testing data integrity, product quality, clinical data accuracy or regulatory compliance; oral reports as reflected in notes; investigation, resolution, remedial or disciplinary action.</w:t>
            </w:r>
          </w:p>
        </w:tc>
        <w:tc>
          <w:tcPr>
            <w:tcW w:type="dxa" w:w="1512"/>
          </w:tcPr>
          <w:p>
            <w:pPr>
              <w:spacing w:after="20"/>
            </w:pPr>
            <w:r/>
            <w:r>
              <w:rPr>
                <w:sz w:val="15"/>
              </w:rPr>
              <w:t>Prod 0</w:t>
            </w:r>
          </w:p>
          <w:p>
            <w:pPr>
              <w:spacing w:after="20"/>
            </w:pPr>
            <w:r>
              <w:rPr>
                <w:sz w:val="15"/>
              </w:rPr>
              <w:t>Priv 0</w:t>
            </w:r>
          </w:p>
          <w:p>
            <w:pPr>
              <w:spacing w:after="20"/>
            </w:pPr>
            <w:r>
              <w:rPr>
                <w:sz w:val="15"/>
              </w:rPr>
              <w:t>QC 0</w:t>
            </w:r>
          </w:p>
        </w:tc>
        <w:tc>
          <w:tcPr>
            <w:tcW w:type="dxa" w:w="1368"/>
            <w:shd w:val="clear" w:color="auto" w:fill="EA9999"/>
          </w:tcPr>
          <w:p>
            <w:pPr>
              <w:spacing w:after="20"/>
            </w:pPr>
            <w:r/>
            <w:r>
              <w:rPr>
                <w:sz w:val="15"/>
              </w:rPr>
              <w:t>None →</w:t>
            </w:r>
          </w:p>
          <w:p>
            <w:pPr>
              <w:spacing w:after="20"/>
            </w:pPr>
            <w:r>
              <w:rPr>
                <w:sz w:val="15"/>
              </w:rPr>
              <w:t>CRITICAL</w:t>
            </w:r>
          </w:p>
        </w:tc>
        <w:tc>
          <w:tcPr>
            <w:tcW w:type="dxa" w:w="4320"/>
          </w:tcPr>
          <w:p>
            <w:pPr>
              <w:spacing w:after="20"/>
            </w:pPr>
            <w:r/>
            <w:r>
              <w:rPr>
                <w:sz w:val="15"/>
              </w:rPr>
              <w:t>Coding Guide § III.I misquotes the Request and imposes a “formal reporting channel” test the Subpoena rejects. Webb email (Aug. 14, 2021) to Cheng-Rourke questioning VeriScan Pro testing accuracy data was collected and coded non-responsive; Cheng-Rourke forwarded it to Anand and received a reply; Krell recalls being told verbally. Related QA/CAPA/complaint files sit in Documentum; Webb’s separation (late 2021/early 2022) and any disciplinary records; customer quality complaints (Req. 17 overlap); Q3 2021 board discussion.</w:t>
            </w:r>
          </w:p>
        </w:tc>
        <w:tc>
          <w:tcPr>
            <w:tcW w:type="dxa" w:w="3744"/>
          </w:tcPr>
          <w:p>
            <w:pPr>
              <w:spacing w:after="20"/>
            </w:pPr>
            <w:r/>
            <w:r>
              <w:rPr>
                <w:sz w:val="15"/>
              </w:rPr>
              <w:t>Amend Coding Guide to track Subpoena text; re-review every document coded NR under § III.I and every § III.I escalation; produce the Webb family, Anand reply and forwards in a stand-alone supplemental volume; targeted searches (Webb, accuracy, validation, sensitivity/specificity, complaint, concern, hotline); request Webb mailbox and HR file from Veriton.</w:t>
            </w:r>
          </w:p>
        </w:tc>
      </w:tr>
      <w:tr>
        <w:tc>
          <w:tcPr>
            <w:tcW w:type="dxa" w:w="648"/>
          </w:tcPr>
          <w:p>
            <w:pPr>
              <w:spacing w:after="20"/>
            </w:pPr>
            <w:r/>
            <w:r>
              <w:rPr>
                <w:sz w:val="15"/>
              </w:rPr>
              <w:t>10</w:t>
            </w:r>
          </w:p>
        </w:tc>
        <w:tc>
          <w:tcPr>
            <w:tcW w:type="dxa" w:w="2520"/>
          </w:tcPr>
          <w:p>
            <w:pPr>
              <w:spacing w:after="20"/>
            </w:pPr>
            <w:r/>
            <w:r>
              <w:rPr>
                <w:sz w:val="15"/>
              </w:rPr>
              <w:t>Fund III LP communications, quarterly/annual reports, investor letters, capital call/distribution notices, performance reports and talking points referencing MedCore.</w:t>
            </w:r>
          </w:p>
        </w:tc>
        <w:tc>
          <w:tcPr>
            <w:tcW w:type="dxa" w:w="1512"/>
          </w:tcPr>
          <w:p>
            <w:pPr>
              <w:spacing w:after="20"/>
            </w:pPr>
            <w:r/>
            <w:r>
              <w:rPr>
                <w:sz w:val="15"/>
              </w:rPr>
              <w:t>Prod 334</w:t>
            </w:r>
          </w:p>
          <w:p>
            <w:pPr>
              <w:spacing w:after="20"/>
            </w:pPr>
            <w:r>
              <w:rPr>
                <w:sz w:val="15"/>
              </w:rPr>
              <w:t>Priv 189 (102/87)</w:t>
            </w:r>
          </w:p>
          <w:p>
            <w:pPr>
              <w:spacing w:after="20"/>
            </w:pPr>
            <w:r>
              <w:rPr>
                <w:sz w:val="15"/>
              </w:rPr>
              <w:t>QC 21</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36% withheld. “Joint Defense Privilege” claimed for 369 documents with “LP counsel (various)” — LPs are investors (and potential claimants), not co-defendants; a common-interest claim requires a shared legal interest and communications in furtherance of it, and is unlikely to hold for routine fund reporting. Ridgeline IR/fund-administration personnel are not custodians; R:\Investor Relations\Fund III Reports was collected but no production is attributed to it. Exit-distribution notices (MedCore proceeds) should be confirmed.</w:t>
            </w:r>
          </w:p>
        </w:tc>
        <w:tc>
          <w:tcPr>
            <w:tcW w:type="dxa" w:w="3744"/>
          </w:tcPr>
          <w:p>
            <w:pPr>
              <w:spacing w:after="20"/>
            </w:pPr>
            <w:r/>
            <w:r>
              <w:rPr>
                <w:sz w:val="15"/>
              </w:rPr>
              <w:t>Re-review all JDP designations; confirm R:\ drive IR folder reviewed; consider adding IR/fund-admin custodian; log 87 unlogged.</w:t>
            </w:r>
          </w:p>
        </w:tc>
      </w:tr>
      <w:tr>
        <w:tc>
          <w:tcPr>
            <w:tcW w:type="dxa" w:w="648"/>
          </w:tcPr>
          <w:p>
            <w:pPr>
              <w:spacing w:after="20"/>
            </w:pPr>
            <w:r/>
            <w:r>
              <w:rPr>
                <w:sz w:val="15"/>
              </w:rPr>
              <w:t>11</w:t>
            </w:r>
          </w:p>
        </w:tc>
        <w:tc>
          <w:tcPr>
            <w:tcW w:type="dxa" w:w="2520"/>
          </w:tcPr>
          <w:p>
            <w:pPr>
              <w:spacing w:after="20"/>
            </w:pPr>
            <w:r/>
            <w:r>
              <w:rPr>
                <w:sz w:val="15"/>
              </w:rPr>
              <w:t>All communications with counsel other than HRK re MedCore operations, finances, regulatory matters, acquisition/sale or investigations (incl. ACS); document-by-document privilege log required.</w:t>
            </w:r>
          </w:p>
        </w:tc>
        <w:tc>
          <w:tcPr>
            <w:tcW w:type="dxa" w:w="1512"/>
          </w:tcPr>
          <w:p>
            <w:pPr>
              <w:spacing w:after="20"/>
            </w:pPr>
            <w:r/>
            <w:r>
              <w:rPr>
                <w:sz w:val="15"/>
              </w:rPr>
              <w:t>Prod 0</w:t>
            </w:r>
          </w:p>
          <w:p>
            <w:pPr>
              <w:spacing w:after="20"/>
            </w:pPr>
            <w:r>
              <w:rPr>
                <w:sz w:val="15"/>
              </w:rPr>
              <w:t>Priv 1,247 (746/501 per Summary; detail shows 1,247/501)</w:t>
            </w:r>
          </w:p>
          <w:p>
            <w:pPr>
              <w:spacing w:after="20"/>
            </w:pPr>
            <w:r>
              <w:rPr>
                <w:sz w:val="15"/>
              </w:rPr>
              <w:t>QC 0</w:t>
            </w:r>
          </w:p>
        </w:tc>
        <w:tc>
          <w:tcPr>
            <w:tcW w:type="dxa" w:w="1368"/>
            <w:shd w:val="clear" w:color="auto" w:fill="EA9999"/>
          </w:tcPr>
          <w:p>
            <w:pPr>
              <w:spacing w:after="20"/>
            </w:pPr>
            <w:r/>
            <w:r>
              <w:rPr>
                <w:sz w:val="15"/>
              </w:rPr>
              <w:t>None — All Privileged →</w:t>
            </w:r>
          </w:p>
          <w:p>
            <w:pPr>
              <w:spacing w:after="20"/>
            </w:pPr>
            <w:r>
              <w:rPr>
                <w:sz w:val="15"/>
              </w:rPr>
              <w:t>CRITICAL</w:t>
            </w:r>
          </w:p>
        </w:tc>
        <w:tc>
          <w:tcPr>
            <w:tcW w:type="dxa" w:w="4320"/>
          </w:tcPr>
          <w:p>
            <w:pPr>
              <w:spacing w:after="20"/>
            </w:pPr>
            <w:r/>
            <w:r>
              <w:rPr>
                <w:sz w:val="15"/>
              </w:rPr>
              <w:t>Blanket withholding driven by Coding Guide § III.K default (“err on the side of designating as privileged”), which inverts the proponent’s burden. Krell: “hundreds, maybe over a thousand” ACS emails, many logistical; “lines got blurry”; multi-party threads with Cromdale bankers and MedCore management. Facts, logistics, transmittals of drafts exchanged with counterparties and threads including Cromdale are not privileged; mixed communications are judged by predominant purpose. Where ACS acted for MedCore, MedCore’s privilege likely passed to Veriton on the stock sale unless the SPA reserved it for the seller — Veriton (the alleged victim) may control and waive it. Crime-fraud risk given the Government’s theory. 501 entries unlogged.</w:t>
            </w:r>
          </w:p>
        </w:tc>
        <w:tc>
          <w:tcPr>
            <w:tcW w:type="dxa" w:w="3744"/>
          </w:tcPr>
          <w:p>
            <w:pPr>
              <w:spacing w:after="20"/>
            </w:pPr>
            <w:r/>
            <w:r>
              <w:rPr>
                <w:sz w:val="15"/>
              </w:rPr>
              <w:t>Senior-attorney thread-level re-review; produce non-privileged and redacted versions; full log; review SPA privilege/records clauses; early partner decision on any advice-of-counsel defense (subject-matter waiver); Instr. E position on ACS’s own files.</w:t>
            </w:r>
          </w:p>
        </w:tc>
      </w:tr>
      <w:tr>
        <w:tc>
          <w:tcPr>
            <w:tcW w:type="dxa" w:w="648"/>
          </w:tcPr>
          <w:p>
            <w:pPr>
              <w:spacing w:after="20"/>
            </w:pPr>
            <w:r/>
            <w:r>
              <w:rPr>
                <w:sz w:val="15"/>
              </w:rPr>
              <w:t>12</w:t>
            </w:r>
          </w:p>
        </w:tc>
        <w:tc>
          <w:tcPr>
            <w:tcW w:type="dxa" w:w="2520"/>
          </w:tcPr>
          <w:p>
            <w:pPr>
              <w:spacing w:after="20"/>
            </w:pPr>
            <w:r/>
            <w:r>
              <w:rPr>
                <w:sz w:val="15"/>
              </w:rPr>
              <w:t>SPA negotiation, drafting, execution and closing with Veriton: drafts, redlines, ancillary agreements, checklists, closing and funds-flow memoranda, communications among parties and counsel.</w:t>
            </w:r>
          </w:p>
        </w:tc>
        <w:tc>
          <w:tcPr>
            <w:tcW w:type="dxa" w:w="1512"/>
          </w:tcPr>
          <w:p>
            <w:pPr>
              <w:spacing w:after="20"/>
            </w:pPr>
            <w:r/>
            <w:r>
              <w:rPr>
                <w:sz w:val="15"/>
              </w:rPr>
              <w:t>Prod 1,673</w:t>
            </w:r>
          </w:p>
          <w:p>
            <w:pPr>
              <w:spacing w:after="20"/>
            </w:pPr>
            <w:r>
              <w:rPr>
                <w:sz w:val="15"/>
              </w:rPr>
              <w:t>Priv 198 (134/64)</w:t>
            </w:r>
          </w:p>
          <w:p>
            <w:pPr>
              <w:spacing w:after="20"/>
            </w:pPr>
            <w:r>
              <w:rPr>
                <w:sz w:val="15"/>
              </w:rPr>
              <w:t>QC 107</w:t>
            </w:r>
          </w:p>
        </w:tc>
        <w:tc>
          <w:tcPr>
            <w:tcW w:type="dxa" w:w="1368"/>
            <w:shd w:val="clear" w:color="auto" w:fill="D9EAD3"/>
          </w:tcPr>
          <w:p>
            <w:pPr>
              <w:spacing w:after="20"/>
            </w:pPr>
            <w:r/>
            <w:r>
              <w:rPr>
                <w:sz w:val="15"/>
              </w:rPr>
              <w:t>Comprehensive →</w:t>
            </w:r>
          </w:p>
          <w:p>
            <w:pPr>
              <w:spacing w:after="20"/>
            </w:pPr>
            <w:r>
              <w:rPr>
                <w:sz w:val="15"/>
              </w:rPr>
              <w:t>GREEN (caveats)</w:t>
            </w:r>
          </w:p>
        </w:tc>
        <w:tc>
          <w:tcPr>
            <w:tcW w:type="dxa" w:w="4320"/>
          </w:tcPr>
          <w:p>
            <w:pPr>
              <w:spacing w:after="20"/>
            </w:pPr>
            <w:r/>
            <w:r>
              <w:rPr>
                <w:sz w:val="15"/>
              </w:rPr>
              <w:t>ACS-held drafts, disclosure schedules and closing sets not collected; communications with Veriton or its counsel are not privileged and should not be on the log; 64 unlogged. The SPA should be reviewed now for (i) privilege-ownership and (ii) post-closing records-access clauses relevant to Requests 3, 7 and 11.</w:t>
            </w:r>
          </w:p>
        </w:tc>
        <w:tc>
          <w:tcPr>
            <w:tcW w:type="dxa" w:w="3744"/>
          </w:tcPr>
          <w:p>
            <w:pPr>
              <w:spacing w:after="20"/>
            </w:pPr>
            <w:r/>
            <w:r>
              <w:rPr>
                <w:sz w:val="15"/>
              </w:rPr>
              <w:t>Confirm executed SPA, schedules, escrow/TSA/employment agreements and funds flow in volume; log 64; extract SPA clauses for Parts V.B–C.</w:t>
            </w:r>
          </w:p>
        </w:tc>
      </w:tr>
      <w:tr>
        <w:tc>
          <w:tcPr>
            <w:tcW w:type="dxa" w:w="648"/>
          </w:tcPr>
          <w:p>
            <w:pPr>
              <w:spacing w:after="20"/>
            </w:pPr>
            <w:r/>
            <w:r>
              <w:rPr>
                <w:sz w:val="15"/>
              </w:rPr>
              <w:t>13</w:t>
            </w:r>
          </w:p>
        </w:tc>
        <w:tc>
          <w:tcPr>
            <w:tcW w:type="dxa" w:w="2520"/>
          </w:tcPr>
          <w:p>
            <w:pPr>
              <w:spacing w:after="20"/>
            </w:pPr>
            <w:r/>
            <w:r>
              <w:rPr>
                <w:sz w:val="15"/>
              </w:rPr>
              <w:t>Reps and warranties by any Ridgeline entity, MedCore or individuals; post-closing claims, indemnification, PPA, earn-out, escrow claims and related proceedings.</w:t>
            </w:r>
          </w:p>
        </w:tc>
        <w:tc>
          <w:tcPr>
            <w:tcW w:type="dxa" w:w="1512"/>
          </w:tcPr>
          <w:p>
            <w:pPr>
              <w:spacing w:after="20"/>
            </w:pPr>
            <w:r/>
            <w:r>
              <w:rPr>
                <w:sz w:val="15"/>
              </w:rPr>
              <w:t>Prod 389</w:t>
            </w:r>
          </w:p>
          <w:p>
            <w:pPr>
              <w:spacing w:after="20"/>
            </w:pPr>
            <w:r>
              <w:rPr>
                <w:sz w:val="15"/>
              </w:rPr>
              <w:t>Priv 67 (45/22)</w:t>
            </w:r>
          </w:p>
          <w:p>
            <w:pPr>
              <w:spacing w:after="20"/>
            </w:pPr>
            <w:r>
              <w:rPr>
                <w:sz w:val="15"/>
              </w:rPr>
              <w:t>QC 24</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Veriton indemnification demands and responses (via ACS / Preston &amp; Gage), RWI application/underwriting/claims to be confirmed. Collection applied a hard 12/31/2023 date filter at extraction, so 2024–2025 claim correspondence was never collected although the Coding Guide treats it as responsive; any hold issued for these claims in 2022–2023 is responsive to Req. 16.</w:t>
            </w:r>
          </w:p>
        </w:tc>
        <w:tc>
          <w:tcPr>
            <w:tcW w:type="dxa" w:w="3744"/>
          </w:tcPr>
          <w:p>
            <w:pPr>
              <w:spacing w:after="20"/>
            </w:pPr>
            <w:r/>
            <w:r>
              <w:rPr>
                <w:sz w:val="15"/>
              </w:rPr>
              <w:t>Decide (and tell the Government) whether post-2023 claim documents will be produced; targeted search for RWI and indemnity notices; cross-tag holds to Req. 16.</w:t>
            </w:r>
          </w:p>
        </w:tc>
      </w:tr>
      <w:tr>
        <w:tc>
          <w:tcPr>
            <w:tcW w:type="dxa" w:w="648"/>
          </w:tcPr>
          <w:p>
            <w:pPr>
              <w:spacing w:after="20"/>
            </w:pPr>
            <w:r/>
            <w:r>
              <w:rPr>
                <w:sz w:val="15"/>
              </w:rPr>
              <w:t>14</w:t>
            </w:r>
          </w:p>
        </w:tc>
        <w:tc>
          <w:tcPr>
            <w:tcW w:type="dxa" w:w="2520"/>
          </w:tcPr>
          <w:p>
            <w:pPr>
              <w:spacing w:after="20"/>
            </w:pPr>
            <w:r/>
            <w:r>
              <w:rPr>
                <w:sz w:val="15"/>
              </w:rPr>
              <w:t>MedCore management compensation, incentive, bonus, equity, options, phantom/profits interests, transaction bonuses, change-of-control, retention (Mar. 2020–Nov. 2022).</w:t>
            </w:r>
          </w:p>
        </w:tc>
        <w:tc>
          <w:tcPr>
            <w:tcW w:type="dxa" w:w="1512"/>
          </w:tcPr>
          <w:p>
            <w:pPr>
              <w:spacing w:after="20"/>
            </w:pPr>
            <w:r/>
            <w:r>
              <w:rPr>
                <w:sz w:val="15"/>
              </w:rPr>
              <w:t>Prod 412</w:t>
            </w:r>
          </w:p>
          <w:p>
            <w:pPr>
              <w:spacing w:after="20"/>
            </w:pPr>
            <w:r>
              <w:rPr>
                <w:sz w:val="15"/>
              </w:rPr>
              <w:t>Priv 34 (34/0)</w:t>
            </w:r>
          </w:p>
          <w:p>
            <w:pPr>
              <w:spacing w:after="20"/>
            </w:pPr>
            <w:r>
              <w:rPr>
                <w:sz w:val="15"/>
              </w:rPr>
              <w:t>QC 27</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Anand Gmail (personal compensation discussions) uncollected; compensation-committee materials on SharePoint; MedCore HR files not collected; transaction-bonus and change-of-control documents tied to the sale should be confirmed (motive evidence the Government will look for).</w:t>
            </w:r>
          </w:p>
        </w:tc>
        <w:tc>
          <w:tcPr>
            <w:tcW w:type="dxa" w:w="3744"/>
          </w:tcPr>
          <w:p>
            <w:pPr>
              <w:spacing w:after="20"/>
            </w:pPr>
            <w:r/>
            <w:r>
              <w:rPr>
                <w:sz w:val="15"/>
              </w:rPr>
              <w:t>Targeted search for transaction/CoC/retention awards; include HR and comp-committee materials in Veriton request.</w:t>
            </w:r>
          </w:p>
        </w:tc>
      </w:tr>
      <w:tr>
        <w:tc>
          <w:tcPr>
            <w:tcW w:type="dxa" w:w="648"/>
          </w:tcPr>
          <w:p>
            <w:pPr>
              <w:spacing w:after="20"/>
            </w:pPr>
            <w:r/>
            <w:r>
              <w:rPr>
                <w:sz w:val="15"/>
              </w:rPr>
              <w:t>15</w:t>
            </w:r>
          </w:p>
        </w:tc>
        <w:tc>
          <w:tcPr>
            <w:tcW w:type="dxa" w:w="2520"/>
          </w:tcPr>
          <w:p>
            <w:pPr>
              <w:spacing w:after="20"/>
            </w:pPr>
            <w:r/>
            <w:r>
              <w:rPr>
                <w:sz w:val="15"/>
              </w:rPr>
              <w:t>All ESI from personal devices and all text/messaging-app communications (Signal, WhatsApp, iMessage, Telegram) of Whitford, Cheng-Rourke, Krell and Anand relating to MedCore, incl. backups. PRIORITY.</w:t>
            </w:r>
          </w:p>
        </w:tc>
        <w:tc>
          <w:tcPr>
            <w:tcW w:type="dxa" w:w="1512"/>
          </w:tcPr>
          <w:p>
            <w:pPr>
              <w:spacing w:after="20"/>
            </w:pPr>
            <w:r/>
            <w:r>
              <w:rPr>
                <w:sz w:val="15"/>
              </w:rPr>
              <w:t>Prod 1,203</w:t>
            </w:r>
          </w:p>
          <w:p>
            <w:pPr>
              <w:spacing w:after="20"/>
            </w:pPr>
            <w:r>
              <w:rPr>
                <w:sz w:val="15"/>
              </w:rPr>
              <w:t>Priv 0</w:t>
            </w:r>
          </w:p>
          <w:p>
            <w:pPr>
              <w:spacing w:after="20"/>
            </w:pPr>
            <w:r>
              <w:rPr>
                <w:sz w:val="15"/>
              </w:rPr>
              <w:t>QC 0</w:t>
            </w:r>
          </w:p>
        </w:tc>
        <w:tc>
          <w:tcPr>
            <w:tcW w:type="dxa" w:w="1368"/>
            <w:shd w:val="clear" w:color="auto" w:fill="F4CCCC"/>
          </w:tcPr>
          <w:p>
            <w:pPr>
              <w:spacing w:after="20"/>
            </w:pPr>
            <w:r/>
            <w:r>
              <w:rPr>
                <w:sz w:val="15"/>
              </w:rPr>
              <w:t>Partial →</w:t>
            </w:r>
          </w:p>
          <w:p>
            <w:pPr>
              <w:spacing w:after="20"/>
            </w:pPr>
            <w:r>
              <w:rPr>
                <w:sz w:val="15"/>
              </w:rPr>
              <w:t>RED</w:t>
            </w:r>
          </w:p>
        </w:tc>
        <w:tc>
          <w:tcPr>
            <w:tcW w:type="dxa" w:w="4320"/>
          </w:tcPr>
          <w:p>
            <w:pPr>
              <w:spacing w:after="20"/>
            </w:pPr>
            <w:r/>
            <w:r>
              <w:rPr>
                <w:sz w:val="15"/>
              </w:rPr>
              <w:t>Whitford: device factory-reset 1/20/2025; Signal/WhatsApp unrecoverable; iMessage only from iCloud backup (dated 1/18 per Stratton; 1/13 per Bray). Anand: phone and Gmail not collected; separate counsel silent since 3/5/2025. Krell: Signal disappearing messages continued to self-delete until 2/6/2025 extraction despite Instr. I; Krell describes his phone as an iPhone with iMessage while Stratton imaged a Samsung Galaxy S23 Ultra (SMS) — possible uncollected second device. Cheng-Rourke complete. Zero privilege calls on 1,203 messages should be confirmed by QC.</w:t>
            </w:r>
          </w:p>
        </w:tc>
        <w:tc>
          <w:tcPr>
            <w:tcW w:type="dxa" w:w="3744"/>
          </w:tcPr>
          <w:p>
            <w:pPr>
              <w:spacing w:after="20"/>
            </w:pPr>
            <w:r/>
            <w:r>
              <w:rPr>
                <w:sz w:val="15"/>
              </w:rPr>
              <w:t>See Part V.D: disclosure; iCloud Messages-sync and linked-device recovery for Whitford; counterpart reconstruction from Krell/Cheng-Rourke devices and Cromdale; Instr. E notice re Anand; reconcile Krell device; confirm auto-delete disabled on all custodian devices.</w:t>
            </w:r>
          </w:p>
        </w:tc>
      </w:tr>
      <w:tr>
        <w:tc>
          <w:tcPr>
            <w:tcW w:type="dxa" w:w="648"/>
          </w:tcPr>
          <w:p>
            <w:pPr>
              <w:spacing w:after="20"/>
            </w:pPr>
            <w:r/>
            <w:r>
              <w:rPr>
                <w:sz w:val="15"/>
              </w:rPr>
              <w:t>16</w:t>
            </w:r>
          </w:p>
        </w:tc>
        <w:tc>
          <w:tcPr>
            <w:tcW w:type="dxa" w:w="2520"/>
          </w:tcPr>
          <w:p>
            <w:pPr>
              <w:spacing w:after="20"/>
            </w:pPr>
            <w:r/>
            <w:r>
              <w:rPr>
                <w:sz w:val="15"/>
              </w:rPr>
              <w:t>Internal investigations, compliance reviews, internal audits or legal holds by Ridgeline/MedCore/affiliates during the Relevant Period: hold notices and acknowledgments; investigation/compliance/audit results; hold scope correspondence; retention and records-management policies and deviations.</w:t>
            </w:r>
          </w:p>
        </w:tc>
        <w:tc>
          <w:tcPr>
            <w:tcW w:type="dxa" w:w="1512"/>
          </w:tcPr>
          <w:p>
            <w:pPr>
              <w:spacing w:after="20"/>
            </w:pPr>
            <w:r/>
            <w:r>
              <w:rPr>
                <w:sz w:val="15"/>
              </w:rPr>
              <w:t>Prod 0</w:t>
            </w:r>
          </w:p>
          <w:p>
            <w:pPr>
              <w:spacing w:after="20"/>
            </w:pPr>
            <w:r>
              <w:rPr>
                <w:sz w:val="15"/>
              </w:rPr>
              <w:t>Priv 0</w:t>
            </w:r>
          </w:p>
          <w:p>
            <w:pPr>
              <w:spacing w:after="20"/>
            </w:pPr>
            <w:r>
              <w:rPr>
                <w:sz w:val="15"/>
              </w:rPr>
              <w:t>QC 0</w:t>
            </w:r>
          </w:p>
        </w:tc>
        <w:tc>
          <w:tcPr>
            <w:tcW w:type="dxa" w:w="1368"/>
            <w:shd w:val="clear" w:color="auto" w:fill="EA9999"/>
          </w:tcPr>
          <w:p>
            <w:pPr>
              <w:spacing w:after="20"/>
            </w:pPr>
            <w:r/>
            <w:r>
              <w:rPr>
                <w:sz w:val="15"/>
              </w:rPr>
              <w:t>None →</w:t>
            </w:r>
          </w:p>
          <w:p>
            <w:pPr>
              <w:spacing w:after="20"/>
            </w:pPr>
            <w:r>
              <w:rPr>
                <w:sz w:val="15"/>
              </w:rPr>
              <w:t>CRITICAL</w:t>
            </w:r>
          </w:p>
        </w:tc>
        <w:tc>
          <w:tcPr>
            <w:tcW w:type="dxa" w:w="4320"/>
          </w:tcPr>
          <w:p>
            <w:pPr>
              <w:spacing w:after="20"/>
            </w:pPr>
            <w:r/>
            <w:r>
              <w:rPr>
                <w:sz w:val="15"/>
              </w:rPr>
              <w:t>Zero is facially implausible. At minimum responsive: Ridgeline and MedCore document-retention/records-management policies in effect 2019–2023 (Req. 16(d)); any review of the Webb concerns (Anand reported the data was “validated through MedCore’s internal protocols”); MedCore QA/CAPA, internal-audit and compliance records (Documentum); any hold issued in connection with Veriton post-closing claims (2022–2023); R:\Legal\MedCore folder contents. HRK’s January 2025 hold notices post-date the Relevant Period and are likely privileged, but the Coding Guide treats them as responsive — they should be addressed through the Instr. F certification and logged if withheld, not silently omitted.</w:t>
            </w:r>
          </w:p>
        </w:tc>
        <w:tc>
          <w:tcPr>
            <w:tcW w:type="dxa" w:w="3744"/>
          </w:tcPr>
          <w:p>
            <w:pPr>
              <w:spacing w:after="20"/>
            </w:pPr>
            <w:r/>
            <w:r>
              <w:rPr>
                <w:sz w:val="15"/>
              </w:rPr>
              <w:t>Targeted collection/search for policies and reviews; Documentum; decide treatment of 2025 hold materials and serve Instr. F certification; produce or log in next production.</w:t>
            </w:r>
          </w:p>
        </w:tc>
      </w:tr>
      <w:tr>
        <w:tc>
          <w:tcPr>
            <w:tcW w:type="dxa" w:w="648"/>
          </w:tcPr>
          <w:p>
            <w:pPr>
              <w:spacing w:after="20"/>
            </w:pPr>
            <w:r/>
            <w:r>
              <w:rPr>
                <w:sz w:val="15"/>
              </w:rPr>
              <w:t>17</w:t>
            </w:r>
          </w:p>
        </w:tc>
        <w:tc>
          <w:tcPr>
            <w:tcW w:type="dxa" w:w="2520"/>
          </w:tcPr>
          <w:p>
            <w:pPr>
              <w:spacing w:after="20"/>
            </w:pPr>
            <w:r/>
            <w:r>
              <w:rPr>
                <w:sz w:val="15"/>
              </w:rPr>
              <w:t>Key customer contracts (hospital networks, GPOs, labs), amendments, renewals, terminations, disputes and correspondence.</w:t>
            </w:r>
          </w:p>
        </w:tc>
        <w:tc>
          <w:tcPr>
            <w:tcW w:type="dxa" w:w="1512"/>
          </w:tcPr>
          <w:p>
            <w:pPr>
              <w:spacing w:after="20"/>
            </w:pPr>
            <w:r/>
            <w:r>
              <w:rPr>
                <w:sz w:val="15"/>
              </w:rPr>
              <w:t>Prod 734</w:t>
            </w:r>
          </w:p>
          <w:p>
            <w:pPr>
              <w:spacing w:after="20"/>
            </w:pPr>
            <w:r>
              <w:rPr>
                <w:sz w:val="15"/>
              </w:rPr>
              <w:t>Priv 18 (18/0)</w:t>
            </w:r>
          </w:p>
          <w:p>
            <w:pPr>
              <w:spacing w:after="20"/>
            </w:pPr>
            <w:r>
              <w:rPr>
                <w:sz w:val="15"/>
              </w:rPr>
              <w:t>QC 48</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Only MedCore Finance, Executive and Deal-process shares were collected — Sales, Contracts/Legal shares not collected; customer quality complaints (Req. 9 overlap) and terminations/disputes need confirmation; relevant to CIM customer/backlog representations.</w:t>
            </w:r>
          </w:p>
        </w:tc>
        <w:tc>
          <w:tcPr>
            <w:tcW w:type="dxa" w:w="3744"/>
          </w:tcPr>
          <w:p>
            <w:pPr>
              <w:spacing w:after="20"/>
            </w:pPr>
            <w:r/>
            <w:r>
              <w:rPr>
                <w:sz w:val="15"/>
              </w:rPr>
              <w:t>Add MedCore commercial/legal shares to Veriton request; targeted search for terminations, disputes, quality complaints.</w:t>
            </w:r>
          </w:p>
        </w:tc>
      </w:tr>
      <w:tr>
        <w:tc>
          <w:tcPr>
            <w:tcW w:type="dxa" w:w="648"/>
          </w:tcPr>
          <w:p>
            <w:pPr>
              <w:spacing w:after="20"/>
            </w:pPr>
            <w:r/>
            <w:r>
              <w:rPr>
                <w:sz w:val="15"/>
              </w:rPr>
              <w:t>18</w:t>
            </w:r>
          </w:p>
        </w:tc>
        <w:tc>
          <w:tcPr>
            <w:tcW w:type="dxa" w:w="2520"/>
          </w:tcPr>
          <w:p>
            <w:pPr>
              <w:spacing w:after="20"/>
            </w:pPr>
            <w:r/>
            <w:r>
              <w:rPr>
                <w:sz w:val="15"/>
              </w:rPr>
              <w:t>Ridgeline’s valuation of MedCore during ownership: quarterly marks, FMV analyses, comps, DCFs, Thorngate and other third-party reports; communications on methodology with LPs, auditors, advisors.</w:t>
            </w:r>
          </w:p>
        </w:tc>
        <w:tc>
          <w:tcPr>
            <w:tcW w:type="dxa" w:w="1512"/>
          </w:tcPr>
          <w:p>
            <w:pPr>
              <w:spacing w:after="20"/>
            </w:pPr>
            <w:r/>
            <w:r>
              <w:rPr>
                <w:sz w:val="15"/>
              </w:rPr>
              <w:t>Prod 556</w:t>
            </w:r>
          </w:p>
          <w:p>
            <w:pPr>
              <w:spacing w:after="20"/>
            </w:pPr>
            <w:r>
              <w:rPr>
                <w:sz w:val="15"/>
              </w:rPr>
              <w:t>Priv 41 (41/0)</w:t>
            </w:r>
          </w:p>
          <w:p>
            <w:pPr>
              <w:spacing w:after="20"/>
            </w:pPr>
            <w:r>
              <w:rPr>
                <w:sz w:val="15"/>
              </w:rPr>
              <w:t>QC 37</w:t>
            </w:r>
          </w:p>
        </w:tc>
        <w:tc>
          <w:tcPr>
            <w:tcW w:type="dxa" w:w="1368"/>
            <w:shd w:val="clear" w:color="auto" w:fill="FCE5CD"/>
          </w:tcPr>
          <w:p>
            <w:pPr>
              <w:spacing w:after="20"/>
            </w:pPr>
            <w:r/>
            <w:r>
              <w:rPr>
                <w:sz w:val="15"/>
              </w:rPr>
              <w:t>Partial →</w:t>
            </w:r>
          </w:p>
          <w:p>
            <w:pPr>
              <w:spacing w:after="20"/>
            </w:pPr>
            <w:r>
              <w:rPr>
                <w:sz w:val="15"/>
              </w:rPr>
              <w:t>AMBER</w:t>
            </w:r>
          </w:p>
        </w:tc>
        <w:tc>
          <w:tcPr>
            <w:tcW w:type="dxa" w:w="4320"/>
          </w:tcPr>
          <w:p>
            <w:pPr>
              <w:spacing w:after="20"/>
            </w:pPr>
            <w:r/>
            <w:r>
              <w:rPr>
                <w:sz w:val="15"/>
              </w:rPr>
              <w:t>Thorngate files not collected (third party). 78 documents withheld as “Thorngate Valuation Group (via ACS)” — routine fund-reporting valuations are a business function and a Kovel-type claim will be tested; Fund III valuation-committee/IC materials and LP valuation communications (Req. 10 overlap) to be confirmed.</w:t>
            </w:r>
          </w:p>
        </w:tc>
        <w:tc>
          <w:tcPr>
            <w:tcW w:type="dxa" w:w="3744"/>
          </w:tcPr>
          <w:p>
            <w:pPr>
              <w:spacing w:after="20"/>
            </w:pPr>
            <w:r/>
            <w:r>
              <w:rPr>
                <w:sz w:val="15"/>
              </w:rPr>
              <w:t>Instr. E request to Thorngate; re-review Thorngate privilege calls; confirm IC/valuation committee materials.</w:t>
            </w:r>
          </w:p>
        </w:tc>
      </w:tr>
    </w:tbl>
    <w:p>
      <w:pPr>
        <w:spacing w:after="40"/>
      </w:pPr>
    </w:p>
    <w:p>
      <w:pPr>
        <w:sectPr>
          <w:pgSz w:w="15840" w:h="12240" w:orient="landscape"/>
          <w:pgMar w:top="1296" w:right="864" w:bottom="1296" w:left="864" w:header="720" w:footer="720" w:gutter="0"/>
          <w:cols w:space="720"/>
          <w:docGrid w:linePitch="360"/>
        </w:sectPr>
      </w:pPr>
    </w:p>
    <w:p>
      <w:pPr>
        <w:pStyle w:val="Heading1"/>
      </w:pPr>
      <w:r>
        <w:t>V. Cross-Cutting Gaps</w:t>
      </w:r>
    </w:p>
    <w:p>
      <w:pPr>
        <w:pStyle w:val="Heading2"/>
      </w:pPr>
      <w:r>
        <w:t>A. The Review Coding Guide and the review sequence produced several of the gaps</w:t>
      </w:r>
    </w:p>
    <w:p>
      <w:pPr>
        <w:pStyle w:val="ListBullet"/>
        <w:spacing w:after="60"/>
      </w:pPr>
      <w:r>
        <w:rPr>
          <w:b/>
        </w:rPr>
        <w:t>Request 9 definition (§ III.I).</w:t>
      </w:r>
      <w:r>
        <w:t xml:space="preserve"> The Guide quotes Request 9 as covering “complaints, concerns, or whistleblower reports regarding MedCore’s financial reporting, revenue recognition, or regulatory compliance” and then confines it to formal-channel complaints. The Subpoena’s actual text adds “testing data integrity, product quality, clinical data accuracy,” and covers reports “whether formal or informal,” including oral reports reflected in notes. The Guide’s limitation has no basis in the Subpoena, and the Government would read it as a deliberate narrowing. The Webb email’s non-production follows directly from it, and the 10% non-responsive QC sample and the targeted QC of Whitford/Cheng-Rourke Category 9 calls (§ VIII) did not catch it. That points to a QC failure we should be ready to explain.</w:t>
      </w:r>
    </w:p>
    <w:p>
      <w:pPr>
        <w:pStyle w:val="ListBullet"/>
        <w:spacing w:after="60"/>
      </w:pPr>
      <w:r>
        <w:rPr>
          <w:b/>
        </w:rPr>
        <w:t>Request 11 default (§ III.K).</w:t>
      </w:r>
      <w:r>
        <w:t xml:space="preserve"> Instructing reviewers to designate ACS communications privileged “when in doubt” produced 100% withholding. Over-designation at first level is defensible only if second-level privilege QC (§ VIII) actually narrowed it. For Request 11 it did not.</w:t>
      </w:r>
    </w:p>
    <w:p>
      <w:pPr>
        <w:pStyle w:val="ListBullet"/>
        <w:spacing w:after="60"/>
      </w:pPr>
      <w:r>
        <w:rPr>
          <w:b/>
        </w:rPr>
        <w:t>Priority mismatch.</w:t>
      </w:r>
      <w:r>
        <w:t xml:space="preserve"> The Protocol (¶ 2.5) records that the Government designated Requests 2, 3, 4, 5 and 15 as priorities and that we would “endeavor to include a substantial volume” of them in the first production. The Guide’s Phase 1 (§ VI) prioritized Requests 1, 4, 5, 7, 8, 12, 17 and 18 and deferred 2, 3 and 15 (and 9, 11, 16) to Phase 2. The weakest categories in the production line up with that deferral. Phase 2 should be resequenced so that 3, 9, 15, 2 and 11 come first.</w:t>
      </w:r>
    </w:p>
    <w:p>
      <w:pPr>
        <w:pStyle w:val="ListBullet"/>
        <w:spacing w:after="60"/>
      </w:pPr>
      <w:r>
        <w:rPr>
          <w:b/>
        </w:rPr>
        <w:t>Internal contradictions.</w:t>
      </w:r>
      <w:r>
        <w:t xml:space="preserve"> The Guide says cross-custodian duplicates were not de-duplicated and that Dr. Anand’s Gmail was collected. Stratton says both statements are wrong: cross-custodian de-duplication was applied (Protocol ¶ 4.5 permits it), and the Gmail account was never collected. The Guide also dates the Protocol February 10, 2025; the letter is dated February 21, and the Tracker records execution on February 15. The Guide should be reissued as Version 2.0 with corrected facts and a corrected Request 9 definition. Reviewers should be retrained on it, and changed calls should be documented.</w:t>
      </w:r>
    </w:p>
    <w:p>
      <w:pPr>
        <w:pStyle w:val="Heading2"/>
      </w:pPr>
      <w:r>
        <w:t>B. Privilege posture and log compliance</w:t>
      </w:r>
    </w:p>
    <w:p>
      <w:r>
        <w:t>The privilege position is the biggest single credibility risk in the production. The Subpoena (Instr. IV and the Note to Request 11) requires a log that accompanies each production and is detailed enough to assess each claim. It warns that failure to log may result in waiver. Protocol ¶ 5.3 bars deferring log entries to a later production. We are out of compliance by 2,385 documents, and the Tracker itself labels the position “NON-COMPLIANT.” (The Tracker cites “Production Protocol Letter, para. 6”; the operative provisions are ¶¶ 5.2–5.3, and ¶ 6 concerns preservation. Correct the reference before it appears in any correspondence.)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872"/>
            <w:shd w:val="clear" w:color="auto" w:fill="D9E1F2"/>
          </w:tcPr>
          <w:p>
            <w:r>
              <w:rPr>
                <w:b/>
              </w:rPr>
            </w:r>
            <w:r>
              <w:rPr>
                <w:b/>
                <w:sz w:val="16"/>
              </w:rPr>
              <w:t>Privilege issue</w:t>
            </w:r>
          </w:p>
        </w:tc>
        <w:tc>
          <w:tcPr>
            <w:tcW w:type="dxa" w:w="1584"/>
            <w:shd w:val="clear" w:color="auto" w:fill="D9E1F2"/>
          </w:tcPr>
          <w:p>
            <w:r>
              <w:rPr>
                <w:b/>
              </w:rPr>
            </w:r>
            <w:r>
              <w:rPr>
                <w:b/>
                <w:sz w:val="16"/>
              </w:rPr>
              <w:t>Volume (Tracker)</w:t>
            </w:r>
          </w:p>
        </w:tc>
        <w:tc>
          <w:tcPr>
            <w:tcW w:type="dxa" w:w="3456"/>
            <w:shd w:val="clear" w:color="auto" w:fill="D9E1F2"/>
          </w:tcPr>
          <w:p>
            <w:r>
              <w:rPr>
                <w:b/>
              </w:rPr>
            </w:r>
            <w:r>
              <w:rPr>
                <w:b/>
                <w:sz w:val="16"/>
              </w:rPr>
              <w:t>Assessment</w:t>
            </w:r>
          </w:p>
        </w:tc>
        <w:tc>
          <w:tcPr>
            <w:tcW w:type="dxa" w:w="2448"/>
            <w:shd w:val="clear" w:color="auto" w:fill="D9E1F2"/>
          </w:tcPr>
          <w:p>
            <w:r>
              <w:rPr>
                <w:b/>
              </w:rPr>
            </w:r>
            <w:r>
              <w:rPr>
                <w:b/>
                <w:sz w:val="16"/>
              </w:rPr>
              <w:t>Action</w:t>
            </w:r>
          </w:p>
        </w:tc>
      </w:tr>
      <w:tr>
        <w:tc>
          <w:tcPr>
            <w:tcW w:type="dxa" w:w="1872"/>
          </w:tcPr>
          <w:p>
            <w:pPr>
              <w:spacing w:after="20"/>
            </w:pPr>
            <w:r/>
            <w:r>
              <w:rPr>
                <w:sz w:val="16"/>
              </w:rPr>
              <w:t>Unlogged withheld documents</w:t>
            </w:r>
          </w:p>
        </w:tc>
        <w:tc>
          <w:tcPr>
            <w:tcW w:type="dxa" w:w="1584"/>
          </w:tcPr>
          <w:p>
            <w:pPr>
              <w:spacing w:after="20"/>
            </w:pPr>
            <w:r/>
            <w:r>
              <w:rPr>
                <w:sz w:val="16"/>
              </w:rPr>
              <w:t>2,385 of 4,232 (56.4%)</w:t>
            </w:r>
          </w:p>
        </w:tc>
        <w:tc>
          <w:tcPr>
            <w:tcW w:type="dxa" w:w="3456"/>
          </w:tcPr>
          <w:p>
            <w:pPr>
              <w:spacing w:after="20"/>
            </w:pPr>
            <w:r/>
            <w:r>
              <w:rPr>
                <w:sz w:val="16"/>
              </w:rPr>
              <w:t>Direct breach of Protocol ¶ 5.3. Risk of a waiver argument and of loss of credibility with AUSA Navarro.</w:t>
            </w:r>
          </w:p>
        </w:tc>
        <w:tc>
          <w:tcPr>
            <w:tcW w:type="dxa" w:w="2448"/>
          </w:tcPr>
          <w:p>
            <w:pPr>
              <w:spacing w:after="20"/>
            </w:pPr>
            <w:r/>
            <w:r>
              <w:rPr>
                <w:sz w:val="16"/>
              </w:rPr>
              <w:t>Disclose the shortfall now. Commit in writing to a date certain (recommend ≤ 21 days) for a complete supplemental log. Staff logging separately from review.</w:t>
            </w:r>
          </w:p>
        </w:tc>
      </w:tr>
      <w:tr>
        <w:tc>
          <w:tcPr>
            <w:tcW w:type="dxa" w:w="1872"/>
          </w:tcPr>
          <w:p>
            <w:pPr>
              <w:spacing w:after="20"/>
            </w:pPr>
            <w:r/>
            <w:r>
              <w:rPr>
                <w:sz w:val="16"/>
              </w:rPr>
              <w:t>ACS communications (Req. 11; also 1–6, 12–14, 17)</w:t>
            </w:r>
          </w:p>
        </w:tc>
        <w:tc>
          <w:tcPr>
            <w:tcW w:type="dxa" w:w="1584"/>
          </w:tcPr>
          <w:p>
            <w:pPr>
              <w:spacing w:after="20"/>
            </w:pPr>
            <w:r/>
            <w:r>
              <w:rPr>
                <w:sz w:val="16"/>
              </w:rPr>
              <w:t>3,412 privileged docs involve ACS (80.6%); Req. 11 100% withheld</w:t>
            </w:r>
          </w:p>
        </w:tc>
        <w:tc>
          <w:tcPr>
            <w:tcW w:type="dxa" w:w="3456"/>
          </w:tcPr>
          <w:p>
            <w:pPr>
              <w:spacing w:after="20"/>
            </w:pPr>
            <w:r/>
            <w:r>
              <w:rPr>
                <w:sz w:val="16"/>
              </w:rPr>
              <w:t>Mixed business/legal deal communications are assessed by predominant purpose (In re County of Erie, 473 F.3d 413 (2d Cir. 2007)). Threads copying Cromdale bankers are not privileged: third-party presence defeats confidentiality, and United States v. Kovel, 296 F.2d 918 (2d Cir. 1961), protects only agents necessary to the legal advice. MedCore-side communications raise a privilege-ownership question after the stock sale (cf. Great Hill Equity Partners IV, LP v. SIG Growth Equity Fund I, LLLP, 80 A.3d 155 (Del. Ch. 2013)).</w:t>
            </w:r>
          </w:p>
        </w:tc>
        <w:tc>
          <w:tcPr>
            <w:tcW w:type="dxa" w:w="2448"/>
          </w:tcPr>
          <w:p>
            <w:pPr>
              <w:spacing w:after="20"/>
            </w:pPr>
            <w:r/>
            <w:r>
              <w:rPr>
                <w:sz w:val="16"/>
              </w:rPr>
              <w:t>Thread-level re-review by senior attorneys. Produce or redact. Review the SPA privilege clause. Partner decision on any advice-of-counsel defense before positions harden.</w:t>
            </w:r>
          </w:p>
        </w:tc>
      </w:tr>
      <w:tr>
        <w:tc>
          <w:tcPr>
            <w:tcW w:type="dxa" w:w="1872"/>
          </w:tcPr>
          <w:p>
            <w:pPr>
              <w:spacing w:after="20"/>
            </w:pPr>
            <w:r/>
            <w:r>
              <w:rPr>
                <w:sz w:val="16"/>
              </w:rPr>
              <w:t>Pennfield (MedCore auditor)</w:t>
            </w:r>
          </w:p>
        </w:tc>
        <w:tc>
          <w:tcPr>
            <w:tcW w:type="dxa" w:w="1584"/>
          </w:tcPr>
          <w:p>
            <w:pPr>
              <w:spacing w:after="20"/>
            </w:pPr>
            <w:r/>
            <w:r>
              <w:rPr>
                <w:sz w:val="16"/>
              </w:rPr>
              <w:t>198 docs</w:t>
            </w:r>
          </w:p>
        </w:tc>
        <w:tc>
          <w:tcPr>
            <w:tcW w:type="dxa" w:w="3456"/>
          </w:tcPr>
          <w:p>
            <w:pPr>
              <w:spacing w:after="20"/>
            </w:pPr>
            <w:r/>
            <w:r>
              <w:rPr>
                <w:sz w:val="16"/>
              </w:rPr>
              <w:t>No federal accountant-client privilege (Couch v. United States, 409 U.S. 322 (1973)). Sharing legal advice with an outside auditor generally waives attorney-client privilege. Work-product arguments are narrower and fact-specific.</w:t>
            </w:r>
          </w:p>
        </w:tc>
        <w:tc>
          <w:tcPr>
            <w:tcW w:type="dxa" w:w="2448"/>
          </w:tcPr>
          <w:p>
            <w:pPr>
              <w:spacing w:after="20"/>
            </w:pPr>
            <w:r/>
            <w:r>
              <w:rPr>
                <w:sz w:val="16"/>
              </w:rPr>
              <w:t>Re-review. Expect most of these to be produced.</w:t>
            </w:r>
          </w:p>
        </w:tc>
      </w:tr>
      <w:tr>
        <w:tc>
          <w:tcPr>
            <w:tcW w:type="dxa" w:w="1872"/>
          </w:tcPr>
          <w:p>
            <w:pPr>
              <w:spacing w:after="20"/>
            </w:pPr>
            <w:r/>
            <w:r>
              <w:rPr>
                <w:sz w:val="16"/>
              </w:rPr>
              <w:t>“Joint Defense” — Fund III LP counsel</w:t>
            </w:r>
          </w:p>
        </w:tc>
        <w:tc>
          <w:tcPr>
            <w:tcW w:type="dxa" w:w="1584"/>
          </w:tcPr>
          <w:p>
            <w:pPr>
              <w:spacing w:after="20"/>
            </w:pPr>
            <w:r/>
            <w:r>
              <w:rPr>
                <w:sz w:val="16"/>
              </w:rPr>
              <w:t>369 docs</w:t>
            </w:r>
          </w:p>
        </w:tc>
        <w:tc>
          <w:tcPr>
            <w:tcW w:type="dxa" w:w="3456"/>
          </w:tcPr>
          <w:p>
            <w:pPr>
              <w:spacing w:after="20"/>
            </w:pPr>
            <w:r/>
            <w:r>
              <w:rPr>
                <w:sz w:val="16"/>
              </w:rPr>
              <w:t>The common-interest doctrine requires a shared legal interest and communications in furtherance of a joint legal strategy (United States v. Schwimmer, 892 F.2d 237 (2d Cir. 1989)). Investors receiving fund reporting do not fit. These documents also pre-date any joint defense arrangement.</w:t>
            </w:r>
          </w:p>
        </w:tc>
        <w:tc>
          <w:tcPr>
            <w:tcW w:type="dxa" w:w="2448"/>
          </w:tcPr>
          <w:p>
            <w:pPr>
              <w:spacing w:after="20"/>
            </w:pPr>
            <w:r/>
            <w:r>
              <w:rPr>
                <w:sz w:val="16"/>
              </w:rPr>
              <w:t>Re-review. Likely produce. Withdraw the JDP label where unsupported.</w:t>
            </w:r>
          </w:p>
        </w:tc>
      </w:tr>
      <w:tr>
        <w:tc>
          <w:tcPr>
            <w:tcW w:type="dxa" w:w="1872"/>
          </w:tcPr>
          <w:p>
            <w:pPr>
              <w:spacing w:after="20"/>
            </w:pPr>
            <w:r/>
            <w:r>
              <w:rPr>
                <w:sz w:val="16"/>
              </w:rPr>
              <w:t>Thorngate (via ACS)</w:t>
            </w:r>
          </w:p>
        </w:tc>
        <w:tc>
          <w:tcPr>
            <w:tcW w:type="dxa" w:w="1584"/>
          </w:tcPr>
          <w:p>
            <w:pPr>
              <w:spacing w:after="20"/>
            </w:pPr>
            <w:r/>
            <w:r>
              <w:rPr>
                <w:sz w:val="16"/>
              </w:rPr>
              <w:t>78 docs</w:t>
            </w:r>
          </w:p>
        </w:tc>
        <w:tc>
          <w:tcPr>
            <w:tcW w:type="dxa" w:w="3456"/>
          </w:tcPr>
          <w:p>
            <w:pPr>
              <w:spacing w:after="20"/>
            </w:pPr>
            <w:r/>
            <w:r>
              <w:rPr>
                <w:sz w:val="16"/>
              </w:rPr>
              <w:t>Valuations prepared for fund reporting serve a business purpose. A Kovel claim requires that the valuation work was necessary for ACS to give legal advice.</w:t>
            </w:r>
          </w:p>
        </w:tc>
        <w:tc>
          <w:tcPr>
            <w:tcW w:type="dxa" w:w="2448"/>
          </w:tcPr>
          <w:p>
            <w:pPr>
              <w:spacing w:after="20"/>
            </w:pPr>
            <w:r/>
            <w:r>
              <w:rPr>
                <w:sz w:val="16"/>
              </w:rPr>
              <w:t>Re-review. Document the factual basis or produce.</w:t>
            </w:r>
          </w:p>
        </w:tc>
      </w:tr>
      <w:tr>
        <w:tc>
          <w:tcPr>
            <w:tcW w:type="dxa" w:w="1872"/>
          </w:tcPr>
          <w:p>
            <w:pPr>
              <w:spacing w:after="20"/>
            </w:pPr>
            <w:r/>
            <w:r>
              <w:rPr>
                <w:sz w:val="16"/>
              </w:rPr>
              <w:t>Work product generally</w:t>
            </w:r>
          </w:p>
        </w:tc>
        <w:tc>
          <w:tcPr>
            <w:tcW w:type="dxa" w:w="1584"/>
          </w:tcPr>
          <w:p>
            <w:pPr>
              <w:spacing w:after="20"/>
            </w:pPr>
            <w:r/>
            <w:r>
              <w:rPr>
                <w:sz w:val="16"/>
              </w:rPr>
              <w:t>987 docs (412 logged)</w:t>
            </w:r>
          </w:p>
        </w:tc>
        <w:tc>
          <w:tcPr>
            <w:tcW w:type="dxa" w:w="3456"/>
          </w:tcPr>
          <w:p>
            <w:pPr>
              <w:spacing w:after="20"/>
            </w:pPr>
            <w:r/>
            <w:r>
              <w:rPr>
                <w:sz w:val="16"/>
              </w:rPr>
              <w:t>Coding Guide trigger date is 1/14/2025. Pre-subpoena documents need a “because of” anticipated-litigation showing (United States v. Adlman, 134 F.3d 1194 (2d Cir. 1998)). Deal memos prepared in the ordinary course will not qualify.</w:t>
            </w:r>
          </w:p>
        </w:tc>
        <w:tc>
          <w:tcPr>
            <w:tcW w:type="dxa" w:w="2448"/>
          </w:tcPr>
          <w:p>
            <w:pPr>
              <w:spacing w:after="20"/>
            </w:pPr>
            <w:r/>
            <w:r>
              <w:rPr>
                <w:sz w:val="16"/>
              </w:rPr>
              <w:t>Audit any pre-2025 WP claims.</w:t>
            </w:r>
          </w:p>
        </w:tc>
      </w:tr>
      <w:tr>
        <w:tc>
          <w:tcPr>
            <w:tcW w:type="dxa" w:w="1872"/>
          </w:tcPr>
          <w:p>
            <w:pPr>
              <w:spacing w:after="20"/>
            </w:pPr>
            <w:r/>
            <w:r>
              <w:rPr>
                <w:sz w:val="16"/>
              </w:rPr>
              <w:t>“Other / Unclassified”</w:t>
            </w:r>
          </w:p>
        </w:tc>
        <w:tc>
          <w:tcPr>
            <w:tcW w:type="dxa" w:w="1584"/>
          </w:tcPr>
          <w:p>
            <w:pPr>
              <w:spacing w:after="20"/>
            </w:pPr>
            <w:r/>
            <w:r>
              <w:rPr>
                <w:sz w:val="16"/>
              </w:rPr>
              <w:t>175 docs (137 unlogged)</w:t>
            </w:r>
          </w:p>
        </w:tc>
        <w:tc>
          <w:tcPr>
            <w:tcW w:type="dxa" w:w="3456"/>
          </w:tcPr>
          <w:p>
            <w:pPr>
              <w:spacing w:after="20"/>
            </w:pPr>
            <w:r/>
            <w:r>
              <w:rPr>
                <w:sz w:val="16"/>
              </w:rPr>
              <w:t>These cannot be logged until the claimed privilege is identified.</w:t>
            </w:r>
          </w:p>
        </w:tc>
        <w:tc>
          <w:tcPr>
            <w:tcW w:type="dxa" w:w="2448"/>
          </w:tcPr>
          <w:p>
            <w:pPr>
              <w:spacing w:after="20"/>
            </w:pPr>
            <w:r/>
            <w:r>
              <w:rPr>
                <w:sz w:val="16"/>
              </w:rPr>
              <w:t>Classify, then log or produce.</w:t>
            </w:r>
          </w:p>
        </w:tc>
      </w:tr>
    </w:tbl>
    <w:p>
      <w:pPr>
        <w:spacing w:after="40"/>
      </w:pPr>
    </w:p>
    <w:p>
      <w:r>
        <w:t>The Government’s theory reaches representations drafted with counsel involved (the CIM, SPA representations, FDA status). The crime-fraud exception therefore has to be treated as a real risk. Partner-level review of any ACS communication touching VeriScan Pro data, FDA timelines or the CIM should happen before those documents are logged, because the log descriptions themselves may be tested in camera (Protocol ¶ 5.5).</w:t>
      </w:r>
    </w:p>
    <w:p>
      <w:pPr>
        <w:pStyle w:val="Heading2"/>
      </w:pPr>
      <w:r>
        <w:t>C. Uncollected sources and third-party possession (General Instruction E)</w:t>
      </w:r>
    </w:p>
    <w:p>
      <w:r>
        <w:t>Instruction E requires us to identify third parties holding responsive documents, take reasonable steps to obtain them, and, if we cannot, notify the Government in writing with a description of our efforts. Most of the outstanding sources are now held by Veriton, which owns MedCore and its systems. Ridgeline’s legal “control” over MedCore records after closing should be analyzed against the SPA’s post-closing access-to-records covenant. Whatever that analysis shows, Instruction E calls for written notice now.</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448"/>
            <w:shd w:val="clear" w:color="auto" w:fill="D9E1F2"/>
          </w:tcPr>
          <w:p>
            <w:r>
              <w:rPr>
                <w:b/>
              </w:rPr>
            </w:r>
            <w:r>
              <w:rPr>
                <w:b/>
                <w:sz w:val="16"/>
              </w:rPr>
              <w:t>Source</w:t>
            </w:r>
          </w:p>
        </w:tc>
        <w:tc>
          <w:tcPr>
            <w:tcW w:type="dxa" w:w="2160"/>
            <w:shd w:val="clear" w:color="auto" w:fill="D9E1F2"/>
          </w:tcPr>
          <w:p>
            <w:r>
              <w:rPr>
                <w:b/>
              </w:rPr>
            </w:r>
            <w:r>
              <w:rPr>
                <w:b/>
                <w:sz w:val="16"/>
              </w:rPr>
              <w:t>Holder / blocker</w:t>
            </w:r>
          </w:p>
        </w:tc>
        <w:tc>
          <w:tcPr>
            <w:tcW w:type="dxa" w:w="1440"/>
            <w:shd w:val="clear" w:color="auto" w:fill="D9E1F2"/>
          </w:tcPr>
          <w:p>
            <w:r>
              <w:rPr>
                <w:b/>
              </w:rPr>
            </w:r>
            <w:r>
              <w:rPr>
                <w:b/>
                <w:sz w:val="16"/>
              </w:rPr>
              <w:t>Requests affected</w:t>
            </w:r>
          </w:p>
        </w:tc>
        <w:tc>
          <w:tcPr>
            <w:tcW w:type="dxa" w:w="3312"/>
            <w:shd w:val="clear" w:color="auto" w:fill="D9E1F2"/>
          </w:tcPr>
          <w:p>
            <w:r>
              <w:rPr>
                <w:b/>
              </w:rPr>
            </w:r>
            <w:r>
              <w:rPr>
                <w:b/>
                <w:sz w:val="16"/>
              </w:rPr>
              <w:t>Status / next step</w:t>
            </w:r>
          </w:p>
        </w:tc>
      </w:tr>
      <w:tr>
        <w:tc>
          <w:tcPr>
            <w:tcW w:type="dxa" w:w="2448"/>
          </w:tcPr>
          <w:p>
            <w:pPr>
              <w:spacing w:after="20"/>
            </w:pPr>
            <w:r/>
            <w:r>
              <w:rPr>
                <w:sz w:val="16"/>
              </w:rPr>
              <w:t>MedCore Documentum DMS (regulatory, QA, compliance; est. 8,500–12,000 docs)</w:t>
            </w:r>
          </w:p>
        </w:tc>
        <w:tc>
          <w:tcPr>
            <w:tcW w:type="dxa" w:w="2160"/>
          </w:tcPr>
          <w:p>
            <w:pPr>
              <w:spacing w:after="20"/>
            </w:pPr>
            <w:r/>
            <w:r>
              <w:rPr>
                <w:sz w:val="16"/>
              </w:rPr>
              <w:t>Veriton IT; Veriton legal approval required</w:t>
            </w:r>
          </w:p>
        </w:tc>
        <w:tc>
          <w:tcPr>
            <w:tcW w:type="dxa" w:w="1440"/>
          </w:tcPr>
          <w:p>
            <w:pPr>
              <w:spacing w:after="20"/>
            </w:pPr>
            <w:r/>
            <w:r>
              <w:rPr>
                <w:sz w:val="16"/>
              </w:rPr>
              <w:t>3, 9, 16 (also 4, 8)</w:t>
            </w:r>
          </w:p>
        </w:tc>
        <w:tc>
          <w:tcPr>
            <w:tcW w:type="dxa" w:w="3312"/>
          </w:tcPr>
          <w:p>
            <w:pPr>
              <w:spacing w:after="20"/>
            </w:pPr>
            <w:r/>
            <w:r>
              <w:rPr>
                <w:sz w:val="16"/>
              </w:rPr>
              <w:t>Not collected. Authorize Stratton export. Request access through Preston &amp; Gage. Send a preservation demand to Veriton now.</w:t>
            </w:r>
          </w:p>
        </w:tc>
      </w:tr>
      <w:tr>
        <w:tc>
          <w:tcPr>
            <w:tcW w:type="dxa" w:w="2448"/>
          </w:tcPr>
          <w:p>
            <w:pPr>
              <w:spacing w:after="20"/>
            </w:pPr>
            <w:r/>
            <w:r>
              <w:rPr>
                <w:sz w:val="16"/>
              </w:rPr>
              <w:t>MedCore Board — Corporate Secretary SharePoint</w:t>
            </w:r>
          </w:p>
        </w:tc>
        <w:tc>
          <w:tcPr>
            <w:tcW w:type="dxa" w:w="2160"/>
          </w:tcPr>
          <w:p>
            <w:pPr>
              <w:spacing w:after="20"/>
            </w:pPr>
            <w:r/>
            <w:r>
              <w:rPr>
                <w:sz w:val="16"/>
              </w:rPr>
              <w:t>Veriton M365 tenant; access request made 3/12/2025</w:t>
            </w:r>
          </w:p>
        </w:tc>
        <w:tc>
          <w:tcPr>
            <w:tcW w:type="dxa" w:w="1440"/>
          </w:tcPr>
          <w:p>
            <w:pPr>
              <w:spacing w:after="20"/>
            </w:pPr>
            <w:r/>
            <w:r>
              <w:rPr>
                <w:sz w:val="16"/>
              </w:rPr>
              <w:t>7 (also 2, 3, 8, 14, 18)</w:t>
            </w:r>
          </w:p>
        </w:tc>
        <w:tc>
          <w:tcPr>
            <w:tcW w:type="dxa" w:w="3312"/>
          </w:tcPr>
          <w:p>
            <w:pPr>
              <w:spacing w:after="20"/>
            </w:pPr>
            <w:r/>
            <w:r>
              <w:rPr>
                <w:sz w:val="16"/>
              </w:rPr>
              <w:t>Not collected. Escalate the request. Highest priority because of the Q3 2021 minutes.</w:t>
            </w:r>
          </w:p>
        </w:tc>
      </w:tr>
      <w:tr>
        <w:tc>
          <w:tcPr>
            <w:tcW w:type="dxa" w:w="2448"/>
          </w:tcPr>
          <w:p>
            <w:pPr>
              <w:spacing w:after="20"/>
            </w:pPr>
            <w:r/>
            <w:r>
              <w:rPr>
                <w:sz w:val="16"/>
              </w:rPr>
              <w:t>MedCore Regulatory Affairs, QA, R&amp;D, Sales/Legal, HR shares</w:t>
            </w:r>
          </w:p>
        </w:tc>
        <w:tc>
          <w:tcPr>
            <w:tcW w:type="dxa" w:w="2160"/>
          </w:tcPr>
          <w:p>
            <w:pPr>
              <w:spacing w:after="20"/>
            </w:pPr>
            <w:r/>
            <w:r>
              <w:rPr>
                <w:sz w:val="16"/>
              </w:rPr>
              <w:t>Veriton IT (offered in “subsequent phase”)</w:t>
            </w:r>
          </w:p>
        </w:tc>
        <w:tc>
          <w:tcPr>
            <w:tcW w:type="dxa" w:w="1440"/>
          </w:tcPr>
          <w:p>
            <w:pPr>
              <w:spacing w:after="20"/>
            </w:pPr>
            <w:r/>
            <w:r>
              <w:rPr>
                <w:sz w:val="16"/>
              </w:rPr>
              <w:t>3, 9, 14, 16, 17</w:t>
            </w:r>
          </w:p>
        </w:tc>
        <w:tc>
          <w:tcPr>
            <w:tcW w:type="dxa" w:w="3312"/>
          </w:tcPr>
          <w:p>
            <w:pPr>
              <w:spacing w:after="20"/>
            </w:pPr>
            <w:r/>
            <w:r>
              <w:rPr>
                <w:sz w:val="16"/>
              </w:rPr>
              <w:t>Not collected. Add to the Veriton request.</w:t>
            </w:r>
          </w:p>
        </w:tc>
      </w:tr>
      <w:tr>
        <w:tc>
          <w:tcPr>
            <w:tcW w:type="dxa" w:w="2448"/>
          </w:tcPr>
          <w:p>
            <w:pPr>
              <w:spacing w:after="20"/>
            </w:pPr>
            <w:r/>
            <w:r>
              <w:rPr>
                <w:sz w:val="16"/>
              </w:rPr>
              <w:t>Intralinks virtual data room (contents, index, Q&amp;A, access logs)</w:t>
            </w:r>
          </w:p>
        </w:tc>
        <w:tc>
          <w:tcPr>
            <w:tcW w:type="dxa" w:w="2160"/>
          </w:tcPr>
          <w:p>
            <w:pPr>
              <w:spacing w:after="20"/>
            </w:pPr>
            <w:r/>
            <w:r>
              <w:rPr>
                <w:sz w:val="16"/>
              </w:rPr>
              <w:t>Intralinks / Ridgeline (Krell administered)</w:t>
            </w:r>
          </w:p>
        </w:tc>
        <w:tc>
          <w:tcPr>
            <w:tcW w:type="dxa" w:w="1440"/>
          </w:tcPr>
          <w:p>
            <w:pPr>
              <w:spacing w:after="20"/>
            </w:pPr>
            <w:r/>
            <w:r>
              <w:rPr>
                <w:sz w:val="16"/>
              </w:rPr>
              <w:t>4, 5 (also 3, 12)</w:t>
            </w:r>
          </w:p>
        </w:tc>
        <w:tc>
          <w:tcPr>
            <w:tcW w:type="dxa" w:w="3312"/>
          </w:tcPr>
          <w:p>
            <w:pPr>
              <w:spacing w:after="20"/>
            </w:pPr>
            <w:r/>
            <w:r>
              <w:rPr>
                <w:sz w:val="16"/>
              </w:rPr>
              <w:t>Not identified as a source by Stratton. Collect immediately.</w:t>
            </w:r>
          </w:p>
        </w:tc>
      </w:tr>
      <w:tr>
        <w:tc>
          <w:tcPr>
            <w:tcW w:type="dxa" w:w="2448"/>
          </w:tcPr>
          <w:p>
            <w:pPr>
              <w:spacing w:after="20"/>
            </w:pPr>
            <w:r/>
            <w:r>
              <w:rPr>
                <w:sz w:val="16"/>
              </w:rPr>
              <w:t>Dr. Anand personal Gmail and iPhone 13</w:t>
            </w:r>
          </w:p>
        </w:tc>
        <w:tc>
          <w:tcPr>
            <w:tcW w:type="dxa" w:w="2160"/>
          </w:tcPr>
          <w:p>
            <w:pPr>
              <w:spacing w:after="20"/>
            </w:pPr>
            <w:r/>
            <w:r>
              <w:rPr>
                <w:sz w:val="16"/>
              </w:rPr>
              <w:t>Dr. Anand; counsel Miriam Solano (Wren &amp; Kessler); no response to 3/5/2025 protocol</w:t>
            </w:r>
          </w:p>
        </w:tc>
        <w:tc>
          <w:tcPr>
            <w:tcW w:type="dxa" w:w="1440"/>
          </w:tcPr>
          <w:p>
            <w:pPr>
              <w:spacing w:after="20"/>
            </w:pPr>
            <w:r/>
            <w:r>
              <w:rPr>
                <w:sz w:val="16"/>
              </w:rPr>
              <w:t>2, 3, 7, 8, 9, 14, 15</w:t>
            </w:r>
          </w:p>
        </w:tc>
        <w:tc>
          <w:tcPr>
            <w:tcW w:type="dxa" w:w="3312"/>
          </w:tcPr>
          <w:p>
            <w:pPr>
              <w:spacing w:after="20"/>
            </w:pPr>
            <w:r/>
            <w:r>
              <w:rPr>
                <w:sz w:val="16"/>
              </w:rPr>
              <w:t>Not collected. Escalate in writing with a deadline. Notify the Government under Instr. E. The Government can subpoena Dr. Anand directly.</w:t>
            </w:r>
          </w:p>
        </w:tc>
      </w:tr>
      <w:tr>
        <w:tc>
          <w:tcPr>
            <w:tcW w:type="dxa" w:w="2448"/>
          </w:tcPr>
          <w:p>
            <w:pPr>
              <w:spacing w:after="20"/>
            </w:pPr>
            <w:r/>
            <w:r>
              <w:rPr>
                <w:sz w:val="16"/>
              </w:rPr>
              <w:t>Dr. Anand MedCore laptop</w:t>
            </w:r>
          </w:p>
        </w:tc>
        <w:tc>
          <w:tcPr>
            <w:tcW w:type="dxa" w:w="2160"/>
          </w:tcPr>
          <w:p>
            <w:pPr>
              <w:spacing w:after="20"/>
            </w:pPr>
            <w:r/>
            <w:r>
              <w:rPr>
                <w:sz w:val="16"/>
              </w:rPr>
              <w:t>Wiped and redeployed by Veriton, Q1 2023</w:t>
            </w:r>
          </w:p>
        </w:tc>
        <w:tc>
          <w:tcPr>
            <w:tcW w:type="dxa" w:w="1440"/>
          </w:tcPr>
          <w:p>
            <w:pPr>
              <w:spacing w:after="20"/>
            </w:pPr>
            <w:r/>
            <w:r>
              <w:rPr>
                <w:sz w:val="16"/>
              </w:rPr>
              <w:t>All</w:t>
            </w:r>
          </w:p>
        </w:tc>
        <w:tc>
          <w:tcPr>
            <w:tcW w:type="dxa" w:w="3312"/>
          </w:tcPr>
          <w:p>
            <w:pPr>
              <w:spacing w:after="20"/>
            </w:pPr>
            <w:r/>
            <w:r>
              <w:rPr>
                <w:sz w:val="16"/>
              </w:rPr>
              <w:t>Unrecoverable. Pre-dates the Subpoena. Disclose as a known limitation.</w:t>
            </w:r>
          </w:p>
        </w:tc>
      </w:tr>
      <w:tr>
        <w:tc>
          <w:tcPr>
            <w:tcW w:type="dxa" w:w="2448"/>
          </w:tcPr>
          <w:p>
            <w:pPr>
              <w:spacing w:after="20"/>
            </w:pPr>
            <w:r/>
            <w:r>
              <w:rPr>
                <w:sz w:val="16"/>
              </w:rPr>
              <w:t>Webb MedCore mailbox, HR/separation file</w:t>
            </w:r>
          </w:p>
        </w:tc>
        <w:tc>
          <w:tcPr>
            <w:tcW w:type="dxa" w:w="2160"/>
          </w:tcPr>
          <w:p>
            <w:pPr>
              <w:spacing w:after="20"/>
            </w:pPr>
            <w:r/>
            <w:r>
              <w:rPr>
                <w:sz w:val="16"/>
              </w:rPr>
              <w:t>Veriton</w:t>
            </w:r>
          </w:p>
        </w:tc>
        <w:tc>
          <w:tcPr>
            <w:tcW w:type="dxa" w:w="1440"/>
          </w:tcPr>
          <w:p>
            <w:pPr>
              <w:spacing w:after="20"/>
            </w:pPr>
            <w:r/>
            <w:r>
              <w:rPr>
                <w:sz w:val="16"/>
              </w:rPr>
              <w:t>9 (also 3, 16)</w:t>
            </w:r>
          </w:p>
        </w:tc>
        <w:tc>
          <w:tcPr>
            <w:tcW w:type="dxa" w:w="3312"/>
          </w:tcPr>
          <w:p>
            <w:pPr>
              <w:spacing w:after="20"/>
            </w:pPr>
            <w:r/>
            <w:r>
              <w:rPr>
                <w:sz w:val="16"/>
              </w:rPr>
              <w:t>Not requested. Add to the Veriton request.</w:t>
            </w:r>
          </w:p>
        </w:tc>
      </w:tr>
      <w:tr>
        <w:tc>
          <w:tcPr>
            <w:tcW w:type="dxa" w:w="2448"/>
          </w:tcPr>
          <w:p>
            <w:pPr>
              <w:spacing w:after="20"/>
            </w:pPr>
            <w:r/>
            <w:r>
              <w:rPr>
                <w:sz w:val="16"/>
              </w:rPr>
              <w:t>Cromdale Consulting Aldwyn &amp; Co. (engagement file; bankers’ WhatsApp/texts)</w:t>
            </w:r>
          </w:p>
        </w:tc>
        <w:tc>
          <w:tcPr>
            <w:tcW w:type="dxa" w:w="2160"/>
          </w:tcPr>
          <w:p>
            <w:pPr>
              <w:spacing w:after="20"/>
            </w:pPr>
            <w:r/>
            <w:r>
              <w:rPr>
                <w:sz w:val="16"/>
              </w:rPr>
              <w:t>Cromdale</w:t>
            </w:r>
          </w:p>
        </w:tc>
        <w:tc>
          <w:tcPr>
            <w:tcW w:type="dxa" w:w="1440"/>
          </w:tcPr>
          <w:p>
            <w:pPr>
              <w:spacing w:after="20"/>
            </w:pPr>
            <w:r/>
            <w:r>
              <w:rPr>
                <w:sz w:val="16"/>
              </w:rPr>
              <w:t>1, 4, 5, 6, 15</w:t>
            </w:r>
          </w:p>
        </w:tc>
        <w:tc>
          <w:tcPr>
            <w:tcW w:type="dxa" w:w="3312"/>
          </w:tcPr>
          <w:p>
            <w:pPr>
              <w:spacing w:after="20"/>
            </w:pPr>
            <w:r/>
            <w:r>
              <w:rPr>
                <w:sz w:val="16"/>
              </w:rPr>
              <w:t>Preservation request sent. Request production of the engagement file and of messages with Ridgeline personnel.</w:t>
            </w:r>
          </w:p>
        </w:tc>
      </w:tr>
      <w:tr>
        <w:tc>
          <w:tcPr>
            <w:tcW w:type="dxa" w:w="2448"/>
          </w:tcPr>
          <w:p>
            <w:pPr>
              <w:spacing w:after="20"/>
            </w:pPr>
            <w:r/>
            <w:r>
              <w:rPr>
                <w:sz w:val="16"/>
              </w:rPr>
              <w:t>Adler, Connolly &amp; Strauss LLP files</w:t>
            </w:r>
          </w:p>
        </w:tc>
        <w:tc>
          <w:tcPr>
            <w:tcW w:type="dxa" w:w="2160"/>
          </w:tcPr>
          <w:p>
            <w:pPr>
              <w:spacing w:after="20"/>
            </w:pPr>
            <w:r/>
            <w:r>
              <w:rPr>
                <w:sz w:val="16"/>
              </w:rPr>
              <w:t>ACS (counsel-to-counsel talks ongoing)</w:t>
            </w:r>
          </w:p>
        </w:tc>
        <w:tc>
          <w:tcPr>
            <w:tcW w:type="dxa" w:w="1440"/>
          </w:tcPr>
          <w:p>
            <w:pPr>
              <w:spacing w:after="20"/>
            </w:pPr>
            <w:r/>
            <w:r>
              <w:rPr>
                <w:sz w:val="16"/>
              </w:rPr>
              <w:t>1, 3, 11, 12, 13</w:t>
            </w:r>
          </w:p>
        </w:tc>
        <w:tc>
          <w:tcPr>
            <w:tcW w:type="dxa" w:w="3312"/>
          </w:tcPr>
          <w:p>
            <w:pPr>
              <w:spacing w:after="20"/>
            </w:pPr>
            <w:r/>
            <w:r>
              <w:rPr>
                <w:sz w:val="16"/>
              </w:rPr>
              <w:t>Obtain the file. It is within Ridgeline’s control as ACS’s client. Review for privilege.</w:t>
            </w:r>
          </w:p>
        </w:tc>
      </w:tr>
      <w:tr>
        <w:tc>
          <w:tcPr>
            <w:tcW w:type="dxa" w:w="2448"/>
          </w:tcPr>
          <w:p>
            <w:pPr>
              <w:spacing w:after="20"/>
            </w:pPr>
            <w:r/>
            <w:r>
              <w:rPr>
                <w:sz w:val="16"/>
              </w:rPr>
              <w:t>Pennfield &amp; Associates LLP</w:t>
            </w:r>
          </w:p>
        </w:tc>
        <w:tc>
          <w:tcPr>
            <w:tcW w:type="dxa" w:w="2160"/>
          </w:tcPr>
          <w:p>
            <w:pPr>
              <w:spacing w:after="20"/>
            </w:pPr>
            <w:r/>
            <w:r>
              <w:rPr>
                <w:sz w:val="16"/>
              </w:rPr>
              <w:t>Pennfield</w:t>
            </w:r>
          </w:p>
        </w:tc>
        <w:tc>
          <w:tcPr>
            <w:tcW w:type="dxa" w:w="1440"/>
          </w:tcPr>
          <w:p>
            <w:pPr>
              <w:spacing w:after="20"/>
            </w:pPr>
            <w:r/>
            <w:r>
              <w:rPr>
                <w:sz w:val="16"/>
              </w:rPr>
              <w:t>8 (also 2)</w:t>
            </w:r>
          </w:p>
        </w:tc>
        <w:tc>
          <w:tcPr>
            <w:tcW w:type="dxa" w:w="3312"/>
          </w:tcPr>
          <w:p>
            <w:pPr>
              <w:spacing w:after="20"/>
            </w:pPr>
            <w:r/>
            <w:r>
              <w:rPr>
                <w:sz w:val="16"/>
              </w:rPr>
              <w:t>Not initiated. Request workpapers, rep letters and management letters to the extent within MedCore’s or Ridgeline’s control.</w:t>
            </w:r>
          </w:p>
        </w:tc>
      </w:tr>
      <w:tr>
        <w:tc>
          <w:tcPr>
            <w:tcW w:type="dxa" w:w="2448"/>
          </w:tcPr>
          <w:p>
            <w:pPr>
              <w:spacing w:after="20"/>
            </w:pPr>
            <w:r/>
            <w:r>
              <w:rPr>
                <w:sz w:val="16"/>
              </w:rPr>
              <w:t>Thorngate Valuation Group</w:t>
            </w:r>
          </w:p>
        </w:tc>
        <w:tc>
          <w:tcPr>
            <w:tcW w:type="dxa" w:w="2160"/>
          </w:tcPr>
          <w:p>
            <w:pPr>
              <w:spacing w:after="20"/>
            </w:pPr>
            <w:r/>
            <w:r>
              <w:rPr>
                <w:sz w:val="16"/>
              </w:rPr>
              <w:t>Thorngate</w:t>
            </w:r>
          </w:p>
        </w:tc>
        <w:tc>
          <w:tcPr>
            <w:tcW w:type="dxa" w:w="1440"/>
          </w:tcPr>
          <w:p>
            <w:pPr>
              <w:spacing w:after="20"/>
            </w:pPr>
            <w:r/>
            <w:r>
              <w:rPr>
                <w:sz w:val="16"/>
              </w:rPr>
              <w:t>18 (also 10)</w:t>
            </w:r>
          </w:p>
        </w:tc>
        <w:tc>
          <w:tcPr>
            <w:tcW w:type="dxa" w:w="3312"/>
          </w:tcPr>
          <w:p>
            <w:pPr>
              <w:spacing w:after="20"/>
            </w:pPr>
            <w:r/>
            <w:r>
              <w:rPr>
                <w:sz w:val="16"/>
              </w:rPr>
              <w:t>Not initiated. Request MedCore valuation reports and correspondence.</w:t>
            </w:r>
          </w:p>
        </w:tc>
      </w:tr>
    </w:tbl>
    <w:p>
      <w:pPr>
        <w:spacing w:after="40"/>
      </w:pPr>
    </w:p>
    <w:p>
      <w:pPr>
        <w:pStyle w:val="Heading2"/>
      </w:pPr>
      <w:r>
        <w:t>D. Preservation incidents, disclosure and joint representation</w:t>
      </w:r>
    </w:p>
    <w:p>
      <w:r>
        <w:rPr>
          <w:b/>
        </w:rPr>
        <w:t>Whitford device reset.</w:t>
      </w:r>
      <w:r>
        <w:t xml:space="preserve"> The sequence in our records is as follows. The Subpoena was served on 1/14/2025 and itself directed preservation of messaging data and disabling of auto-delete. HRK issued the hold on 1/17. The iPhone was reset (“Erase All Content and Settings,” approximately 2:47 p.m.) on 1/20. Mr. Whitford’s questionnaire of 1/24 acknowledges business use of Signal and WhatsApp. Stratton told HRK by phone on 2/4 and in writing on 2/5. The Protocol letter dated 2/21 represented that holds were in place and did not mention the reset. The Subpoena warns of 18 U.S.C. §§ 1503, 1512 and 1519 exposure. Protocol ¶ 6 obliges Counsel to disclose preservation issues affecting completeness “promptly,” and the Government will learn of the gap in any event from counterparties’ devices and from Cromdale. Our recommendations:</w:t>
      </w:r>
    </w:p>
    <w:p>
      <w:pPr>
        <w:pStyle w:val="ListBullet"/>
        <w:spacing w:after="60"/>
      </w:pPr>
      <w:r>
        <w:t>Make a prompt, factual, counsel-to-counsel disclosure to AUSA Navarro. It should describe the reset, what was lost, what was recovered, the remediation steps, and that the investigation of the circumstances is continuing. Correct the omission in the 2/21 letter. Before anything goes out, reconcile the factual conflicts: backup dated 1/13 (Bray) vs. 1/18 (Stratton memo); device intake 1/22 vs. 2/3; and the characterization of the apps as “not actively used” (attributed to “Whitford’s counsel”) vs. his own questionnaire and Krell’s account that Whitford “used Signal a lot.”</w:t>
      </w:r>
    </w:p>
    <w:p>
      <w:pPr>
        <w:pStyle w:val="ListBullet"/>
        <w:spacing w:after="60"/>
      </w:pPr>
      <w:r>
        <w:rPr>
          <w:b/>
        </w:rPr>
        <w:t>Recovery steps.</w:t>
      </w:r>
      <w:r>
        <w:t xml:space="preserve"> (i) Bray reports that Messages in iCloud was enabled. Server-side iMessage sync may hold messages from after the last backup, so Stratton should test this. (ii) Identify every Apple device linked to the Apple ID (iPad, MacBook) and any linked Signal Desktop. (iii) Reconstruct Whitford’s side of conversations from Krell’s device (894 Signal and 2,319 WhatsApp messages), Cheng-Rourke’s WhatsApp, and the Cromdale bankers’ group chat (via Cromdale). (iv) Obtain carrier records for communication patterns. (v) Decide on the NAND-level lab assessment. Recovery is unlikely on an iPhone 15 Pro, but declining the attempt will itself be scrutinized.</w:t>
      </w:r>
    </w:p>
    <w:p>
      <w:pPr>
        <w:pStyle w:val="ListBullet"/>
        <w:spacing w:after="60"/>
      </w:pPr>
      <w:r>
        <w:rPr>
          <w:b/>
        </w:rPr>
        <w:t>Joint-representation conflict.</w:t>
      </w:r>
      <w:r>
        <w:t xml:space="preserve"> HRK jointly represents Ridgeline, Whitford, Cheng-Rourke and Krell. Mr. Whitford now faces potential individual obstruction exposure that may diverge from the entity’s interest in full cooperation and disclosure, and Bray’s email refers to separate “Whitford’s counsel.” Recommend an immediate conflicts analysis under N.Y. RPC 1.7. Mr. Whitford should likely be advised to retain independent counsel. Interviews of him going forward should be preceded by Upjohn warnings, and the existing waivers (e.g., Cheng-Rourke’s of 2/5/2025) should be revisited.</w:t>
      </w:r>
    </w:p>
    <w:p>
      <w:pPr>
        <w:pStyle w:val="ListBullet"/>
        <w:spacing w:after="60"/>
      </w:pPr>
      <w:r>
        <w:rPr>
          <w:b/>
        </w:rPr>
        <w:t>Krell Signal disappearing messages.</w:t>
      </w:r>
      <w:r>
        <w:t xml:space="preserve"> Disappearing-message timers stayed active on some threads until extraction on 2/6/2025, even though Instruction I directed that auto-delete features be disabled on receipt. Stratton calls this a normal app function, but messages that expired between 1/14 and 2/6 are a preservation gap. Confirm that timers are now off on every custodian device and include this point in the disclosure.</w:t>
      </w:r>
    </w:p>
    <w:p>
      <w:pPr>
        <w:pStyle w:val="ListBullet"/>
        <w:spacing w:after="60"/>
      </w:pPr>
      <w:r>
        <w:rPr>
          <w:b/>
        </w:rPr>
        <w:t>Anand laptop.</w:t>
      </w:r>
      <w:r>
        <w:t xml:space="preserve"> Veriton wiped and redeployed the laptop in Q1 2023, before any Ridgeline preservation duty arose. Note it as a limitation. It is also a reason to send Veriton a written preservation demand covering Documentum, SharePoint, Exchange and file shares now.</w:t>
      </w:r>
    </w:p>
    <w:p>
      <w:pPr>
        <w:pStyle w:val="Heading2"/>
      </w:pPr>
      <w:r>
        <w:t>E. Format, methodology and certification issues</w:t>
      </w:r>
    </w:p>
    <w:p>
      <w:pPr>
        <w:pStyle w:val="ListBullet"/>
        <w:spacing w:after="60"/>
      </w:pPr>
      <w:r>
        <w:rPr>
          <w:b/>
        </w:rPr>
        <w:t>Bates numbering.</w:t>
      </w:r>
      <w:r>
        <w:t xml:space="preserve"> Protocol ¶ 3.2 and Subpoena Instr. V require a unique Bates number on each page in the format RC-PROD-###### (six digits). The production of ~87,400 pages ends at RC-PROD-014872, which equals the document count, and the range is described as “RC-PROD-001.” That suggests numbering by document, not by page. Verify against the load file and the images. If confirmed, raise it with the Government and agree on a fix before the second production.</w:t>
      </w:r>
    </w:p>
    <w:p>
      <w:pPr>
        <w:pStyle w:val="ListBullet"/>
        <w:spacing w:after="60"/>
      </w:pPr>
      <w:r>
        <w:rPr>
          <w:b/>
        </w:rPr>
        <w:t>Load file.</w:t>
      </w:r>
      <w:r>
        <w:t xml:space="preserve"> Confirm that the .dat includes the Protocol ¶ 3.3 fields, especially (xiii) Request Category Designation(s) and (iii) Custodian. Under ¶ 4.5, all custodians of a de-duplicated document must be listed. Stratton states that duplicates were “retained … under the custodian who was the author or earliest recipient.” If an All-Custodians field was not populated, we have breached ¶ 4.5 and Instruction D. Also confirm natives with slip sheets for spreadsheets and presentations (¶ 3.4), and that families are kept intact.</w:t>
      </w:r>
    </w:p>
    <w:p>
      <w:pPr>
        <w:pStyle w:val="ListBullet"/>
        <w:spacing w:after="60"/>
      </w:pPr>
      <w:r>
        <w:rPr>
          <w:b/>
        </w:rPr>
        <w:t>Date culling.</w:t>
      </w:r>
      <w:r>
        <w:t xml:space="preserve"> Stratton applied a 1/1/2019–12/31/2023 filter at extraction, using “last modified” dates for loose files. In-period documents re-saved after 2023 were excluded. So were post-2023 documents that relate to in-period events, which the Coding Guide (§ II.B) treats as responsive (e.g., 2024 indemnity correspondence). Disclose the methodology to the Government (it will want it in any event), test a sample of excluded loose files by created date, and decide on post-2023 claim documents.</w:t>
      </w:r>
    </w:p>
    <w:p>
      <w:pPr>
        <w:pStyle w:val="ListBullet"/>
        <w:spacing w:after="60"/>
      </w:pPr>
      <w:r>
        <w:rPr>
          <w:b/>
        </w:rPr>
        <w:t>Non-custodial review.</w:t>
      </w:r>
      <w:r>
        <w:t xml:space="preserve"> The Tracker attributes no produced documents to the 14,251 non-custodial items. Confirm whether the R:\Legal\MedCore and R:\Investor Relations folders, the deal-team SharePoint and the MedCore shares were fully reviewed and tagged.</w:t>
      </w:r>
    </w:p>
    <w:p>
      <w:pPr>
        <w:pStyle w:val="ListBullet"/>
        <w:spacing w:after="60"/>
      </w:pPr>
      <w:r>
        <w:rPr>
          <w:b/>
        </w:rPr>
        <w:t>Protocol status.</w:t>
      </w:r>
      <w:r>
        <w:t xml:space="preserve"> The 2/21/2025 Protocol letter in the file carries no Government countersignature. The Tracker records execution on 2/15 and the Coding Guide refers to a 2/10 “letter agreement.” Confirm the countersigned operative version. ¶ 4.5 (de-duplication) and the extended schedule depend on it, and Instruction D bars cross-custodian de-duplication “without prior written agreement.”</w:t>
      </w:r>
    </w:p>
    <w:p>
      <w:pPr>
        <w:pStyle w:val="ListBullet"/>
        <w:spacing w:after="60"/>
      </w:pPr>
      <w:r>
        <w:rPr>
          <w:b/>
        </w:rPr>
        <w:t>Certifications.</w:t>
      </w:r>
      <w:r>
        <w:t xml:space="preserve"> Instruction F required a written hold certification within ten days of receipt (by about 1/24/2025). Nothing in the file shows one was served. Instruction G requires a certification with each production that all known responsive documents have been produced or logged. Given the Webb email, the 2,385 unlogged documents and the known collection gaps, no unqualified certification can be given. If one accompanied the April 10 production, it must be corrected.</w:t>
      </w:r>
    </w:p>
    <w:p>
      <w:pPr>
        <w:pStyle w:val="ListBullet"/>
        <w:spacing w:after="60"/>
      </w:pPr>
      <w:r>
        <w:rPr>
          <w:b/>
        </w:rPr>
        <w:t>Notice of delay (Protocol ¶ 2.6).</w:t>
      </w:r>
      <w:r>
        <w:t xml:space="preserve"> Documentum, SharePoint and Anand-device collections depend on third parties. The June 30 final deadline is at risk, and we should give notice now rather than near the deadline.</w:t>
      </w:r>
    </w:p>
    <w:p>
      <w:pPr>
        <w:pStyle w:val="Heading2"/>
      </w:pPr>
      <w:r>
        <w:t>F. Accuracy of our representations and custodian coverage</w:t>
      </w:r>
    </w:p>
    <w:p>
      <w:pPr>
        <w:pStyle w:val="ListBullet"/>
        <w:spacing w:after="60"/>
      </w:pPr>
      <w:r>
        <w:rPr>
          <w:b/>
        </w:rPr>
        <w:t>Dr. Anand’s representation.</w:t>
      </w:r>
      <w:r>
        <w:t xml:space="preserve"> The Protocol letter (preamble and signature block) and the Coding Guide (§ V.C) state that HRK jointly represents Dr. Anand. Stratton’s memo states that she is represented by Miriam Solano of Wren &amp; Kessler and “is not represented by HRK.” Correct this with the Government promptly. It also affects whether joint-defense protection applies to communications with her, and whether Ridgeline “controls” her personal accounts.</w:t>
      </w:r>
    </w:p>
    <w:p>
      <w:pPr>
        <w:pStyle w:val="ListBullet"/>
        <w:spacing w:after="60"/>
      </w:pPr>
      <w:r>
        <w:rPr>
          <w:b/>
        </w:rPr>
        <w:t>Custodians.</w:t>
      </w:r>
      <w:r>
        <w:t xml:space="preserve"> The Subpoena names four custodians “at a minimum.” Our records identify others with likely unique, responsive material: MedCore’s VP of Regulatory Affairs and QA team (Req. 3, 9); MedCore’s CFO and VP of Sales (Req. 2, 8, 17); Marcus Webb (Req. 9); the MedCore corporate secretary and Ridgeline’s corporate secretary, Elaine Marchetti (Req. 7); and Ridgeline investor-relations and fund-administration personnel (Req. 10, 18). Proposing additions ourselves (Protocol ¶ 1.4) is better than having the Government demand them.</w:t>
      </w:r>
    </w:p>
    <w:p>
      <w:pPr>
        <w:pStyle w:val="ListBullet"/>
        <w:spacing w:after="60"/>
      </w:pPr>
      <w:r>
        <w:rPr>
          <w:b/>
        </w:rPr>
        <w:t>Inconsistent internal facts.</w:t>
      </w:r>
      <w:r>
        <w:t xml:space="preserve"> See Appendix A. Every statement to the Government should be checked against source documents first.</w:t>
      </w:r>
    </w:p>
    <w:p>
      <w:pPr>
        <w:pStyle w:val="Heading1"/>
      </w:pPr>
      <w:r>
        <w:t>VI. Remediation Plan</w:t>
      </w:r>
    </w:p>
    <w:p>
      <w:r>
        <w:t xml:space="preserve">The dates below are keyed to the Tracker’s target second production on </w:t>
      </w:r>
      <w:r>
        <w:rPr>
          <w:b/>
        </w:rPr>
        <w:t>May 15, 2025</w:t>
      </w:r>
      <w:r>
        <w:t xml:space="preserve"> and the </w:t>
      </w:r>
      <w:r>
        <w:rPr>
          <w:b/>
        </w:rPr>
        <w:t>June 30, 2025</w:t>
      </w:r>
      <w:r>
        <w:t xml:space="preserve"> final deadline. They assume Veriton access is granted by about April 25. If it is not, the Documentum and SharePoint items shift and Protocol ¶ 2.6 notice is required.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504"/>
            <w:shd w:val="clear" w:color="auto" w:fill="D9E1F2"/>
          </w:tcPr>
          <w:p>
            <w:r>
              <w:rPr>
                <w:b/>
              </w:rPr>
            </w:r>
            <w:r>
              <w:rPr>
                <w:b/>
                <w:sz w:val="16"/>
              </w:rPr>
              <w:t>#</w:t>
            </w:r>
          </w:p>
        </w:tc>
        <w:tc>
          <w:tcPr>
            <w:tcW w:type="dxa" w:w="5184"/>
            <w:shd w:val="clear" w:color="auto" w:fill="D9E1F2"/>
          </w:tcPr>
          <w:p>
            <w:r>
              <w:rPr>
                <w:b/>
              </w:rPr>
            </w:r>
            <w:r>
              <w:rPr>
                <w:b/>
                <w:sz w:val="16"/>
              </w:rPr>
              <w:t>Action</w:t>
            </w:r>
          </w:p>
        </w:tc>
        <w:tc>
          <w:tcPr>
            <w:tcW w:type="dxa" w:w="1440"/>
            <w:shd w:val="clear" w:color="auto" w:fill="D9E1F2"/>
          </w:tcPr>
          <w:p>
            <w:r>
              <w:rPr>
                <w:b/>
              </w:rPr>
            </w:r>
            <w:r>
              <w:rPr>
                <w:b/>
                <w:sz w:val="16"/>
              </w:rPr>
              <w:t>Requests</w:t>
            </w:r>
          </w:p>
        </w:tc>
        <w:tc>
          <w:tcPr>
            <w:tcW w:type="dxa" w:w="1440"/>
            <w:shd w:val="clear" w:color="auto" w:fill="D9E1F2"/>
          </w:tcPr>
          <w:p>
            <w:r>
              <w:rPr>
                <w:b/>
              </w:rPr>
            </w:r>
            <w:r>
              <w:rPr>
                <w:b/>
                <w:sz w:val="16"/>
              </w:rPr>
              <w:t>Owner</w:t>
            </w:r>
          </w:p>
        </w:tc>
        <w:tc>
          <w:tcPr>
            <w:tcW w:type="dxa" w:w="1080"/>
            <w:shd w:val="clear" w:color="auto" w:fill="D9E1F2"/>
          </w:tcPr>
          <w:p>
            <w:r>
              <w:rPr>
                <w:b/>
              </w:rPr>
            </w:r>
            <w:r>
              <w:rPr>
                <w:b/>
                <w:sz w:val="16"/>
              </w:rPr>
              <w:t>Target</w:t>
            </w:r>
          </w:p>
        </w:tc>
      </w:tr>
      <w:tr>
        <w:tc>
          <w:tcPr>
            <w:tcW w:type="dxa" w:w="9648"/>
            <w:gridSpan w:val="5"/>
            <w:shd w:val="clear" w:color="auto" w:fill="EDEDED"/>
          </w:tcPr>
          <w:p>
            <w:pPr>
              <w:spacing w:after="20"/>
            </w:pPr>
            <w:r/>
            <w:r>
              <w:rPr>
                <w:b/>
                <w:sz w:val="17"/>
              </w:rPr>
              <w:t>Phase 1 — Immediate (by April 15, 2025)</w:t>
            </w:r>
          </w:p>
        </w:tc>
      </w:tr>
      <w:tr>
        <w:tc>
          <w:tcPr>
            <w:tcW w:type="dxa" w:w="504"/>
          </w:tcPr>
          <w:p>
            <w:pPr>
              <w:spacing w:after="20"/>
            </w:pPr>
            <w:r/>
            <w:r>
              <w:rPr>
                <w:sz w:val="16"/>
              </w:rPr>
              <w:t>1</w:t>
            </w:r>
          </w:p>
        </w:tc>
        <w:tc>
          <w:tcPr>
            <w:tcW w:type="dxa" w:w="5184"/>
          </w:tcPr>
          <w:p>
            <w:pPr>
              <w:spacing w:after="20"/>
            </w:pPr>
            <w:r/>
            <w:r>
              <w:rPr>
                <w:sz w:val="16"/>
              </w:rPr>
              <w:t>Partner decision on, and delivery of, the Whitford disclosure (Part V.D). Reconcile the fact conflicts first. Begin conflicts analysis and the independent-counsel recommendation for Mr. Whitford.</w:t>
            </w:r>
          </w:p>
        </w:tc>
        <w:tc>
          <w:tcPr>
            <w:tcW w:type="dxa" w:w="1440"/>
          </w:tcPr>
          <w:p>
            <w:pPr>
              <w:spacing w:after="20"/>
            </w:pPr>
            <w:r/>
            <w:r>
              <w:rPr>
                <w:sz w:val="16"/>
              </w:rPr>
              <w:t>15, all</w:t>
            </w:r>
          </w:p>
        </w:tc>
        <w:tc>
          <w:tcPr>
            <w:tcW w:type="dxa" w:w="1440"/>
          </w:tcPr>
          <w:p>
            <w:pPr>
              <w:spacing w:after="20"/>
            </w:pPr>
            <w:r/>
            <w:r>
              <w:rPr>
                <w:sz w:val="16"/>
              </w:rPr>
              <w:t>M. Halstead</w:t>
            </w:r>
          </w:p>
        </w:tc>
        <w:tc>
          <w:tcPr>
            <w:tcW w:type="dxa" w:w="1080"/>
          </w:tcPr>
          <w:p>
            <w:pPr>
              <w:spacing w:after="20"/>
            </w:pPr>
            <w:r/>
            <w:r>
              <w:rPr>
                <w:sz w:val="16"/>
              </w:rPr>
              <w:t>Apr. 14–15</w:t>
            </w:r>
          </w:p>
        </w:tc>
      </w:tr>
      <w:tr>
        <w:tc>
          <w:tcPr>
            <w:tcW w:type="dxa" w:w="504"/>
          </w:tcPr>
          <w:p>
            <w:pPr>
              <w:spacing w:after="20"/>
            </w:pPr>
            <w:r/>
            <w:r>
              <w:rPr>
                <w:sz w:val="16"/>
              </w:rPr>
              <w:t>2</w:t>
            </w:r>
          </w:p>
        </w:tc>
        <w:tc>
          <w:tcPr>
            <w:tcW w:type="dxa" w:w="5184"/>
          </w:tcPr>
          <w:p>
            <w:pPr>
              <w:spacing w:after="20"/>
            </w:pPr>
            <w:r/>
            <w:r>
              <w:rPr>
                <w:sz w:val="16"/>
              </w:rPr>
              <w:t>Confirm the April 10 transmittal contained our privilege log and no other-matter material. Sequester the six foreign documents and consider RPC 4.4(b) notice.</w:t>
            </w:r>
          </w:p>
        </w:tc>
        <w:tc>
          <w:tcPr>
            <w:tcW w:type="dxa" w:w="1440"/>
          </w:tcPr>
          <w:p>
            <w:pPr>
              <w:spacing w:after="20"/>
            </w:pPr>
            <w:r/>
            <w:r>
              <w:rPr>
                <w:sz w:val="16"/>
              </w:rPr>
              <w:t>All</w:t>
            </w:r>
          </w:p>
        </w:tc>
        <w:tc>
          <w:tcPr>
            <w:tcW w:type="dxa" w:w="1440"/>
          </w:tcPr>
          <w:p>
            <w:pPr>
              <w:spacing w:after="20"/>
            </w:pPr>
            <w:r/>
            <w:r>
              <w:rPr>
                <w:sz w:val="16"/>
              </w:rPr>
              <w:t>J. Tavares / Stratton</w:t>
            </w:r>
          </w:p>
        </w:tc>
        <w:tc>
          <w:tcPr>
            <w:tcW w:type="dxa" w:w="1080"/>
          </w:tcPr>
          <w:p>
            <w:pPr>
              <w:spacing w:after="20"/>
            </w:pPr>
            <w:r/>
            <w:r>
              <w:rPr>
                <w:sz w:val="16"/>
              </w:rPr>
              <w:t>Apr. 14</w:t>
            </w:r>
          </w:p>
        </w:tc>
      </w:tr>
      <w:tr>
        <w:tc>
          <w:tcPr>
            <w:tcW w:type="dxa" w:w="504"/>
          </w:tcPr>
          <w:p>
            <w:pPr>
              <w:spacing w:after="20"/>
            </w:pPr>
            <w:r/>
            <w:r>
              <w:rPr>
                <w:sz w:val="16"/>
              </w:rPr>
              <w:t>3</w:t>
            </w:r>
          </w:p>
        </w:tc>
        <w:tc>
          <w:tcPr>
            <w:tcW w:type="dxa" w:w="5184"/>
          </w:tcPr>
          <w:p>
            <w:pPr>
              <w:spacing w:after="20"/>
            </w:pPr>
            <w:r/>
            <w:r>
              <w:rPr>
                <w:sz w:val="16"/>
              </w:rPr>
              <w:t>Locate and re-code the Webb email (Aug. 14, 2021), its family, Anand’s reply and all forwards. Produce them as a stand-alone supplemental volume with a short cover letter.</w:t>
            </w:r>
          </w:p>
        </w:tc>
        <w:tc>
          <w:tcPr>
            <w:tcW w:type="dxa" w:w="1440"/>
          </w:tcPr>
          <w:p>
            <w:pPr>
              <w:spacing w:after="20"/>
            </w:pPr>
            <w:r/>
            <w:r>
              <w:rPr>
                <w:sz w:val="16"/>
              </w:rPr>
              <w:t>9, 3, 4</w:t>
            </w:r>
          </w:p>
        </w:tc>
        <w:tc>
          <w:tcPr>
            <w:tcW w:type="dxa" w:w="1440"/>
          </w:tcPr>
          <w:p>
            <w:pPr>
              <w:spacing w:after="20"/>
            </w:pPr>
            <w:r/>
            <w:r>
              <w:rPr>
                <w:sz w:val="16"/>
              </w:rPr>
              <w:t>J. Tavares</w:t>
            </w:r>
          </w:p>
        </w:tc>
        <w:tc>
          <w:tcPr>
            <w:tcW w:type="dxa" w:w="1080"/>
          </w:tcPr>
          <w:p>
            <w:pPr>
              <w:spacing w:after="20"/>
            </w:pPr>
            <w:r/>
            <w:r>
              <w:rPr>
                <w:sz w:val="16"/>
              </w:rPr>
              <w:t>Apr. 18</w:t>
            </w:r>
          </w:p>
        </w:tc>
      </w:tr>
      <w:tr>
        <w:tc>
          <w:tcPr>
            <w:tcW w:type="dxa" w:w="504"/>
          </w:tcPr>
          <w:p>
            <w:pPr>
              <w:spacing w:after="20"/>
            </w:pPr>
            <w:r/>
            <w:r>
              <w:rPr>
                <w:sz w:val="16"/>
              </w:rPr>
              <w:t>4</w:t>
            </w:r>
          </w:p>
        </w:tc>
        <w:tc>
          <w:tcPr>
            <w:tcW w:type="dxa" w:w="5184"/>
          </w:tcPr>
          <w:p>
            <w:pPr>
              <w:spacing w:after="20"/>
            </w:pPr>
            <w:r/>
            <w:r>
              <w:rPr>
                <w:sz w:val="16"/>
              </w:rPr>
              <w:t>Authorize Stratton in writing for: Documentum export; MedCore SharePoint; MedCore Regulatory/QA/R&amp;D/Sales/Legal/HR shares; Webb mailbox; Intralinks VDR export; Whitford iCloud Messages-sync and linked-device analysis. Send Veriton (via Preston &amp; Gage) a preservation demand and access request that invokes the SPA records covenant.</w:t>
            </w:r>
          </w:p>
        </w:tc>
        <w:tc>
          <w:tcPr>
            <w:tcW w:type="dxa" w:w="1440"/>
          </w:tcPr>
          <w:p>
            <w:pPr>
              <w:spacing w:after="20"/>
            </w:pPr>
            <w:r/>
            <w:r>
              <w:rPr>
                <w:sz w:val="16"/>
              </w:rPr>
              <w:t>3, 4, 5, 7, 9, 15, 16, 17</w:t>
            </w:r>
          </w:p>
        </w:tc>
        <w:tc>
          <w:tcPr>
            <w:tcW w:type="dxa" w:w="1440"/>
          </w:tcPr>
          <w:p>
            <w:pPr>
              <w:spacing w:after="20"/>
            </w:pPr>
            <w:r/>
            <w:r>
              <w:rPr>
                <w:sz w:val="16"/>
              </w:rPr>
              <w:t>J. Tavares</w:t>
            </w:r>
          </w:p>
        </w:tc>
        <w:tc>
          <w:tcPr>
            <w:tcW w:type="dxa" w:w="1080"/>
          </w:tcPr>
          <w:p>
            <w:pPr>
              <w:spacing w:after="20"/>
            </w:pPr>
            <w:r/>
            <w:r>
              <w:rPr>
                <w:sz w:val="16"/>
              </w:rPr>
              <w:t>Apr. 15</w:t>
            </w:r>
          </w:p>
        </w:tc>
      </w:tr>
      <w:tr>
        <w:tc>
          <w:tcPr>
            <w:tcW w:type="dxa" w:w="504"/>
          </w:tcPr>
          <w:p>
            <w:pPr>
              <w:spacing w:after="20"/>
            </w:pPr>
            <w:r/>
            <w:r>
              <w:rPr>
                <w:sz w:val="16"/>
              </w:rPr>
              <w:t>5</w:t>
            </w:r>
          </w:p>
        </w:tc>
        <w:tc>
          <w:tcPr>
            <w:tcW w:type="dxa" w:w="5184"/>
          </w:tcPr>
          <w:p>
            <w:pPr>
              <w:spacing w:after="20"/>
            </w:pPr>
            <w:r/>
            <w:r>
              <w:rPr>
                <w:sz w:val="16"/>
              </w:rPr>
              <w:t>Letter to Ms. Solano with a firm response date (e.g., Apr. 22) on the narrowed Gmail and phone protocols, and correct the Protocol’s representation that HRK represents Dr. Anand.</w:t>
            </w:r>
          </w:p>
        </w:tc>
        <w:tc>
          <w:tcPr>
            <w:tcW w:type="dxa" w:w="1440"/>
          </w:tcPr>
          <w:p>
            <w:pPr>
              <w:spacing w:after="20"/>
            </w:pPr>
            <w:r/>
            <w:r>
              <w:rPr>
                <w:sz w:val="16"/>
              </w:rPr>
              <w:t>2, 3, 7, 8, 9, 14, 15</w:t>
            </w:r>
          </w:p>
        </w:tc>
        <w:tc>
          <w:tcPr>
            <w:tcW w:type="dxa" w:w="1440"/>
          </w:tcPr>
          <w:p>
            <w:pPr>
              <w:spacing w:after="20"/>
            </w:pPr>
            <w:r/>
            <w:r>
              <w:rPr>
                <w:sz w:val="16"/>
              </w:rPr>
              <w:t>M. Halstead</w:t>
            </w:r>
          </w:p>
        </w:tc>
        <w:tc>
          <w:tcPr>
            <w:tcW w:type="dxa" w:w="1080"/>
          </w:tcPr>
          <w:p>
            <w:pPr>
              <w:spacing w:after="20"/>
            </w:pPr>
            <w:r/>
            <w:r>
              <w:rPr>
                <w:sz w:val="16"/>
              </w:rPr>
              <w:t>Apr. 15</w:t>
            </w:r>
          </w:p>
        </w:tc>
      </w:tr>
      <w:tr>
        <w:tc>
          <w:tcPr>
            <w:tcW w:type="dxa" w:w="504"/>
          </w:tcPr>
          <w:p>
            <w:pPr>
              <w:spacing w:after="20"/>
            </w:pPr>
            <w:r/>
            <w:r>
              <w:rPr>
                <w:sz w:val="16"/>
              </w:rPr>
              <w:t>6</w:t>
            </w:r>
          </w:p>
        </w:tc>
        <w:tc>
          <w:tcPr>
            <w:tcW w:type="dxa" w:w="5184"/>
          </w:tcPr>
          <w:p>
            <w:pPr>
              <w:spacing w:after="20"/>
            </w:pPr>
            <w:r/>
            <w:r>
              <w:rPr>
                <w:sz w:val="16"/>
              </w:rPr>
              <w:t>Confirm auto-delete and disappearing messages are disabled on every custodian device. Resolve the Krell device question (iPhone vs. Samsung) and image any further device.</w:t>
            </w:r>
          </w:p>
        </w:tc>
        <w:tc>
          <w:tcPr>
            <w:tcW w:type="dxa" w:w="1440"/>
          </w:tcPr>
          <w:p>
            <w:pPr>
              <w:spacing w:after="20"/>
            </w:pPr>
            <w:r/>
            <w:r>
              <w:rPr>
                <w:sz w:val="16"/>
              </w:rPr>
              <w:t>15</w:t>
            </w:r>
          </w:p>
        </w:tc>
        <w:tc>
          <w:tcPr>
            <w:tcW w:type="dxa" w:w="1440"/>
          </w:tcPr>
          <w:p>
            <w:pPr>
              <w:spacing w:after="20"/>
            </w:pPr>
            <w:r/>
            <w:r>
              <w:rPr>
                <w:sz w:val="16"/>
              </w:rPr>
              <w:t>Stratton</w:t>
            </w:r>
          </w:p>
        </w:tc>
        <w:tc>
          <w:tcPr>
            <w:tcW w:type="dxa" w:w="1080"/>
          </w:tcPr>
          <w:p>
            <w:pPr>
              <w:spacing w:after="20"/>
            </w:pPr>
            <w:r/>
            <w:r>
              <w:rPr>
                <w:sz w:val="16"/>
              </w:rPr>
              <w:t>Apr. 16</w:t>
            </w:r>
          </w:p>
        </w:tc>
      </w:tr>
      <w:tr>
        <w:tc>
          <w:tcPr>
            <w:tcW w:type="dxa" w:w="9648"/>
            <w:gridSpan w:val="5"/>
            <w:shd w:val="clear" w:color="auto" w:fill="EDEDED"/>
          </w:tcPr>
          <w:p>
            <w:pPr>
              <w:spacing w:after="20"/>
            </w:pPr>
            <w:r/>
            <w:r>
              <w:rPr>
                <w:b/>
                <w:sz w:val="17"/>
              </w:rPr>
              <w:t>Phase 2 — Re-review and supplemental collection (April 15 – May 9)</w:t>
            </w:r>
          </w:p>
        </w:tc>
      </w:tr>
      <w:tr>
        <w:tc>
          <w:tcPr>
            <w:tcW w:type="dxa" w:w="504"/>
          </w:tcPr>
          <w:p>
            <w:pPr>
              <w:spacing w:after="20"/>
            </w:pPr>
            <w:r/>
            <w:r>
              <w:rPr>
                <w:sz w:val="16"/>
              </w:rPr>
              <w:t>7</w:t>
            </w:r>
          </w:p>
        </w:tc>
        <w:tc>
          <w:tcPr>
            <w:tcW w:type="dxa" w:w="5184"/>
          </w:tcPr>
          <w:p>
            <w:pPr>
              <w:spacing w:after="20"/>
            </w:pPr>
            <w:r/>
            <w:r>
              <w:rPr>
                <w:sz w:val="16"/>
              </w:rPr>
              <w:t>Issue Coding Guide v2.0: Request 9 conformed to the Subpoena text; ACS “when in doubt” default replaced with a predominant-purpose standard; Request 16 scope clarified; Phase 2 resequenced (3, 9, 15, 2, 11 first); factual errors corrected. Retrain reviewers.</w:t>
            </w:r>
          </w:p>
        </w:tc>
        <w:tc>
          <w:tcPr>
            <w:tcW w:type="dxa" w:w="1440"/>
          </w:tcPr>
          <w:p>
            <w:pPr>
              <w:spacing w:after="20"/>
            </w:pPr>
            <w:r/>
            <w:r>
              <w:rPr>
                <w:sz w:val="16"/>
              </w:rPr>
              <w:t>9, 11, 16</w:t>
            </w:r>
          </w:p>
        </w:tc>
        <w:tc>
          <w:tcPr>
            <w:tcW w:type="dxa" w:w="1440"/>
          </w:tcPr>
          <w:p>
            <w:pPr>
              <w:spacing w:after="20"/>
            </w:pPr>
            <w:r/>
            <w:r>
              <w:rPr>
                <w:sz w:val="16"/>
              </w:rPr>
              <w:t>J. Tavares</w:t>
            </w:r>
          </w:p>
        </w:tc>
        <w:tc>
          <w:tcPr>
            <w:tcW w:type="dxa" w:w="1080"/>
          </w:tcPr>
          <w:p>
            <w:pPr>
              <w:spacing w:after="20"/>
            </w:pPr>
            <w:r/>
            <w:r>
              <w:rPr>
                <w:sz w:val="16"/>
              </w:rPr>
              <w:t>Apr. 17</w:t>
            </w:r>
          </w:p>
        </w:tc>
      </w:tr>
      <w:tr>
        <w:tc>
          <w:tcPr>
            <w:tcW w:type="dxa" w:w="504"/>
          </w:tcPr>
          <w:p>
            <w:pPr>
              <w:spacing w:after="20"/>
            </w:pPr>
            <w:r/>
            <w:r>
              <w:rPr>
                <w:sz w:val="16"/>
              </w:rPr>
              <w:t>8</w:t>
            </w:r>
          </w:p>
        </w:tc>
        <w:tc>
          <w:tcPr>
            <w:tcW w:type="dxa" w:w="5184"/>
          </w:tcPr>
          <w:p>
            <w:pPr>
              <w:spacing w:after="20"/>
            </w:pPr>
            <w:r/>
            <w:r>
              <w:rPr>
                <w:sz w:val="16"/>
              </w:rPr>
              <w:t>Request 9 re-review: every document coded non-responsive under § III.I, all § III.I escalations, and targeted search hits (Webb, accuracy, validation, sensitivity, specificity, false positive, complaint, concern, hotline, CAPA).</w:t>
            </w:r>
          </w:p>
        </w:tc>
        <w:tc>
          <w:tcPr>
            <w:tcW w:type="dxa" w:w="1440"/>
          </w:tcPr>
          <w:p>
            <w:pPr>
              <w:spacing w:after="20"/>
            </w:pPr>
            <w:r/>
            <w:r>
              <w:rPr>
                <w:sz w:val="16"/>
              </w:rPr>
              <w:t>9</w:t>
            </w:r>
          </w:p>
        </w:tc>
        <w:tc>
          <w:tcPr>
            <w:tcW w:type="dxa" w:w="1440"/>
          </w:tcPr>
          <w:p>
            <w:pPr>
              <w:spacing w:after="20"/>
            </w:pPr>
            <w:r/>
            <w:r>
              <w:rPr>
                <w:sz w:val="16"/>
              </w:rPr>
              <w:t>Review team</w:t>
            </w:r>
          </w:p>
        </w:tc>
        <w:tc>
          <w:tcPr>
            <w:tcW w:type="dxa" w:w="1080"/>
          </w:tcPr>
          <w:p>
            <w:pPr>
              <w:spacing w:after="20"/>
            </w:pPr>
            <w:r/>
            <w:r>
              <w:rPr>
                <w:sz w:val="16"/>
              </w:rPr>
              <w:t>May 2</w:t>
            </w:r>
          </w:p>
        </w:tc>
      </w:tr>
      <w:tr>
        <w:tc>
          <w:tcPr>
            <w:tcW w:type="dxa" w:w="504"/>
          </w:tcPr>
          <w:p>
            <w:pPr>
              <w:spacing w:after="20"/>
            </w:pPr>
            <w:r/>
            <w:r>
              <w:rPr>
                <w:sz w:val="16"/>
              </w:rPr>
              <w:t>9</w:t>
            </w:r>
          </w:p>
        </w:tc>
        <w:tc>
          <w:tcPr>
            <w:tcW w:type="dxa" w:w="5184"/>
          </w:tcPr>
          <w:p>
            <w:pPr>
              <w:spacing w:after="20"/>
            </w:pPr>
            <w:r/>
            <w:r>
              <w:rPr>
                <w:sz w:val="16"/>
              </w:rPr>
              <w:t>Request 16 targeted collection and search: retention and records policies (Ridgeline and MedCore, 2019–2023), compliance and QA reviews, internal audits, any 2022–23 holds, R:\Legal\MedCore. Decide how to treat the January 2025 hold notices.</w:t>
            </w:r>
          </w:p>
        </w:tc>
        <w:tc>
          <w:tcPr>
            <w:tcW w:type="dxa" w:w="1440"/>
          </w:tcPr>
          <w:p>
            <w:pPr>
              <w:spacing w:after="20"/>
            </w:pPr>
            <w:r/>
            <w:r>
              <w:rPr>
                <w:sz w:val="16"/>
              </w:rPr>
              <w:t>16</w:t>
            </w:r>
          </w:p>
        </w:tc>
        <w:tc>
          <w:tcPr>
            <w:tcW w:type="dxa" w:w="1440"/>
          </w:tcPr>
          <w:p>
            <w:pPr>
              <w:spacing w:after="20"/>
            </w:pPr>
            <w:r/>
            <w:r>
              <w:rPr>
                <w:sz w:val="16"/>
              </w:rPr>
              <w:t>J. Tavares</w:t>
            </w:r>
          </w:p>
        </w:tc>
        <w:tc>
          <w:tcPr>
            <w:tcW w:type="dxa" w:w="1080"/>
          </w:tcPr>
          <w:p>
            <w:pPr>
              <w:spacing w:after="20"/>
            </w:pPr>
            <w:r/>
            <w:r>
              <w:rPr>
                <w:sz w:val="16"/>
              </w:rPr>
              <w:t>May 2</w:t>
            </w:r>
          </w:p>
        </w:tc>
      </w:tr>
      <w:tr>
        <w:tc>
          <w:tcPr>
            <w:tcW w:type="dxa" w:w="504"/>
          </w:tcPr>
          <w:p>
            <w:pPr>
              <w:spacing w:after="20"/>
            </w:pPr>
            <w:r/>
            <w:r>
              <w:rPr>
                <w:sz w:val="16"/>
              </w:rPr>
              <w:t>10</w:t>
            </w:r>
          </w:p>
        </w:tc>
        <w:tc>
          <w:tcPr>
            <w:tcW w:type="dxa" w:w="5184"/>
          </w:tcPr>
          <w:p>
            <w:pPr>
              <w:spacing w:after="20"/>
            </w:pPr>
            <w:r/>
            <w:r>
              <w:rPr>
                <w:sz w:val="16"/>
              </w:rPr>
              <w:t>Request 11 and privilege re-review: thread-level ACS review (multi-party threads first); Pennfield, LP-counsel “JDP” and Thorngate designations; pre-2025 work-product claims; “Other/Unclassified” bucket; crime-fraud screen by a partner.</w:t>
            </w:r>
          </w:p>
        </w:tc>
        <w:tc>
          <w:tcPr>
            <w:tcW w:type="dxa" w:w="1440"/>
          </w:tcPr>
          <w:p>
            <w:pPr>
              <w:spacing w:after="20"/>
            </w:pPr>
            <w:r/>
            <w:r>
              <w:rPr>
                <w:sz w:val="16"/>
              </w:rPr>
              <w:t>11, 2, 4, 5, 8, 10, 18</w:t>
            </w:r>
          </w:p>
        </w:tc>
        <w:tc>
          <w:tcPr>
            <w:tcW w:type="dxa" w:w="1440"/>
          </w:tcPr>
          <w:p>
            <w:pPr>
              <w:spacing w:after="20"/>
            </w:pPr>
            <w:r/>
            <w:r>
              <w:rPr>
                <w:sz w:val="16"/>
              </w:rPr>
              <w:t>Senior associates / M. Halstead</w:t>
            </w:r>
          </w:p>
        </w:tc>
        <w:tc>
          <w:tcPr>
            <w:tcW w:type="dxa" w:w="1080"/>
          </w:tcPr>
          <w:p>
            <w:pPr>
              <w:spacing w:after="20"/>
            </w:pPr>
            <w:r/>
            <w:r>
              <w:rPr>
                <w:sz w:val="16"/>
              </w:rPr>
              <w:t>May 9</w:t>
            </w:r>
          </w:p>
        </w:tc>
      </w:tr>
      <w:tr>
        <w:tc>
          <w:tcPr>
            <w:tcW w:type="dxa" w:w="504"/>
          </w:tcPr>
          <w:p>
            <w:pPr>
              <w:spacing w:after="20"/>
            </w:pPr>
            <w:r/>
            <w:r>
              <w:rPr>
                <w:sz w:val="16"/>
              </w:rPr>
              <w:t>11</w:t>
            </w:r>
          </w:p>
        </w:tc>
        <w:tc>
          <w:tcPr>
            <w:tcW w:type="dxa" w:w="5184"/>
          </w:tcPr>
          <w:p>
            <w:pPr>
              <w:spacing w:after="20"/>
            </w:pPr>
            <w:r/>
            <w:r>
              <w:rPr>
                <w:sz w:val="16"/>
              </w:rPr>
              <w:t>Complete the privilege log for all 2,385 unlogged documents and serve it as a supplemental log, without waiting for the second production. Fix the Request 11 and Request 5 count discrepancies.</w:t>
            </w:r>
          </w:p>
        </w:tc>
        <w:tc>
          <w:tcPr>
            <w:tcW w:type="dxa" w:w="1440"/>
          </w:tcPr>
          <w:p>
            <w:pPr>
              <w:spacing w:after="20"/>
            </w:pPr>
            <w:r/>
            <w:r>
              <w:rPr>
                <w:sz w:val="16"/>
              </w:rPr>
              <w:t>All</w:t>
            </w:r>
          </w:p>
        </w:tc>
        <w:tc>
          <w:tcPr>
            <w:tcW w:type="dxa" w:w="1440"/>
          </w:tcPr>
          <w:p>
            <w:pPr>
              <w:spacing w:after="20"/>
            </w:pPr>
            <w:r/>
            <w:r>
              <w:rPr>
                <w:sz w:val="16"/>
              </w:rPr>
              <w:t>Logging team</w:t>
            </w:r>
          </w:p>
        </w:tc>
        <w:tc>
          <w:tcPr>
            <w:tcW w:type="dxa" w:w="1080"/>
          </w:tcPr>
          <w:p>
            <w:pPr>
              <w:spacing w:after="20"/>
            </w:pPr>
            <w:r/>
            <w:r>
              <w:rPr>
                <w:sz w:val="16"/>
              </w:rPr>
              <w:t>May 2</w:t>
            </w:r>
          </w:p>
        </w:tc>
      </w:tr>
      <w:tr>
        <w:tc>
          <w:tcPr>
            <w:tcW w:type="dxa" w:w="504"/>
          </w:tcPr>
          <w:p>
            <w:pPr>
              <w:spacing w:after="20"/>
            </w:pPr>
            <w:r/>
            <w:r>
              <w:rPr>
                <w:sz w:val="16"/>
              </w:rPr>
              <w:t>12</w:t>
            </w:r>
          </w:p>
        </w:tc>
        <w:tc>
          <w:tcPr>
            <w:tcW w:type="dxa" w:w="5184"/>
          </w:tcPr>
          <w:p>
            <w:pPr>
              <w:spacing w:after="20"/>
            </w:pPr>
            <w:r/>
            <w:r>
              <w:rPr>
                <w:sz w:val="16"/>
              </w:rPr>
              <w:t>Search the current collection for Request 3 terms (application numbers, VeriScan, CoreAssay, 510(k), AI request, deficiency, predicate, substantial equivalence), then review and produce Documentum material as it lands.</w:t>
            </w:r>
          </w:p>
        </w:tc>
        <w:tc>
          <w:tcPr>
            <w:tcW w:type="dxa" w:w="1440"/>
          </w:tcPr>
          <w:p>
            <w:pPr>
              <w:spacing w:after="20"/>
            </w:pPr>
            <w:r/>
            <w:r>
              <w:rPr>
                <w:sz w:val="16"/>
              </w:rPr>
              <w:t>3</w:t>
            </w:r>
          </w:p>
        </w:tc>
        <w:tc>
          <w:tcPr>
            <w:tcW w:type="dxa" w:w="1440"/>
          </w:tcPr>
          <w:p>
            <w:pPr>
              <w:spacing w:after="20"/>
            </w:pPr>
            <w:r/>
            <w:r>
              <w:rPr>
                <w:sz w:val="16"/>
              </w:rPr>
              <w:t>Review team</w:t>
            </w:r>
          </w:p>
        </w:tc>
        <w:tc>
          <w:tcPr>
            <w:tcW w:type="dxa" w:w="1080"/>
          </w:tcPr>
          <w:p>
            <w:pPr>
              <w:spacing w:after="20"/>
            </w:pPr>
            <w:r/>
            <w:r>
              <w:rPr>
                <w:sz w:val="16"/>
              </w:rPr>
              <w:t>May 9 (rolling)</w:t>
            </w:r>
          </w:p>
        </w:tc>
      </w:tr>
      <w:tr>
        <w:tc>
          <w:tcPr>
            <w:tcW w:type="dxa" w:w="504"/>
          </w:tcPr>
          <w:p>
            <w:pPr>
              <w:spacing w:after="20"/>
            </w:pPr>
            <w:r/>
            <w:r>
              <w:rPr>
                <w:sz w:val="16"/>
              </w:rPr>
              <w:t>13</w:t>
            </w:r>
          </w:p>
        </w:tc>
        <w:tc>
          <w:tcPr>
            <w:tcW w:type="dxa" w:w="5184"/>
          </w:tcPr>
          <w:p>
            <w:pPr>
              <w:spacing w:after="20"/>
            </w:pPr>
            <w:r/>
            <w:r>
              <w:rPr>
                <w:sz w:val="16"/>
              </w:rPr>
              <w:t>Request 7 meeting index (Apr. 2020–Nov. 2022 quarterly plus ad hoc) reconciled to SharePoint. Re-review Whitford and Krell files for board materials.</w:t>
            </w:r>
          </w:p>
        </w:tc>
        <w:tc>
          <w:tcPr>
            <w:tcW w:type="dxa" w:w="1440"/>
          </w:tcPr>
          <w:p>
            <w:pPr>
              <w:spacing w:after="20"/>
            </w:pPr>
            <w:r/>
            <w:r>
              <w:rPr>
                <w:sz w:val="16"/>
              </w:rPr>
              <w:t>7</w:t>
            </w:r>
          </w:p>
        </w:tc>
        <w:tc>
          <w:tcPr>
            <w:tcW w:type="dxa" w:w="1440"/>
          </w:tcPr>
          <w:p>
            <w:pPr>
              <w:spacing w:after="20"/>
            </w:pPr>
            <w:r/>
            <w:r>
              <w:rPr>
                <w:sz w:val="16"/>
              </w:rPr>
              <w:t>Review team</w:t>
            </w:r>
          </w:p>
        </w:tc>
        <w:tc>
          <w:tcPr>
            <w:tcW w:type="dxa" w:w="1080"/>
          </w:tcPr>
          <w:p>
            <w:pPr>
              <w:spacing w:after="20"/>
            </w:pPr>
            <w:r/>
            <w:r>
              <w:rPr>
                <w:sz w:val="16"/>
              </w:rPr>
              <w:t>May 9</w:t>
            </w:r>
          </w:p>
        </w:tc>
      </w:tr>
      <w:tr>
        <w:tc>
          <w:tcPr>
            <w:tcW w:type="dxa" w:w="504"/>
          </w:tcPr>
          <w:p>
            <w:pPr>
              <w:spacing w:after="20"/>
            </w:pPr>
            <w:r/>
            <w:r>
              <w:rPr>
                <w:sz w:val="16"/>
              </w:rPr>
              <w:t>14</w:t>
            </w:r>
          </w:p>
        </w:tc>
        <w:tc>
          <w:tcPr>
            <w:tcW w:type="dxa" w:w="5184"/>
          </w:tcPr>
          <w:p>
            <w:pPr>
              <w:spacing w:after="20"/>
            </w:pPr>
            <w:r/>
            <w:r>
              <w:rPr>
                <w:sz w:val="16"/>
              </w:rPr>
              <w:t>Instruction E requests to Cromdale (engagement file, bankers’ WhatsApp), ACS (client file), Pennfield, Thorngate and the QoE provider.</w:t>
            </w:r>
          </w:p>
        </w:tc>
        <w:tc>
          <w:tcPr>
            <w:tcW w:type="dxa" w:w="1440"/>
          </w:tcPr>
          <w:p>
            <w:pPr>
              <w:spacing w:after="20"/>
            </w:pPr>
            <w:r/>
            <w:r>
              <w:rPr>
                <w:sz w:val="16"/>
              </w:rPr>
              <w:t>1, 4, 6, 8, 11, 12, 15, 18</w:t>
            </w:r>
          </w:p>
        </w:tc>
        <w:tc>
          <w:tcPr>
            <w:tcW w:type="dxa" w:w="1440"/>
          </w:tcPr>
          <w:p>
            <w:pPr>
              <w:spacing w:after="20"/>
            </w:pPr>
            <w:r/>
            <w:r>
              <w:rPr>
                <w:sz w:val="16"/>
              </w:rPr>
              <w:t>J. Tavares</w:t>
            </w:r>
          </w:p>
        </w:tc>
        <w:tc>
          <w:tcPr>
            <w:tcW w:type="dxa" w:w="1080"/>
          </w:tcPr>
          <w:p>
            <w:pPr>
              <w:spacing w:after="20"/>
            </w:pPr>
            <w:r/>
            <w:r>
              <w:rPr>
                <w:sz w:val="16"/>
              </w:rPr>
              <w:t>Apr. 22</w:t>
            </w:r>
          </w:p>
        </w:tc>
      </w:tr>
      <w:tr>
        <w:tc>
          <w:tcPr>
            <w:tcW w:type="dxa" w:w="504"/>
          </w:tcPr>
          <w:p>
            <w:pPr>
              <w:spacing w:after="20"/>
            </w:pPr>
            <w:r/>
            <w:r>
              <w:rPr>
                <w:sz w:val="16"/>
              </w:rPr>
              <w:t>15</w:t>
            </w:r>
          </w:p>
        </w:tc>
        <w:tc>
          <w:tcPr>
            <w:tcW w:type="dxa" w:w="5184"/>
          </w:tcPr>
          <w:p>
            <w:pPr>
              <w:spacing w:after="20"/>
            </w:pPr>
            <w:r/>
            <w:r>
              <w:rPr>
                <w:sz w:val="16"/>
              </w:rPr>
              <w:t>Load-file and Bates audit: page-level numbering, six-digit format, All-Custodians field, category-designation field, natives, family integrity. Rebuild the Tracker’s category and Bates mapping from the load file.</w:t>
            </w:r>
          </w:p>
        </w:tc>
        <w:tc>
          <w:tcPr>
            <w:tcW w:type="dxa" w:w="1440"/>
          </w:tcPr>
          <w:p>
            <w:pPr>
              <w:spacing w:after="20"/>
            </w:pPr>
            <w:r/>
            <w:r>
              <w:rPr>
                <w:sz w:val="16"/>
              </w:rPr>
              <w:t>All</w:t>
            </w:r>
          </w:p>
        </w:tc>
        <w:tc>
          <w:tcPr>
            <w:tcW w:type="dxa" w:w="1440"/>
          </w:tcPr>
          <w:p>
            <w:pPr>
              <w:spacing w:after="20"/>
            </w:pPr>
            <w:r/>
            <w:r>
              <w:rPr>
                <w:sz w:val="16"/>
              </w:rPr>
              <w:t>Stratton / J. Tavares</w:t>
            </w:r>
          </w:p>
        </w:tc>
        <w:tc>
          <w:tcPr>
            <w:tcW w:type="dxa" w:w="1080"/>
          </w:tcPr>
          <w:p>
            <w:pPr>
              <w:spacing w:after="20"/>
            </w:pPr>
            <w:r/>
            <w:r>
              <w:rPr>
                <w:sz w:val="16"/>
              </w:rPr>
              <w:t>Apr. 25</w:t>
            </w:r>
          </w:p>
        </w:tc>
      </w:tr>
      <w:tr>
        <w:tc>
          <w:tcPr>
            <w:tcW w:type="dxa" w:w="504"/>
          </w:tcPr>
          <w:p>
            <w:pPr>
              <w:spacing w:after="20"/>
            </w:pPr>
            <w:r/>
            <w:r>
              <w:rPr>
                <w:sz w:val="16"/>
              </w:rPr>
              <w:t>16</w:t>
            </w:r>
          </w:p>
        </w:tc>
        <w:tc>
          <w:tcPr>
            <w:tcW w:type="dxa" w:w="5184"/>
          </w:tcPr>
          <w:p>
            <w:pPr>
              <w:spacing w:after="20"/>
            </w:pPr>
            <w:r/>
            <w:r>
              <w:rPr>
                <w:sz w:val="16"/>
              </w:rPr>
              <w:t>Non-custodial source check (14,251 items): confirm review and tagging, and attribute production correctly.</w:t>
            </w:r>
          </w:p>
        </w:tc>
        <w:tc>
          <w:tcPr>
            <w:tcW w:type="dxa" w:w="1440"/>
          </w:tcPr>
          <w:p>
            <w:pPr>
              <w:spacing w:after="20"/>
            </w:pPr>
            <w:r/>
            <w:r>
              <w:rPr>
                <w:sz w:val="16"/>
              </w:rPr>
              <w:t>10, 11, 16, 1</w:t>
            </w:r>
          </w:p>
        </w:tc>
        <w:tc>
          <w:tcPr>
            <w:tcW w:type="dxa" w:w="1440"/>
          </w:tcPr>
          <w:p>
            <w:pPr>
              <w:spacing w:after="20"/>
            </w:pPr>
            <w:r/>
            <w:r>
              <w:rPr>
                <w:sz w:val="16"/>
              </w:rPr>
              <w:t>Stratton</w:t>
            </w:r>
          </w:p>
        </w:tc>
        <w:tc>
          <w:tcPr>
            <w:tcW w:type="dxa" w:w="1080"/>
          </w:tcPr>
          <w:p>
            <w:pPr>
              <w:spacing w:after="20"/>
            </w:pPr>
            <w:r/>
            <w:r>
              <w:rPr>
                <w:sz w:val="16"/>
              </w:rPr>
              <w:t>Apr. 25</w:t>
            </w:r>
          </w:p>
        </w:tc>
      </w:tr>
      <w:tr>
        <w:tc>
          <w:tcPr>
            <w:tcW w:type="dxa" w:w="9648"/>
            <w:gridSpan w:val="5"/>
            <w:shd w:val="clear" w:color="auto" w:fill="EDEDED"/>
          </w:tcPr>
          <w:p>
            <w:pPr>
              <w:spacing w:after="20"/>
            </w:pPr>
            <w:r/>
            <w:r>
              <w:rPr>
                <w:b/>
                <w:sz w:val="17"/>
              </w:rPr>
              <w:t>Phase 3 — Second production (target May 15) through final (June 30)</w:t>
            </w:r>
          </w:p>
        </w:tc>
      </w:tr>
      <w:tr>
        <w:tc>
          <w:tcPr>
            <w:tcW w:type="dxa" w:w="504"/>
          </w:tcPr>
          <w:p>
            <w:pPr>
              <w:spacing w:after="20"/>
            </w:pPr>
            <w:r/>
            <w:r>
              <w:rPr>
                <w:sz w:val="16"/>
              </w:rPr>
              <w:t>17</w:t>
            </w:r>
          </w:p>
        </w:tc>
        <w:tc>
          <w:tcPr>
            <w:tcW w:type="dxa" w:w="5184"/>
          </w:tcPr>
          <w:p>
            <w:pPr>
              <w:spacing w:after="20"/>
            </w:pPr>
            <w:r/>
            <w:r>
              <w:rPr>
                <w:sz w:val="16"/>
              </w:rPr>
              <w:t>Second production: the 3,569 QC documents; Request 9, 11 and 16 re-review output; Request 3 and Request 7 supplemental collections; Intralinks; a complete privilege log for that volume; and a cover letter explaining Bates conventions and multi-tagging.</w:t>
            </w:r>
          </w:p>
        </w:tc>
        <w:tc>
          <w:tcPr>
            <w:tcW w:type="dxa" w:w="1440"/>
          </w:tcPr>
          <w:p>
            <w:pPr>
              <w:spacing w:after="20"/>
            </w:pPr>
            <w:r/>
            <w:r>
              <w:rPr>
                <w:sz w:val="16"/>
              </w:rPr>
              <w:t>All</w:t>
            </w:r>
          </w:p>
        </w:tc>
        <w:tc>
          <w:tcPr>
            <w:tcW w:type="dxa" w:w="1440"/>
          </w:tcPr>
          <w:p>
            <w:pPr>
              <w:spacing w:after="20"/>
            </w:pPr>
            <w:r/>
            <w:r>
              <w:rPr>
                <w:sz w:val="16"/>
              </w:rPr>
              <w:t>J. Tavares</w:t>
            </w:r>
          </w:p>
        </w:tc>
        <w:tc>
          <w:tcPr>
            <w:tcW w:type="dxa" w:w="1080"/>
          </w:tcPr>
          <w:p>
            <w:pPr>
              <w:spacing w:after="20"/>
            </w:pPr>
            <w:r/>
            <w:r>
              <w:rPr>
                <w:sz w:val="16"/>
              </w:rPr>
              <w:t>May 15</w:t>
            </w:r>
          </w:p>
        </w:tc>
      </w:tr>
      <w:tr>
        <w:tc>
          <w:tcPr>
            <w:tcW w:type="dxa" w:w="504"/>
          </w:tcPr>
          <w:p>
            <w:pPr>
              <w:spacing w:after="20"/>
            </w:pPr>
            <w:r/>
            <w:r>
              <w:rPr>
                <w:sz w:val="16"/>
              </w:rPr>
              <w:t>18</w:t>
            </w:r>
          </w:p>
        </w:tc>
        <w:tc>
          <w:tcPr>
            <w:tcW w:type="dxa" w:w="5184"/>
          </w:tcPr>
          <w:p>
            <w:pPr>
              <w:spacing w:after="20"/>
            </w:pPr>
            <w:r/>
            <w:r>
              <w:rPr>
                <w:sz w:val="16"/>
              </w:rPr>
              <w:t>Propose additional custodians (MedCore regulatory/QA, CFO, VP Sales, Webb, corporate secretaries, Ridgeline IR) under Protocol ¶ 1.4.</w:t>
            </w:r>
          </w:p>
        </w:tc>
        <w:tc>
          <w:tcPr>
            <w:tcW w:type="dxa" w:w="1440"/>
          </w:tcPr>
          <w:p>
            <w:pPr>
              <w:spacing w:after="20"/>
            </w:pPr>
            <w:r/>
            <w:r>
              <w:rPr>
                <w:sz w:val="16"/>
              </w:rPr>
              <w:t>2, 3, 7, 9, 10, 17</w:t>
            </w:r>
          </w:p>
        </w:tc>
        <w:tc>
          <w:tcPr>
            <w:tcW w:type="dxa" w:w="1440"/>
          </w:tcPr>
          <w:p>
            <w:pPr>
              <w:spacing w:after="20"/>
            </w:pPr>
            <w:r/>
            <w:r>
              <w:rPr>
                <w:sz w:val="16"/>
              </w:rPr>
              <w:t>M. Halstead</w:t>
            </w:r>
          </w:p>
        </w:tc>
        <w:tc>
          <w:tcPr>
            <w:tcW w:type="dxa" w:w="1080"/>
          </w:tcPr>
          <w:p>
            <w:pPr>
              <w:spacing w:after="20"/>
            </w:pPr>
            <w:r/>
            <w:r>
              <w:rPr>
                <w:sz w:val="16"/>
              </w:rPr>
              <w:t>May 1</w:t>
            </w:r>
          </w:p>
        </w:tc>
      </w:tr>
      <w:tr>
        <w:tc>
          <w:tcPr>
            <w:tcW w:type="dxa" w:w="504"/>
          </w:tcPr>
          <w:p>
            <w:pPr>
              <w:spacing w:after="20"/>
            </w:pPr>
            <w:r/>
            <w:r>
              <w:rPr>
                <w:sz w:val="16"/>
              </w:rPr>
              <w:t>19</w:t>
            </w:r>
          </w:p>
        </w:tc>
        <w:tc>
          <w:tcPr>
            <w:tcW w:type="dxa" w:w="5184"/>
          </w:tcPr>
          <w:p>
            <w:pPr>
              <w:spacing w:after="20"/>
            </w:pPr>
            <w:r/>
            <w:r>
              <w:rPr>
                <w:sz w:val="16"/>
              </w:rPr>
              <w:t>Anand, Veriton and Cromdale follow-through. If consent or access is still lacking, serve written Instruction E notice and Protocol ¶ 2.6 notice of delay.</w:t>
            </w:r>
          </w:p>
        </w:tc>
        <w:tc>
          <w:tcPr>
            <w:tcW w:type="dxa" w:w="1440"/>
          </w:tcPr>
          <w:p>
            <w:pPr>
              <w:spacing w:after="20"/>
            </w:pPr>
            <w:r/>
            <w:r>
              <w:rPr>
                <w:sz w:val="16"/>
              </w:rPr>
              <w:t>Multiple</w:t>
            </w:r>
          </w:p>
        </w:tc>
        <w:tc>
          <w:tcPr>
            <w:tcW w:type="dxa" w:w="1440"/>
          </w:tcPr>
          <w:p>
            <w:pPr>
              <w:spacing w:after="20"/>
            </w:pPr>
            <w:r/>
            <w:r>
              <w:rPr>
                <w:sz w:val="16"/>
              </w:rPr>
              <w:t>M. Halstead</w:t>
            </w:r>
          </w:p>
        </w:tc>
        <w:tc>
          <w:tcPr>
            <w:tcW w:type="dxa" w:w="1080"/>
          </w:tcPr>
          <w:p>
            <w:pPr>
              <w:spacing w:after="20"/>
            </w:pPr>
            <w:r/>
            <w:r>
              <w:rPr>
                <w:sz w:val="16"/>
              </w:rPr>
              <w:t>May 9</w:t>
            </w:r>
          </w:p>
        </w:tc>
      </w:tr>
      <w:tr>
        <w:tc>
          <w:tcPr>
            <w:tcW w:type="dxa" w:w="504"/>
          </w:tcPr>
          <w:p>
            <w:pPr>
              <w:spacing w:after="20"/>
            </w:pPr>
            <w:r/>
            <w:r>
              <w:rPr>
                <w:sz w:val="16"/>
              </w:rPr>
              <w:t>20</w:t>
            </w:r>
          </w:p>
        </w:tc>
        <w:tc>
          <w:tcPr>
            <w:tcW w:type="dxa" w:w="5184"/>
          </w:tcPr>
          <w:p>
            <w:pPr>
              <w:spacing w:after="20"/>
            </w:pPr>
            <w:r/>
            <w:r>
              <w:rPr>
                <w:sz w:val="16"/>
              </w:rPr>
              <w:t>Final production, then a compliance certification (Instr. G) that expressly lists any remaining exceptions (e.g., unrecoverable Whitford data, third-party materials not obtained).</w:t>
            </w:r>
          </w:p>
        </w:tc>
        <w:tc>
          <w:tcPr>
            <w:tcW w:type="dxa" w:w="1440"/>
          </w:tcPr>
          <w:p>
            <w:pPr>
              <w:spacing w:after="20"/>
            </w:pPr>
            <w:r/>
            <w:r>
              <w:rPr>
                <w:sz w:val="16"/>
              </w:rPr>
              <w:t>All</w:t>
            </w:r>
          </w:p>
        </w:tc>
        <w:tc>
          <w:tcPr>
            <w:tcW w:type="dxa" w:w="1440"/>
          </w:tcPr>
          <w:p>
            <w:pPr>
              <w:spacing w:after="20"/>
            </w:pPr>
            <w:r/>
            <w:r>
              <w:rPr>
                <w:sz w:val="16"/>
              </w:rPr>
              <w:t>M. Halstead</w:t>
            </w:r>
          </w:p>
        </w:tc>
        <w:tc>
          <w:tcPr>
            <w:tcW w:type="dxa" w:w="1080"/>
          </w:tcPr>
          <w:p>
            <w:pPr>
              <w:spacing w:after="20"/>
            </w:pPr>
            <w:r/>
            <w:r>
              <w:rPr>
                <w:sz w:val="16"/>
              </w:rPr>
              <w:t>June 30</w:t>
            </w:r>
          </w:p>
        </w:tc>
      </w:tr>
    </w:tbl>
    <w:p>
      <w:pPr>
        <w:spacing w:after="40"/>
      </w:pPr>
    </w:p>
    <w:p>
      <w:pPr>
        <w:pStyle w:val="Heading1"/>
      </w:pPr>
      <w:r>
        <w:t>VII. Recommended Communications with the Government</w:t>
      </w:r>
    </w:p>
    <w:p>
      <w:r>
        <w:t>We recommend one coordinated letter to AUSA Navarro, followed by a call, in the week of April 14. The approach should be candor first: the Government will learn the same facts from Pennfield, Cromdale, Veriton, Dr. Anand and the counterparties’ devices. The letter should:</w:t>
      </w:r>
    </w:p>
    <w:p>
      <w:pPr>
        <w:pStyle w:val="ListBullet"/>
        <w:spacing w:after="60"/>
      </w:pPr>
      <w:r>
        <w:t>describe the Whitford device reset and the remediation steps, and correct the Feb. 21 letter’s silence on it (Protocol ¶ 6);</w:t>
      </w:r>
    </w:p>
    <w:p>
      <w:pPr>
        <w:pStyle w:val="ListBullet"/>
        <w:spacing w:after="60"/>
      </w:pPr>
      <w:r>
        <w:t>correct the statement that HRK represents Dr. Anand, identify her counsel, and describe our collection efforts (Instr. E);</w:t>
      </w:r>
    </w:p>
    <w:p>
      <w:pPr>
        <w:pStyle w:val="ListBullet"/>
        <w:spacing w:after="60"/>
      </w:pPr>
      <w:r>
        <w:t>identify the third-party and Veriton-controlled sources, our efforts to obtain them, and the expected timing (Instr. E). Give Protocol ¶ 2.6 notice if June 30 is at risk;</w:t>
      </w:r>
    </w:p>
    <w:p>
      <w:pPr>
        <w:pStyle w:val="ListBullet"/>
        <w:spacing w:after="60"/>
      </w:pPr>
      <w:r>
        <w:t>acknowledge the privilege-log shortfall and commit to a date certain for the supplemental log;</w:t>
      </w:r>
    </w:p>
    <w:p>
      <w:pPr>
        <w:pStyle w:val="ListBullet"/>
        <w:spacing w:after="60"/>
      </w:pPr>
      <w:r>
        <w:t>transmit the Webb supplemental volume. If it is not ready, state that a coding error under Request 9 has been identified and corrected, and that responsive documents will follow by a stated date;</w:t>
      </w:r>
    </w:p>
    <w:p>
      <w:pPr>
        <w:pStyle w:val="ListBullet"/>
        <w:spacing w:after="60"/>
      </w:pPr>
      <w:r>
        <w:t>describe the collection methodology (custodians, sources, date filter, de-duplication, search terms) and offer to confer on additional custodians and supplemental terms (Protocol ¶¶ 1.4, 4.3);</w:t>
      </w:r>
    </w:p>
    <w:p>
      <w:pPr>
        <w:pStyle w:val="ListBullet"/>
        <w:spacing w:after="60"/>
      </w:pPr>
      <w:r>
        <w:t>correct any Bates or load-file nonconformity found in the audit; and</w:t>
      </w:r>
    </w:p>
    <w:p>
      <w:pPr>
        <w:pStyle w:val="ListBullet"/>
        <w:spacing w:after="60"/>
      </w:pPr>
      <w:r>
        <w:t>supplement or qualify any Instruction G certification served on April 10, and serve the Instruction F hold certification if none was provided.</w:t>
      </w:r>
    </w:p>
    <w:p>
      <w:r>
        <w:t>Every factual assertion in the letter should be checked against Appendix A. Nothing should be drawn from the Tracker’s summary figures until they are reconciled.</w:t>
      </w:r>
    </w:p>
    <w:p>
      <w:pPr>
        <w:pStyle w:val="Heading1"/>
      </w:pPr>
      <w:r>
        <w:t>VIII. Decisions Needed from the Supervising Partner</w:t>
      </w:r>
    </w:p>
    <w:p>
      <w:pPr>
        <w:pStyle w:val="ListBullet"/>
        <w:spacing w:after="60"/>
      </w:pPr>
      <w:r>
        <w:t>Timing, content and form (written vs. oral first) of the Whitford disclosure, and whether to commission the NAND-level forensic assessment.</w:t>
      </w:r>
    </w:p>
    <w:p>
      <w:pPr>
        <w:pStyle w:val="ListBullet"/>
        <w:spacing w:after="60"/>
      </w:pPr>
      <w:r>
        <w:t>Conflict analysis and independent counsel for Mr. Whitford; whether the joint representation of the remaining individuals can continue.</w:t>
      </w:r>
    </w:p>
    <w:p>
      <w:pPr>
        <w:pStyle w:val="ListBullet"/>
        <w:spacing w:after="60"/>
      </w:pPr>
      <w:r>
        <w:t>Treatment of the ACS privilege set: whether any principal may assert an advice-of-counsel defense (which would waive privilege over the subject matter), and how to approach Veriton on MedCore-side privilege ownership.</w:t>
      </w:r>
    </w:p>
    <w:p>
      <w:pPr>
        <w:pStyle w:val="ListBullet"/>
        <w:spacing w:after="60"/>
      </w:pPr>
      <w:r>
        <w:t>Whether to extend collection beyond 12/31/2023 for post-closing claims (Req. 13) and how to treat the January 2025 hold notices (Req. 16 / Instr. F).</w:t>
      </w:r>
    </w:p>
    <w:p>
      <w:pPr>
        <w:pStyle w:val="ListBullet"/>
        <w:spacing w:after="60"/>
      </w:pPr>
      <w:r>
        <w:t>Budget authorization for Stratton’s supplemental collections (Documentum estimated at $18,000–$25,000 plus SharePoint, Intralinks, shares and devices).</w:t>
      </w:r>
    </w:p>
    <w:p>
      <w:pPr>
        <w:pStyle w:val="ListBullet"/>
        <w:spacing w:after="60"/>
      </w:pPr>
      <w:r>
        <w:t>Handling of the other-matter documents found in our file (Part II.B), including any notice to the sender.</w:t>
      </w:r>
    </w:p>
    <w:p>
      <w:pPr>
        <w:pStyle w:val="Heading1"/>
      </w:pPr>
      <w:r>
        <w:t>Appendix A — Factual Discrepancies to Resolve Before Any Statement to the Government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D9E1F2"/>
          </w:tcPr>
          <w:p>
            <w:r>
              <w:rPr>
                <w:b/>
              </w:rPr>
            </w:r>
            <w:r>
              <w:rPr>
                <w:b/>
                <w:sz w:val="15"/>
              </w:rPr>
              <w:t>#</w:t>
            </w:r>
          </w:p>
        </w:tc>
        <w:tc>
          <w:tcPr>
            <w:tcW w:type="dxa" w:w="1728"/>
            <w:shd w:val="clear" w:color="auto" w:fill="D9E1F2"/>
          </w:tcPr>
          <w:p>
            <w:r>
              <w:rPr>
                <w:b/>
              </w:rPr>
            </w:r>
            <w:r>
              <w:rPr>
                <w:b/>
                <w:sz w:val="15"/>
              </w:rPr>
              <w:t>Topic</w:t>
            </w:r>
          </w:p>
        </w:tc>
        <w:tc>
          <w:tcPr>
            <w:tcW w:type="dxa" w:w="2304"/>
            <w:shd w:val="clear" w:color="auto" w:fill="D9E1F2"/>
          </w:tcPr>
          <w:p>
            <w:r>
              <w:rPr>
                <w:b/>
              </w:rPr>
            </w:r>
            <w:r>
              <w:rPr>
                <w:b/>
                <w:sz w:val="15"/>
              </w:rPr>
              <w:t>Source A</w:t>
            </w:r>
          </w:p>
        </w:tc>
        <w:tc>
          <w:tcPr>
            <w:tcW w:type="dxa" w:w="2592"/>
            <w:shd w:val="clear" w:color="auto" w:fill="D9E1F2"/>
          </w:tcPr>
          <w:p>
            <w:r>
              <w:rPr>
                <w:b/>
              </w:rPr>
            </w:r>
            <w:r>
              <w:rPr>
                <w:b/>
                <w:sz w:val="15"/>
              </w:rPr>
              <w:t>Source B</w:t>
            </w:r>
          </w:p>
        </w:tc>
        <w:tc>
          <w:tcPr>
            <w:tcW w:type="dxa" w:w="2304"/>
            <w:shd w:val="clear" w:color="auto" w:fill="D9E1F2"/>
          </w:tcPr>
          <w:p>
            <w:r>
              <w:rPr>
                <w:b/>
              </w:rPr>
            </w:r>
            <w:r>
              <w:rPr>
                <w:b/>
                <w:sz w:val="15"/>
              </w:rPr>
              <w:t>Why it matters</w:t>
            </w:r>
          </w:p>
        </w:tc>
      </w:tr>
      <w:tr>
        <w:tc>
          <w:tcPr>
            <w:tcW w:type="dxa" w:w="432"/>
          </w:tcPr>
          <w:p>
            <w:pPr>
              <w:spacing w:after="20"/>
            </w:pPr>
            <w:r/>
            <w:r>
              <w:rPr>
                <w:sz w:val="15"/>
              </w:rPr>
              <w:t>1</w:t>
            </w:r>
          </w:p>
        </w:tc>
        <w:tc>
          <w:tcPr>
            <w:tcW w:type="dxa" w:w="1728"/>
          </w:tcPr>
          <w:p>
            <w:pPr>
              <w:spacing w:after="20"/>
            </w:pPr>
            <w:r/>
            <w:r>
              <w:rPr>
                <w:sz w:val="15"/>
              </w:rPr>
              <w:t>Whitford: date of last iCloud backup</w:t>
            </w:r>
          </w:p>
        </w:tc>
        <w:tc>
          <w:tcPr>
            <w:tcW w:type="dxa" w:w="2304"/>
          </w:tcPr>
          <w:p>
            <w:pPr>
              <w:spacing w:after="20"/>
            </w:pPr>
            <w:r/>
            <w:r>
              <w:rPr>
                <w:sz w:val="15"/>
              </w:rPr>
              <w:t>Bray email (3/28): Jan. 13, 2025</w:t>
            </w:r>
          </w:p>
        </w:tc>
        <w:tc>
          <w:tcPr>
            <w:tcW w:type="dxa" w:w="2592"/>
          </w:tcPr>
          <w:p>
            <w:pPr>
              <w:spacing w:after="20"/>
            </w:pPr>
            <w:r/>
            <w:r>
              <w:rPr>
                <w:sz w:val="15"/>
              </w:rPr>
              <w:t>Stratton memo (4/8): Jan. 18, 2025</w:t>
            </w:r>
          </w:p>
        </w:tc>
        <w:tc>
          <w:tcPr>
            <w:tcW w:type="dxa" w:w="2304"/>
          </w:tcPr>
          <w:p>
            <w:pPr>
              <w:spacing w:after="20"/>
            </w:pPr>
            <w:r/>
            <w:r>
              <w:rPr>
                <w:sz w:val="15"/>
              </w:rPr>
              <w:t>Defines the unrecoverable window (Jan. 13/18–20). Must be exact in any disclosure.</w:t>
            </w:r>
          </w:p>
        </w:tc>
      </w:tr>
      <w:tr>
        <w:tc>
          <w:tcPr>
            <w:tcW w:type="dxa" w:w="432"/>
          </w:tcPr>
          <w:p>
            <w:pPr>
              <w:spacing w:after="20"/>
            </w:pPr>
            <w:r/>
            <w:r>
              <w:rPr>
                <w:sz w:val="15"/>
              </w:rPr>
              <w:t>2</w:t>
            </w:r>
          </w:p>
        </w:tc>
        <w:tc>
          <w:tcPr>
            <w:tcW w:type="dxa" w:w="1728"/>
          </w:tcPr>
          <w:p>
            <w:pPr>
              <w:spacing w:after="20"/>
            </w:pPr>
            <w:r/>
            <w:r>
              <w:rPr>
                <w:sz w:val="15"/>
              </w:rPr>
              <w:t>Whitford: device intake date</w:t>
            </w:r>
          </w:p>
        </w:tc>
        <w:tc>
          <w:tcPr>
            <w:tcW w:type="dxa" w:w="2304"/>
          </w:tcPr>
          <w:p>
            <w:pPr>
              <w:spacing w:after="20"/>
            </w:pPr>
            <w:r/>
            <w:r>
              <w:rPr>
                <w:sz w:val="15"/>
              </w:rPr>
              <w:t>Bray email: scheduled for and examined on Jan. 22</w:t>
            </w:r>
          </w:p>
        </w:tc>
        <w:tc>
          <w:tcPr>
            <w:tcW w:type="dxa" w:w="2592"/>
          </w:tcPr>
          <w:p>
            <w:pPr>
              <w:spacing w:after="20"/>
            </w:pPr>
            <w:r/>
            <w:r>
              <w:rPr>
                <w:sz w:val="15"/>
              </w:rPr>
              <w:t>Stratton memo: authorized and presented Feb. 3; HRK told Feb. 4–5</w:t>
            </w:r>
          </w:p>
        </w:tc>
        <w:tc>
          <w:tcPr>
            <w:tcW w:type="dxa" w:w="2304"/>
          </w:tcPr>
          <w:p>
            <w:pPr>
              <w:spacing w:after="20"/>
            </w:pPr>
            <w:r/>
            <w:r>
              <w:rPr>
                <w:sz w:val="15"/>
              </w:rPr>
              <w:t>Bears on when HRK learned of the reset and on the timeliness of disclosure.</w:t>
            </w:r>
          </w:p>
        </w:tc>
      </w:tr>
      <w:tr>
        <w:tc>
          <w:tcPr>
            <w:tcW w:type="dxa" w:w="432"/>
          </w:tcPr>
          <w:p>
            <w:pPr>
              <w:spacing w:after="20"/>
            </w:pPr>
            <w:r/>
            <w:r>
              <w:rPr>
                <w:sz w:val="15"/>
              </w:rPr>
              <w:t>3</w:t>
            </w:r>
          </w:p>
        </w:tc>
        <w:tc>
          <w:tcPr>
            <w:tcW w:type="dxa" w:w="1728"/>
          </w:tcPr>
          <w:p>
            <w:pPr>
              <w:spacing w:after="20"/>
            </w:pPr>
            <w:r/>
            <w:r>
              <w:rPr>
                <w:sz w:val="15"/>
              </w:rPr>
              <w:t>Whitford: use of Signal/WhatsApp</w:t>
            </w:r>
          </w:p>
        </w:tc>
        <w:tc>
          <w:tcPr>
            <w:tcW w:type="dxa" w:w="2304"/>
          </w:tcPr>
          <w:p>
            <w:pPr>
              <w:spacing w:after="20"/>
            </w:pPr>
            <w:r/>
            <w:r>
              <w:rPr>
                <w:sz w:val="15"/>
              </w:rPr>
              <w:t>“Whitford’s counsel”: reset “routine,” apps “not actively used” (Bray)</w:t>
            </w:r>
          </w:p>
        </w:tc>
        <w:tc>
          <w:tcPr>
            <w:tcW w:type="dxa" w:w="2592"/>
          </w:tcPr>
          <w:p>
            <w:pPr>
              <w:spacing w:after="20"/>
            </w:pPr>
            <w:r/>
            <w:r>
              <w:rPr>
                <w:sz w:val="15"/>
              </w:rPr>
              <w:t>Whitford questionnaire (1/24): “occasionally used … for business”; Krell: Whitford “used Signal a lot,” ran a Cromdale WhatsApp group</w:t>
            </w:r>
          </w:p>
        </w:tc>
        <w:tc>
          <w:tcPr>
            <w:tcW w:type="dxa" w:w="2304"/>
          </w:tcPr>
          <w:p>
            <w:pPr>
              <w:spacing w:after="20"/>
            </w:pPr>
            <w:r/>
            <w:r>
              <w:rPr>
                <w:sz w:val="15"/>
              </w:rPr>
              <w:t>Credibility of any explanation; possible separate counsel and conflict.</w:t>
            </w:r>
          </w:p>
        </w:tc>
      </w:tr>
      <w:tr>
        <w:tc>
          <w:tcPr>
            <w:tcW w:type="dxa" w:w="432"/>
          </w:tcPr>
          <w:p>
            <w:pPr>
              <w:spacing w:after="20"/>
            </w:pPr>
            <w:r/>
            <w:r>
              <w:rPr>
                <w:sz w:val="15"/>
              </w:rPr>
              <w:t>4</w:t>
            </w:r>
          </w:p>
        </w:tc>
        <w:tc>
          <w:tcPr>
            <w:tcW w:type="dxa" w:w="1728"/>
          </w:tcPr>
          <w:p>
            <w:pPr>
              <w:spacing w:after="20"/>
            </w:pPr>
            <w:r/>
            <w:r>
              <w:rPr>
                <w:sz w:val="15"/>
              </w:rPr>
              <w:t>Legal hold date</w:t>
            </w:r>
          </w:p>
        </w:tc>
        <w:tc>
          <w:tcPr>
            <w:tcW w:type="dxa" w:w="2304"/>
          </w:tcPr>
          <w:p>
            <w:pPr>
              <w:spacing w:after="20"/>
            </w:pPr>
            <w:r/>
            <w:r>
              <w:rPr>
                <w:sz w:val="15"/>
              </w:rPr>
              <w:t>Tracker: hold issued Jan. 17 to Ridgeline custodians</w:t>
            </w:r>
          </w:p>
        </w:tc>
        <w:tc>
          <w:tcPr>
            <w:tcW w:type="dxa" w:w="2592"/>
          </w:tcPr>
          <w:p>
            <w:pPr>
              <w:spacing w:after="20"/>
            </w:pPr>
            <w:r/>
            <w:r>
              <w:rPr>
                <w:sz w:val="15"/>
              </w:rPr>
              <w:t>Krell interview: hold communicated in writing Jan. 22</w:t>
            </w:r>
          </w:p>
        </w:tc>
        <w:tc>
          <w:tcPr>
            <w:tcW w:type="dxa" w:w="2304"/>
          </w:tcPr>
          <w:p>
            <w:pPr>
              <w:spacing w:after="20"/>
            </w:pPr>
            <w:r/>
            <w:r>
              <w:rPr>
                <w:sz w:val="15"/>
              </w:rPr>
              <w:t>If Jan. 17, the Whitford reset post-dates both the Subpoena and the hold.</w:t>
            </w:r>
          </w:p>
        </w:tc>
      </w:tr>
      <w:tr>
        <w:tc>
          <w:tcPr>
            <w:tcW w:type="dxa" w:w="432"/>
          </w:tcPr>
          <w:p>
            <w:pPr>
              <w:spacing w:after="20"/>
            </w:pPr>
            <w:r/>
            <w:r>
              <w:rPr>
                <w:sz w:val="15"/>
              </w:rPr>
              <w:t>5</w:t>
            </w:r>
          </w:p>
        </w:tc>
        <w:tc>
          <w:tcPr>
            <w:tcW w:type="dxa" w:w="1728"/>
          </w:tcPr>
          <w:p>
            <w:pPr>
              <w:spacing w:after="20"/>
            </w:pPr>
            <w:r/>
            <w:r>
              <w:rPr>
                <w:sz w:val="15"/>
              </w:rPr>
              <w:t>Dr. Anand’s counsel</w:t>
            </w:r>
          </w:p>
        </w:tc>
        <w:tc>
          <w:tcPr>
            <w:tcW w:type="dxa" w:w="2304"/>
          </w:tcPr>
          <w:p>
            <w:pPr>
              <w:spacing w:after="20"/>
            </w:pPr>
            <w:r/>
            <w:r>
              <w:rPr>
                <w:sz w:val="15"/>
              </w:rPr>
              <w:t>Protocol letter and Coding Guide: HRK jointly represents Dr. Anand</w:t>
            </w:r>
          </w:p>
        </w:tc>
        <w:tc>
          <w:tcPr>
            <w:tcW w:type="dxa" w:w="2592"/>
          </w:tcPr>
          <w:p>
            <w:pPr>
              <w:spacing w:after="20"/>
            </w:pPr>
            <w:r/>
            <w:r>
              <w:rPr>
                <w:sz w:val="15"/>
              </w:rPr>
              <w:t>Stratton memo: represented by M. Solano (Wren &amp; Kessler), “not represented by HRK”</w:t>
            </w:r>
          </w:p>
        </w:tc>
        <w:tc>
          <w:tcPr>
            <w:tcW w:type="dxa" w:w="2304"/>
          </w:tcPr>
          <w:p>
            <w:pPr>
              <w:spacing w:after="20"/>
            </w:pPr>
            <w:r/>
            <w:r>
              <w:rPr>
                <w:sz w:val="15"/>
              </w:rPr>
              <w:t>Misstatement to the Government; privilege/JDA scope; control over her data.</w:t>
            </w:r>
          </w:p>
        </w:tc>
      </w:tr>
      <w:tr>
        <w:tc>
          <w:tcPr>
            <w:tcW w:type="dxa" w:w="432"/>
          </w:tcPr>
          <w:p>
            <w:pPr>
              <w:spacing w:after="20"/>
            </w:pPr>
            <w:r/>
            <w:r>
              <w:rPr>
                <w:sz w:val="15"/>
              </w:rPr>
              <w:t>6</w:t>
            </w:r>
          </w:p>
        </w:tc>
        <w:tc>
          <w:tcPr>
            <w:tcW w:type="dxa" w:w="1728"/>
          </w:tcPr>
          <w:p>
            <w:pPr>
              <w:spacing w:after="20"/>
            </w:pPr>
            <w:r/>
            <w:r>
              <w:rPr>
                <w:sz w:val="15"/>
              </w:rPr>
              <w:t>Anand Gmail</w:t>
            </w:r>
          </w:p>
        </w:tc>
        <w:tc>
          <w:tcPr>
            <w:tcW w:type="dxa" w:w="2304"/>
          </w:tcPr>
          <w:p>
            <w:pPr>
              <w:spacing w:after="20"/>
            </w:pPr>
            <w:r/>
            <w:r>
              <w:rPr>
                <w:sz w:val="15"/>
              </w:rPr>
              <w:t>Coding Guide § II.C: emails collected “from a Gmail account”</w:t>
            </w:r>
          </w:p>
        </w:tc>
        <w:tc>
          <w:tcPr>
            <w:tcW w:type="dxa" w:w="2592"/>
          </w:tcPr>
          <w:p>
            <w:pPr>
              <w:spacing w:after="20"/>
            </w:pPr>
            <w:r/>
            <w:r>
              <w:rPr>
                <w:sz w:val="15"/>
              </w:rPr>
              <w:t>Stratton and Tracker: Gmail not collected</w:t>
            </w:r>
          </w:p>
        </w:tc>
        <w:tc>
          <w:tcPr>
            <w:tcW w:type="dxa" w:w="2304"/>
          </w:tcPr>
          <w:p>
            <w:pPr>
              <w:spacing w:after="20"/>
            </w:pPr>
            <w:r/>
            <w:r>
              <w:rPr>
                <w:sz w:val="15"/>
              </w:rPr>
              <w:t>Reviewers may assume coverage that does not exist.</w:t>
            </w:r>
          </w:p>
        </w:tc>
      </w:tr>
      <w:tr>
        <w:tc>
          <w:tcPr>
            <w:tcW w:type="dxa" w:w="432"/>
          </w:tcPr>
          <w:p>
            <w:pPr>
              <w:spacing w:after="20"/>
            </w:pPr>
            <w:r/>
            <w:r>
              <w:rPr>
                <w:sz w:val="15"/>
              </w:rPr>
              <w:t>7</w:t>
            </w:r>
          </w:p>
        </w:tc>
        <w:tc>
          <w:tcPr>
            <w:tcW w:type="dxa" w:w="1728"/>
          </w:tcPr>
          <w:p>
            <w:pPr>
              <w:spacing w:after="20"/>
            </w:pPr>
            <w:r/>
            <w:r>
              <w:rPr>
                <w:sz w:val="15"/>
              </w:rPr>
              <w:t>Cross-custodian de-duplication</w:t>
            </w:r>
          </w:p>
        </w:tc>
        <w:tc>
          <w:tcPr>
            <w:tcW w:type="dxa" w:w="2304"/>
          </w:tcPr>
          <w:p>
            <w:pPr>
              <w:spacing w:after="20"/>
            </w:pPr>
            <w:r/>
            <w:r>
              <w:rPr>
                <w:sz w:val="15"/>
              </w:rPr>
              <w:t>Coding Guide § II.C: not de-duplicated across custodians</w:t>
            </w:r>
          </w:p>
        </w:tc>
        <w:tc>
          <w:tcPr>
            <w:tcW w:type="dxa" w:w="2592"/>
          </w:tcPr>
          <w:p>
            <w:pPr>
              <w:spacing w:after="20"/>
            </w:pPr>
            <w:r/>
            <w:r>
              <w:rPr>
                <w:sz w:val="15"/>
              </w:rPr>
              <w:t>Stratton: cross-custodian de-dup applied; retained under author or earliest recipient</w:t>
            </w:r>
          </w:p>
        </w:tc>
        <w:tc>
          <w:tcPr>
            <w:tcW w:type="dxa" w:w="2304"/>
          </w:tcPr>
          <w:p>
            <w:pPr>
              <w:spacing w:after="20"/>
            </w:pPr>
            <w:r/>
            <w:r>
              <w:rPr>
                <w:sz w:val="15"/>
              </w:rPr>
              <w:t>Protocol ¶ 4.5 / Instr. D compliance; All-Custodians field.</w:t>
            </w:r>
          </w:p>
        </w:tc>
      </w:tr>
      <w:tr>
        <w:tc>
          <w:tcPr>
            <w:tcW w:type="dxa" w:w="432"/>
          </w:tcPr>
          <w:p>
            <w:pPr>
              <w:spacing w:after="20"/>
            </w:pPr>
            <w:r/>
            <w:r>
              <w:rPr>
                <w:sz w:val="15"/>
              </w:rPr>
              <w:t>8</w:t>
            </w:r>
          </w:p>
        </w:tc>
        <w:tc>
          <w:tcPr>
            <w:tcW w:type="dxa" w:w="1728"/>
          </w:tcPr>
          <w:p>
            <w:pPr>
              <w:spacing w:after="20"/>
            </w:pPr>
            <w:r/>
            <w:r>
              <w:rPr>
                <w:sz w:val="15"/>
              </w:rPr>
              <w:t>Krell device</w:t>
            </w:r>
          </w:p>
        </w:tc>
        <w:tc>
          <w:tcPr>
            <w:tcW w:type="dxa" w:w="2304"/>
          </w:tcPr>
          <w:p>
            <w:pPr>
              <w:spacing w:after="20"/>
            </w:pPr>
            <w:r/>
            <w:r>
              <w:rPr>
                <w:sz w:val="15"/>
              </w:rPr>
              <w:t>Krell interview: personal iPhone with iMessage, WhatsApp, Signal</w:t>
            </w:r>
          </w:p>
        </w:tc>
        <w:tc>
          <w:tcPr>
            <w:tcW w:type="dxa" w:w="2592"/>
          </w:tcPr>
          <w:p>
            <w:pPr>
              <w:spacing w:after="20"/>
            </w:pPr>
            <w:r/>
            <w:r>
              <w:rPr>
                <w:sz w:val="15"/>
              </w:rPr>
              <w:t>Stratton: Samsung Galaxy S23 Ultra (Android; SMS/MMS, WhatsApp, Signal)</w:t>
            </w:r>
          </w:p>
        </w:tc>
        <w:tc>
          <w:tcPr>
            <w:tcW w:type="dxa" w:w="2304"/>
          </w:tcPr>
          <w:p>
            <w:pPr>
              <w:spacing w:after="20"/>
            </w:pPr>
            <w:r/>
            <w:r>
              <w:rPr>
                <w:sz w:val="15"/>
              </w:rPr>
              <w:t>Possible second, uncollected device.</w:t>
            </w:r>
          </w:p>
        </w:tc>
      </w:tr>
      <w:tr>
        <w:tc>
          <w:tcPr>
            <w:tcW w:type="dxa" w:w="432"/>
          </w:tcPr>
          <w:p>
            <w:pPr>
              <w:spacing w:after="20"/>
            </w:pPr>
            <w:r/>
            <w:r>
              <w:rPr>
                <w:sz w:val="15"/>
              </w:rPr>
              <w:t>9</w:t>
            </w:r>
          </w:p>
        </w:tc>
        <w:tc>
          <w:tcPr>
            <w:tcW w:type="dxa" w:w="1728"/>
          </w:tcPr>
          <w:p>
            <w:pPr>
              <w:spacing w:after="20"/>
            </w:pPr>
            <w:r/>
            <w:r>
              <w:rPr>
                <w:sz w:val="15"/>
              </w:rPr>
              <w:t>Protocol date and status</w:t>
            </w:r>
          </w:p>
        </w:tc>
        <w:tc>
          <w:tcPr>
            <w:tcW w:type="dxa" w:w="2304"/>
          </w:tcPr>
          <w:p>
            <w:pPr>
              <w:spacing w:after="20"/>
            </w:pPr>
            <w:r/>
            <w:r>
              <w:rPr>
                <w:sz w:val="15"/>
              </w:rPr>
              <w:t>Letter dated Feb. 21, 2025; countersignature blank</w:t>
            </w:r>
          </w:p>
        </w:tc>
        <w:tc>
          <w:tcPr>
            <w:tcW w:type="dxa" w:w="2592"/>
          </w:tcPr>
          <w:p>
            <w:pPr>
              <w:spacing w:after="20"/>
            </w:pPr>
            <w:r/>
            <w:r>
              <w:rPr>
                <w:sz w:val="15"/>
              </w:rPr>
              <w:t>Tracker: executed Feb. 15; Coding Guide: Feb. 10 letter agreement; Tracker: extension negotiated Feb. 10</w:t>
            </w:r>
          </w:p>
        </w:tc>
        <w:tc>
          <w:tcPr>
            <w:tcW w:type="dxa" w:w="2304"/>
          </w:tcPr>
          <w:p>
            <w:pPr>
              <w:spacing w:after="20"/>
            </w:pPr>
            <w:r/>
            <w:r>
              <w:rPr>
                <w:sz w:val="15"/>
              </w:rPr>
              <w:t>Which version is operative (de-dup, schedule, priorities).</w:t>
            </w:r>
          </w:p>
        </w:tc>
      </w:tr>
      <w:tr>
        <w:tc>
          <w:tcPr>
            <w:tcW w:type="dxa" w:w="432"/>
          </w:tcPr>
          <w:p>
            <w:pPr>
              <w:spacing w:after="20"/>
            </w:pPr>
            <w:r/>
            <w:r>
              <w:rPr>
                <w:sz w:val="15"/>
              </w:rPr>
              <w:t>10</w:t>
            </w:r>
          </w:p>
        </w:tc>
        <w:tc>
          <w:tcPr>
            <w:tcW w:type="dxa" w:w="1728"/>
          </w:tcPr>
          <w:p>
            <w:pPr>
              <w:spacing w:after="20"/>
            </w:pPr>
            <w:r/>
            <w:r>
              <w:rPr>
                <w:sz w:val="15"/>
              </w:rPr>
              <w:t>Coding Guide timing</w:t>
            </w:r>
          </w:p>
        </w:tc>
        <w:tc>
          <w:tcPr>
            <w:tcW w:type="dxa" w:w="2304"/>
          </w:tcPr>
          <w:p>
            <w:pPr>
              <w:spacing w:after="20"/>
            </w:pPr>
            <w:r/>
            <w:r>
              <w:rPr>
                <w:sz w:val="15"/>
              </w:rPr>
              <w:t>Tracker: Guide finalized Feb. 24; review began Feb. 25</w:t>
            </w:r>
          </w:p>
        </w:tc>
        <w:tc>
          <w:tcPr>
            <w:tcW w:type="dxa" w:w="2592"/>
          </w:tcPr>
          <w:p>
            <w:pPr>
              <w:spacing w:after="20"/>
            </w:pPr>
            <w:r/>
            <w:r>
              <w:rPr>
                <w:sz w:val="15"/>
              </w:rPr>
              <w:t>Guide itself: Version 1.0 dated Mar. 3, 2025</w:t>
            </w:r>
          </w:p>
        </w:tc>
        <w:tc>
          <w:tcPr>
            <w:tcW w:type="dxa" w:w="2304"/>
          </w:tcPr>
          <w:p>
            <w:pPr>
              <w:spacing w:after="20"/>
            </w:pPr>
            <w:r/>
            <w:r>
              <w:rPr>
                <w:sz w:val="15"/>
              </w:rPr>
              <w:t>Reviewers may have coded before the final instructions were issued.</w:t>
            </w:r>
          </w:p>
        </w:tc>
      </w:tr>
      <w:tr>
        <w:tc>
          <w:tcPr>
            <w:tcW w:type="dxa" w:w="432"/>
          </w:tcPr>
          <w:p>
            <w:pPr>
              <w:spacing w:after="20"/>
            </w:pPr>
            <w:r/>
            <w:r>
              <w:rPr>
                <w:sz w:val="15"/>
              </w:rPr>
              <w:t>11</w:t>
            </w:r>
          </w:p>
        </w:tc>
        <w:tc>
          <w:tcPr>
            <w:tcW w:type="dxa" w:w="1728"/>
          </w:tcPr>
          <w:p>
            <w:pPr>
              <w:spacing w:after="20"/>
            </w:pPr>
            <w:r/>
            <w:r>
              <w:rPr>
                <w:sz w:val="15"/>
              </w:rPr>
              <w:t>Board minutes on SharePoint</w:t>
            </w:r>
          </w:p>
        </w:tc>
        <w:tc>
          <w:tcPr>
            <w:tcW w:type="dxa" w:w="2304"/>
          </w:tcPr>
          <w:p>
            <w:pPr>
              <w:spacing w:after="20"/>
            </w:pPr>
            <w:r/>
            <w:r>
              <w:rPr>
                <w:sz w:val="15"/>
              </w:rPr>
              <w:t>Bray and Tracker: Q3 2021 and Q1 2022 missing</w:t>
            </w:r>
          </w:p>
        </w:tc>
        <w:tc>
          <w:tcPr>
            <w:tcW w:type="dxa" w:w="2592"/>
          </w:tcPr>
          <w:p>
            <w:pPr>
              <w:spacing w:after="20"/>
            </w:pPr>
            <w:r/>
            <w:r>
              <w:rPr>
                <w:sz w:val="15"/>
              </w:rPr>
              <w:t>Stratton memo: minutes for all quarters kept exclusively on SharePoint</w:t>
            </w:r>
          </w:p>
        </w:tc>
        <w:tc>
          <w:tcPr>
            <w:tcW w:type="dxa" w:w="2304"/>
          </w:tcPr>
          <w:p>
            <w:pPr>
              <w:spacing w:after="20"/>
            </w:pPr>
            <w:r/>
            <w:r>
              <w:rPr>
                <w:sz w:val="15"/>
              </w:rPr>
              <w:t>The scope of the Request 7 gap may be larger than reported.</w:t>
            </w:r>
          </w:p>
        </w:tc>
      </w:tr>
      <w:tr>
        <w:tc>
          <w:tcPr>
            <w:tcW w:type="dxa" w:w="432"/>
          </w:tcPr>
          <w:p>
            <w:pPr>
              <w:spacing w:after="20"/>
            </w:pPr>
            <w:r/>
            <w:r>
              <w:rPr>
                <w:sz w:val="15"/>
              </w:rPr>
              <w:t>12</w:t>
            </w:r>
          </w:p>
        </w:tc>
        <w:tc>
          <w:tcPr>
            <w:tcW w:type="dxa" w:w="1728"/>
          </w:tcPr>
          <w:p>
            <w:pPr>
              <w:spacing w:after="20"/>
            </w:pPr>
            <w:r/>
            <w:r>
              <w:rPr>
                <w:sz w:val="15"/>
              </w:rPr>
              <w:t>Whitford and Krell board attendance</w:t>
            </w:r>
          </w:p>
        </w:tc>
        <w:tc>
          <w:tcPr>
            <w:tcW w:type="dxa" w:w="2304"/>
          </w:tcPr>
          <w:p>
            <w:pPr>
              <w:spacing w:after="20"/>
            </w:pPr>
            <w:r/>
            <w:r>
              <w:rPr>
                <w:sz w:val="15"/>
              </w:rPr>
              <w:t>Tracker: did not attend; no responsive documents</w:t>
            </w:r>
          </w:p>
        </w:tc>
        <w:tc>
          <w:tcPr>
            <w:tcW w:type="dxa" w:w="2592"/>
          </w:tcPr>
          <w:p>
            <w:pPr>
              <w:spacing w:after="20"/>
            </w:pPr>
            <w:r/>
            <w:r>
              <w:rPr>
                <w:sz w:val="15"/>
              </w:rPr>
              <w:t>Cheng-Rourke: Whitford attended Q3 2021; Krell: attended some meetings as observer</w:t>
            </w:r>
          </w:p>
        </w:tc>
        <w:tc>
          <w:tcPr>
            <w:tcW w:type="dxa" w:w="2304"/>
          </w:tcPr>
          <w:p>
            <w:pPr>
              <w:spacing w:after="20"/>
            </w:pPr>
            <w:r/>
            <w:r>
              <w:rPr>
                <w:sz w:val="15"/>
              </w:rPr>
              <w:t>Request 7 coding for two custodians.</w:t>
            </w:r>
          </w:p>
        </w:tc>
      </w:tr>
      <w:tr>
        <w:tc>
          <w:tcPr>
            <w:tcW w:type="dxa" w:w="432"/>
          </w:tcPr>
          <w:p>
            <w:pPr>
              <w:spacing w:after="20"/>
            </w:pPr>
            <w:r/>
            <w:r>
              <w:rPr>
                <w:sz w:val="15"/>
              </w:rPr>
              <w:t>13</w:t>
            </w:r>
          </w:p>
        </w:tc>
        <w:tc>
          <w:tcPr>
            <w:tcW w:type="dxa" w:w="1728"/>
          </w:tcPr>
          <w:p>
            <w:pPr>
              <w:spacing w:after="20"/>
            </w:pPr>
            <w:r/>
            <w:r>
              <w:rPr>
                <w:sz w:val="15"/>
              </w:rPr>
              <w:t>Anand start date</w:t>
            </w:r>
          </w:p>
        </w:tc>
        <w:tc>
          <w:tcPr>
            <w:tcW w:type="dxa" w:w="2304"/>
          </w:tcPr>
          <w:p>
            <w:pPr>
              <w:spacing w:after="20"/>
            </w:pPr>
            <w:r/>
            <w:r>
              <w:rPr>
                <w:sz w:val="15"/>
              </w:rPr>
              <w:t>Coding Guide: CEO from March 2020; Tracker: “became CEO at acquisition”</w:t>
            </w:r>
          </w:p>
        </w:tc>
        <w:tc>
          <w:tcPr>
            <w:tcW w:type="dxa" w:w="2592"/>
          </w:tcPr>
          <w:p>
            <w:pPr>
              <w:spacing w:after="20"/>
            </w:pPr>
            <w:r/>
            <w:r>
              <w:rPr>
                <w:sz w:val="15"/>
              </w:rPr>
              <w:t>Cheng-Rourke and Krell: installed April 2020</w:t>
            </w:r>
          </w:p>
        </w:tc>
        <w:tc>
          <w:tcPr>
            <w:tcW w:type="dxa" w:w="2304"/>
          </w:tcPr>
          <w:p>
            <w:pPr>
              <w:spacing w:after="20"/>
            </w:pPr>
            <w:r/>
            <w:r>
              <w:rPr>
                <w:sz w:val="15"/>
              </w:rPr>
              <w:t>Date tagging in Requests 1 and 14.</w:t>
            </w:r>
          </w:p>
        </w:tc>
      </w:tr>
      <w:tr>
        <w:tc>
          <w:tcPr>
            <w:tcW w:type="dxa" w:w="432"/>
          </w:tcPr>
          <w:p>
            <w:pPr>
              <w:spacing w:after="20"/>
            </w:pPr>
            <w:r/>
            <w:r>
              <w:rPr>
                <w:sz w:val="15"/>
              </w:rPr>
              <w:t>14</w:t>
            </w:r>
          </w:p>
        </w:tc>
        <w:tc>
          <w:tcPr>
            <w:tcW w:type="dxa" w:w="1728"/>
          </w:tcPr>
          <w:p>
            <w:pPr>
              <w:spacing w:after="20"/>
            </w:pPr>
            <w:r/>
            <w:r>
              <w:rPr>
                <w:sz w:val="15"/>
              </w:rPr>
              <w:t>Request 11 privilege counts</w:t>
            </w:r>
          </w:p>
        </w:tc>
        <w:tc>
          <w:tcPr>
            <w:tcW w:type="dxa" w:w="2304"/>
          </w:tcPr>
          <w:p>
            <w:pPr>
              <w:spacing w:after="20"/>
            </w:pPr>
            <w:r/>
            <w:r>
              <w:rPr>
                <w:sz w:val="15"/>
              </w:rPr>
              <w:t>Summary/Privilege tab: 1,247 total (746 logged, 501 unlogged)</w:t>
            </w:r>
          </w:p>
        </w:tc>
        <w:tc>
          <w:tcPr>
            <w:tcW w:type="dxa" w:w="2592"/>
          </w:tcPr>
          <w:p>
            <w:pPr>
              <w:spacing w:after="20"/>
            </w:pPr>
            <w:r/>
            <w:r>
              <w:rPr>
                <w:sz w:val="15"/>
              </w:rPr>
              <w:t>Per-Category Detail: 1,247 logged plus 501 unlogged (1,748)</w:t>
            </w:r>
          </w:p>
        </w:tc>
        <w:tc>
          <w:tcPr>
            <w:tcW w:type="dxa" w:w="2304"/>
          </w:tcPr>
          <w:p>
            <w:pPr>
              <w:spacing w:after="20"/>
            </w:pPr>
            <w:r/>
            <w:r>
              <w:rPr>
                <w:sz w:val="15"/>
              </w:rPr>
              <w:t>Log totals reported to the Government.</w:t>
            </w:r>
          </w:p>
        </w:tc>
      </w:tr>
      <w:tr>
        <w:tc>
          <w:tcPr>
            <w:tcW w:type="dxa" w:w="432"/>
          </w:tcPr>
          <w:p>
            <w:pPr>
              <w:spacing w:after="20"/>
            </w:pPr>
            <w:r/>
            <w:r>
              <w:rPr>
                <w:sz w:val="15"/>
              </w:rPr>
              <w:t>15</w:t>
            </w:r>
          </w:p>
        </w:tc>
        <w:tc>
          <w:tcPr>
            <w:tcW w:type="dxa" w:w="1728"/>
          </w:tcPr>
          <w:p>
            <w:pPr>
              <w:spacing w:after="20"/>
            </w:pPr>
            <w:r/>
            <w:r>
              <w:rPr>
                <w:sz w:val="15"/>
              </w:rPr>
              <w:t>Request 5 privilege counts</w:t>
            </w:r>
          </w:p>
        </w:tc>
        <w:tc>
          <w:tcPr>
            <w:tcW w:type="dxa" w:w="2304"/>
          </w:tcPr>
          <w:p>
            <w:pPr>
              <w:spacing w:after="20"/>
            </w:pPr>
            <w:r/>
            <w:r>
              <w:rPr>
                <w:sz w:val="15"/>
              </w:rPr>
              <w:t>Summary: 156 (Privilege tab: 112 logged / 44 unlogged)</w:t>
            </w:r>
          </w:p>
        </w:tc>
        <w:tc>
          <w:tcPr>
            <w:tcW w:type="dxa" w:w="2592"/>
          </w:tcPr>
          <w:p>
            <w:pPr>
              <w:spacing w:after="20"/>
            </w:pPr>
            <w:r/>
            <w:r>
              <w:rPr>
                <w:sz w:val="15"/>
              </w:rPr>
              <w:t>Detail: 124 logged / 44 unlogged (168)</w:t>
            </w:r>
          </w:p>
        </w:tc>
        <w:tc>
          <w:tcPr>
            <w:tcW w:type="dxa" w:w="2304"/>
          </w:tcPr>
          <w:p>
            <w:pPr>
              <w:spacing w:after="20"/>
            </w:pPr>
            <w:r/>
            <w:r>
              <w:rPr>
                <w:sz w:val="15"/>
              </w:rPr>
              <w:t>Same.</w:t>
            </w:r>
          </w:p>
        </w:tc>
      </w:tr>
      <w:tr>
        <w:tc>
          <w:tcPr>
            <w:tcW w:type="dxa" w:w="432"/>
          </w:tcPr>
          <w:p>
            <w:pPr>
              <w:spacing w:after="20"/>
            </w:pPr>
            <w:r/>
            <w:r>
              <w:rPr>
                <w:sz w:val="15"/>
              </w:rPr>
              <w:t>16</w:t>
            </w:r>
          </w:p>
        </w:tc>
        <w:tc>
          <w:tcPr>
            <w:tcW w:type="dxa" w:w="1728"/>
          </w:tcPr>
          <w:p>
            <w:pPr>
              <w:spacing w:after="20"/>
            </w:pPr>
            <w:r/>
            <w:r>
              <w:rPr>
                <w:sz w:val="15"/>
              </w:rPr>
              <w:t>QC queue</w:t>
            </w:r>
          </w:p>
        </w:tc>
        <w:tc>
          <w:tcPr>
            <w:tcW w:type="dxa" w:w="2304"/>
          </w:tcPr>
          <w:p>
            <w:pPr>
              <w:spacing w:after="20"/>
            </w:pPr>
            <w:r/>
            <w:r>
              <w:rPr>
                <w:sz w:val="15"/>
              </w:rPr>
              <w:t>Summary: 3,569</w:t>
            </w:r>
          </w:p>
        </w:tc>
        <w:tc>
          <w:tcPr>
            <w:tcW w:type="dxa" w:w="2592"/>
          </w:tcPr>
          <w:p>
            <w:pPr>
              <w:spacing w:after="20"/>
            </w:pPr>
            <w:r/>
            <w:r>
              <w:rPr>
                <w:sz w:val="15"/>
              </w:rPr>
              <w:t>Custodian Breakdown: 3,211; per-request detail sum: 905</w:t>
            </w:r>
          </w:p>
        </w:tc>
        <w:tc>
          <w:tcPr>
            <w:tcW w:type="dxa" w:w="2304"/>
          </w:tcPr>
          <w:p>
            <w:pPr>
              <w:spacing w:after="20"/>
            </w:pPr>
            <w:r/>
            <w:r>
              <w:rPr>
                <w:sz w:val="15"/>
              </w:rPr>
              <w:t>Second-production planning.</w:t>
            </w:r>
          </w:p>
        </w:tc>
      </w:tr>
      <w:tr>
        <w:tc>
          <w:tcPr>
            <w:tcW w:type="dxa" w:w="432"/>
          </w:tcPr>
          <w:p>
            <w:pPr>
              <w:spacing w:after="20"/>
            </w:pPr>
            <w:r/>
            <w:r>
              <w:rPr>
                <w:sz w:val="15"/>
              </w:rPr>
              <w:t>17</w:t>
            </w:r>
          </w:p>
        </w:tc>
        <w:tc>
          <w:tcPr>
            <w:tcW w:type="dxa" w:w="1728"/>
          </w:tcPr>
          <w:p>
            <w:pPr>
              <w:spacing w:after="20"/>
            </w:pPr>
            <w:r/>
            <w:r>
              <w:rPr>
                <w:sz w:val="15"/>
              </w:rPr>
              <w:t>Bates ranges</w:t>
            </w:r>
          </w:p>
        </w:tc>
        <w:tc>
          <w:tcPr>
            <w:tcW w:type="dxa" w:w="2304"/>
          </w:tcPr>
          <w:p>
            <w:pPr>
              <w:spacing w:after="20"/>
            </w:pPr>
            <w:r/>
            <w:r>
              <w:rPr>
                <w:sz w:val="15"/>
              </w:rPr>
              <w:t>Production: RC-PROD-001–014872</w:t>
            </w:r>
          </w:p>
        </w:tc>
        <w:tc>
          <w:tcPr>
            <w:tcW w:type="dxa" w:w="2592"/>
          </w:tcPr>
          <w:p>
            <w:pPr>
              <w:spacing w:after="20"/>
            </w:pPr>
            <w:r/>
            <w:r>
              <w:rPr>
                <w:sz w:val="15"/>
              </w:rPr>
              <w:t>Tracker ranges start at 000112, overlap (Req. 3/4, 5/7), and run to 015333 (Req. 18)</w:t>
            </w:r>
          </w:p>
        </w:tc>
        <w:tc>
          <w:tcPr>
            <w:tcW w:type="dxa" w:w="2304"/>
          </w:tcPr>
          <w:p>
            <w:pPr>
              <w:spacing w:after="20"/>
            </w:pPr>
            <w:r/>
            <w:r>
              <w:rPr>
                <w:sz w:val="15"/>
              </w:rPr>
              <w:t>Tracker cannot be used to show category coverage; rebuild from the load file.</w:t>
            </w:r>
          </w:p>
        </w:tc>
      </w:tr>
      <w:tr>
        <w:tc>
          <w:tcPr>
            <w:tcW w:type="dxa" w:w="432"/>
          </w:tcPr>
          <w:p>
            <w:pPr>
              <w:spacing w:after="20"/>
            </w:pPr>
            <w:r/>
            <w:r>
              <w:rPr>
                <w:sz w:val="15"/>
              </w:rPr>
              <w:t>18</w:t>
            </w:r>
          </w:p>
        </w:tc>
        <w:tc>
          <w:tcPr>
            <w:tcW w:type="dxa" w:w="1728"/>
          </w:tcPr>
          <w:p>
            <w:pPr>
              <w:spacing w:after="20"/>
            </w:pPr>
            <w:r/>
            <w:r>
              <w:rPr>
                <w:sz w:val="15"/>
              </w:rPr>
              <w:t>Privilege-log provision cited</w:t>
            </w:r>
          </w:p>
        </w:tc>
        <w:tc>
          <w:tcPr>
            <w:tcW w:type="dxa" w:w="2304"/>
          </w:tcPr>
          <w:p>
            <w:pPr>
              <w:spacing w:after="20"/>
            </w:pPr>
            <w:r/>
            <w:r>
              <w:rPr>
                <w:sz w:val="15"/>
              </w:rPr>
              <w:t>Tracker: “Production Protocol Letter, para. 6”</w:t>
            </w:r>
          </w:p>
        </w:tc>
        <w:tc>
          <w:tcPr>
            <w:tcW w:type="dxa" w:w="2592"/>
          </w:tcPr>
          <w:p>
            <w:pPr>
              <w:spacing w:after="20"/>
            </w:pPr>
            <w:r/>
            <w:r>
              <w:rPr>
                <w:sz w:val="15"/>
              </w:rPr>
              <w:t>Protocol: ¶¶ 5.2–5.3 (log); ¶ 6 is preservation</w:t>
            </w:r>
          </w:p>
        </w:tc>
        <w:tc>
          <w:tcPr>
            <w:tcW w:type="dxa" w:w="2304"/>
          </w:tcPr>
          <w:p>
            <w:pPr>
              <w:spacing w:after="20"/>
            </w:pPr>
            <w:r/>
            <w:r>
              <w:rPr>
                <w:sz w:val="15"/>
              </w:rPr>
              <w:t>Citation accuracy in correspondence.</w:t>
            </w:r>
          </w:p>
        </w:tc>
      </w:tr>
      <w:tr>
        <w:tc>
          <w:tcPr>
            <w:tcW w:type="dxa" w:w="432"/>
          </w:tcPr>
          <w:p>
            <w:pPr>
              <w:spacing w:after="20"/>
            </w:pPr>
            <w:r/>
            <w:r>
              <w:rPr>
                <w:sz w:val="15"/>
              </w:rPr>
              <w:t>19</w:t>
            </w:r>
          </w:p>
        </w:tc>
        <w:tc>
          <w:tcPr>
            <w:tcW w:type="dxa" w:w="1728"/>
          </w:tcPr>
          <w:p>
            <w:pPr>
              <w:spacing w:after="20"/>
            </w:pPr>
            <w:r/>
            <w:r>
              <w:rPr>
                <w:sz w:val="15"/>
              </w:rPr>
              <w:t>Cromdale “third-party subpoena”</w:t>
            </w:r>
          </w:p>
        </w:tc>
        <w:tc>
          <w:tcPr>
            <w:tcW w:type="dxa" w:w="2304"/>
          </w:tcPr>
          <w:p>
            <w:pPr>
              <w:spacing w:after="20"/>
            </w:pPr>
            <w:r/>
            <w:r>
              <w:rPr>
                <w:sz w:val="15"/>
              </w:rPr>
              <w:t>Stratton memo § 5.3: HRK issued a “third-party subpoena”</w:t>
            </w:r>
          </w:p>
        </w:tc>
        <w:tc>
          <w:tcPr>
            <w:tcW w:type="dxa" w:w="2592"/>
          </w:tcPr>
          <w:p>
            <w:pPr>
              <w:spacing w:after="20"/>
            </w:pPr>
            <w:r/>
            <w:r>
              <w:rPr>
                <w:sz w:val="15"/>
              </w:rPr>
              <w:t>Defense counsel has no grand-jury subpoena power</w:t>
            </w:r>
          </w:p>
        </w:tc>
        <w:tc>
          <w:tcPr>
            <w:tcW w:type="dxa" w:w="2304"/>
          </w:tcPr>
          <w:p>
            <w:pPr>
              <w:spacing w:after="20"/>
            </w:pPr>
            <w:r/>
            <w:r>
              <w:rPr>
                <w:sz w:val="15"/>
              </w:rPr>
              <w:t>Characterize accurately (preservation/document request).</w:t>
            </w:r>
          </w:p>
        </w:tc>
      </w:tr>
      <w:tr>
        <w:tc>
          <w:tcPr>
            <w:tcW w:type="dxa" w:w="432"/>
          </w:tcPr>
          <w:p>
            <w:pPr>
              <w:spacing w:after="20"/>
            </w:pPr>
            <w:r/>
            <w:r>
              <w:rPr>
                <w:sz w:val="15"/>
              </w:rPr>
              <w:t>20</w:t>
            </w:r>
          </w:p>
        </w:tc>
        <w:tc>
          <w:tcPr>
            <w:tcW w:type="dxa" w:w="1728"/>
          </w:tcPr>
          <w:p>
            <w:pPr>
              <w:spacing w:after="20"/>
            </w:pPr>
            <w:r/>
            <w:r>
              <w:rPr>
                <w:sz w:val="15"/>
              </w:rPr>
              <w:t>Anand corporate email</w:t>
            </w:r>
          </w:p>
        </w:tc>
        <w:tc>
          <w:tcPr>
            <w:tcW w:type="dxa" w:w="2304"/>
          </w:tcPr>
          <w:p>
            <w:pPr>
              <w:spacing w:after="20"/>
            </w:pPr>
            <w:r/>
            <w:r>
              <w:rPr>
                <w:sz w:val="15"/>
              </w:rPr>
              <w:t>Bray: priya.anand@…, collected for full period</w:t>
            </w:r>
          </w:p>
        </w:tc>
        <w:tc>
          <w:tcPr>
            <w:tcW w:type="dxa" w:w="2592"/>
          </w:tcPr>
          <w:p>
            <w:pPr>
              <w:spacing w:after="20"/>
            </w:pPr>
            <w:r/>
            <w:r>
              <w:rPr>
                <w:sz w:val="15"/>
              </w:rPr>
              <w:t>Stratton: pranand@…, collected Feb. 10; Tracker: Feb. 12</w:t>
            </w:r>
          </w:p>
        </w:tc>
        <w:tc>
          <w:tcPr>
            <w:tcW w:type="dxa" w:w="2304"/>
          </w:tcPr>
          <w:p>
            <w:pPr>
              <w:spacing w:after="20"/>
            </w:pPr>
            <w:r/>
            <w:r>
              <w:rPr>
                <w:sz w:val="15"/>
              </w:rPr>
              <w:t>Accuracy of the collection description.</w:t>
            </w:r>
          </w:p>
        </w:tc>
      </w:tr>
      <w:tr>
        <w:tc>
          <w:tcPr>
            <w:tcW w:type="dxa" w:w="432"/>
          </w:tcPr>
          <w:p>
            <w:pPr>
              <w:spacing w:after="20"/>
            </w:pPr>
            <w:r/>
            <w:r>
              <w:rPr>
                <w:sz w:val="15"/>
              </w:rPr>
              <w:t>21</w:t>
            </w:r>
          </w:p>
        </w:tc>
        <w:tc>
          <w:tcPr>
            <w:tcW w:type="dxa" w:w="1728"/>
          </w:tcPr>
          <w:p>
            <w:pPr>
              <w:spacing w:after="20"/>
            </w:pPr>
            <w:r/>
            <w:r>
              <w:rPr>
                <w:sz w:val="15"/>
              </w:rPr>
              <w:t>Collection timing</w:t>
            </w:r>
          </w:p>
        </w:tc>
        <w:tc>
          <w:tcPr>
            <w:tcW w:type="dxa" w:w="2304"/>
          </w:tcPr>
          <w:p>
            <w:pPr>
              <w:spacing w:after="20"/>
            </w:pPr>
            <w:r/>
            <w:r>
              <w:rPr>
                <w:sz w:val="15"/>
              </w:rPr>
              <w:t>Stratton: collections began Jan. 27; data available Feb. 10</w:t>
            </w:r>
          </w:p>
        </w:tc>
        <w:tc>
          <w:tcPr>
            <w:tcW w:type="dxa" w:w="2592"/>
          </w:tcPr>
          <w:p>
            <w:pPr>
              <w:spacing w:after="20"/>
            </w:pPr>
            <w:r/>
            <w:r>
              <w:rPr>
                <w:sz w:val="15"/>
              </w:rPr>
              <w:t>Tracker: collection began Jan. 28; processing began Feb. 18</w:t>
            </w:r>
          </w:p>
        </w:tc>
        <w:tc>
          <w:tcPr>
            <w:tcW w:type="dxa" w:w="2304"/>
          </w:tcPr>
          <w:p>
            <w:pPr>
              <w:spacing w:after="20"/>
            </w:pPr>
            <w:r/>
            <w:r>
              <w:rPr>
                <w:sz w:val="15"/>
              </w:rPr>
              <w:t>Accuracy of the methodology description.</w:t>
            </w:r>
          </w:p>
        </w:tc>
      </w:tr>
    </w:tbl>
    <w:p>
      <w:pPr>
        <w:spacing w:after="40"/>
      </w:pPr>
    </w:p>
    <w:p>
      <w:pPr>
        <w:pStyle w:val="Heading1"/>
      </w:pPr>
      <w:r>
        <w:t>Appendix B — Expected-vs-Produced Reference for High-Risk Items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168"/>
            <w:shd w:val="clear" w:color="auto" w:fill="D9E1F2"/>
          </w:tcPr>
          <w:p>
            <w:r>
              <w:rPr>
                <w:b/>
              </w:rPr>
            </w:r>
            <w:r>
              <w:rPr>
                <w:b/>
                <w:sz w:val="16"/>
              </w:rPr>
              <w:t>Item that should exist</w:t>
            </w:r>
          </w:p>
        </w:tc>
        <w:tc>
          <w:tcPr>
            <w:tcW w:type="dxa" w:w="2880"/>
            <w:shd w:val="clear" w:color="auto" w:fill="D9E1F2"/>
          </w:tcPr>
          <w:p>
            <w:r>
              <w:rPr>
                <w:b/>
              </w:rPr>
            </w:r>
            <w:r>
              <w:rPr>
                <w:b/>
                <w:sz w:val="16"/>
              </w:rPr>
              <w:t>Basis in our records</w:t>
            </w:r>
          </w:p>
        </w:tc>
        <w:tc>
          <w:tcPr>
            <w:tcW w:type="dxa" w:w="2016"/>
            <w:shd w:val="clear" w:color="auto" w:fill="D9E1F2"/>
          </w:tcPr>
          <w:p>
            <w:r>
              <w:rPr>
                <w:b/>
              </w:rPr>
            </w:r>
            <w:r>
              <w:rPr>
                <w:b/>
                <w:sz w:val="16"/>
              </w:rPr>
              <w:t>Produced?</w:t>
            </w:r>
          </w:p>
        </w:tc>
        <w:tc>
          <w:tcPr>
            <w:tcW w:type="dxa" w:w="1296"/>
            <w:shd w:val="clear" w:color="auto" w:fill="D9E1F2"/>
          </w:tcPr>
          <w:p>
            <w:r>
              <w:rPr>
                <w:b/>
              </w:rPr>
            </w:r>
            <w:r>
              <w:rPr>
                <w:b/>
                <w:sz w:val="16"/>
              </w:rPr>
              <w:t>Request(s)</w:t>
            </w:r>
          </w:p>
        </w:tc>
      </w:tr>
      <w:tr>
        <w:tc>
          <w:tcPr>
            <w:tcW w:type="dxa" w:w="3168"/>
          </w:tcPr>
          <w:p>
            <w:pPr>
              <w:spacing w:after="20"/>
            </w:pPr>
            <w:r/>
            <w:r>
              <w:rPr>
                <w:sz w:val="16"/>
              </w:rPr>
              <w:t>Webb email to Cheng-Rourke, Aug. 14, 2021; Cheng-Rourke forward to Anand; Anand reply</w:t>
            </w:r>
          </w:p>
        </w:tc>
        <w:tc>
          <w:tcPr>
            <w:tcW w:type="dxa" w:w="2880"/>
          </w:tcPr>
          <w:p>
            <w:pPr>
              <w:spacing w:after="20"/>
            </w:pPr>
            <w:r/>
            <w:r>
              <w:rPr>
                <w:sz w:val="16"/>
              </w:rPr>
              <w:t>Cheng-Rourke interview §§ VI, X; Tracker Req. 9 note</w:t>
            </w:r>
          </w:p>
        </w:tc>
        <w:tc>
          <w:tcPr>
            <w:tcW w:type="dxa" w:w="2016"/>
          </w:tcPr>
          <w:p>
            <w:pPr>
              <w:spacing w:after="20"/>
            </w:pPr>
            <w:r/>
            <w:r>
              <w:rPr>
                <w:sz w:val="16"/>
              </w:rPr>
              <w:t>No — coded non-responsive</w:t>
            </w:r>
          </w:p>
        </w:tc>
        <w:tc>
          <w:tcPr>
            <w:tcW w:type="dxa" w:w="1296"/>
          </w:tcPr>
          <w:p>
            <w:pPr>
              <w:spacing w:after="20"/>
            </w:pPr>
            <w:r/>
            <w:r>
              <w:rPr>
                <w:sz w:val="16"/>
              </w:rPr>
              <w:t>9, 3, 4</w:t>
            </w:r>
          </w:p>
        </w:tc>
      </w:tr>
      <w:tr>
        <w:tc>
          <w:tcPr>
            <w:tcW w:type="dxa" w:w="3168"/>
          </w:tcPr>
          <w:p>
            <w:pPr>
              <w:spacing w:after="20"/>
            </w:pPr>
            <w:r/>
            <w:r>
              <w:rPr>
                <w:sz w:val="16"/>
              </w:rPr>
              <w:t>MedCore board minutes and packages, Q3 2021 (approx. Sept. 2021) and Q1 2022 (approx. Mar. 2022)</w:t>
            </w:r>
          </w:p>
        </w:tc>
        <w:tc>
          <w:tcPr>
            <w:tcW w:type="dxa" w:w="2880"/>
          </w:tcPr>
          <w:p>
            <w:pPr>
              <w:spacing w:after="20"/>
            </w:pPr>
            <w:r/>
            <w:r>
              <w:rPr>
                <w:sz w:val="16"/>
              </w:rPr>
              <w:t>Cheng-Rourke interview § IV; Stratton § 5.1; Bray item 4</w:t>
            </w:r>
          </w:p>
        </w:tc>
        <w:tc>
          <w:tcPr>
            <w:tcW w:type="dxa" w:w="2016"/>
          </w:tcPr>
          <w:p>
            <w:pPr>
              <w:spacing w:after="20"/>
            </w:pPr>
            <w:r/>
            <w:r>
              <w:rPr>
                <w:sz w:val="16"/>
              </w:rPr>
              <w:t>No — on uncollected SharePoint</w:t>
            </w:r>
          </w:p>
        </w:tc>
        <w:tc>
          <w:tcPr>
            <w:tcW w:type="dxa" w:w="1296"/>
          </w:tcPr>
          <w:p>
            <w:pPr>
              <w:spacing w:after="20"/>
            </w:pPr>
            <w:r/>
            <w:r>
              <w:rPr>
                <w:sz w:val="16"/>
              </w:rPr>
              <w:t>7, 2, 3, 8, 18</w:t>
            </w:r>
          </w:p>
        </w:tc>
      </w:tr>
      <w:tr>
        <w:tc>
          <w:tcPr>
            <w:tcW w:type="dxa" w:w="3168"/>
          </w:tcPr>
          <w:p>
            <w:pPr>
              <w:spacing w:after="20"/>
            </w:pPr>
            <w:r/>
            <w:r>
              <w:rPr>
                <w:sz w:val="16"/>
              </w:rPr>
              <w:t>510(k) submissions MC-510k-2021-04 (June 2021) and MC-510k-2022-01 (Feb. 2022), FDA correspondence, validation data</w:t>
            </w:r>
          </w:p>
        </w:tc>
        <w:tc>
          <w:tcPr>
            <w:tcW w:type="dxa" w:w="2880"/>
          </w:tcPr>
          <w:p>
            <w:pPr>
              <w:spacing w:after="20"/>
            </w:pPr>
            <w:r/>
            <w:r>
              <w:rPr>
                <w:sz w:val="16"/>
              </w:rPr>
              <w:t>Bray item 3; Stratton § 5.2; Tracker</w:t>
            </w:r>
          </w:p>
        </w:tc>
        <w:tc>
          <w:tcPr>
            <w:tcW w:type="dxa" w:w="2016"/>
          </w:tcPr>
          <w:p>
            <w:pPr>
              <w:spacing w:after="20"/>
            </w:pPr>
            <w:r/>
            <w:r>
              <w:rPr>
                <w:sz w:val="16"/>
              </w:rPr>
              <w:t>No — Documentum not collected</w:t>
            </w:r>
          </w:p>
        </w:tc>
        <w:tc>
          <w:tcPr>
            <w:tcW w:type="dxa" w:w="1296"/>
          </w:tcPr>
          <w:p>
            <w:pPr>
              <w:spacing w:after="20"/>
            </w:pPr>
            <w:r/>
            <w:r>
              <w:rPr>
                <w:sz w:val="16"/>
              </w:rPr>
              <w:t>3</w:t>
            </w:r>
          </w:p>
        </w:tc>
      </w:tr>
      <w:tr>
        <w:tc>
          <w:tcPr>
            <w:tcW w:type="dxa" w:w="3168"/>
          </w:tcPr>
          <w:p>
            <w:pPr>
              <w:spacing w:after="20"/>
            </w:pPr>
            <w:r/>
            <w:r>
              <w:rPr>
                <w:sz w:val="16"/>
              </w:rPr>
              <w:t>MedCore “summary data sheet” of VeriScan Pro performance used in the CIM</w:t>
            </w:r>
          </w:p>
        </w:tc>
        <w:tc>
          <w:tcPr>
            <w:tcW w:type="dxa" w:w="2880"/>
          </w:tcPr>
          <w:p>
            <w:pPr>
              <w:spacing w:after="20"/>
            </w:pPr>
            <w:r/>
            <w:r>
              <w:rPr>
                <w:sz w:val="16"/>
              </w:rPr>
              <w:t>Krell interview § 5</w:t>
            </w:r>
          </w:p>
        </w:tc>
        <w:tc>
          <w:tcPr>
            <w:tcW w:type="dxa" w:w="2016"/>
          </w:tcPr>
          <w:p>
            <w:pPr>
              <w:spacing w:after="20"/>
            </w:pPr>
            <w:r/>
            <w:r>
              <w:rPr>
                <w:sz w:val="16"/>
              </w:rPr>
              <w:t>Unknown — verify</w:t>
            </w:r>
          </w:p>
        </w:tc>
        <w:tc>
          <w:tcPr>
            <w:tcW w:type="dxa" w:w="1296"/>
          </w:tcPr>
          <w:p>
            <w:pPr>
              <w:spacing w:after="20"/>
            </w:pPr>
            <w:r/>
            <w:r>
              <w:rPr>
                <w:sz w:val="16"/>
              </w:rPr>
              <w:t>4, 3</w:t>
            </w:r>
          </w:p>
        </w:tc>
      </w:tr>
      <w:tr>
        <w:tc>
          <w:tcPr>
            <w:tcW w:type="dxa" w:w="3168"/>
          </w:tcPr>
          <w:p>
            <w:pPr>
              <w:spacing w:after="20"/>
            </w:pPr>
            <w:r/>
            <w:r>
              <w:rPr>
                <w:sz w:val="16"/>
              </w:rPr>
              <w:t>CIM drafts (six or seven) and the final CIM (approx. July 2022)</w:t>
            </w:r>
          </w:p>
        </w:tc>
        <w:tc>
          <w:tcPr>
            <w:tcW w:type="dxa" w:w="2880"/>
          </w:tcPr>
          <w:p>
            <w:pPr>
              <w:spacing w:after="20"/>
            </w:pPr>
            <w:r/>
            <w:r>
              <w:rPr>
                <w:sz w:val="16"/>
              </w:rPr>
              <w:t>Krell interview § 5</w:t>
            </w:r>
          </w:p>
        </w:tc>
        <w:tc>
          <w:tcPr>
            <w:tcW w:type="dxa" w:w="2016"/>
          </w:tcPr>
          <w:p>
            <w:pPr>
              <w:spacing w:after="20"/>
            </w:pPr>
            <w:r/>
            <w:r>
              <w:rPr>
                <w:sz w:val="16"/>
              </w:rPr>
              <w:t>Partially (CIM drafts included per Tracker)</w:t>
            </w:r>
          </w:p>
        </w:tc>
        <w:tc>
          <w:tcPr>
            <w:tcW w:type="dxa" w:w="1296"/>
          </w:tcPr>
          <w:p>
            <w:pPr>
              <w:spacing w:after="20"/>
            </w:pPr>
            <w:r/>
            <w:r>
              <w:rPr>
                <w:sz w:val="16"/>
              </w:rPr>
              <w:t>4</w:t>
            </w:r>
          </w:p>
        </w:tc>
      </w:tr>
      <w:tr>
        <w:tc>
          <w:tcPr>
            <w:tcW w:type="dxa" w:w="3168"/>
          </w:tcPr>
          <w:p>
            <w:pPr>
              <w:spacing w:after="20"/>
            </w:pPr>
            <w:r/>
            <w:r>
              <w:rPr>
                <w:sz w:val="16"/>
              </w:rPr>
              <w:t>Intralinks data-room index, contents, Q&amp;A and access logs</w:t>
            </w:r>
          </w:p>
        </w:tc>
        <w:tc>
          <w:tcPr>
            <w:tcW w:type="dxa" w:w="2880"/>
          </w:tcPr>
          <w:p>
            <w:pPr>
              <w:spacing w:after="20"/>
            </w:pPr>
            <w:r/>
            <w:r>
              <w:rPr>
                <w:sz w:val="16"/>
              </w:rPr>
              <w:t>Krell interview § 5</w:t>
            </w:r>
          </w:p>
        </w:tc>
        <w:tc>
          <w:tcPr>
            <w:tcW w:type="dxa" w:w="2016"/>
          </w:tcPr>
          <w:p>
            <w:pPr>
              <w:spacing w:after="20"/>
            </w:pPr>
            <w:r/>
            <w:r>
              <w:rPr>
                <w:sz w:val="16"/>
              </w:rPr>
              <w:t>No — not a collected source</w:t>
            </w:r>
          </w:p>
        </w:tc>
        <w:tc>
          <w:tcPr>
            <w:tcW w:type="dxa" w:w="1296"/>
          </w:tcPr>
          <w:p>
            <w:pPr>
              <w:spacing w:after="20"/>
            </w:pPr>
            <w:r/>
            <w:r>
              <w:rPr>
                <w:sz w:val="16"/>
              </w:rPr>
              <w:t>4, 5</w:t>
            </w:r>
          </w:p>
        </w:tc>
      </w:tr>
      <w:tr>
        <w:tc>
          <w:tcPr>
            <w:tcW w:type="dxa" w:w="3168"/>
          </w:tcPr>
          <w:p>
            <w:pPr>
              <w:spacing w:after="20"/>
            </w:pPr>
            <w:r/>
            <w:r>
              <w:rPr>
                <w:sz w:val="16"/>
              </w:rPr>
              <w:t>Cromdale engagement letter and fee, tail or minimum-fee terms</w:t>
            </w:r>
          </w:p>
        </w:tc>
        <w:tc>
          <w:tcPr>
            <w:tcW w:type="dxa" w:w="2880"/>
          </w:tcPr>
          <w:p>
            <w:pPr>
              <w:spacing w:after="20"/>
            </w:pPr>
            <w:r/>
            <w:r>
              <w:rPr>
                <w:sz w:val="16"/>
              </w:rPr>
              <w:t>Krell interview §§ 5, 10</w:t>
            </w:r>
          </w:p>
        </w:tc>
        <w:tc>
          <w:tcPr>
            <w:tcW w:type="dxa" w:w="2016"/>
          </w:tcPr>
          <w:p>
            <w:pPr>
              <w:spacing w:after="20"/>
            </w:pPr>
            <w:r/>
            <w:r>
              <w:rPr>
                <w:sz w:val="16"/>
              </w:rPr>
              <w:t>Engagement documents included per Tracker; fee terms to be verified</w:t>
            </w:r>
          </w:p>
        </w:tc>
        <w:tc>
          <w:tcPr>
            <w:tcW w:type="dxa" w:w="1296"/>
          </w:tcPr>
          <w:p>
            <w:pPr>
              <w:spacing w:after="20"/>
            </w:pPr>
            <w:r/>
            <w:r>
              <w:rPr>
                <w:sz w:val="16"/>
              </w:rPr>
              <w:t>6</w:t>
            </w:r>
          </w:p>
        </w:tc>
      </w:tr>
      <w:tr>
        <w:tc>
          <w:tcPr>
            <w:tcW w:type="dxa" w:w="3168"/>
          </w:tcPr>
          <w:p>
            <w:pPr>
              <w:spacing w:after="20"/>
            </w:pPr>
            <w:r/>
            <w:r>
              <w:rPr>
                <w:sz w:val="16"/>
              </w:rPr>
              <w:t>Whitford–Cromdale WhatsApp group chat</w:t>
            </w:r>
          </w:p>
        </w:tc>
        <w:tc>
          <w:tcPr>
            <w:tcW w:type="dxa" w:w="2880"/>
          </w:tcPr>
          <w:p>
            <w:pPr>
              <w:spacing w:after="20"/>
            </w:pPr>
            <w:r/>
            <w:r>
              <w:rPr>
                <w:sz w:val="16"/>
              </w:rPr>
              <w:t>Krell interview § 9</w:t>
            </w:r>
          </w:p>
        </w:tc>
        <w:tc>
          <w:tcPr>
            <w:tcW w:type="dxa" w:w="2016"/>
          </w:tcPr>
          <w:p>
            <w:pPr>
              <w:spacing w:after="20"/>
            </w:pPr>
            <w:r/>
            <w:r>
              <w:rPr>
                <w:sz w:val="16"/>
              </w:rPr>
              <w:t>No — lost on Whitford device; seek from Cromdale and Krell forwards</w:t>
            </w:r>
          </w:p>
        </w:tc>
        <w:tc>
          <w:tcPr>
            <w:tcW w:type="dxa" w:w="1296"/>
          </w:tcPr>
          <w:p>
            <w:pPr>
              <w:spacing w:after="20"/>
            </w:pPr>
            <w:r/>
            <w:r>
              <w:rPr>
                <w:sz w:val="16"/>
              </w:rPr>
              <w:t>6, 15, 4, 5</w:t>
            </w:r>
          </w:p>
        </w:tc>
      </w:tr>
      <w:tr>
        <w:tc>
          <w:tcPr>
            <w:tcW w:type="dxa" w:w="3168"/>
          </w:tcPr>
          <w:p>
            <w:pPr>
              <w:spacing w:after="20"/>
            </w:pPr>
            <w:r/>
            <w:r>
              <w:rPr>
                <w:sz w:val="16"/>
              </w:rPr>
              <w:t>Ridgeline and MedCore document-retention policies (2019–2023)</w:t>
            </w:r>
          </w:p>
        </w:tc>
        <w:tc>
          <w:tcPr>
            <w:tcW w:type="dxa" w:w="2880"/>
          </w:tcPr>
          <w:p>
            <w:pPr>
              <w:spacing w:after="20"/>
            </w:pPr>
            <w:r/>
            <w:r>
              <w:rPr>
                <w:sz w:val="16"/>
              </w:rPr>
              <w:t>Subpoena Req. 16(d)</w:t>
            </w:r>
          </w:p>
        </w:tc>
        <w:tc>
          <w:tcPr>
            <w:tcW w:type="dxa" w:w="2016"/>
          </w:tcPr>
          <w:p>
            <w:pPr>
              <w:spacing w:after="20"/>
            </w:pPr>
            <w:r/>
            <w:r>
              <w:rPr>
                <w:sz w:val="16"/>
              </w:rPr>
              <w:t>No</w:t>
            </w:r>
          </w:p>
        </w:tc>
        <w:tc>
          <w:tcPr>
            <w:tcW w:type="dxa" w:w="1296"/>
          </w:tcPr>
          <w:p>
            <w:pPr>
              <w:spacing w:after="20"/>
            </w:pPr>
            <w:r/>
            <w:r>
              <w:rPr>
                <w:sz w:val="16"/>
              </w:rPr>
              <w:t>16</w:t>
            </w:r>
          </w:p>
        </w:tc>
      </w:tr>
      <w:tr>
        <w:tc>
          <w:tcPr>
            <w:tcW w:type="dxa" w:w="3168"/>
          </w:tcPr>
          <w:p>
            <w:pPr>
              <w:spacing w:after="20"/>
            </w:pPr>
            <w:r/>
            <w:r>
              <w:rPr>
                <w:sz w:val="16"/>
              </w:rPr>
              <w:t>Any MedCore review of the Webb concerns</w:t>
            </w:r>
          </w:p>
        </w:tc>
        <w:tc>
          <w:tcPr>
            <w:tcW w:type="dxa" w:w="2880"/>
          </w:tcPr>
          <w:p>
            <w:pPr>
              <w:spacing w:after="20"/>
            </w:pPr>
            <w:r/>
            <w:r>
              <w:rPr>
                <w:sz w:val="16"/>
              </w:rPr>
              <w:t>Cheng-Rourke interview § VI (Anand: data “validated through internal protocols”)</w:t>
            </w:r>
          </w:p>
        </w:tc>
        <w:tc>
          <w:tcPr>
            <w:tcW w:type="dxa" w:w="2016"/>
          </w:tcPr>
          <w:p>
            <w:pPr>
              <w:spacing w:after="20"/>
            </w:pPr>
            <w:r/>
            <w:r>
              <w:rPr>
                <w:sz w:val="16"/>
              </w:rPr>
              <w:t>No</w:t>
            </w:r>
          </w:p>
        </w:tc>
        <w:tc>
          <w:tcPr>
            <w:tcW w:type="dxa" w:w="1296"/>
          </w:tcPr>
          <w:p>
            <w:pPr>
              <w:spacing w:after="20"/>
            </w:pPr>
            <w:r/>
            <w:r>
              <w:rPr>
                <w:sz w:val="16"/>
              </w:rPr>
              <w:t>9, 16</w:t>
            </w:r>
          </w:p>
        </w:tc>
      </w:tr>
    </w:tbl>
    <w:p>
      <w:pPr>
        <w:spacing w:after="40"/>
      </w:pPr>
    </w:p>
    <w:p>
      <w:pPr>
        <w:pStyle w:val="Heading1"/>
      </w:pPr>
      <w:r>
        <w:t>Appendix C — Documents Reviewed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5184"/>
            <w:shd w:val="clear" w:color="auto" w:fill="D9E1F2"/>
          </w:tcPr>
          <w:p>
            <w:r>
              <w:rPr>
                <w:b/>
              </w:rPr>
            </w:r>
            <w:r>
              <w:rPr>
                <w:b/>
                <w:sz w:val="16"/>
              </w:rPr>
              <w:t>Document</w:t>
            </w:r>
          </w:p>
        </w:tc>
        <w:tc>
          <w:tcPr>
            <w:tcW w:type="dxa" w:w="1872"/>
            <w:shd w:val="clear" w:color="auto" w:fill="D9E1F2"/>
          </w:tcPr>
          <w:p>
            <w:r>
              <w:rPr>
                <w:b/>
              </w:rPr>
            </w:r>
            <w:r>
              <w:rPr>
                <w:b/>
                <w:sz w:val="16"/>
              </w:rPr>
              <w:t>Date</w:t>
            </w:r>
          </w:p>
        </w:tc>
        <w:tc>
          <w:tcPr>
            <w:tcW w:type="dxa" w:w="2304"/>
            <w:shd w:val="clear" w:color="auto" w:fill="D9E1F2"/>
          </w:tcPr>
          <w:p>
            <w:r>
              <w:rPr>
                <w:b/>
              </w:rPr>
            </w:r>
            <w:r>
              <w:rPr>
                <w:b/>
                <w:sz w:val="16"/>
              </w:rPr>
              <w:t>Relevance</w:t>
            </w:r>
          </w:p>
        </w:tc>
      </w:tr>
      <w:tr>
        <w:tc>
          <w:tcPr>
            <w:tcW w:type="dxa" w:w="5184"/>
          </w:tcPr>
          <w:p>
            <w:pPr>
              <w:spacing w:after="20"/>
            </w:pPr>
            <w:r/>
            <w:r>
              <w:rPr>
                <w:sz w:val="16"/>
              </w:rPr>
              <w:t>Grand Jury Subpoena (AO 110), Grand Jury No. 24-GJ-0387, with Instructions, Definitions, Schedule A (Requests 1–18) and General Instructions A–H</w:t>
            </w:r>
          </w:p>
        </w:tc>
        <w:tc>
          <w:tcPr>
            <w:tcW w:type="dxa" w:w="1872"/>
          </w:tcPr>
          <w:p>
            <w:pPr>
              <w:spacing w:after="20"/>
            </w:pPr>
            <w:r/>
            <w:r>
              <w:rPr>
                <w:sz w:val="16"/>
              </w:rPr>
              <w:t>Jan. 14, 2025</w:t>
            </w:r>
          </w:p>
        </w:tc>
        <w:tc>
          <w:tcPr>
            <w:tcW w:type="dxa" w:w="2304"/>
          </w:tcPr>
          <w:p>
            <w:pPr>
              <w:spacing w:after="20"/>
            </w:pPr>
            <w:r/>
            <w:r>
              <w:rPr>
                <w:sz w:val="16"/>
              </w:rPr>
              <w:t>Governing scope</w:t>
            </w:r>
          </w:p>
        </w:tc>
      </w:tr>
      <w:tr>
        <w:tc>
          <w:tcPr>
            <w:tcW w:type="dxa" w:w="5184"/>
          </w:tcPr>
          <w:p>
            <w:pPr>
              <w:spacing w:after="20"/>
            </w:pPr>
            <w:r/>
            <w:r>
              <w:rPr>
                <w:sz w:val="16"/>
              </w:rPr>
              <w:t>HRK Production Protocol letter to AUSA Navarro</w:t>
            </w:r>
          </w:p>
        </w:tc>
        <w:tc>
          <w:tcPr>
            <w:tcW w:type="dxa" w:w="1872"/>
          </w:tcPr>
          <w:p>
            <w:pPr>
              <w:spacing w:after="20"/>
            </w:pPr>
            <w:r/>
            <w:r>
              <w:rPr>
                <w:sz w:val="16"/>
              </w:rPr>
              <w:t>Feb. 21, 2025</w:t>
            </w:r>
          </w:p>
        </w:tc>
        <w:tc>
          <w:tcPr>
            <w:tcW w:type="dxa" w:w="2304"/>
          </w:tcPr>
          <w:p>
            <w:pPr>
              <w:spacing w:after="20"/>
            </w:pPr>
            <w:r/>
            <w:r>
              <w:rPr>
                <w:sz w:val="16"/>
              </w:rPr>
              <w:t>Agreed procedures (unsigned copy)</w:t>
            </w:r>
          </w:p>
        </w:tc>
      </w:tr>
      <w:tr>
        <w:tc>
          <w:tcPr>
            <w:tcW w:type="dxa" w:w="5184"/>
          </w:tcPr>
          <w:p>
            <w:pPr>
              <w:spacing w:after="20"/>
            </w:pPr>
            <w:r/>
            <w:r>
              <w:rPr>
                <w:sz w:val="16"/>
              </w:rPr>
              <w:t>Production Tracker (Summary; Per-Category Detail; Custodian Breakdown; Privilege Log Summary; Production Timeline)</w:t>
            </w:r>
          </w:p>
        </w:tc>
        <w:tc>
          <w:tcPr>
            <w:tcW w:type="dxa" w:w="1872"/>
          </w:tcPr>
          <w:p>
            <w:pPr>
              <w:spacing w:after="20"/>
            </w:pPr>
            <w:r/>
            <w:r>
              <w:rPr>
                <w:sz w:val="16"/>
              </w:rPr>
              <w:t>Updated Apr. 10, 2025</w:t>
            </w:r>
          </w:p>
        </w:tc>
        <w:tc>
          <w:tcPr>
            <w:tcW w:type="dxa" w:w="2304"/>
          </w:tcPr>
          <w:p>
            <w:pPr>
              <w:spacing w:after="20"/>
            </w:pPr>
            <w:r/>
            <w:r>
              <w:rPr>
                <w:sz w:val="16"/>
              </w:rPr>
              <w:t>Production metrics</w:t>
            </w:r>
          </w:p>
        </w:tc>
      </w:tr>
      <w:tr>
        <w:tc>
          <w:tcPr>
            <w:tcW w:type="dxa" w:w="5184"/>
          </w:tcPr>
          <w:p>
            <w:pPr>
              <w:spacing w:after="20"/>
            </w:pPr>
            <w:r/>
            <w:r>
              <w:rPr>
                <w:sz w:val="16"/>
              </w:rPr>
              <w:t>Stratton Custodian Collection Summary Memorandum</w:t>
            </w:r>
          </w:p>
        </w:tc>
        <w:tc>
          <w:tcPr>
            <w:tcW w:type="dxa" w:w="1872"/>
          </w:tcPr>
          <w:p>
            <w:pPr>
              <w:spacing w:after="20"/>
            </w:pPr>
            <w:r/>
            <w:r>
              <w:rPr>
                <w:sz w:val="16"/>
              </w:rPr>
              <w:t>Apr. 8, 2025</w:t>
            </w:r>
          </w:p>
        </w:tc>
        <w:tc>
          <w:tcPr>
            <w:tcW w:type="dxa" w:w="2304"/>
          </w:tcPr>
          <w:p>
            <w:pPr>
              <w:spacing w:after="20"/>
            </w:pPr>
            <w:r/>
            <w:r>
              <w:rPr>
                <w:sz w:val="16"/>
              </w:rPr>
              <w:t>Collection scope and exceptions</w:t>
            </w:r>
          </w:p>
        </w:tc>
      </w:tr>
      <w:tr>
        <w:tc>
          <w:tcPr>
            <w:tcW w:type="dxa" w:w="5184"/>
          </w:tcPr>
          <w:p>
            <w:pPr>
              <w:spacing w:after="20"/>
            </w:pPr>
            <w:r/>
            <w:r>
              <w:rPr>
                <w:sz w:val="16"/>
              </w:rPr>
              <w:t>A. Bray email to J. Tavares re outstanding collection gaps</w:t>
            </w:r>
          </w:p>
        </w:tc>
        <w:tc>
          <w:tcPr>
            <w:tcW w:type="dxa" w:w="1872"/>
          </w:tcPr>
          <w:p>
            <w:pPr>
              <w:spacing w:after="20"/>
            </w:pPr>
            <w:r/>
            <w:r>
              <w:rPr>
                <w:sz w:val="16"/>
              </w:rPr>
              <w:t>Mar. 28, 2025</w:t>
            </w:r>
          </w:p>
        </w:tc>
        <w:tc>
          <w:tcPr>
            <w:tcW w:type="dxa" w:w="2304"/>
          </w:tcPr>
          <w:p>
            <w:pPr>
              <w:spacing w:after="20"/>
            </w:pPr>
            <w:r/>
            <w:r>
              <w:rPr>
                <w:sz w:val="16"/>
              </w:rPr>
              <w:t>Collection gaps</w:t>
            </w:r>
          </w:p>
        </w:tc>
      </w:tr>
      <w:tr>
        <w:tc>
          <w:tcPr>
            <w:tcW w:type="dxa" w:w="5184"/>
          </w:tcPr>
          <w:p>
            <w:pPr>
              <w:spacing w:after="20"/>
            </w:pPr>
            <w:r/>
            <w:r>
              <w:rPr>
                <w:sz w:val="16"/>
              </w:rPr>
              <w:t>Interview memorandum — Diana Cheng-Rourke</w:t>
            </w:r>
          </w:p>
        </w:tc>
        <w:tc>
          <w:tcPr>
            <w:tcW w:type="dxa" w:w="1872"/>
          </w:tcPr>
          <w:p>
            <w:pPr>
              <w:spacing w:after="20"/>
            </w:pPr>
            <w:r/>
            <w:r>
              <w:rPr>
                <w:sz w:val="16"/>
              </w:rPr>
              <w:t>Mar. 18, 2025 (interview Mar. 12)</w:t>
            </w:r>
          </w:p>
        </w:tc>
        <w:tc>
          <w:tcPr>
            <w:tcW w:type="dxa" w:w="2304"/>
          </w:tcPr>
          <w:p>
            <w:pPr>
              <w:spacing w:after="20"/>
            </w:pPr>
            <w:r/>
            <w:r>
              <w:rPr>
                <w:sz w:val="16"/>
              </w:rPr>
              <w:t>Webb email; board meetings; CIM</w:t>
            </w:r>
          </w:p>
        </w:tc>
      </w:tr>
      <w:tr>
        <w:tc>
          <w:tcPr>
            <w:tcW w:type="dxa" w:w="5184"/>
          </w:tcPr>
          <w:p>
            <w:pPr>
              <w:spacing w:after="20"/>
            </w:pPr>
            <w:r/>
            <w:r>
              <w:rPr>
                <w:sz w:val="16"/>
              </w:rPr>
              <w:t>Interview memorandum — Tobias Krell</w:t>
            </w:r>
          </w:p>
        </w:tc>
        <w:tc>
          <w:tcPr>
            <w:tcW w:type="dxa" w:w="1872"/>
          </w:tcPr>
          <w:p>
            <w:pPr>
              <w:spacing w:after="20"/>
            </w:pPr>
            <w:r/>
            <w:r>
              <w:rPr>
                <w:sz w:val="16"/>
              </w:rPr>
              <w:t>Mar. 18, 2025 (interview Mar. 14)</w:t>
            </w:r>
          </w:p>
        </w:tc>
        <w:tc>
          <w:tcPr>
            <w:tcW w:type="dxa" w:w="2304"/>
          </w:tcPr>
          <w:p>
            <w:pPr>
              <w:spacing w:after="20"/>
            </w:pPr>
            <w:r/>
            <w:r>
              <w:rPr>
                <w:sz w:val="16"/>
              </w:rPr>
              <w:t>CIM; ACS; messaging; Cromdale</w:t>
            </w:r>
          </w:p>
        </w:tc>
      </w:tr>
      <w:tr>
        <w:tc>
          <w:tcPr>
            <w:tcW w:type="dxa" w:w="5184"/>
          </w:tcPr>
          <w:p>
            <w:pPr>
              <w:spacing w:after="20"/>
            </w:pPr>
            <w:r/>
            <w:r>
              <w:rPr>
                <w:sz w:val="16"/>
              </w:rPr>
              <w:t>HRK Document Review Protocol and Coding Guide v1.0</w:t>
            </w:r>
          </w:p>
        </w:tc>
        <w:tc>
          <w:tcPr>
            <w:tcW w:type="dxa" w:w="1872"/>
          </w:tcPr>
          <w:p>
            <w:pPr>
              <w:spacing w:after="20"/>
            </w:pPr>
            <w:r/>
            <w:r>
              <w:rPr>
                <w:sz w:val="16"/>
              </w:rPr>
              <w:t>Mar. 3, 2025</w:t>
            </w:r>
          </w:p>
        </w:tc>
        <w:tc>
          <w:tcPr>
            <w:tcW w:type="dxa" w:w="2304"/>
          </w:tcPr>
          <w:p>
            <w:pPr>
              <w:spacing w:after="20"/>
            </w:pPr>
            <w:r/>
            <w:r>
              <w:rPr>
                <w:sz w:val="16"/>
              </w:rPr>
              <w:t>Responsiveness and privilege criteria</w:t>
            </w:r>
          </w:p>
        </w:tc>
      </w:tr>
      <w:tr>
        <w:tc>
          <w:tcPr>
            <w:tcW w:type="dxa" w:w="5184"/>
          </w:tcPr>
          <w:p>
            <w:pPr>
              <w:spacing w:after="20"/>
            </w:pPr>
            <w:r/>
            <w:r>
              <w:rPr>
                <w:sz w:val="16"/>
              </w:rPr>
              <w:t>Other matter (not relied on): First Production Log (Categories A–N); Privilege Log (RC-PRIV-000001–000300); Thornfield &amp; Associates meet-and-confer notes (Mar. 20, 2025); SEC preservation letter (Oct. 28, 2024); 2023 Annual Report excerpt (RC-G-004182); Compliance Manual § 7 excerpt</w:t>
            </w:r>
          </w:p>
        </w:tc>
        <w:tc>
          <w:tcPr>
            <w:tcW w:type="dxa" w:w="1872"/>
          </w:tcPr>
          <w:p>
            <w:pPr>
              <w:spacing w:after="20"/>
            </w:pPr>
            <w:r/>
            <w:r>
              <w:rPr>
                <w:sz w:val="16"/>
              </w:rPr>
              <w:t>Various</w:t>
            </w:r>
          </w:p>
        </w:tc>
        <w:tc>
          <w:tcPr>
            <w:tcW w:type="dxa" w:w="2304"/>
          </w:tcPr>
          <w:p>
            <w:pPr>
              <w:spacing w:after="20"/>
            </w:pPr>
            <w:r/>
            <w:r>
              <w:rPr>
                <w:sz w:val="16"/>
              </w:rPr>
              <w:t>See Part II.B — sequester and confirm</w:t>
            </w:r>
          </w:p>
        </w:tc>
      </w:tr>
    </w:tbl>
    <w:p>
      <w:pPr>
        <w:spacing w:after="40"/>
      </w:pPr>
    </w:p>
    <w:p>
      <w:r>
        <w:rPr>
          <w:i/>
          <w:sz w:val="18"/>
        </w:rPr>
        <w:t>Case citations in this memorandum are provided for orientation and should be cite-checked before use in any external communication.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Privileged &amp; Confidential — Attorney Work Product — HRK Draft for M. Halstead   |   Page </w:t>
    </w: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