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r>
    </w:p>
    <w:p>
      <w:pPr>
        <w:jc w:val="center"/>
      </w:pPr>
      <w:r>
        <w:rPr>
          <w:b/>
          <w:sz w:val="19"/>
        </w:rPr>
        <w:t>ATTORNEY-CLIENT COMMUNICATION / ATTORNEY WORK PRODUCT / PREPARED IN ANTICIPATION OF LITIGATION</w:t>
      </w:r>
    </w:p>
    <w:p>
      <w:pPr>
        <w:jc w:val="center"/>
      </w:pPr>
      <w:r>
        <w:rPr>
          <w:b/>
          <w:sz w:val="26"/>
        </w:rPr>
        <w:t>THORNWELL &amp; PRATT LLP</w:t>
      </w:r>
    </w:p>
    <w:p>
      <w:pPr>
        <w:jc w:val="center"/>
      </w:pPr>
      <w:r>
        <w:rPr>
          <w:b/>
          <w:sz w:val="26"/>
        </w:rPr>
        <w:t>MEMORANDUM</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D9E2F3"/>
          </w:tcPr>
          <w:p>
            <w:r/>
            <w:r>
              <w:rPr>
                <w:b/>
                <w:sz w:val="21"/>
              </w:rPr>
            </w:r>
          </w:p>
        </w:tc>
        <w:tc>
          <w:tcPr>
            <w:tcW w:type="dxa" w:w="7200"/>
            <w:shd w:val="clear" w:color="auto" w:fill="D9E2F3"/>
          </w:tcPr>
          <w:p>
            <w:r/>
            <w:r>
              <w:rPr>
                <w:b/>
                <w:sz w:val="21"/>
              </w:rPr>
            </w:r>
          </w:p>
        </w:tc>
      </w:tr>
      <w:tr>
        <w:tc>
          <w:tcPr>
            <w:tcW w:type="dxa" w:w="2160"/>
          </w:tcPr>
          <w:p>
            <w:r>
              <w:rPr>
                <w:sz w:val="21"/>
              </w:rPr>
            </w:r>
            <w:r>
              <w:rPr>
                <w:sz w:val="21"/>
              </w:rPr>
              <w:t>TO:</w:t>
            </w:r>
          </w:p>
        </w:tc>
        <w:tc>
          <w:tcPr>
            <w:tcW w:type="dxa" w:w="7200"/>
          </w:tcPr>
          <w:p>
            <w:r>
              <w:rPr>
                <w:sz w:val="21"/>
              </w:rPr>
            </w:r>
            <w:r>
              <w:rPr>
                <w:sz w:val="21"/>
              </w:rPr>
              <w:t>Eleanor Voss, Partner</w:t>
            </w:r>
          </w:p>
        </w:tc>
      </w:tr>
      <w:tr>
        <w:tc>
          <w:tcPr>
            <w:tcW w:type="dxa" w:w="2160"/>
          </w:tcPr>
          <w:p>
            <w:r>
              <w:rPr>
                <w:sz w:val="21"/>
              </w:rPr>
            </w:r>
            <w:r>
              <w:rPr>
                <w:sz w:val="21"/>
              </w:rPr>
              <w:t>CC:</w:t>
            </w:r>
          </w:p>
        </w:tc>
        <w:tc>
          <w:tcPr>
            <w:tcW w:type="dxa" w:w="7200"/>
          </w:tcPr>
          <w:p>
            <w:r>
              <w:rPr>
                <w:sz w:val="21"/>
              </w:rPr>
            </w:r>
            <w:r>
              <w:rPr>
                <w:sz w:val="21"/>
              </w:rPr>
              <w:t>Jason Kiel, Senior Associate</w:t>
            </w:r>
          </w:p>
        </w:tc>
      </w:tr>
      <w:tr>
        <w:tc>
          <w:tcPr>
            <w:tcW w:type="dxa" w:w="2160"/>
          </w:tcPr>
          <w:p>
            <w:r>
              <w:rPr>
                <w:sz w:val="21"/>
              </w:rPr>
            </w:r>
            <w:r>
              <w:rPr>
                <w:sz w:val="21"/>
              </w:rPr>
              <w:t>FROM:</w:t>
            </w:r>
          </w:p>
        </w:tc>
        <w:tc>
          <w:tcPr>
            <w:tcW w:type="dxa" w:w="7200"/>
          </w:tcPr>
          <w:p>
            <w:r>
              <w:rPr>
                <w:sz w:val="21"/>
              </w:rPr>
            </w:r>
            <w:r>
              <w:rPr>
                <w:sz w:val="21"/>
              </w:rPr>
              <w:t>Antitrust &amp; Investigations Team</w:t>
            </w:r>
          </w:p>
        </w:tc>
      </w:tr>
      <w:tr>
        <w:tc>
          <w:tcPr>
            <w:tcW w:type="dxa" w:w="2160"/>
          </w:tcPr>
          <w:p>
            <w:r>
              <w:rPr>
                <w:sz w:val="21"/>
              </w:rPr>
            </w:r>
            <w:r>
              <w:rPr>
                <w:sz w:val="21"/>
              </w:rPr>
              <w:t>DATE:</w:t>
            </w:r>
          </w:p>
        </w:tc>
        <w:tc>
          <w:tcPr>
            <w:tcW w:type="dxa" w:w="7200"/>
          </w:tcPr>
          <w:p>
            <w:r>
              <w:rPr>
                <w:sz w:val="21"/>
              </w:rPr>
            </w:r>
            <w:r>
              <w:rPr>
                <w:sz w:val="21"/>
              </w:rPr>
              <w:t>October 16, 2024</w:t>
            </w:r>
          </w:p>
        </w:tc>
      </w:tr>
      <w:tr>
        <w:tc>
          <w:tcPr>
            <w:tcW w:type="dxa" w:w="2160"/>
          </w:tcPr>
          <w:p>
            <w:r>
              <w:rPr>
                <w:sz w:val="21"/>
              </w:rPr>
            </w:r>
            <w:r>
              <w:rPr>
                <w:sz w:val="21"/>
              </w:rPr>
              <w:t>CLIENT / MATTER:</w:t>
            </w:r>
          </w:p>
        </w:tc>
        <w:tc>
          <w:tcPr>
            <w:tcW w:type="dxa" w:w="7200"/>
          </w:tcPr>
          <w:p>
            <w:r>
              <w:rPr>
                <w:sz w:val="21"/>
              </w:rPr>
            </w:r>
            <w:r>
              <w:rPr>
                <w:sz w:val="21"/>
              </w:rPr>
              <w:t>Greenfield Organics, Inc. -- DOJ Antitrust Division Civil Investigative Demand No. 28-47293 (In the Matter of Organic Baby Food Products)</w:t>
            </w:r>
          </w:p>
        </w:tc>
      </w:tr>
      <w:tr>
        <w:tc>
          <w:tcPr>
            <w:tcW w:type="dxa" w:w="2160"/>
          </w:tcPr>
          <w:p>
            <w:r>
              <w:rPr>
                <w:sz w:val="21"/>
              </w:rPr>
            </w:r>
            <w:r>
              <w:rPr>
                <w:sz w:val="21"/>
              </w:rPr>
              <w:t>RE:</w:t>
            </w:r>
          </w:p>
        </w:tc>
        <w:tc>
          <w:tcPr>
            <w:tcW w:type="dxa" w:w="7200"/>
          </w:tcPr>
          <w:p>
            <w:r>
              <w:rPr>
                <w:sz w:val="21"/>
              </w:rPr>
            </w:r>
            <w:r>
              <w:rPr>
                <w:sz w:val="21"/>
              </w:rPr>
              <w:t>Issue Memorandum -- Substantive Exposure, Preservation, Privilege, CID Scope/Procedure, and Response Strategy</w:t>
            </w:r>
          </w:p>
        </w:tc>
      </w:tr>
    </w:tbl>
    <w:p>
      <w:pPr>
        <w:spacing w:after="40"/>
      </w:pPr>
    </w:p>
    <w:p>
      <w:pPr>
        <w:pStyle w:val="Heading1"/>
      </w:pPr>
      <w:r>
        <w:t>I. Executive Summary and Bottom Line</w:t>
      </w:r>
    </w:p>
    <w:p>
      <w:pPr>
        <w:jc w:val="both"/>
      </w:pPr>
      <w:r>
        <w:t>We reviewed the nine documents transmitted with David Yun-Nakamura's October 15, 2024 memorandum: (1) the CID and cover letter; (2) the GC memorandum; (3) the Hollister-Felding communications log (Excel, four tabs); (4) the Ridgeline engagement letter; (5) the Ridgeline report executive-summary excerpt; (6) the OINTA Pricing Index Database member guide; (7) the Greenfield Document Retention Policy (GOI-CORP-2020-003); (8) the Cloudbridge migration report; and (9) the 2021 Common Interest Agreement between this Firm and Fielding &amp; Acosta LLP. Our bottom line is that this is not a routine civil CID. The documents show a real risk of per se Section 1 exposure. They also show live preservation failures, and the client's working assumptions on several key points are wrong. The response strategy has to be built around those facts, not around burden reduction alone.</w:t>
      </w:r>
    </w:p>
    <w:p>
      <w:r>
        <w:rPr>
          <w:b/>
        </w:rPr>
        <w:t>The most significant issues, in order of priority:</w:t>
      </w:r>
    </w:p>
    <w:p>
      <w:pPr>
        <w:pStyle w:val="ListNumber"/>
        <w:spacing w:after="60"/>
      </w:pPr>
      <w:r>
        <w:rPr>
          <w:b/>
        </w:rPr>
        <w:t>The Hollister-Felding communications are the central substantive risk, and the GC memo materially understates them.</w:t>
      </w:r>
      <w:r>
        <w:t xml:space="preserve"> The GC memo describes the June 14, 2022 text as the one potentially concerning message. The log actually shows that before </w:t>
      </w:r>
      <w:r>
        <w:rPr>
          <w:b/>
        </w:rPr>
        <w:t>each</w:t>
      </w:r>
      <w:r>
        <w:t xml:space="preserve"> of the four parallel price increases (July 1, 2022; October 15, 2022; March 1, 2023; September 1, 2023), the two CEOs exchanged statements of future pricing intent and timing, and Felding reciprocated each time. Examples: "we're evaluating mid-October timing too" (Entry 28); "looks like we'll both need to adjust pricing again in March" / "we're targeting March 1" (Entries 32-33); "We're looking at something similar for September" (Entry 39). After the increases they confirmed that each one had gone through (Entries 26, 34, 40, 41). DOJ could treat this pattern as direct evidence of a price-fixing agreement, which is a per se violation and can be prosecuted criminally. That makes decisions on criminal exposure, separate counsel for Ms. Hollister, and the DOJ Leniency Program urgent, and they must come before any substantive engagement with DOJ.</w:t>
      </w:r>
    </w:p>
    <w:p>
      <w:pPr>
        <w:pStyle w:val="ListNumber"/>
        <w:spacing w:after="60"/>
      </w:pPr>
      <w:r>
        <w:rPr>
          <w:b/>
        </w:rPr>
        <w:t>Preservation is failing in real time, and the CID treats data loss as an investigative topic.</w:t>
      </w:r>
      <w:r>
        <w:t xml:space="preserve"> No litigation hold has issued 12 days after service. The GC's informal request to IT to suspend deletion has not been confirmed. Under the Retention Policy, email is purged monthly at five years and chat (Slack "or any successor platform", which now means Microsoft Teams) is purged </w:t>
      </w:r>
      <w:r>
        <w:rPr>
          <w:b/>
        </w:rPr>
        <w:t>daily</w:t>
      </w:r>
      <w:r>
        <w:t xml:space="preserve"> at 90 days. Absent a confirmed suspension, responsive Teams messages and the oldest Relevant-Period emails may be being destroyed </w:t>
      </w:r>
      <w:r>
        <w:rPr>
          <w:b/>
        </w:rPr>
        <w:t>after</w:t>
      </w:r>
      <w:r>
        <w:t xml:space="preserve"> service. That risks sanctions, adverse inferences, and exposure under 18 U.S.C. § 1505 (which expressly covers ACPA CIDs) and § 1519. The hold and the system-level suspensions must be implemented and verified </w:t>
      </w:r>
      <w:r>
        <w:rPr>
          <w:b/>
        </w:rPr>
        <w:t>today</w:t>
      </w:r>
      <w:r>
        <w:t>.</w:t>
      </w:r>
    </w:p>
    <w:p>
      <w:pPr>
        <w:pStyle w:val="ListNumber"/>
        <w:spacing w:after="60"/>
      </w:pPr>
      <w:r>
        <w:rPr>
          <w:b/>
        </w:rPr>
        <w:t>Historical data losses must be disclosed, not just managed.</w:t>
      </w:r>
      <w:r>
        <w:t xml:space="preserve"> These losses are: about 14,800 unmigrated emails, which became unrecoverable when the client decommissioned Google Workspace against Cloudbridge's written recommendation; Slack data purged under the 90-day rule; and the March 2024 Raleigh backup loss. Interrogatory 8, Instruction 4, Instruction 8 (sworn certification) and Oral Testimony Topic D require disclosure. The GC memo also mischaracterizes the Cloudbridge losses. Cloudbridge says the losses span the 2014-2023 archive, while the GC memo puts them in 2019-2023. The archive reaching back to 2014 is also inconsistent with the Policy's five-year email purge.</w:t>
      </w:r>
    </w:p>
    <w:p>
      <w:pPr>
        <w:pStyle w:val="ListNumber"/>
        <w:spacing w:after="60"/>
      </w:pPr>
      <w:r>
        <w:rPr>
          <w:b/>
        </w:rPr>
        <w:t>The Ridgeline report is not privileged and should not be withheld.</w:t>
      </w:r>
      <w:r>
        <w:t xml:space="preserve"> It was commissioned for business purposes, says so on its face, was distributed to business executives, and was used in the 2024 business plan. Withholding it would be indefensible and could itself be obstruction. Its content is damaging. "TinyHarvest" is </w:t>
      </w:r>
      <w:r>
        <w:rPr>
          <w:b/>
        </w:rPr>
        <w:t>NourishCo's</w:t>
      </w:r>
      <w:r>
        <w:t xml:space="preserve"> brand, so the "±3% price parity with TinyHarvest" corridor is a parity recommendation keyed to the client's alleged co-conspirator. The report also refers to a "duopoly", "competitive stability" and avoiding a "destabilizing price war", and recommends pricing reviews timed to OINTA publications. The excerpt also has an internal dating anomaly (it reports FY2023 results in a report dated June 15, 2023), which raises a version-control question that must be resolved before production.</w:t>
      </w:r>
    </w:p>
    <w:p>
      <w:pPr>
        <w:pStyle w:val="ListNumber"/>
        <w:spacing w:after="60"/>
      </w:pPr>
      <w:r>
        <w:rPr>
          <w:b/>
        </w:rPr>
        <w:t>The OINTA Pricing Index is a significant independent information-exchange risk,</w:t>
      </w:r>
      <w:r>
        <w:t xml:space="preserve"> and the GC memo calls it "routine." Seven members report actual transaction prices and volumes. Results are published about six weeks after quarter-end with high/low values. Greenfield (28%) and NourishCo (22%) are 50% of the market. The data is "presented and discussed" at in-person summits, and the CEOs' texts repeatedly tie summits and index data to pricing. Greenfield's next submission is due </w:t>
      </w:r>
      <w:r>
        <w:rPr>
          <w:b/>
        </w:rPr>
        <w:t>October 31, 2024</w:t>
      </w:r>
      <w:r>
        <w:t>.</w:t>
      </w:r>
    </w:p>
    <w:p>
      <w:pPr>
        <w:pStyle w:val="ListNumber"/>
        <w:spacing w:after="60"/>
      </w:pPr>
      <w:r>
        <w:rPr>
          <w:b/>
        </w:rPr>
        <w:t>The 2021 Common Interest Agreement creates privilege, contractual-notice and Firm-conflict issues.</w:t>
      </w:r>
      <w:r>
        <w:t xml:space="preserve"> It protects only counsel-to-counsel communications about defending the Labeling Litigation. It does not protect the CEOs' own emails about "common defense" (Entries 13-14). Counsel-to-counsel exchanges on "pricing strategies and competitive dynamics" are both outside its scope and potentially responsive to Specification 7 as communications "through intermediaries." Section 4.4 may already have required notice to Fielding &amp; Acosta (arguably by October 11, 2024). This Firm (and you personally, as signatory) were a party to those exchanges, which raises advocate-witness and material-limitation conflict questions that need a prompt internal conflicts review.</w:t>
      </w:r>
    </w:p>
    <w:p>
      <w:pPr>
        <w:pStyle w:val="ListNumber"/>
        <w:spacing w:after="60"/>
      </w:pPr>
      <w:r>
        <w:rPr>
          <w:b/>
        </w:rPr>
        <w:t>The CID has real scope and procedural defects worth leveraging, mainly through negotiation.</w:t>
      </w:r>
      <w:r>
        <w:t xml:space="preserve"> Defects: the product definition sweeps in toddler snacks and arguably infant formula; time periods are inconsistent (2019/2020/2021, running "through full compliance"); key specifications use undefined lower-case terms; "Company" includes attorneys and agents; the 45-day return date is unrealistic; the CID was signed by a trial attorney "by authority of" the AAG; it misstates the effect of a petition under 15 U.S.C. § 1314(b); and it omits statutory particulars. The </w:t>
      </w:r>
      <w:r>
        <w:rPr>
          <w:b/>
        </w:rPr>
        <w:t>§ 1314(b) petition deadline is Thursday, October 24, 2024.</w:t>
      </w:r>
      <w:r>
        <w:t xml:space="preserve"> Given the client's substantive exposure, we recommend a cooperative, negotiated modification. We would prepare a protective petition only if a written extension or modification cannot be secured before the deadline.</w:t>
      </w:r>
    </w:p>
    <w:p>
      <w:pPr>
        <w:pStyle w:val="ListNumber"/>
        <w:spacing w:after="60"/>
      </w:pPr>
      <w:r>
        <w:rPr>
          <w:b/>
        </w:rPr>
        <w:t>Several of the client's factual assertions are inaccurate or unsupported and must not reach DOJ in sworn form uncorrected.</w:t>
      </w:r>
      <w:r>
        <w:t xml:space="preserve"> Our Section VII catalogs more than 20 inter-document discrepancies. Examples: the comms log's own summary counts are wrong (49 texts/10 emails, not 47/12; 40 entries tagged responsive, not 28; 8 "critical" entries, not 6); the GC memo misdescribes the interrogatories and testimony topics; the OINTA membership lists conflict; and the IT Director is named Raj Patel in the GC memo but Karen Lipscomb in the log.</w:t>
      </w:r>
    </w:p>
    <w:p>
      <w:pPr>
        <w:pStyle w:val="Heading1"/>
      </w:pPr>
      <w:r>
        <w:t>II. Critical Deadlines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D9E2F3"/>
          </w:tcPr>
          <w:p>
            <w:r/>
            <w:r>
              <w:rPr>
                <w:b/>
                <w:sz w:val="18"/>
              </w:rPr>
              <w:t>Date</w:t>
            </w:r>
          </w:p>
        </w:tc>
        <w:tc>
          <w:tcPr>
            <w:tcW w:type="dxa" w:w="3456"/>
            <w:shd w:val="clear" w:color="auto" w:fill="D9E2F3"/>
          </w:tcPr>
          <w:p>
            <w:r/>
            <w:r>
              <w:rPr>
                <w:b/>
                <w:sz w:val="18"/>
              </w:rPr>
              <w:t>Event / Obligation</w:t>
            </w:r>
          </w:p>
        </w:tc>
        <w:tc>
          <w:tcPr>
            <w:tcW w:type="dxa" w:w="1872"/>
            <w:shd w:val="clear" w:color="auto" w:fill="D9E2F3"/>
          </w:tcPr>
          <w:p>
            <w:r/>
            <w:r>
              <w:rPr>
                <w:b/>
                <w:sz w:val="18"/>
              </w:rPr>
              <w:t>Source</w:t>
            </w:r>
          </w:p>
        </w:tc>
        <w:tc>
          <w:tcPr>
            <w:tcW w:type="dxa" w:w="2448"/>
            <w:shd w:val="clear" w:color="auto" w:fill="D9E2F3"/>
          </w:tcPr>
          <w:p>
            <w:r/>
            <w:r>
              <w:rPr>
                <w:b/>
                <w:sz w:val="18"/>
              </w:rPr>
              <w:t>Status / Comment</w:t>
            </w:r>
          </w:p>
        </w:tc>
      </w:tr>
      <w:tr>
        <w:tc>
          <w:tcPr>
            <w:tcW w:type="dxa" w:w="1584"/>
          </w:tcPr>
          <w:p>
            <w:r>
              <w:rPr>
                <w:sz w:val="18"/>
              </w:rPr>
            </w:r>
            <w:r>
              <w:rPr>
                <w:sz w:val="18"/>
              </w:rPr>
              <w:t>Oct. 4, 2024 (Fri.)</w:t>
            </w:r>
          </w:p>
        </w:tc>
        <w:tc>
          <w:tcPr>
            <w:tcW w:type="dxa" w:w="3456"/>
          </w:tcPr>
          <w:p>
            <w:r>
              <w:rPr>
                <w:sz w:val="18"/>
              </w:rPr>
            </w:r>
            <w:r>
              <w:rPr>
                <w:sz w:val="18"/>
              </w:rPr>
              <w:t>CID served on registered agent; GC received same day. Preservation duty attaches "immediately upon receipt" (if not earlier).</w:t>
            </w:r>
          </w:p>
        </w:tc>
        <w:tc>
          <w:tcPr>
            <w:tcW w:type="dxa" w:w="1872"/>
          </w:tcPr>
          <w:p>
            <w:r>
              <w:rPr>
                <w:sz w:val="18"/>
              </w:rPr>
            </w:r>
            <w:r>
              <w:rPr>
                <w:sz w:val="18"/>
              </w:rPr>
              <w:t>CID Cert. of Service; Cover Ltr.; Instr. 6</w:t>
            </w:r>
          </w:p>
        </w:tc>
        <w:tc>
          <w:tcPr>
            <w:tcW w:type="dxa" w:w="2448"/>
          </w:tcPr>
          <w:p>
            <w:r>
              <w:rPr>
                <w:sz w:val="18"/>
              </w:rPr>
            </w:r>
            <w:r>
              <w:rPr>
                <w:b/>
                <w:sz w:val="18"/>
              </w:rPr>
              <w:t>No litigation hold issued as of Oct. 15.</w:t>
            </w:r>
            <w:r>
              <w:rPr>
                <w:sz w:val="18"/>
              </w:rPr>
              <w:t xml:space="preserve"> Informal suspension request unconfirmed.</w:t>
            </w:r>
          </w:p>
        </w:tc>
      </w:tr>
      <w:tr>
        <w:tc>
          <w:tcPr>
            <w:tcW w:type="dxa" w:w="1584"/>
          </w:tcPr>
          <w:p>
            <w:r>
              <w:rPr>
                <w:sz w:val="18"/>
              </w:rPr>
            </w:r>
            <w:r>
              <w:rPr>
                <w:sz w:val="18"/>
              </w:rPr>
              <w:t>Oct. 11, 2024 (Fri.)</w:t>
            </w:r>
          </w:p>
        </w:tc>
        <w:tc>
          <w:tcPr>
            <w:tcW w:type="dxa" w:w="3456"/>
          </w:tcPr>
          <w:p>
            <w:r>
              <w:rPr>
                <w:sz w:val="18"/>
              </w:rPr>
            </w:r>
            <w:r>
              <w:rPr>
                <w:sz w:val="18"/>
              </w:rPr>
              <w:t>Arguable deadline (5 business days) to notify Fielding &amp; Acosta that a governmental agency seeks disclosure of Common Interest Materials.</w:t>
            </w:r>
          </w:p>
        </w:tc>
        <w:tc>
          <w:tcPr>
            <w:tcW w:type="dxa" w:w="1872"/>
          </w:tcPr>
          <w:p>
            <w:r>
              <w:rPr>
                <w:sz w:val="18"/>
              </w:rPr>
            </w:r>
            <w:r>
              <w:rPr>
                <w:sz w:val="18"/>
              </w:rPr>
              <w:t>CIA § 4.4(a)</w:t>
            </w:r>
          </w:p>
        </w:tc>
        <w:tc>
          <w:tcPr>
            <w:tcW w:type="dxa" w:w="2448"/>
          </w:tcPr>
          <w:p>
            <w:r>
              <w:rPr>
                <w:sz w:val="18"/>
              </w:rPr>
            </w:r>
            <w:r>
              <w:rPr>
                <w:b/>
                <w:sz w:val="18"/>
              </w:rPr>
              <w:t>Possibly passed.</w:t>
            </w:r>
            <w:r>
              <w:rPr>
                <w:sz w:val="18"/>
              </w:rPr>
              <w:t xml:space="preserve"> Analyze immediately whether triggered (see Part V.E).</w:t>
            </w:r>
          </w:p>
        </w:tc>
      </w:tr>
      <w:tr>
        <w:tc>
          <w:tcPr>
            <w:tcW w:type="dxa" w:w="1584"/>
          </w:tcPr>
          <w:p>
            <w:r>
              <w:rPr>
                <w:sz w:val="18"/>
              </w:rPr>
            </w:r>
            <w:r>
              <w:rPr>
                <w:b/>
                <w:sz w:val="18"/>
              </w:rPr>
              <w:t>Oct. 24, 2024 (Thu.)</w:t>
            </w:r>
          </w:p>
        </w:tc>
        <w:tc>
          <w:tcPr>
            <w:tcW w:type="dxa" w:w="3456"/>
          </w:tcPr>
          <w:p>
            <w:r>
              <w:rPr>
                <w:sz w:val="18"/>
              </w:rPr>
            </w:r>
            <w:r>
              <w:rPr>
                <w:sz w:val="18"/>
              </w:rPr>
              <w:t>Last day to file petition to set aside/modify CID (20 days after service, or before return date if shorter) in E.D.N.C. (or other district where Greenfield resides, is found or transacts business).</w:t>
            </w:r>
          </w:p>
        </w:tc>
        <w:tc>
          <w:tcPr>
            <w:tcW w:type="dxa" w:w="1872"/>
          </w:tcPr>
          <w:p>
            <w:r>
              <w:rPr>
                <w:sz w:val="18"/>
              </w:rPr>
            </w:r>
            <w:r>
              <w:rPr>
                <w:sz w:val="18"/>
              </w:rPr>
              <w:t>15 U.S.C. § 1314(b); CID Notice ¶ 2</w:t>
            </w:r>
          </w:p>
        </w:tc>
        <w:tc>
          <w:tcPr>
            <w:tcW w:type="dxa" w:w="2448"/>
          </w:tcPr>
          <w:p>
            <w:r>
              <w:rPr>
                <w:sz w:val="18"/>
              </w:rPr>
            </w:r>
            <w:r>
              <w:rPr>
                <w:sz w:val="18"/>
              </w:rPr>
              <w:t>Seek written agreement with DOJ (Rourke) on modifications/extension; prepare protective petition in parallel.</w:t>
            </w:r>
          </w:p>
        </w:tc>
      </w:tr>
      <w:tr>
        <w:tc>
          <w:tcPr>
            <w:tcW w:type="dxa" w:w="1584"/>
          </w:tcPr>
          <w:p>
            <w:r>
              <w:rPr>
                <w:sz w:val="18"/>
              </w:rPr>
            </w:r>
            <w:r>
              <w:rPr>
                <w:sz w:val="18"/>
              </w:rPr>
              <w:t>Oct. 31, 2024 (Thu.)</w:t>
            </w:r>
          </w:p>
        </w:tc>
        <w:tc>
          <w:tcPr>
            <w:tcW w:type="dxa" w:w="3456"/>
          </w:tcPr>
          <w:p>
            <w:r>
              <w:rPr>
                <w:sz w:val="18"/>
              </w:rPr>
            </w:r>
            <w:r>
              <w:rPr>
                <w:sz w:val="18"/>
              </w:rPr>
              <w:t>Greenfield's Q3 2024 submission to OINTA Pricing Index Database due.</w:t>
            </w:r>
          </w:p>
        </w:tc>
        <w:tc>
          <w:tcPr>
            <w:tcW w:type="dxa" w:w="1872"/>
          </w:tcPr>
          <w:p>
            <w:r>
              <w:rPr>
                <w:sz w:val="18"/>
              </w:rPr>
            </w:r>
            <w:r>
              <w:rPr>
                <w:sz w:val="18"/>
              </w:rPr>
              <w:t>OINTA Guide</w:t>
            </w:r>
          </w:p>
        </w:tc>
        <w:tc>
          <w:tcPr>
            <w:tcW w:type="dxa" w:w="2448"/>
          </w:tcPr>
          <w:p>
            <w:r>
              <w:rPr>
                <w:sz w:val="18"/>
              </w:rPr>
            </w:r>
            <w:r>
              <w:rPr>
                <w:sz w:val="18"/>
              </w:rPr>
              <w:t>Recommend suspending submission pending antitrust review (see Part V.D).</w:t>
            </w:r>
          </w:p>
        </w:tc>
      </w:tr>
      <w:tr>
        <w:tc>
          <w:tcPr>
            <w:tcW w:type="dxa" w:w="1584"/>
          </w:tcPr>
          <w:p>
            <w:r>
              <w:rPr>
                <w:sz w:val="18"/>
              </w:rPr>
            </w:r>
            <w:r>
              <w:rPr>
                <w:sz w:val="18"/>
              </w:rPr>
              <w:t>Oct. 2024 (date TBD)</w:t>
            </w:r>
          </w:p>
        </w:tc>
        <w:tc>
          <w:tcPr>
            <w:tcW w:type="dxa" w:w="3456"/>
          </w:tcPr>
          <w:p>
            <w:r>
              <w:rPr>
                <w:sz w:val="18"/>
              </w:rPr>
            </w:r>
            <w:r>
              <w:rPr>
                <w:sz w:val="18"/>
              </w:rPr>
              <w:t>OINTA October Market Strategy Summit (held each October).</w:t>
            </w:r>
          </w:p>
        </w:tc>
        <w:tc>
          <w:tcPr>
            <w:tcW w:type="dxa" w:w="1872"/>
          </w:tcPr>
          <w:p>
            <w:r>
              <w:rPr>
                <w:sz w:val="18"/>
              </w:rPr>
            </w:r>
            <w:r>
              <w:rPr>
                <w:sz w:val="18"/>
              </w:rPr>
              <w:t>OINTA Guide; GC Memo § 6</w:t>
            </w:r>
          </w:p>
        </w:tc>
        <w:tc>
          <w:tcPr>
            <w:tcW w:type="dxa" w:w="2448"/>
          </w:tcPr>
          <w:p>
            <w:r>
              <w:rPr>
                <w:sz w:val="18"/>
              </w:rPr>
            </w:r>
            <w:r>
              <w:rPr>
                <w:sz w:val="18"/>
              </w:rPr>
              <w:t>Confirm date. Recommend no attendance by Hollister/Waverly/Oshiro absent counsel-approved protocol.</w:t>
            </w:r>
          </w:p>
        </w:tc>
      </w:tr>
      <w:tr>
        <w:tc>
          <w:tcPr>
            <w:tcW w:type="dxa" w:w="1584"/>
          </w:tcPr>
          <w:p>
            <w:r>
              <w:rPr>
                <w:sz w:val="18"/>
              </w:rPr>
            </w:r>
            <w:r>
              <w:rPr>
                <w:sz w:val="18"/>
              </w:rPr>
              <w:t>Nov. 15, 2024 (Fri.)</w:t>
            </w:r>
          </w:p>
        </w:tc>
        <w:tc>
          <w:tcPr>
            <w:tcW w:type="dxa" w:w="3456"/>
          </w:tcPr>
          <w:p>
            <w:r>
              <w:rPr>
                <w:sz w:val="18"/>
              </w:rPr>
            </w:r>
            <w:r>
              <w:rPr>
                <w:sz w:val="18"/>
              </w:rPr>
              <w:t>Deadline to identify oral-testimony designee(s) (5 business days before testimony).</w:t>
            </w:r>
          </w:p>
        </w:tc>
        <w:tc>
          <w:tcPr>
            <w:tcW w:type="dxa" w:w="1872"/>
          </w:tcPr>
          <w:p>
            <w:r>
              <w:rPr>
                <w:sz w:val="18"/>
              </w:rPr>
            </w:r>
            <w:r>
              <w:rPr>
                <w:sz w:val="18"/>
              </w:rPr>
              <w:t>CID Oral Testimony Demand</w:t>
            </w:r>
          </w:p>
        </w:tc>
        <w:tc>
          <w:tcPr>
            <w:tcW w:type="dxa" w:w="2448"/>
          </w:tcPr>
          <w:p>
            <w:r>
              <w:rPr>
                <w:sz w:val="18"/>
              </w:rPr>
            </w:r>
            <w:r>
              <w:rPr>
                <w:sz w:val="18"/>
              </w:rPr>
              <w:t>Designee selection is sensitive (Topics B and D).</w:t>
            </w:r>
          </w:p>
        </w:tc>
      </w:tr>
      <w:tr>
        <w:tc>
          <w:tcPr>
            <w:tcW w:type="dxa" w:w="1584"/>
          </w:tcPr>
          <w:p>
            <w:r>
              <w:rPr>
                <w:sz w:val="18"/>
              </w:rPr>
            </w:r>
            <w:r>
              <w:rPr>
                <w:sz w:val="18"/>
              </w:rPr>
              <w:t>Nov. 18, 2024 (Mon.)</w:t>
            </w:r>
          </w:p>
        </w:tc>
        <w:tc>
          <w:tcPr>
            <w:tcW w:type="dxa" w:w="3456"/>
          </w:tcPr>
          <w:p>
            <w:r>
              <w:rPr>
                <w:sz w:val="18"/>
              </w:rPr>
            </w:r>
            <w:r>
              <w:rPr>
                <w:sz w:val="18"/>
              </w:rPr>
              <w:t>Return date for documents and interrogatory answers; sworn certification of completeness.</w:t>
            </w:r>
          </w:p>
        </w:tc>
        <w:tc>
          <w:tcPr>
            <w:tcW w:type="dxa" w:w="1872"/>
          </w:tcPr>
          <w:p>
            <w:r>
              <w:rPr>
                <w:sz w:val="18"/>
              </w:rPr>
            </w:r>
            <w:r>
              <w:rPr>
                <w:sz w:val="18"/>
              </w:rPr>
              <w:t>CID Instr. 1, 8</w:t>
            </w:r>
          </w:p>
        </w:tc>
        <w:tc>
          <w:tcPr>
            <w:tcW w:type="dxa" w:w="2448"/>
          </w:tcPr>
          <w:p>
            <w:r>
              <w:rPr>
                <w:sz w:val="18"/>
              </w:rPr>
            </w:r>
            <w:r>
              <w:rPr>
                <w:sz w:val="18"/>
              </w:rPr>
              <w:t>Not achievable for ~1.2M documents; negotiate rolling production and priority custodians.</w:t>
            </w:r>
          </w:p>
        </w:tc>
      </w:tr>
      <w:tr>
        <w:tc>
          <w:tcPr>
            <w:tcW w:type="dxa" w:w="1584"/>
          </w:tcPr>
          <w:p>
            <w:r>
              <w:rPr>
                <w:sz w:val="18"/>
              </w:rPr>
            </w:r>
            <w:r>
              <w:rPr>
                <w:sz w:val="18"/>
              </w:rPr>
              <w:t>Nov. 22, 2024 (Fri.)</w:t>
            </w:r>
          </w:p>
        </w:tc>
        <w:tc>
          <w:tcPr>
            <w:tcW w:type="dxa" w:w="3456"/>
          </w:tcPr>
          <w:p>
            <w:r>
              <w:rPr>
                <w:sz w:val="18"/>
              </w:rPr>
            </w:r>
            <w:r>
              <w:rPr>
                <w:sz w:val="18"/>
              </w:rPr>
              <w:t>Oral testimony, 10:00 a.m., DOJ, 950 Pennsylvania Ave. NW.</w:t>
            </w:r>
          </w:p>
        </w:tc>
        <w:tc>
          <w:tcPr>
            <w:tcW w:type="dxa" w:w="1872"/>
          </w:tcPr>
          <w:p>
            <w:r>
              <w:rPr>
                <w:sz w:val="18"/>
              </w:rPr>
            </w:r>
            <w:r>
              <w:rPr>
                <w:sz w:val="18"/>
              </w:rPr>
              <w:t>CID Oral Testimony Demand</w:t>
            </w:r>
          </w:p>
        </w:tc>
        <w:tc>
          <w:tcPr>
            <w:tcW w:type="dxa" w:w="2448"/>
          </w:tcPr>
          <w:p>
            <w:r>
              <w:rPr>
                <w:sz w:val="18"/>
              </w:rPr>
            </w:r>
            <w:r>
              <w:rPr>
                <w:sz w:val="18"/>
              </w:rPr>
              <w:t>Seek postponement until after substantial production.</w:t>
            </w:r>
          </w:p>
        </w:tc>
      </w:tr>
    </w:tbl>
    <w:p>
      <w:pPr>
        <w:spacing w:after="40"/>
      </w:pPr>
    </w:p>
    <w:p>
      <w:pPr>
        <w:pStyle w:val="Heading1"/>
      </w:pPr>
      <w:r>
        <w:t>III. Recommended Immediate Actions (Next 72 Hours)</w:t>
      </w:r>
    </w:p>
    <w:p>
      <w:pPr>
        <w:pStyle w:val="ListNumber"/>
        <w:spacing w:after="60"/>
      </w:pPr>
      <w:r>
        <w:rPr>
          <w:b/>
        </w:rPr>
        <w:t>Issue a written litigation hold today</w:t>
      </w:r>
      <w:r>
        <w:t>, drafted by this Firm. Send it to the CID custodians (Hollister, Yun-Nakamura, Prescott, Waverly, Oshiro) and to pricing, procurement, sales (including the Bentonville office), marketing, finance, IT (Patel and Lipscomb), executive assistants, board members, and every OINTA summit attendee since 2019. The hold must expressly supersede the Retention Policy, including its instructions to delete personal copies (Policy §§ 5, 7), and must cover personal devices and accounts used for business.</w:t>
      </w:r>
    </w:p>
    <w:p>
      <w:pPr>
        <w:pStyle w:val="ListNumber"/>
        <w:spacing w:after="60"/>
      </w:pPr>
      <w:r>
        <w:rPr>
          <w:b/>
        </w:rPr>
        <w:t>Obtain written confirmation from IT, with screenshots/configuration exports, that all automated deletion has been suspended.</w:t>
      </w:r>
      <w:r>
        <w:t xml:space="preserve"> This covers the M365 email purge, Teams retention policies, SharePoint/OneDrive, Salesforce, SAP archiving, and backup-tape rotation. Preserve the Slack export, the Cloudbridge migration logs, and IT destruction logs (Policy § 5 keeps them only 3 years). Determine whether any deletion cycle ran after October 4.</w:t>
      </w:r>
    </w:p>
    <w:p>
      <w:pPr>
        <w:pStyle w:val="ListNumber"/>
        <w:spacing w:after="60"/>
      </w:pPr>
      <w:r>
        <w:rPr>
          <w:b/>
        </w:rPr>
        <w:t>Forensically image Ms. Hollister's iPhone and collect her iCloud and Gmail accounts through an independent vendor.</w:t>
      </w:r>
      <w:r>
        <w:t xml:space="preserve"> IT's self-collected backup is not adequate. Do the same for any other device or account she used, and check other messaging apps (WhatsApp, Signal), call logs and calendars. Instruct her in writing not to delete anything and to have </w:t>
      </w:r>
      <w:r>
        <w:rPr>
          <w:b/>
        </w:rPr>
        <w:t>no further communication with Mr. Felding</w:t>
      </w:r>
      <w:r>
        <w:t xml:space="preserve"> about pricing, the industry, or the investigation.</w:t>
      </w:r>
    </w:p>
    <w:p>
      <w:pPr>
        <w:pStyle w:val="ListNumber"/>
        <w:spacing w:after="60"/>
      </w:pPr>
      <w:r>
        <w:rPr>
          <w:b/>
        </w:rPr>
        <w:t>Advise the client to retain separate, independent counsel for Ms. Hollister</w:t>
      </w:r>
      <w:r>
        <w:t xml:space="preserve"> before anyone else interviews her. Any interview by company counsel must begin with Upjohn warnings.</w:t>
      </w:r>
    </w:p>
    <w:p>
      <w:pPr>
        <w:pStyle w:val="ListNumber"/>
        <w:spacing w:after="60"/>
      </w:pPr>
      <w:r>
        <w:rPr>
          <w:b/>
        </w:rPr>
        <w:t>Convene a privileged discussion with the GC and the Board (or a committee of independent directors) on criminal exposure and the DOJ Leniency Program.</w:t>
      </w:r>
      <w:r>
        <w:t xml:space="preserve"> Timing may be decisive if NourishCo is already engaged with the government (see Entries 56 and 58: "FTC stuff"; "lawyers keeping me busy").</w:t>
      </w:r>
    </w:p>
    <w:p>
      <w:pPr>
        <w:pStyle w:val="ListNumber"/>
        <w:spacing w:after="60"/>
      </w:pPr>
      <w:r>
        <w:rPr>
          <w:b/>
        </w:rPr>
        <w:t>Run a Firm conflicts review</w:t>
      </w:r>
      <w:r>
        <w:t xml:space="preserve"> of our role under the 2021 Common Interest Agreement and our counsel-to-counsel communications with Fielding &amp; Acosta (Part V.E).</w:t>
      </w:r>
    </w:p>
    <w:p>
      <w:pPr>
        <w:pStyle w:val="ListNumber"/>
        <w:spacing w:after="60"/>
      </w:pPr>
      <w:r>
        <w:rPr>
          <w:b/>
        </w:rPr>
        <w:t>Contact Ms. Rourke</w:t>
      </w:r>
      <w:r>
        <w:t xml:space="preserve"> (by Oct. 18) to confirm representation, open a meet-and-confer on scope and timing, and seek a written extension of the return and testimony dates. Address the § 1314(b) petition deadline expressly in writing.</w:t>
      </w:r>
    </w:p>
    <w:p>
      <w:pPr>
        <w:pStyle w:val="ListNumber"/>
        <w:spacing w:after="60"/>
      </w:pPr>
      <w:r>
        <w:rPr>
          <w:b/>
        </w:rPr>
        <w:t>Notify D&amp;O and other potentially applicable insurers</w:t>
      </w:r>
      <w:r>
        <w:t xml:space="preserve"> of the CID under policy notice provisions.</w:t>
      </w:r>
    </w:p>
    <w:p>
      <w:pPr>
        <w:pStyle w:val="ListNumber"/>
        <w:spacing w:after="60"/>
      </w:pPr>
      <w:r>
        <w:rPr>
          <w:b/>
        </w:rPr>
        <w:t>Suspend Greenfield's OINTA Pricing Index submissions and summit participation</w:t>
      </w:r>
      <w:r>
        <w:t xml:space="preserve"> pending review, and document the reason as advice of counsel.</w:t>
      </w:r>
    </w:p>
    <w:p>
      <w:pPr>
        <w:pStyle w:val="Heading1"/>
      </w:pPr>
      <w:r>
        <w:t>IV. Background</w:t>
      </w:r>
    </w:p>
    <w:p>
      <w:pPr>
        <w:jc w:val="both"/>
      </w:pPr>
      <w:r>
        <w:rPr>
          <w:b/>
        </w:rPr>
        <w:t>The client.</w:t>
      </w:r>
      <w:r>
        <w:t xml:space="preserve"> Greenfield Organics, Inc. is a Delaware corporation headquartered in Raleigh, NC, with production facilities in Bend, OR and Boise, ID and a sales office in Bentonville, AR. It has about 1,840 employees. FY2023 revenue was about $487 million; the PureSprout organic baby food segment accounted for about $341 million (70%) at a 38.2% gross margin and an estimated 28% U.S. share. Greenfield sells 159 SKUs: 47 baby food, 89 toddler snack and 23 infant formula.</w:t>
      </w:r>
    </w:p>
    <w:p>
      <w:pPr>
        <w:jc w:val="both"/>
      </w:pPr>
      <w:r>
        <w:rPr>
          <w:b/>
        </w:rPr>
        <w:t>The CID.</w:t>
      </w:r>
      <w:r>
        <w:t xml:space="preserve"> CID No. 28-47293 was issued October 2, 2024 under the Antitrust Civil Process Act (ACPA), 15 U.S.C. § 1311 et seq., and served October 4, 2024. It investigates possible violations of Sherman Act §§ 1 and 2 in the manufacture, distribution, pricing and sale of organic baby food products. It contains 12 definitions, 9 instructions, 14 document specifications, 8 interrogatories and 4 oral-testimony topics (A: pricing; B: competitor communications; C: OINTA; D: document retention, migrations and data loss). The Relevant Period runs from January 1, 2019 "through the date of full compliance." NourishCo Holdings, LLC is the only competitor named, and OINTA is the only trade association named.</w:t>
      </w:r>
    </w:p>
    <w:p>
      <w:pPr>
        <w:jc w:val="both"/>
      </w:pPr>
      <w:r>
        <w:rPr>
          <w:b/>
        </w:rPr>
        <w:t>The pricing pattern DOJ will focus on.</w:t>
      </w:r>
      <w:r>
        <w:t xml:space="preserve"> Greenfield's weighted-average wholesale price rose from $1.42 to $1.99/oz (+$0.57, about 40%) in four steps: July 1, 2022 ($1.58); October 15, 2022 ($1.71); March 1, 2023 ($1.85); and September 1, 2023 ($1.99). NourishCo moved within a short window each time. Ridgeline's data shows PureSprout and TinyHarvest (NourishCo) 4-oz pouch wholesale prices, which historically differed by $0.02-$0.03/oz, </w:t>
      </w:r>
      <w:r>
        <w:rPr>
          <w:b/>
        </w:rPr>
        <w:t>converging to identical prices</w:t>
      </w:r>
      <w:r>
        <w:t xml:space="preserve"> at each 2022-2023 step. Our arithmetic check confirms the reported step percentages (11.27%, 8.23%, 8.19%), the 30.28% cumulative increase through March 2023, and the GC's roughly 40% ($0.57/$1.42 = 40.1%) through September 2023.</w:t>
      </w:r>
    </w:p>
    <w:p>
      <w:pPr>
        <w:pStyle w:val="Heading1"/>
      </w:pPr>
      <w:r>
        <w:t>V. Issue Analysis</w:t>
      </w:r>
    </w:p>
    <w:p>
      <w:pPr>
        <w:pStyle w:val="Heading2"/>
      </w:pPr>
      <w:r>
        <w:t>A. Substantive Exposure: The Hollister-Felding Communications</w:t>
      </w:r>
    </w:p>
    <w:p>
      <w:pPr>
        <w:pStyle w:val="Heading3"/>
      </w:pPr>
      <w:r>
        <w:t>1. What the log actually shows</w:t>
      </w:r>
    </w:p>
    <w:p>
      <w:pPr>
        <w:jc w:val="both"/>
      </w:pPr>
      <w:r>
        <w:t xml:space="preserve">The IT log (prepared October 14, 2024 at the GC's request) lists 59 communications from January 15, 2020 to September 8, 2024. They come solely from Ms. Hollister's personal iPhone backup and personal Gmail account. </w:t>
      </w:r>
      <w:r>
        <w:rPr>
          <w:b/>
        </w:rPr>
        <w:t>No</w:t>
      </w:r>
      <w:r>
        <w:t xml:space="preserve"> corporate-system communications were found. The friendship and the personal content are genuine. But the business-related entries cluster tightly around each price increase, and in each cluster the two CEOs exchange forward-looking pricing intentions and timing:</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E2F3"/>
          </w:tcPr>
          <w:p>
            <w:r/>
            <w:r>
              <w:rPr>
                <w:b/>
                <w:sz w:val="18"/>
              </w:rPr>
              <w:t>Price increase (GFO $/oz)</w:t>
            </w:r>
          </w:p>
        </w:tc>
        <w:tc>
          <w:tcPr>
            <w:tcW w:type="dxa" w:w="4752"/>
            <w:shd w:val="clear" w:color="auto" w:fill="D9E2F3"/>
          </w:tcPr>
          <w:p>
            <w:r/>
            <w:r>
              <w:rPr>
                <w:b/>
                <w:sz w:val="18"/>
              </w:rPr>
              <w:t>Pre-increase communications</w:t>
            </w:r>
          </w:p>
        </w:tc>
        <w:tc>
          <w:tcPr>
            <w:tcW w:type="dxa" w:w="2592"/>
            <w:shd w:val="clear" w:color="auto" w:fill="D9E2F3"/>
          </w:tcPr>
          <w:p>
            <w:r/>
            <w:r>
              <w:rPr>
                <w:b/>
                <w:sz w:val="18"/>
              </w:rPr>
              <w:t>Post-increase communications</w:t>
            </w:r>
          </w:p>
        </w:tc>
      </w:tr>
      <w:tr>
        <w:tc>
          <w:tcPr>
            <w:tcW w:type="dxa" w:w="2016"/>
          </w:tcPr>
          <w:p>
            <w:r>
              <w:rPr>
                <w:sz w:val="18"/>
              </w:rPr>
            </w:r>
            <w:r>
              <w:rPr>
                <w:b/>
                <w:sz w:val="18"/>
              </w:rPr>
              <w:t>July 1, 2022</w:t>
            </w:r>
            <w:r>
              <w:rPr>
                <w:sz w:val="18"/>
              </w:rPr>
              <w:t xml:space="preserve"> ($1.42 to $1.58; NourishCo identical, same date per log)</w:t>
            </w:r>
          </w:p>
        </w:tc>
        <w:tc>
          <w:tcPr>
            <w:tcW w:type="dxa" w:w="4752"/>
          </w:tcPr>
          <w:p>
            <w:r>
              <w:rPr>
                <w:sz w:val="18"/>
              </w:rPr>
            </w:r>
            <w:r>
              <w:rPr>
                <w:sz w:val="18"/>
              </w:rPr>
              <w:t xml:space="preserve">Entries 18-19 (Mar. 15-16, 2022): "we're going to have to pass some of this along" / costs "unsustainable at current retail pricing." Entry 22 (May 30): need to "do something about pricing soon." </w:t>
            </w:r>
            <w:r>
              <w:rPr>
                <w:b/>
                <w:sz w:val="18"/>
              </w:rPr>
              <w:t>Entry 23 (June 14): "We're looking at needing to move prices up in July... You seeing the same thing?"</w:t>
            </w:r>
            <w:r>
              <w:rPr>
                <w:sz w:val="18"/>
              </w:rPr>
              <w:t xml:space="preserve"> </w:t>
            </w:r>
            <w:r>
              <w:rPr>
                <w:b/>
                <w:sz w:val="18"/>
              </w:rPr>
              <w:t>Entry 24 (June 15, Felding): "Same here... We'll probably have to make a move too. Let's catch up at the OINTA thing in October."</w:t>
            </w:r>
          </w:p>
        </w:tc>
        <w:tc>
          <w:tcPr>
            <w:tcW w:type="dxa" w:w="2592"/>
          </w:tcPr>
          <w:p>
            <w:r>
              <w:rPr>
                <w:sz w:val="18"/>
              </w:rPr>
            </w:r>
            <w:r>
              <w:rPr>
                <w:sz w:val="18"/>
              </w:rPr>
              <w:t>Entry 26 (Aug. 18): "retailers seem to have accepted the July price adjustments without too much pushback."</w:t>
            </w:r>
          </w:p>
        </w:tc>
      </w:tr>
      <w:tr>
        <w:tc>
          <w:tcPr>
            <w:tcW w:type="dxa" w:w="2016"/>
          </w:tcPr>
          <w:p>
            <w:r>
              <w:rPr>
                <w:sz w:val="18"/>
              </w:rPr>
            </w:r>
            <w:r>
              <w:rPr>
                <w:b/>
                <w:sz w:val="18"/>
              </w:rPr>
              <w:t>Oct. 15, 2022</w:t>
            </w:r>
            <w:r>
              <w:rPr>
                <w:sz w:val="18"/>
              </w:rPr>
              <w:t xml:space="preserve"> ($1.58 to $1.71)</w:t>
            </w:r>
          </w:p>
        </w:tc>
        <w:tc>
          <w:tcPr>
            <w:tcW w:type="dxa" w:w="4752"/>
          </w:tcPr>
          <w:p>
            <w:r>
              <w:rPr>
                <w:sz w:val="18"/>
              </w:rPr>
            </w:r>
            <w:r>
              <w:rPr>
                <w:b/>
                <w:sz w:val="18"/>
              </w:rPr>
              <w:t>Entry 27 (Sept. 28): "another round of increases probably coming mid-October." Entry 28 (Sept. 29, Felding): "we're evaluating mid-October timing too"</w:t>
            </w:r>
            <w:r>
              <w:rPr>
                <w:sz w:val="18"/>
              </w:rPr>
              <w:t xml:space="preserve">; plans to meet at OINTA summit. Entries 29-30 (Oct. 14-15): OINTA summit in San Diego; Entry 30 discusses "pricing index data presented at summit" </w:t>
            </w:r>
            <w:r>
              <w:rPr>
                <w:b/>
                <w:sz w:val="18"/>
              </w:rPr>
              <w:t>on the very day of the increase.</w:t>
            </w:r>
          </w:p>
        </w:tc>
        <w:tc>
          <w:tcPr>
            <w:tcW w:type="dxa" w:w="2592"/>
          </w:tcPr>
          <w:p>
            <w:r>
              <w:rPr>
                <w:sz w:val="18"/>
              </w:rPr>
            </w:r>
            <w:r>
              <w:rPr>
                <w:sz w:val="18"/>
              </w:rPr>
              <w:t>Entry 31 (Nov. 24): "strong Q3 numbers despite the price adjustments."</w:t>
            </w:r>
          </w:p>
        </w:tc>
      </w:tr>
      <w:tr>
        <w:tc>
          <w:tcPr>
            <w:tcW w:type="dxa" w:w="2016"/>
          </w:tcPr>
          <w:p>
            <w:r>
              <w:rPr>
                <w:sz w:val="18"/>
              </w:rPr>
            </w:r>
            <w:r>
              <w:rPr>
                <w:b/>
                <w:sz w:val="18"/>
              </w:rPr>
              <w:t>Mar. 1, 2023</w:t>
            </w:r>
            <w:r>
              <w:rPr>
                <w:sz w:val="18"/>
              </w:rPr>
              <w:t xml:space="preserve"> ($1.71 to $1.85)</w:t>
            </w:r>
          </w:p>
        </w:tc>
        <w:tc>
          <w:tcPr>
            <w:tcW w:type="dxa" w:w="4752"/>
          </w:tcPr>
          <w:p>
            <w:r>
              <w:rPr>
                <w:sz w:val="18"/>
              </w:rPr>
            </w:r>
            <w:r>
              <w:rPr>
                <w:b/>
                <w:sz w:val="18"/>
              </w:rPr>
              <w:t>Entry 32 (Feb. 10, Felding): "looks like we'll both need to adjust pricing again in March." Entry 33 (Feb. 11, Hollister): "we're targeting March 1 for the adjustment."</w:t>
            </w:r>
          </w:p>
        </w:tc>
        <w:tc>
          <w:tcPr>
            <w:tcW w:type="dxa" w:w="2592"/>
          </w:tcPr>
          <w:p>
            <w:r>
              <w:rPr>
                <w:sz w:val="18"/>
              </w:rPr>
            </w:r>
            <w:r>
              <w:rPr>
                <w:sz w:val="18"/>
              </w:rPr>
              <w:t>Entry 34 (Mar. 17, Felding): "March pricing adjustments went smoothly on our end."</w:t>
            </w:r>
          </w:p>
        </w:tc>
      </w:tr>
      <w:tr>
        <w:tc>
          <w:tcPr>
            <w:tcW w:type="dxa" w:w="2016"/>
          </w:tcPr>
          <w:p>
            <w:r>
              <w:rPr>
                <w:sz w:val="18"/>
              </w:rPr>
            </w:r>
            <w:r>
              <w:rPr>
                <w:b/>
                <w:sz w:val="18"/>
              </w:rPr>
              <w:t>Sept. 1, 2023</w:t>
            </w:r>
            <w:r>
              <w:rPr>
                <w:sz w:val="18"/>
              </w:rPr>
              <w:t xml:space="preserve"> ($1.85 to $1.99)</w:t>
            </w:r>
          </w:p>
        </w:tc>
        <w:tc>
          <w:tcPr>
            <w:tcW w:type="dxa" w:w="4752"/>
          </w:tcPr>
          <w:p>
            <w:r>
              <w:rPr>
                <w:sz w:val="18"/>
              </w:rPr>
            </w:r>
            <w:r>
              <w:rPr>
                <w:b/>
                <w:sz w:val="18"/>
              </w:rPr>
              <w:t>Entry 38 (Aug. 5): "thinking about September for the next price move -- retailers seem to accept increases better after back-to-school." Entry 39 (Aug. 5, Felding): "Makes sense. We're looking at something similar for September. Back-to-school timing works for retail resets."</w:t>
            </w:r>
          </w:p>
        </w:tc>
        <w:tc>
          <w:tcPr>
            <w:tcW w:type="dxa" w:w="2592"/>
          </w:tcPr>
          <w:p>
            <w:r>
              <w:rPr>
                <w:sz w:val="18"/>
              </w:rPr>
            </w:r>
            <w:r>
              <w:rPr>
                <w:sz w:val="18"/>
              </w:rPr>
              <w:t>Entry 40 (Sept. 4): "hope the September rollout goes smoothly for you guys too." Entry 41 (Sept. 20): "retailers adjusting to the new price points."</w:t>
            </w:r>
          </w:p>
        </w:tc>
      </w:tr>
    </w:tbl>
    <w:p>
      <w:pPr>
        <w:spacing w:after="40"/>
      </w:pPr>
    </w:p>
    <w:p>
      <w:pPr>
        <w:pStyle w:val="Heading3"/>
      </w:pPr>
      <w:r>
        <w:t>2. Legal significance</w:t>
      </w:r>
    </w:p>
    <w:p>
      <w:pPr>
        <w:pStyle w:val="ListBullet"/>
        <w:spacing w:after="60"/>
      </w:pPr>
      <w:r>
        <w:rPr>
          <w:b/>
        </w:rPr>
        <w:t>Parallel pricing plus communications.</w:t>
      </w:r>
      <w:r>
        <w:t xml:space="preserve"> Parallel price movement alone is lawful conscious parallelism (Bell Atlantic Corp. v. Twombly, 550 U.S. 544 (2007)). Here, however, there are direct, reciprocal exchanges of specific </w:t>
      </w:r>
      <w:r>
        <w:rPr>
          <w:b/>
        </w:rPr>
        <w:t>future</w:t>
      </w:r>
      <w:r>
        <w:t xml:space="preserve"> price-increase intentions and effective dates between the CEOs of the #1 and #2 firms (combined 50% share), each followed by identical increases and then by mutual confirmation that the increase held. That is the kind of evidence DOJ treats as direct proof of an agreement, or at minimum as strong "plus factors": prior communications, an invitation and acceptance, and monitoring. Price-fixing is per se unlawful under Section 1 and is prosecuted criminally. Maximum penalties are 00 million (or twice gain/loss) for corporations and  million and 10 years' imprisonment for individuals (15 U.S.C. § 1; 18 U.S.C. § 3571(d)).</w:t>
      </w:r>
    </w:p>
    <w:p>
      <w:pPr>
        <w:pStyle w:val="ListBullet"/>
        <w:spacing w:after="60"/>
      </w:pPr>
      <w:r>
        <w:rPr>
          <w:b/>
        </w:rPr>
        <w:t>Civil-to-criminal conversion risk.</w:t>
      </w:r>
      <w:r>
        <w:t xml:space="preserve"> The CID is a civil ACPA instrument, but the Division can refer the matter criminally and use materials obtained under the ACPA in later proceedings. Sworn interrogatory answers and oral testimony given now could be used later. Every factual statement to DOJ must be vetted. The corporation has no Fifth Amendment privilege (Braswell v. United States, 487 U.S. 99 (1988)), but individual witnesses, Ms. Hollister in particular, do. That affects designee selection (Part V.G).</w:t>
      </w:r>
    </w:p>
    <w:p>
      <w:pPr>
        <w:pStyle w:val="ListBullet"/>
        <w:spacing w:after="60"/>
      </w:pPr>
      <w:r>
        <w:rPr>
          <w:b/>
        </w:rPr>
        <w:t>The "cost-driven" defense is plausible but must be proven with documents.</w:t>
      </w:r>
      <w:r>
        <w:t xml:space="preserve"> Ridgeline attributes the increases to 18-25% input-cost inflation and shared suppliers. The GC states the July 2022 increase was planned "since at least May 2022." Before any such statement goes to DOJ, we need the contemporaneous cost models, pricing committee materials, and approval records for each increase (Spec. 2, 3, 12; Interrog. 3, 6). Entry 22 (May 30, 2022: need to "do something about pricing soon") and the four-for-four timing alignment will cut against an independence narrative unless the internal record is strong. Note also that sharing future price intentions can be unlawful even where each firm's increase was independently cost-justified, because the exchange itself can facilitate coordination.</w:t>
      </w:r>
    </w:p>
    <w:p>
      <w:pPr>
        <w:pStyle w:val="ListBullet"/>
        <w:spacing w:after="60"/>
      </w:pPr>
      <w:r>
        <w:rPr>
          <w:b/>
        </w:rPr>
        <w:t>Continuing contact after awareness of government scrutiny.</w:t>
      </w:r>
      <w:r>
        <w:t xml:space="preserve"> Entries 53-58 (June-Sept. 2024) refer to "regulatory attention," "hopefully the FTC stuff blows over" and "lawyers keeping me busy." Three consequences follow: (i) Greenfield may have reasonably anticipated an investigation </w:t>
      </w:r>
      <w:r>
        <w:rPr>
          <w:b/>
        </w:rPr>
        <w:t>before</w:t>
      </w:r>
      <w:r>
        <w:t xml:space="preserve"> October 4, which would move the preservation trigger earlier (Part V.B); (ii) there may be a parallel or predecessor FTC inquiry we do not know about, which we must ask about; and (iii) NourishCo may already be represented and engaged with the government, possibly as a leniency applicant. Any further Hollister-Felding contact about the investigation risks obstruction allegations.</w:t>
      </w:r>
    </w:p>
    <w:p>
      <w:pPr>
        <w:pStyle w:val="ListBullet"/>
        <w:spacing w:after="60"/>
      </w:pPr>
      <w:r>
        <w:rPr>
          <w:b/>
        </w:rPr>
        <w:t>Section 2.</w:t>
      </w:r>
      <w:r>
        <w:t xml:space="preserve"> At a 28% share, a monopolization or attempted-monopolization theory against Greenfield alone appears weak. The Section 2 citation may be pro forma or aimed at a "shared monopoly" theory. This is a useful point in scope negotiations, but it does not reduce the Section 1 risk.</w:t>
      </w:r>
    </w:p>
    <w:p>
      <w:pPr>
        <w:pStyle w:val="Heading3"/>
      </w:pPr>
      <w:r>
        <w:t>3. Leniency, cooperation and individual counsel</w:t>
      </w:r>
    </w:p>
    <w:p>
      <w:pPr>
        <w:jc w:val="both"/>
      </w:pPr>
      <w:r>
        <w:t>Because the evidence may support a criminal theory, the Board must be advised promptly about the Antitrust Division's Leniency Program. Only the first qualifying company can obtain non-prosecution, and a marker must be sought before DOJ has evidence likely to produce a sustainable conviction against the applicant. Leniency also brings ACPERA civil-damages benefits (single rather than treble damages, subject to cooperation with civil plaintiffs). The NourishCo-side signals (Entries 56, 58) suggest the window may be closing or closed. We need not predict the outcome to recognize that the decision must be made, with full information, before the client makes substantive representations to DOJ. Ms. Hollister's interests may diverge from the company's, so she should have independent counsel (company-advanced fees per bylaws/indemnification agreements). The GC, who has interviewed her and accepted her "just venting" explanation, should not be the person who investigates her conduct.</w:t>
      </w:r>
    </w:p>
    <w:p>
      <w:pPr>
        <w:pStyle w:val="Heading3"/>
      </w:pPr>
      <w:r>
        <w:t>4. Collection and log-quality problems</w:t>
      </w:r>
    </w:p>
    <w:p>
      <w:pPr>
        <w:pStyle w:val="ListBullet"/>
        <w:spacing w:after="60"/>
      </w:pPr>
      <w:r>
        <w:rPr>
          <w:b/>
        </w:rPr>
        <w:t>The collection is not defensible as performed.</w:t>
      </w:r>
      <w:r>
        <w:t xml:space="preserve"> IT obtained an iPhone </w:t>
      </w:r>
      <w:r>
        <w:rPr>
          <w:b/>
        </w:rPr>
        <w:t>backup</w:t>
      </w:r>
      <w:r>
        <w:t xml:space="preserve"> and Gmail </w:t>
      </w:r>
      <w:r>
        <w:rPr>
          <w:b/>
        </w:rPr>
        <w:t>credentials</w:t>
      </w:r>
      <w:r>
        <w:t xml:space="preserve"> from the CEO two days before the log was prepared. There was no forensic image, no chain-of-custody documentation, and no metadata validation. The log concedes that deleted messages, other Felding email addresses, WhatsApp/Signal and pre-2020 texts were not captured. The CID's Relevant Period starts January 1, 2019 (Spec. 7), while the log starts in 2020. Re-collect forensically through an independent vendor.</w:t>
      </w:r>
    </w:p>
    <w:p>
      <w:pPr>
        <w:pStyle w:val="ListBullet"/>
        <w:spacing w:after="60"/>
      </w:pPr>
      <w:r>
        <w:rPr>
          <w:b/>
        </w:rPr>
        <w:t>These are Company documents within its "possession, custody, or control."</w:t>
      </w:r>
      <w:r>
        <w:t xml:space="preserve"> The CID expressly reaches personal devices and accounts used for Company business (Def. 3; Instr. 4). Business communications by the CEO with the CEO of a named competitor are squarely covered, so there is no option to "handle sensitively" by not collecting them. Personal privacy can be addressed through targeted review protocols and, if needed, a negotiated protocol with DOJ for clearly personal content.</w:t>
      </w:r>
    </w:p>
    <w:p>
      <w:pPr>
        <w:pStyle w:val="ListBullet"/>
        <w:spacing w:after="60"/>
      </w:pPr>
      <w:r>
        <w:rPr>
          <w:b/>
        </w:rPr>
        <w:t>The responsiveness tagging understates scope.</w:t>
      </w:r>
      <w:r>
        <w:t xml:space="preserve"> Interrogatory 4 requires identification of </w:t>
      </w:r>
      <w:r>
        <w:rPr>
          <w:b/>
        </w:rPr>
        <w:t>all</w:t>
      </w:r>
      <w:r>
        <w:t xml:space="preserve"> communications between Greenfield and NourishCo personnel since January 1, 2020, whatever the subject, so all 59 entries (and any others found) must be identified. Specification 9 reaches all communications between Greenfield personnel and representatives of any other OINTA member, so every Hollister-Felding communication is responsive regardless of content. The log's "N/A" designations are therefore wrong.</w:t>
      </w:r>
    </w:p>
    <w:p>
      <w:pPr>
        <w:pStyle w:val="ListBullet"/>
        <w:spacing w:after="60"/>
      </w:pPr>
      <w:r>
        <w:rPr>
          <w:b/>
        </w:rPr>
        <w:t>The log's CID cross-reference is wrong.</w:t>
      </w:r>
      <w:r>
        <w:t xml:space="preserve"> It describes Spec. 7 as NourishCo communications only (it covers any competitor), Spec. 14 as "parallel pricing conduct" (it covers agreements with other manufacturers on terms of sale to retailers), Interrogatory 4 as "basis for pricing decisions" (it covers NourishCo communications), and Interrogatory 6 as "communications with competitors" (it covers pricing methodologies).</w:t>
      </w:r>
    </w:p>
    <w:p>
      <w:pPr>
        <w:pStyle w:val="ListBullet"/>
        <w:spacing w:after="60"/>
      </w:pPr>
      <w:r>
        <w:rPr>
          <w:b/>
        </w:rPr>
        <w:t>The log's summary statistics are internally inconsistent.</w:t>
      </w:r>
      <w:r>
        <w:t xml:space="preserve"> Our recount of the entries shows 49 iMessages and 10 emails (log states 47/12); 19 Personal, 7 Business-Related and 33 Mixed (log states 31/6/22); 40 entries tagged as potentially responsive (log states 28); 19 entries referencing OINTA (log states 8); and eight entries bearing a "CRITICAL FLAG" (23, 24, 27, </w:t>
      </w:r>
      <w:r>
        <w:rPr>
          <w:b/>
        </w:rPr>
        <w:t>28</w:t>
      </w:r>
      <w:r>
        <w:t xml:space="preserve">, 32, </w:t>
      </w:r>
      <w:r>
        <w:rPr>
          <w:b/>
        </w:rPr>
        <w:t>33</w:t>
      </w:r>
      <w:r>
        <w:t>, 38, 39), while the summary lists six. The year-by-year counts are also off (2023 and 2024 each have 14 entries, not 15 and 13). Several "Personal" entries contain business content (e.g., Entries 9, 12, 49 on product development, launch timing and the OINTA market-trends panel; Entry 58 on lawyers). The two log tabs differ in the descriptions of Entries 1 and 49. The GC memo's count of "six text messages and two emails" touching business matches neither the log's counts nor ours (7 Business-Related: 4 texts and 3 emails, plus 33 Mixed).</w:t>
      </w:r>
    </w:p>
    <w:p>
      <w:pPr>
        <w:pStyle w:val="ListBullet"/>
        <w:spacing w:after="60"/>
      </w:pPr>
      <w:r>
        <w:rPr>
          <w:b/>
        </w:rPr>
        <w:t>Privilege and work-product handling.</w:t>
      </w:r>
      <w:r>
        <w:t xml:space="preserve"> The log was prepared at the GC's direction after the CID was served to assist counsel, so it is protectable work product, and its editorializing ("CRITICAL FLAG", "NourishCo implemented identical increase") makes protection important. Restrict circulation and do not produce it. The underlying CEO-to-CEO communications, including Entries 13-14 and 16 on the Labeling Litigation, are </w:t>
      </w:r>
      <w:r>
        <w:rPr>
          <w:b/>
        </w:rPr>
        <w:t>not</w:t>
      </w:r>
      <w:r>
        <w:t xml:space="preserve"> privileged. They are communications between non-lawyer business principals of different companies, and the CIA (dated Sept. 15, 2021, after Entries 13-14, and limited to counsel-to-counsel communications) does not cover them. Over-designating them would undermine credibility with DOJ.</w:t>
      </w:r>
    </w:p>
    <w:p>
      <w:pPr>
        <w:pStyle w:val="ListBullet"/>
        <w:spacing w:after="60"/>
      </w:pPr>
      <w:r>
        <w:rPr>
          <w:b/>
        </w:rPr>
        <w:t>Witness issue.</w:t>
      </w:r>
      <w:r>
        <w:t xml:space="preserve"> The IT employees who collected and summarized the data (the log names Karen Lipscomb as Director of IT, while the GC memo names Raj Patel as IT Director) may become fact witnesses on collection integrity. Counsel and a vendor, not IT, should drive collection going forward.</w:t>
      </w:r>
    </w:p>
    <w:p>
      <w:pPr>
        <w:pStyle w:val="Heading2"/>
      </w:pPr>
      <w:r>
        <w:t>B. Preservation, Spoliation and Data-Loss Disclosure</w:t>
      </w:r>
    </w:p>
    <w:p>
      <w:pPr>
        <w:jc w:val="both"/>
      </w:pPr>
      <w:r>
        <w:t>This is the most time-sensitive issue in the matter. Oral Testimony Topic D and Interrogatory 8(a)-(f) show that DOJ is already focused on retention practices, migrations and data losses. DOJ may know or suspect gaps, possibly from NourishCo's production or OINTA. The CID cover letter and Instruction 6 require immediate suspension of routine destruction, including at third-party providers and on backup media. 18 U.S.C. § 1505 makes it a crime to willfully withhold, conceal, destroy or alter material subject to an ACPA CID with intent to obstruct compliance, and § 1519 reaches destruction in contemplation of a federal investigation.</w:t>
      </w:r>
    </w:p>
    <w:p>
      <w:pPr>
        <w:pStyle w:val="Heading3"/>
      </w:pPr>
      <w:r>
        <w:t>1. Ongoing post-service destruction risk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D9E2F3"/>
          </w:tcPr>
          <w:p>
            <w:r/>
            <w:r>
              <w:rPr>
                <w:b/>
                <w:sz w:val="17"/>
              </w:rPr>
              <w:t>System</w:t>
            </w:r>
          </w:p>
        </w:tc>
        <w:tc>
          <w:tcPr>
            <w:tcW w:type="dxa" w:w="2592"/>
            <w:shd w:val="clear" w:color="auto" w:fill="D9E2F3"/>
          </w:tcPr>
          <w:p>
            <w:r/>
            <w:r>
              <w:rPr>
                <w:b/>
                <w:sz w:val="17"/>
              </w:rPr>
              <w:t>Policy rule (GOI-CORP-2020-003)</w:t>
            </w:r>
          </w:p>
        </w:tc>
        <w:tc>
          <w:tcPr>
            <w:tcW w:type="dxa" w:w="2736"/>
            <w:shd w:val="clear" w:color="auto" w:fill="D9E2F3"/>
          </w:tcPr>
          <w:p>
            <w:r/>
            <w:r>
              <w:rPr>
                <w:b/>
                <w:sz w:val="17"/>
              </w:rPr>
              <w:t>Risk after Oct. 4, 2024</w:t>
            </w:r>
          </w:p>
        </w:tc>
        <w:tc>
          <w:tcPr>
            <w:tcW w:type="dxa" w:w="2304"/>
            <w:shd w:val="clear" w:color="auto" w:fill="D9E2F3"/>
          </w:tcPr>
          <w:p>
            <w:r/>
            <w:r>
              <w:rPr>
                <w:b/>
                <w:sz w:val="17"/>
              </w:rPr>
              <w:t>Action</w:t>
            </w:r>
          </w:p>
        </w:tc>
      </w:tr>
      <w:tr>
        <w:tc>
          <w:tcPr>
            <w:tcW w:type="dxa" w:w="1728"/>
          </w:tcPr>
          <w:p>
            <w:r>
              <w:rPr>
                <w:sz w:val="17"/>
              </w:rPr>
            </w:r>
            <w:r>
              <w:rPr>
                <w:sz w:val="17"/>
              </w:rPr>
              <w:t>Email (Microsoft 365; formerly Google Workspace)</w:t>
            </w:r>
          </w:p>
        </w:tc>
        <w:tc>
          <w:tcPr>
            <w:tcW w:type="dxa" w:w="2592"/>
          </w:tcPr>
          <w:p>
            <w:r>
              <w:rPr>
                <w:sz w:val="17"/>
              </w:rPr>
            </w:r>
            <w:r>
              <w:rPr>
                <w:sz w:val="17"/>
              </w:rPr>
              <w:t xml:space="preserve">Auto-archive at 2 years; </w:t>
            </w:r>
            <w:r>
              <w:rPr>
                <w:b/>
                <w:sz w:val="17"/>
              </w:rPr>
              <w:t>permanent purge at 5 years</w:t>
            </w:r>
            <w:r>
              <w:rPr>
                <w:sz w:val="17"/>
              </w:rPr>
              <w:t xml:space="preserve">; purge job runs </w:t>
            </w:r>
            <w:r>
              <w:rPr>
                <w:b/>
                <w:sz w:val="17"/>
              </w:rPr>
              <w:t>monthly</w:t>
            </w:r>
            <w:r>
              <w:rPr>
                <w:sz w:val="17"/>
              </w:rPr>
              <w:t xml:space="preserve"> (§§ 4.1, 5).</w:t>
            </w:r>
          </w:p>
        </w:tc>
        <w:tc>
          <w:tcPr>
            <w:tcW w:type="dxa" w:w="2736"/>
          </w:tcPr>
          <w:p>
            <w:r>
              <w:rPr>
                <w:sz w:val="17"/>
              </w:rPr>
            </w:r>
            <w:r>
              <w:rPr>
                <w:sz w:val="17"/>
              </w:rPr>
              <w:t>Each monthly cycle destroys the oldest remaining Relevant-Period email (currently ~Oct./Nov. 2019). The GC memo itself assumes pre-Oct. 2019 email is gone.</w:t>
            </w:r>
          </w:p>
        </w:tc>
        <w:tc>
          <w:tcPr>
            <w:tcW w:type="dxa" w:w="2304"/>
          </w:tcPr>
          <w:p>
            <w:r>
              <w:rPr>
                <w:sz w:val="17"/>
              </w:rPr>
            </w:r>
            <w:r>
              <w:rPr>
                <w:sz w:val="17"/>
              </w:rPr>
              <w:t>Suspend the purge and confirm in writing. Determine whether any cycle ran after Oct. 4. Preserve purge logs.</w:t>
            </w:r>
          </w:p>
        </w:tc>
      </w:tr>
      <w:tr>
        <w:tc>
          <w:tcPr>
            <w:tcW w:type="dxa" w:w="1728"/>
          </w:tcPr>
          <w:p>
            <w:r>
              <w:rPr>
                <w:sz w:val="17"/>
              </w:rPr>
            </w:r>
            <w:r>
              <w:rPr>
                <w:sz w:val="17"/>
              </w:rPr>
              <w:t>Microsoft Teams (since Jan. 2024)</w:t>
            </w:r>
          </w:p>
        </w:tc>
        <w:tc>
          <w:tcPr>
            <w:tcW w:type="dxa" w:w="2592"/>
          </w:tcPr>
          <w:p>
            <w:r>
              <w:rPr>
                <w:sz w:val="17"/>
              </w:rPr>
            </w:r>
            <w:r>
              <w:rPr>
                <w:sz w:val="17"/>
              </w:rPr>
              <w:t>90-day auto-deletion applies to Slack "</w:t>
            </w:r>
            <w:r>
              <w:rPr>
                <w:b/>
                <w:sz w:val="17"/>
              </w:rPr>
              <w:t>or any successor</w:t>
            </w:r>
            <w:r>
              <w:rPr>
                <w:sz w:val="17"/>
              </w:rPr>
              <w:t xml:space="preserve">" platform; deletion runs </w:t>
            </w:r>
            <w:r>
              <w:rPr>
                <w:b/>
                <w:sz w:val="17"/>
              </w:rPr>
              <w:t>daily</w:t>
            </w:r>
            <w:r>
              <w:rPr>
                <w:sz w:val="17"/>
              </w:rPr>
              <w:t xml:space="preserve"> (§§ 4.2, 5).</w:t>
            </w:r>
          </w:p>
        </w:tc>
        <w:tc>
          <w:tcPr>
            <w:tcW w:type="dxa" w:w="2736"/>
          </w:tcPr>
          <w:p>
            <w:r>
              <w:rPr>
                <w:sz w:val="17"/>
              </w:rPr>
            </w:r>
            <w:r>
              <w:rPr>
                <w:sz w:val="17"/>
              </w:rPr>
              <w:t>If Teams retention mirrors the Policy, messages are deleted every day, including post-service messages from ~July 2024 onward.</w:t>
            </w:r>
          </w:p>
        </w:tc>
        <w:tc>
          <w:tcPr>
            <w:tcW w:type="dxa" w:w="2304"/>
          </w:tcPr>
          <w:p>
            <w:r>
              <w:rPr>
                <w:sz w:val="17"/>
              </w:rPr>
            </w:r>
            <w:r>
              <w:rPr>
                <w:sz w:val="17"/>
              </w:rPr>
              <w:t>Highest urgency. Apply an M365 retention hold/eDiscovery hold to all custodians now.</w:t>
            </w:r>
          </w:p>
        </w:tc>
      </w:tr>
      <w:tr>
        <w:tc>
          <w:tcPr>
            <w:tcW w:type="dxa" w:w="1728"/>
          </w:tcPr>
          <w:p>
            <w:r>
              <w:rPr>
                <w:sz w:val="17"/>
              </w:rPr>
            </w:r>
            <w:r>
              <w:rPr>
                <w:sz w:val="17"/>
              </w:rPr>
              <w:t>Slack export (Jan. 2024)</w:t>
            </w:r>
          </w:p>
        </w:tc>
        <w:tc>
          <w:tcPr>
            <w:tcW w:type="dxa" w:w="2592"/>
          </w:tcPr>
          <w:p>
            <w:r>
              <w:rPr>
                <w:sz w:val="17"/>
              </w:rPr>
            </w:r>
            <w:r>
              <w:rPr>
                <w:sz w:val="17"/>
              </w:rPr>
              <w:t>Slack messages were purged at 90 days throughout 2018/2020-Jan. 2024.</w:t>
            </w:r>
          </w:p>
        </w:tc>
        <w:tc>
          <w:tcPr>
            <w:tcW w:type="dxa" w:w="2736"/>
          </w:tcPr>
          <w:p>
            <w:r>
              <w:rPr>
                <w:sz w:val="17"/>
              </w:rPr>
            </w:r>
            <w:r>
              <w:rPr>
                <w:sz w:val="17"/>
              </w:rPr>
              <w:t>The export holds only ~late Oct. 2023-Jan. 2024 messages. Archive media could be overwritten or deleted.</w:t>
            </w:r>
          </w:p>
        </w:tc>
        <w:tc>
          <w:tcPr>
            <w:tcW w:type="dxa" w:w="2304"/>
          </w:tcPr>
          <w:p>
            <w:r>
              <w:rPr>
                <w:sz w:val="17"/>
              </w:rPr>
            </w:r>
            <w:r>
              <w:rPr>
                <w:sz w:val="17"/>
              </w:rPr>
              <w:t>Sequester the export. Confirm with Slack whether any workspace data or backups remain.</w:t>
            </w:r>
          </w:p>
        </w:tc>
      </w:tr>
      <w:tr>
        <w:tc>
          <w:tcPr>
            <w:tcW w:type="dxa" w:w="1728"/>
          </w:tcPr>
          <w:p>
            <w:r>
              <w:rPr>
                <w:sz w:val="17"/>
              </w:rPr>
            </w:r>
            <w:r>
              <w:rPr>
                <w:sz w:val="17"/>
              </w:rPr>
              <w:t>SharePoint / file shares</w:t>
            </w:r>
          </w:p>
        </w:tc>
        <w:tc>
          <w:tcPr>
            <w:tcW w:type="dxa" w:w="2592"/>
          </w:tcPr>
          <w:p>
            <w:r>
              <w:rPr>
                <w:sz w:val="17"/>
              </w:rPr>
            </w:r>
            <w:r>
              <w:rPr>
                <w:sz w:val="17"/>
              </w:rPr>
              <w:t>Pricing lists 3 years after supersession; budgets/forecasts 3 years; sales reports 3 years; manual annual deletions (§§ 4.3-4.7).</w:t>
            </w:r>
          </w:p>
        </w:tc>
        <w:tc>
          <w:tcPr>
            <w:tcW w:type="dxa" w:w="2736"/>
          </w:tcPr>
          <w:p>
            <w:r>
              <w:rPr>
                <w:sz w:val="17"/>
              </w:rPr>
            </w:r>
            <w:r>
              <w:rPr>
                <w:sz w:val="17"/>
              </w:rPr>
              <w:t>Departmental deletion of 2019-2021 pricing and planning documents (Specs. 2, 3, 13).</w:t>
            </w:r>
          </w:p>
        </w:tc>
        <w:tc>
          <w:tcPr>
            <w:tcW w:type="dxa" w:w="2304"/>
          </w:tcPr>
          <w:p>
            <w:r>
              <w:rPr>
                <w:sz w:val="17"/>
              </w:rPr>
            </w:r>
            <w:r>
              <w:rPr>
                <w:sz w:val="17"/>
              </w:rPr>
              <w:t>Hold notice to all record custodians. Suspend departmental purges.</w:t>
            </w:r>
          </w:p>
        </w:tc>
      </w:tr>
      <w:tr>
        <w:tc>
          <w:tcPr>
            <w:tcW w:type="dxa" w:w="1728"/>
          </w:tcPr>
          <w:p>
            <w:r>
              <w:rPr>
                <w:sz w:val="17"/>
              </w:rPr>
            </w:r>
            <w:r>
              <w:rPr>
                <w:sz w:val="17"/>
              </w:rPr>
              <w:t>Salesforce / SAP</w:t>
            </w:r>
          </w:p>
        </w:tc>
        <w:tc>
          <w:tcPr>
            <w:tcW w:type="dxa" w:w="2592"/>
          </w:tcPr>
          <w:p>
            <w:r>
              <w:rPr>
                <w:sz w:val="17"/>
              </w:rPr>
            </w:r>
            <w:r>
              <w:rPr>
                <w:sz w:val="17"/>
              </w:rPr>
              <w:t>System purges per configuration (§§ 4.4, 4.7).</w:t>
            </w:r>
          </w:p>
        </w:tc>
        <w:tc>
          <w:tcPr>
            <w:tcW w:type="dxa" w:w="2736"/>
          </w:tcPr>
          <w:p>
            <w:r>
              <w:rPr>
                <w:sz w:val="17"/>
              </w:rPr>
            </w:r>
            <w:r>
              <w:rPr>
                <w:sz w:val="17"/>
              </w:rPr>
              <w:t>Automated archiving or purging of CRM/ERP pricing and transaction data (Specs. 3, 4, 6; Interrog. 3).</w:t>
            </w:r>
          </w:p>
        </w:tc>
        <w:tc>
          <w:tcPr>
            <w:tcW w:type="dxa" w:w="2304"/>
          </w:tcPr>
          <w:p>
            <w:r>
              <w:rPr>
                <w:sz w:val="17"/>
              </w:rPr>
            </w:r>
            <w:r>
              <w:rPr>
                <w:sz w:val="17"/>
              </w:rPr>
              <w:t>Suspend. IT indicated coordination with the M365 and Salesforce teams was not complete.</w:t>
            </w:r>
          </w:p>
        </w:tc>
      </w:tr>
      <w:tr>
        <w:tc>
          <w:tcPr>
            <w:tcW w:type="dxa" w:w="1728"/>
          </w:tcPr>
          <w:p>
            <w:r>
              <w:rPr>
                <w:sz w:val="17"/>
              </w:rPr>
            </w:r>
            <w:r>
              <w:rPr>
                <w:sz w:val="17"/>
              </w:rPr>
              <w:t>Backups / disaster recovery</w:t>
            </w:r>
          </w:p>
        </w:tc>
        <w:tc>
          <w:tcPr>
            <w:tcW w:type="dxa" w:w="2592"/>
          </w:tcPr>
          <w:p>
            <w:r>
              <w:rPr>
                <w:sz w:val="17"/>
              </w:rPr>
            </w:r>
            <w:r>
              <w:rPr>
                <w:sz w:val="17"/>
              </w:rPr>
              <w:t>Not addressed in Policy.</w:t>
            </w:r>
          </w:p>
        </w:tc>
        <w:tc>
          <w:tcPr>
            <w:tcW w:type="dxa" w:w="2736"/>
          </w:tcPr>
          <w:p>
            <w:r>
              <w:rPr>
                <w:sz w:val="17"/>
              </w:rPr>
            </w:r>
            <w:r>
              <w:rPr>
                <w:sz w:val="17"/>
              </w:rPr>
              <w:t>Tape or backup rotation overwriting (Instr. 6 expressly covers backup tapes).</w:t>
            </w:r>
          </w:p>
        </w:tc>
        <w:tc>
          <w:tcPr>
            <w:tcW w:type="dxa" w:w="2304"/>
          </w:tcPr>
          <w:p>
            <w:r>
              <w:rPr>
                <w:sz w:val="17"/>
              </w:rPr>
            </w:r>
            <w:r>
              <w:rPr>
                <w:sz w:val="17"/>
              </w:rPr>
              <w:t>Pull current backup sets from rotation.</w:t>
            </w:r>
          </w:p>
        </w:tc>
      </w:tr>
      <w:tr>
        <w:tc>
          <w:tcPr>
            <w:tcW w:type="dxa" w:w="1728"/>
          </w:tcPr>
          <w:p>
            <w:r>
              <w:rPr>
                <w:sz w:val="17"/>
              </w:rPr>
            </w:r>
            <w:r>
              <w:rPr>
                <w:sz w:val="17"/>
              </w:rPr>
              <w:t>IT destruction logs</w:t>
            </w:r>
          </w:p>
        </w:tc>
        <w:tc>
          <w:tcPr>
            <w:tcW w:type="dxa" w:w="2592"/>
          </w:tcPr>
          <w:p>
            <w:r>
              <w:rPr>
                <w:sz w:val="17"/>
              </w:rPr>
            </w:r>
            <w:r>
              <w:rPr>
                <w:sz w:val="17"/>
              </w:rPr>
              <w:t>Retained only 3 years (§ 5).</w:t>
            </w:r>
          </w:p>
        </w:tc>
        <w:tc>
          <w:tcPr>
            <w:tcW w:type="dxa" w:w="2736"/>
          </w:tcPr>
          <w:p>
            <w:r>
              <w:rPr>
                <w:sz w:val="17"/>
              </w:rPr>
            </w:r>
            <w:r>
              <w:rPr>
                <w:sz w:val="17"/>
              </w:rPr>
              <w:t>Logs documenting routine (non-selective) destruction will be key evidence for Topic D and spoliation defense.</w:t>
            </w:r>
          </w:p>
        </w:tc>
        <w:tc>
          <w:tcPr>
            <w:tcW w:type="dxa" w:w="2304"/>
          </w:tcPr>
          <w:p>
            <w:r>
              <w:rPr>
                <w:sz w:val="17"/>
              </w:rPr>
            </w:r>
            <w:r>
              <w:rPr>
                <w:sz w:val="17"/>
              </w:rPr>
              <w:t>Preserve all existing logs indefinitely.</w:t>
            </w:r>
          </w:p>
        </w:tc>
      </w:tr>
      <w:tr>
        <w:tc>
          <w:tcPr>
            <w:tcW w:type="dxa" w:w="1728"/>
          </w:tcPr>
          <w:p>
            <w:r>
              <w:rPr>
                <w:sz w:val="17"/>
              </w:rPr>
            </w:r>
            <w:r>
              <w:rPr>
                <w:sz w:val="17"/>
              </w:rPr>
              <w:t>Personal devices / accounts</w:t>
            </w:r>
          </w:p>
        </w:tc>
        <w:tc>
          <w:tcPr>
            <w:tcW w:type="dxa" w:w="2592"/>
          </w:tcPr>
          <w:p>
            <w:r>
              <w:rPr>
                <w:sz w:val="17"/>
              </w:rPr>
            </w:r>
            <w:r>
              <w:rPr>
                <w:sz w:val="17"/>
              </w:rPr>
              <w:t xml:space="preserve">Policy forbids business use of personal devices and directs employees to </w:t>
            </w:r>
            <w:r>
              <w:rPr>
                <w:b/>
                <w:sz w:val="17"/>
              </w:rPr>
              <w:t>delete</w:t>
            </w:r>
            <w:r>
              <w:rPr>
                <w:sz w:val="17"/>
              </w:rPr>
              <w:t xml:space="preserve"> personal copies of Company records (§§ 5, 7).</w:t>
            </w:r>
          </w:p>
        </w:tc>
        <w:tc>
          <w:tcPr>
            <w:tcW w:type="dxa" w:w="2736"/>
          </w:tcPr>
          <w:p>
            <w:r>
              <w:rPr>
                <w:sz w:val="17"/>
              </w:rPr>
            </w:r>
            <w:r>
              <w:rPr>
                <w:sz w:val="17"/>
              </w:rPr>
              <w:t>Employees following the Policy literally would destroy responsive material.</w:t>
            </w:r>
          </w:p>
        </w:tc>
        <w:tc>
          <w:tcPr>
            <w:tcW w:type="dxa" w:w="2304"/>
          </w:tcPr>
          <w:p>
            <w:r>
              <w:rPr>
                <w:sz w:val="17"/>
              </w:rPr>
            </w:r>
            <w:r>
              <w:rPr>
                <w:sz w:val="17"/>
              </w:rPr>
              <w:t>The hold must expressly override these provisions.</w:t>
            </w:r>
          </w:p>
        </w:tc>
      </w:tr>
    </w:tbl>
    <w:p>
      <w:pPr>
        <w:spacing w:after="40"/>
      </w:pPr>
    </w:p>
    <w:p>
      <w:pPr>
        <w:pStyle w:val="Heading3"/>
      </w:pPr>
      <w:r>
        <w:t>2. Timing of the preservation trigger</w:t>
      </w:r>
    </w:p>
    <w:p>
      <w:pPr>
        <w:jc w:val="both"/>
      </w:pPr>
      <w:r>
        <w:t xml:space="preserve">The client is treating October 4, 2024 as the trigger date. DOJ may argue for an earlier one, based on (i) the CEO texts referring to "regulatory attention" (June 18, 2024), an "FTC" matter (Aug. 25, 2024) and "lawyers" (Sept. 5, 2024); (ii) any earlier contact from the FTC or DOJ that we have not been told about; and (iii) the Labeling Litigation (2021-2023), whose allegations about pricing of organic products overlap with the CID's subject matter. If an earlier trigger is found, routine purges of 2019 email during 2024 could be characterized as spoliation. We must ask the client directly about any prior government contact and about the scope of any Labeling Litigation hold. </w:t>
      </w:r>
      <w:r>
        <w:rPr>
          <w:b/>
        </w:rPr>
        <w:t>Silver lining:</w:t>
      </w:r>
      <w:r>
        <w:t xml:space="preserve"> the Labeling Litigation files are retained for seven years after resolution (Policy § 4.5), and any hold or collection in that case may have preserved 2019-2022 pricing documents and communications that the ordinary schedule would have destroyed. Locate and preserve those collections now.</w:t>
      </w:r>
    </w:p>
    <w:p>
      <w:pPr>
        <w:pStyle w:val="Heading3"/>
      </w:pPr>
      <w:r>
        <w:t>3. Historical data losses that must be disclosed</w:t>
      </w:r>
    </w:p>
    <w:p>
      <w:pPr>
        <w:pStyle w:val="ListBullet"/>
        <w:spacing w:after="60"/>
      </w:pPr>
      <w:r>
        <w:rPr>
          <w:b/>
        </w:rPr>
        <w:t>Google Workspace migration (Aug. 2023) and decommissioning (Oct. 1, 2023).</w:t>
      </w:r>
      <w:r>
        <w:t xml:space="preserve"> Cloudbridge reports that about 14,800 of about 370,000 messages (4%) failed to migrate: about 9,100 because of formatting incompatibilities and about 5,700 because of embedded-object corruption. The failures are spread across about 340 of about 1,940 mailboxes. Cloudbridge kept no copies. It </w:t>
      </w:r>
      <w:r>
        <w:rPr>
          <w:b/>
        </w:rPr>
        <w:t>recommended that the client keep a backup</w:t>
      </w:r>
      <w:r>
        <w:t xml:space="preserve"> of the source environment before decommissioning, and </w:t>
      </w:r>
      <w:r>
        <w:rPr>
          <w:b/>
        </w:rPr>
        <w:t>the client decided to proceed anyway</w:t>
      </w:r>
      <w:r>
        <w:t xml:space="preserve">. Cloudbridge also urged a prompt request to Google, which apparently was never made. The GC memo says the losses are from the 2019-2023 period, but Cloudbridge describes them as drawn from the entire January 2014-August 2023 archive. </w:t>
      </w:r>
      <w:r>
        <w:rPr>
          <w:b/>
        </w:rPr>
        <w:t>Actions:</w:t>
      </w:r>
      <w:r>
        <w:t xml:space="preserve"> obtain the per-mailbox failure logs to determine which custodians and date ranges are affected. Make (and document) an immediate recovery request to Google, even though recovery after more than a year is unlikely. Determine whether Google Vault holds, or holds from the Labeling Litigation, existed and were destroyed on license termination. Identify alternative sources: the recipients' or senders' copies in M365 for internal mail, and counterparties.</w:t>
      </w:r>
    </w:p>
    <w:p>
      <w:pPr>
        <w:pStyle w:val="ListBullet"/>
        <w:spacing w:after="60"/>
      </w:pPr>
      <w:r>
        <w:rPr>
          <w:b/>
        </w:rPr>
        <w:t>An inconsistency DOJ will notice.</w:t>
      </w:r>
      <w:r>
        <w:t xml:space="preserve"> Cloudbridge migrated a "full historical archive" going back to January 2014. Under the Policy's five-year purge, email older than about August 2018 should not have existed in August 2023. Either the purge was not actually running in Google Workspace (in which case 2014-2019 email may now sit in M365, which helps production but undercuts any argument that losses resulted from routine, consistently applied practices), or the archive was incomplete. Also, roughly 370,000 messages across about 1,940 mailboxes over nine years (about 190 per mailbox) seems implausibly low for a company of this size. That suggests wider deletion or a scoping limitation that we must understand before anyone certifies completeness or testifies on Topic D.</w:t>
      </w:r>
    </w:p>
    <w:p>
      <w:pPr>
        <w:pStyle w:val="ListBullet"/>
        <w:spacing w:after="60"/>
      </w:pPr>
      <w:r>
        <w:rPr>
          <w:b/>
        </w:rPr>
        <w:t>Slack (c. 2018-Jan. 2024).</w:t>
      </w:r>
      <w:r>
        <w:t xml:space="preserve"> Under the 90-day rule, nearly all Slack content for the period of the price increases (2022-2023) was purged before the CID. That was routine pre-CID deletion and is likely defensible if no earlier duty existed, but it must be disclosed under Interrogatory 8(b) and (e). Confirm whether the Labeling Litigation hold (if any) suspended Slack deletion.</w:t>
      </w:r>
    </w:p>
    <w:p>
      <w:pPr>
        <w:pStyle w:val="ListBullet"/>
        <w:spacing w:after="60"/>
      </w:pPr>
      <w:r>
        <w:rPr>
          <w:b/>
        </w:rPr>
        <w:t>Raleigh server failure (Mar. 15, 2024).</w:t>
      </w:r>
      <w:r>
        <w:t xml:space="preserve"> About two weeks (Mar. 1-15, 2024) of </w:t>
      </w:r>
      <w:r>
        <w:rPr>
          <w:b/>
        </w:rPr>
        <w:t>local backup</w:t>
      </w:r>
      <w:r>
        <w:t xml:space="preserve"> copies of email, SharePoint and Salesforce exports were lost. The primary cloud data was reportedly unaffected, so the substantive loss may be minimal, but it falls squarely within Interrogatory 8(f). Obtain the incident report and root-cause analysis.</w:t>
      </w:r>
    </w:p>
    <w:p>
      <w:pPr>
        <w:pStyle w:val="ListBullet"/>
        <w:spacing w:after="60"/>
      </w:pPr>
      <w:r>
        <w:rPr>
          <w:b/>
        </w:rPr>
        <w:t>No BYOD/MDM policy.</w:t>
      </w:r>
      <w:r>
        <w:t xml:space="preserve"> The CEO conducted competitor communications exclusively on unmanaged personal devices, contrary to Policy § 7. DOJ will probe whether other executives (Waverly and Oshiro also attend OINTA) did the same. Interview custodians about personal-device use.</w:t>
      </w:r>
    </w:p>
    <w:p>
      <w:pPr>
        <w:pStyle w:val="Heading3"/>
      </w:pPr>
      <w:r>
        <w:t>4. Retention Policy deficiencies</w:t>
      </w:r>
    </w:p>
    <w:p>
      <w:pPr>
        <w:jc w:val="both"/>
      </w:pPr>
      <w:r>
        <w:t xml:space="preserve">The Policy (i) has </w:t>
      </w:r>
      <w:r>
        <w:rPr>
          <w:b/>
        </w:rPr>
        <w:t>no litigation-hold or government-investigation provision</w:t>
      </w:r>
      <w:r>
        <w:t xml:space="preserve">, as the GC acknowledges; (ii) has not been reviewed since February 2020, despite its own two-year review requirement (§ 8); (iii) does not reflect the M365/Teams environment; (iv) frames retention periods as "minimums" (§ 9) while directing destruction "upon expiration", which is internally inconsistent; and (v) applies a 90-day, no-archive rule to all chat, which DOJ policy and recent federal guidance on ephemeral messaging view unfavorably. These issues will be examined under Topic D. Remediate them going forward (adopt a hold procedure and a revised chat retention policy), but </w:t>
      </w:r>
      <w:r>
        <w:rPr>
          <w:b/>
        </w:rPr>
        <w:t>do not amend the Policy in a way that could be portrayed as rewriting history</w:t>
      </w:r>
      <w:r>
        <w:t>. Preserve the existing version and all prior versions, including the superseded March 1, 2016 policy.</w:t>
      </w:r>
    </w:p>
    <w:p>
      <w:pPr>
        <w:pStyle w:val="Heading3"/>
      </w:pPr>
      <w:r>
        <w:t>5. Disclosure and certification</w:t>
      </w:r>
    </w:p>
    <w:p>
      <w:pPr>
        <w:jc w:val="both"/>
      </w:pPr>
      <w:r>
        <w:t xml:space="preserve">Instruction 4 requires disclosure of "known gaps, limitations, or issues" in the interrogatory responses. Interrogatory 8 requires a detailed account of every migration and data loss. Instruction 8 requires a </w:t>
      </w:r>
      <w:r>
        <w:rPr>
          <w:b/>
        </w:rPr>
        <w:t>sworn officer certification</w:t>
      </w:r>
      <w:r>
        <w:t xml:space="preserve"> that, among other things, "preservation obligations have been fulfilled." No officer can truthfully give that certification until the hold is in place and the post-service deletion question is resolved. Any certification must be carefully qualified, and the certifying officer should not be the GC (a fact witness on several retention decisions) or Ms. Hollister. We recommend a proactive, counsel-led disclosure of the known data gaps early in the meet-and-confer, with a remediation plan. A first disclosure prompted by a DOJ question would be far worse.</w:t>
      </w:r>
    </w:p>
    <w:p>
      <w:pPr>
        <w:pStyle w:val="Heading2"/>
      </w:pPr>
      <w:r>
        <w:t>C. The Ridgeline Report: Privilege and Content Risk</w:t>
      </w:r>
    </w:p>
    <w:p>
      <w:pPr>
        <w:pStyle w:val="Heading3"/>
      </w:pPr>
      <w:r>
        <w:t>1. Privilege: the report cannot be withheld</w:t>
      </w:r>
    </w:p>
    <w:p>
      <w:pPr>
        <w:jc w:val="both"/>
      </w:pPr>
      <w:r>
        <w:t>The GC asks whether the report can be withheld as privileged. In our view it cannot, and attempting to withhold it would create serious credibility and obstruction risk.</w:t>
      </w:r>
    </w:p>
    <w:p>
      <w:pPr>
        <w:pStyle w:val="ListBullet"/>
        <w:spacing w:after="60"/>
      </w:pPr>
      <w:r>
        <w:rPr>
          <w:b/>
        </w:rPr>
        <w:t>Attorney-client privilege.</w:t>
      </w:r>
      <w:r>
        <w:t xml:space="preserve"> The privilege protects confidential communications made for the purpose of obtaining legal advice. Where a communication serves dual purposes, courts ask whether obtaining legal advice was a primary purpose (see In re Kellogg Brown &amp; Root, Inc., 756 F.3d 754 (D.C. Cir. 2014)). Here, every indicator points to a business purpose. Engagement Letter § 1 describes the purpose as supporting "strategic planning and business development objectives" and providing "actionable market intelligence." The report says it is "intended for business planning purposes only" and is meant "to inform Greenfield's commercial strategy and business planning." It was distributed to the CEO, CFO and VPs of Sales and Marketing, discussed at a June 22, 2023 leadership meeting, and incorporated into the 2024 business plan. Ridgeline is an independent contractor and expressly "not a... legal representative" (§ 9). The GC signed the letter and was the point of contact </w:t>
      </w:r>
      <w:r>
        <w:rPr>
          <w:b/>
        </w:rPr>
        <w:t>because Legal manages vendor contracts over $100,000</w:t>
      </w:r>
      <w:r>
        <w:t>, as he concedes, and not in order to give legal advice. That role does not create privilege. Kovel-type protection (United States v. Kovel, 296 F.2d 918 (2d Cir. 1961)) does not apply, because Ridgeline was not helping counsel render legal advice.</w:t>
      </w:r>
    </w:p>
    <w:p>
      <w:pPr>
        <w:pStyle w:val="ListBullet"/>
        <w:spacing w:after="60"/>
      </w:pPr>
      <w:r>
        <w:rPr>
          <w:b/>
        </w:rPr>
        <w:t>Work product.</w:t>
      </w:r>
      <w:r>
        <w:t xml:space="preserve"> The report was prepared in March-June 2023, when no investigation or litigation concerning pricing was anticipated (the Labeling Litigation had settled April 30, 2023, and the report addresses competitive strategy, not that case). It would have been created in the same form regardless of litigation, so it fails the "because of" test (e.g., United States v. Adlman, 134 F.3d 1194 (2d Cir. 1998)).</w:t>
      </w:r>
    </w:p>
    <w:p>
      <w:pPr>
        <w:pStyle w:val="ListBullet"/>
        <w:spacing w:after="60"/>
      </w:pPr>
      <w:r>
        <w:rPr>
          <w:b/>
        </w:rPr>
        <w:t>Waiver by distribution.</w:t>
      </w:r>
      <w:r>
        <w:t xml:space="preserve"> Even if some privileged component existed, broad business distribution and use in the business plan would undercut confidentiality and the claim.</w:t>
      </w:r>
    </w:p>
    <w:p>
      <w:pPr>
        <w:pStyle w:val="ListBullet"/>
        <w:spacing w:after="60"/>
      </w:pPr>
      <w:r>
        <w:rPr>
          <w:b/>
        </w:rPr>
        <w:t>Consequences of an improper claim.</w:t>
      </w:r>
      <w:r>
        <w:t xml:space="preserve"> Under Instruction 5, every withheld document must be logged with enough detail for DOJ to assess the claim. Ridgeline holds its own copy, drafts, interview notes and working files and can be compelled directly, and Ridgeline's confidentiality clause (§ 6(d)) allows disclosure under legal process. Ridgeline's confidentiality obligation in any case runs only three years after termination (to about mid-2026). DOJ will get the report one way or another. An unsupportable privilege claim would damage credibility and could be portrayed as concealment under 18 U.S.C. § 1505.</w:t>
      </w:r>
    </w:p>
    <w:p>
      <w:pPr>
        <w:pStyle w:val="ListBullet"/>
        <w:spacing w:after="60"/>
      </w:pPr>
      <w:r>
        <w:rPr>
          <w:b/>
        </w:rPr>
        <w:t>Narrow carve-outs only.</w:t>
      </w:r>
      <w:r>
        <w:t xml:space="preserve"> Specific communications in which the GC (or this Firm) gave legal advice about the engagement or the report may be withheld and logged. The report itself, drafts (draft due May 31, 2023), Greenfield's comments on drafts, data provided to Ridgeline, interview materials, invoices and fee records (Interrog. 7(f): $185,000 fixed fee plus expenses capped at $15,000 without approval) are responsive to Spec. 11 and Interrogatory 7 and must be produced.</w:t>
      </w:r>
    </w:p>
    <w:p>
      <w:pPr>
        <w:pStyle w:val="Heading3"/>
      </w:pPr>
      <w:r>
        <w:t>2. Content risk: why the report matters</w:t>
      </w:r>
    </w:p>
    <w:p>
      <w:pPr>
        <w:pStyle w:val="ListBullet"/>
        <w:spacing w:after="60"/>
      </w:pPr>
      <w:r>
        <w:rPr>
          <w:b/>
        </w:rPr>
        <w:t>"TinyHarvest" is NourishCo.</w:t>
      </w:r>
      <w:r>
        <w:t xml:space="preserve"> Ridgeline's market-share table identifies TinyHarvest as NourishCo Holdings' brand (22% share). The GC memo treats TinyHarvest as if it were a separate competitor ("NourishCo and TinyHarvest"; "maintain price parity with TinyHarvest") and calls the corridor "standard competitive benchmarking advice." In fact the recommendation is to keep PureSprout within ±3% of the alleged co-conspirator's price. Unilaterally matching a rival's observed prices is lawful. But combined with the CEO communications, DOJ will argue the corridor shows motive and a mechanism for coordination.</w:t>
      </w:r>
    </w:p>
    <w:p>
      <w:pPr>
        <w:pStyle w:val="ListBullet"/>
        <w:spacing w:after="60"/>
      </w:pPr>
      <w:r>
        <w:rPr>
          <w:b/>
        </w:rPr>
        <w:t>Problematic language.</w:t>
      </w:r>
      <w:r>
        <w:t xml:space="preserve"> The report refers to a "clear duopoly at the top of the market", "maintaining competitive stability", avoiding "a destabilizing price war", "pricing stability", and pricing decisions by the two leaders being "rapidly observed and responded to by the other." It recommends a quarterly pricing review "aligned with the OINTA Pricing Index Database publication schedule" and a "systematic process for gathering competitive pricing intelligence from retail partners." The latter raises hub-and-spoke risk if retailers pass information between the two leaders, and it is squarely responsive to Spec. 8.</w:t>
      </w:r>
    </w:p>
    <w:p>
      <w:pPr>
        <w:pStyle w:val="ListBullet"/>
        <w:spacing w:after="60"/>
      </w:pPr>
      <w:r>
        <w:rPr>
          <w:b/>
        </w:rPr>
        <w:t>Convergence evidence.</w:t>
      </w:r>
      <w:r>
        <w:t xml:space="preserve"> Table 1.2 shows the historical $0.02-$0.03 PureSprout premium disappearing and the two brands' prices becoming </w:t>
      </w:r>
      <w:r>
        <w:rPr>
          <w:b/>
        </w:rPr>
        <w:t>identical</w:t>
      </w:r>
      <w:r>
        <w:t xml:space="preserve"> in July 2022, October 2022 and March 2023. Ridgeline's comparison of the 30.28% PureSprout/TinyHarvest increase (July 2022-March 2023) with OINTA's 32% index increase (Q1 2021-Q1 2023) compares different time periods and does not support the "closely aligned" conclusion. From January 2021 ($1.30) to March 2023 ($1.85), the PureSprout increase was about 42%.</w:t>
      </w:r>
    </w:p>
    <w:p>
      <w:pPr>
        <w:pStyle w:val="ListBullet"/>
        <w:spacing w:after="60"/>
      </w:pPr>
      <w:r>
        <w:rPr>
          <w:b/>
        </w:rPr>
        <w:t>Implementation after delivery.</w:t>
      </w:r>
      <w:r>
        <w:t xml:space="preserve"> The fourth parallel increase (Sept. 1, 2023) and the Aug. 5, 2023 texts came after the June 2023 report and its adoption into the business plan. Interrogatory 6 (pricing methodologies since 2021) and Topic A will require candid disclosure of whether Greenfield adopted the ±3% corridor and OINTA-timed reviews.</w:t>
      </w:r>
    </w:p>
    <w:p>
      <w:pPr>
        <w:pStyle w:val="ListBullet"/>
        <w:spacing w:after="60"/>
      </w:pPr>
      <w:r>
        <w:rPr>
          <w:b/>
        </w:rPr>
        <w:t>Source of TinyHarvest pricing.</w:t>
      </w:r>
      <w:r>
        <w:t xml:space="preserve"> Table 1.2 cites "Greenfield internal pricing records" as a source for the price series, which includes TinyHarvest wholesale prices, and describes the figures as "published wholesale list prices." OINTA does not publish company-specific data. We must establish how Greenfield obtained NourishCo's wholesale prices (retailer disclosures, published price lists, or otherwise). If the source was NourishCo itself, the problem is severe.</w:t>
      </w:r>
    </w:p>
    <w:p>
      <w:pPr>
        <w:pStyle w:val="ListBullet"/>
        <w:spacing w:after="60"/>
      </w:pPr>
      <w:r>
        <w:rPr>
          <w:b/>
        </w:rPr>
        <w:t>Use of OINTA data.</w:t>
      </w:r>
      <w:r>
        <w:t xml:space="preserve"> Ridgeline used OINTA Pricing Index data. The OINTA guide prohibits redistributing published data to non-members without OINTA's written consent. If Greenfield supplied the data, that is a contractual issue with OINTA and another fact DOJ may probe under Topic C.</w:t>
      </w:r>
    </w:p>
    <w:p>
      <w:pPr>
        <w:pStyle w:val="ListBullet"/>
        <w:spacing w:after="60"/>
      </w:pPr>
      <w:r>
        <w:rPr>
          <w:b/>
        </w:rPr>
        <w:t>Version and dating anomaly.</w:t>
      </w:r>
      <w:r>
        <w:t xml:space="preserve"> The excerpt is dated June 15, 2023, yet reports "fiscal year 2023" revenue ($341 million), total revenue ($487 million) and gross margin (38.2%). FY2023 closed December 31, 2023, and these are the same figures the GC memo gives for FY2023. Either the excerpt is a later-revised version, the figures are mislabeled projections, or the excerpt was assembled after the fact. </w:t>
      </w:r>
      <w:r>
        <w:rPr>
          <w:b/>
        </w:rPr>
        <w:t>Before production, we must identify every version of the report (draft, final, any post-delivery revisions) and their custodians, and confirm which version was actually delivered and used.</w:t>
      </w:r>
      <w:r>
        <w:t xml:space="preserve"> Producing a later-edited version as "the report" without explanation would be damaging.</w:t>
      </w:r>
    </w:p>
    <w:p>
      <w:pPr>
        <w:pStyle w:val="ListBullet"/>
        <w:spacing w:after="60"/>
      </w:pPr>
      <w:r>
        <w:rPr>
          <w:b/>
        </w:rPr>
        <w:t>Third-party relationship.</w:t>
      </w:r>
      <w:r>
        <w:t xml:space="preserve"> Ridgeline may receive its own CID. Greenfield's indemnity of Ridgeline (§ 10) may expose Greenfield to Ridgeline's response costs. Consider a coordinated (non-substantive) contact with Ridgeline about preservation and notice of any legal process.</w:t>
      </w:r>
    </w:p>
    <w:p>
      <w:pPr>
        <w:pStyle w:val="Heading2"/>
      </w:pPr>
      <w:r>
        <w:t>D. OINTA Trade Association and the Pricing Index Database</w:t>
      </w:r>
    </w:p>
    <w:p>
      <w:pPr>
        <w:jc w:val="both"/>
      </w:pPr>
      <w:r>
        <w:t>The GC regards OINTA participation as "routine." We see the Pricing Index as an independent information-exchange concern under Section 1. Such exchanges are judged under the rule of reason by the structure of the market and the nature of the information (United States v. Container Corp., 393 U.S. 333 (1969); United States v. United States Gypsum Co., 438 U.S. 422 (1978); Todd v. Exxon Corp., 275 F.3d 191 (2d Cir. 2001)). The CEO texts may also convert the summits from evidence of an exchange into evidence of the occasions on which coordination happened.</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D9E2F3"/>
          </w:tcPr>
          <w:p>
            <w:r/>
            <w:r>
              <w:rPr>
                <w:b/>
                <w:sz w:val="18"/>
              </w:rPr>
              <w:t>Factor</w:t>
            </w:r>
          </w:p>
        </w:tc>
        <w:tc>
          <w:tcPr>
            <w:tcW w:type="dxa" w:w="4032"/>
            <w:shd w:val="clear" w:color="auto" w:fill="D9E2F3"/>
          </w:tcPr>
          <w:p>
            <w:r/>
            <w:r>
              <w:rPr>
                <w:b/>
                <w:sz w:val="18"/>
              </w:rPr>
              <w:t>OINTA Pricing Index facts</w:t>
            </w:r>
          </w:p>
        </w:tc>
        <w:tc>
          <w:tcPr>
            <w:tcW w:type="dxa" w:w="3600"/>
            <w:shd w:val="clear" w:color="auto" w:fill="D9E2F3"/>
          </w:tcPr>
          <w:p>
            <w:r/>
            <w:r>
              <w:rPr>
                <w:b/>
                <w:sz w:val="18"/>
              </w:rPr>
              <w:t>Assessment</w:t>
            </w:r>
          </w:p>
        </w:tc>
      </w:tr>
      <w:tr>
        <w:tc>
          <w:tcPr>
            <w:tcW w:type="dxa" w:w="1728"/>
          </w:tcPr>
          <w:p>
            <w:r>
              <w:rPr>
                <w:sz w:val="18"/>
              </w:rPr>
            </w:r>
            <w:r>
              <w:rPr>
                <w:sz w:val="18"/>
              </w:rPr>
              <w:t>Market structure</w:t>
            </w:r>
          </w:p>
        </w:tc>
        <w:tc>
          <w:tcPr>
            <w:tcW w:type="dxa" w:w="4032"/>
          </w:tcPr>
          <w:p>
            <w:r>
              <w:rPr>
                <w:sz w:val="18"/>
              </w:rPr>
            </w:r>
            <w:r>
              <w:rPr>
                <w:sz w:val="18"/>
              </w:rPr>
              <w:t>7 members; Greenfield 28% and NourishCo 22% = 50% (Ridgeline: "moderately concentrated"; "duopoly"); homogeneous products.</w:t>
            </w:r>
          </w:p>
        </w:tc>
        <w:tc>
          <w:tcPr>
            <w:tcW w:type="dxa" w:w="3600"/>
          </w:tcPr>
          <w:p>
            <w:r>
              <w:rPr>
                <w:sz w:val="18"/>
              </w:rPr>
            </w:r>
            <w:r>
              <w:rPr>
                <w:sz w:val="18"/>
              </w:rPr>
              <w:t>Concentration increases risk that exchanged data facilitates coordination.</w:t>
            </w:r>
          </w:p>
        </w:tc>
      </w:tr>
      <w:tr>
        <w:tc>
          <w:tcPr>
            <w:tcW w:type="dxa" w:w="1728"/>
          </w:tcPr>
          <w:p>
            <w:r>
              <w:rPr>
                <w:sz w:val="18"/>
              </w:rPr>
            </w:r>
            <w:r>
              <w:rPr>
                <w:sz w:val="18"/>
              </w:rPr>
              <w:t>Type of data</w:t>
            </w:r>
          </w:p>
        </w:tc>
        <w:tc>
          <w:tcPr>
            <w:tcW w:type="dxa" w:w="4032"/>
          </w:tcPr>
          <w:p>
            <w:r>
              <w:rPr>
                <w:sz w:val="18"/>
              </w:rPr>
            </w:r>
            <w:r>
              <w:rPr>
                <w:b/>
                <w:sz w:val="18"/>
              </w:rPr>
              <w:t>Actual transaction</w:t>
            </w:r>
            <w:r>
              <w:rPr>
                <w:sz w:val="18"/>
              </w:rPr>
              <w:t xml:space="preserve"> average wholesale price per ounce plus total volume shipped (not list prices).</w:t>
            </w:r>
          </w:p>
        </w:tc>
        <w:tc>
          <w:tcPr>
            <w:tcW w:type="dxa" w:w="3600"/>
          </w:tcPr>
          <w:p>
            <w:r>
              <w:rPr>
                <w:sz w:val="18"/>
              </w:rPr>
            </w:r>
            <w:r>
              <w:rPr>
                <w:sz w:val="18"/>
              </w:rPr>
              <w:t>Transaction prices are the most competitively sensitive category.</w:t>
            </w:r>
          </w:p>
        </w:tc>
      </w:tr>
      <w:tr>
        <w:tc>
          <w:tcPr>
            <w:tcW w:type="dxa" w:w="1728"/>
          </w:tcPr>
          <w:p>
            <w:r>
              <w:rPr>
                <w:sz w:val="18"/>
              </w:rPr>
            </w:r>
            <w:r>
              <w:rPr>
                <w:sz w:val="18"/>
              </w:rPr>
              <w:t>Age of data</w:t>
            </w:r>
          </w:p>
        </w:tc>
        <w:tc>
          <w:tcPr>
            <w:tcW w:type="dxa" w:w="4032"/>
          </w:tcPr>
          <w:p>
            <w:r>
              <w:rPr>
                <w:sz w:val="18"/>
              </w:rPr>
            </w:r>
            <w:r>
              <w:rPr>
                <w:sz w:val="18"/>
              </w:rPr>
              <w:t>Reported 30 days after quarter close; published ~mid-second month (e.g., Q1 data by mid-May). Data is about 1.5-4.5 months old.</w:t>
            </w:r>
          </w:p>
        </w:tc>
        <w:tc>
          <w:tcPr>
            <w:tcW w:type="dxa" w:w="3600"/>
          </w:tcPr>
          <w:p>
            <w:r>
              <w:rPr>
                <w:sz w:val="18"/>
              </w:rPr>
            </w:r>
            <w:r>
              <w:rPr>
                <w:sz w:val="18"/>
              </w:rPr>
              <w:t>Fails the former "more than 3 months old" safety-zone criterion for the most recent month of each quarter.</w:t>
            </w:r>
          </w:p>
        </w:tc>
      </w:tr>
      <w:tr>
        <w:tc>
          <w:tcPr>
            <w:tcW w:type="dxa" w:w="1728"/>
          </w:tcPr>
          <w:p>
            <w:r>
              <w:rPr>
                <w:sz w:val="18"/>
              </w:rPr>
            </w:r>
            <w:r>
              <w:rPr>
                <w:sz w:val="18"/>
              </w:rPr>
              <w:t>Aggregation / anonymity</w:t>
            </w:r>
          </w:p>
        </w:tc>
        <w:tc>
          <w:tcPr>
            <w:tcW w:type="dxa" w:w="4032"/>
          </w:tcPr>
          <w:p>
            <w:r>
              <w:rPr>
                <w:sz w:val="18"/>
              </w:rPr>
            </w:r>
            <w:r>
              <w:rPr>
                <w:sz w:val="18"/>
              </w:rPr>
              <w:t xml:space="preserve">Simple average, plus </w:t>
            </w:r>
            <w:r>
              <w:rPr>
                <w:b/>
                <w:sz w:val="18"/>
              </w:rPr>
              <w:t>high and low</w:t>
            </w:r>
            <w:r>
              <w:rPr>
                <w:sz w:val="18"/>
              </w:rPr>
              <w:t xml:space="preserve"> values and total volume; no company names.</w:t>
            </w:r>
          </w:p>
        </w:tc>
        <w:tc>
          <w:tcPr>
            <w:tcW w:type="dxa" w:w="3600"/>
          </w:tcPr>
          <w:p>
            <w:r>
              <w:rPr>
                <w:sz w:val="18"/>
              </w:rPr>
            </w:r>
            <w:r>
              <w:rPr>
                <w:sz w:val="18"/>
              </w:rPr>
              <w:t>With only 7 reporters and two leaders priced identically, high/low values and total volume can allow inference of individual competitors' prices and shares (each member knows its own volume).</w:t>
            </w:r>
          </w:p>
        </w:tc>
      </w:tr>
      <w:tr>
        <w:tc>
          <w:tcPr>
            <w:tcW w:type="dxa" w:w="1728"/>
          </w:tcPr>
          <w:p>
            <w:r>
              <w:rPr>
                <w:sz w:val="18"/>
              </w:rPr>
            </w:r>
            <w:r>
              <w:rPr>
                <w:sz w:val="18"/>
              </w:rPr>
              <w:t>Share weighting</w:t>
            </w:r>
          </w:p>
        </w:tc>
        <w:tc>
          <w:tcPr>
            <w:tcW w:type="dxa" w:w="4032"/>
          </w:tcPr>
          <w:p>
            <w:r>
              <w:rPr>
                <w:sz w:val="18"/>
              </w:rPr>
            </w:r>
            <w:r>
              <w:rPr>
                <w:sz w:val="18"/>
              </w:rPr>
              <w:t>Greenfield alone is 28% of the market.</w:t>
            </w:r>
          </w:p>
        </w:tc>
        <w:tc>
          <w:tcPr>
            <w:tcW w:type="dxa" w:w="3600"/>
          </w:tcPr>
          <w:p>
            <w:r>
              <w:rPr>
                <w:sz w:val="18"/>
              </w:rPr>
            </w:r>
            <w:r>
              <w:rPr>
                <w:sz w:val="18"/>
              </w:rPr>
              <w:t>Exceeds the former 25% individual-weight criterion.</w:t>
            </w:r>
          </w:p>
        </w:tc>
      </w:tr>
      <w:tr>
        <w:tc>
          <w:tcPr>
            <w:tcW w:type="dxa" w:w="1728"/>
          </w:tcPr>
          <w:p>
            <w:r>
              <w:rPr>
                <w:sz w:val="18"/>
              </w:rPr>
            </w:r>
            <w:r>
              <w:rPr>
                <w:sz w:val="18"/>
              </w:rPr>
              <w:t>Discussion forum</w:t>
            </w:r>
          </w:p>
        </w:tc>
        <w:tc>
          <w:tcPr>
            <w:tcW w:type="dxa" w:w="4032"/>
          </w:tcPr>
          <w:p>
            <w:r>
              <w:rPr>
                <w:sz w:val="18"/>
              </w:rPr>
            </w:r>
            <w:r>
              <w:rPr>
                <w:sz w:val="18"/>
              </w:rPr>
              <w:t>Results "presented and discussed at the next scheduled Market Strategy Summit... in a collaborative setting alongside industry peers."</w:t>
            </w:r>
          </w:p>
        </w:tc>
        <w:tc>
          <w:tcPr>
            <w:tcW w:type="dxa" w:w="3600"/>
          </w:tcPr>
          <w:p>
            <w:r>
              <w:rPr>
                <w:sz w:val="18"/>
              </w:rPr>
            </w:r>
            <w:r>
              <w:rPr>
                <w:sz w:val="18"/>
              </w:rPr>
              <w:t>Live competitor discussion of pricing data at summits is the highest-risk feature, and the CEO texts link summits to pricing (Entries 7, 21, 24, 28, 30, 36, 43).</w:t>
            </w:r>
          </w:p>
        </w:tc>
      </w:tr>
      <w:tr>
        <w:tc>
          <w:tcPr>
            <w:tcW w:type="dxa" w:w="1728"/>
          </w:tcPr>
          <w:p>
            <w:r>
              <w:rPr>
                <w:sz w:val="18"/>
              </w:rPr>
            </w:r>
            <w:r>
              <w:rPr>
                <w:sz w:val="18"/>
              </w:rPr>
              <w:t>Administration</w:t>
            </w:r>
          </w:p>
        </w:tc>
        <w:tc>
          <w:tcPr>
            <w:tcW w:type="dxa" w:w="4032"/>
          </w:tcPr>
          <w:p>
            <w:r>
              <w:rPr>
                <w:sz w:val="18"/>
              </w:rPr>
            </w:r>
            <w:r>
              <w:rPr>
                <w:sz w:val="18"/>
              </w:rPr>
              <w:t>Compiled by OINTA staff; individual submissions confidential.</w:t>
            </w:r>
          </w:p>
        </w:tc>
        <w:tc>
          <w:tcPr>
            <w:tcW w:type="dxa" w:w="3600"/>
          </w:tcPr>
          <w:p>
            <w:r>
              <w:rPr>
                <w:sz w:val="18"/>
              </w:rPr>
            </w:r>
            <w:r>
              <w:rPr>
                <w:sz w:val="18"/>
              </w:rPr>
              <w:t>Third-party administration is a mitigating factor.</w:t>
            </w:r>
          </w:p>
        </w:tc>
      </w:tr>
      <w:tr>
        <w:tc>
          <w:tcPr>
            <w:tcW w:type="dxa" w:w="1728"/>
          </w:tcPr>
          <w:p>
            <w:r>
              <w:rPr>
                <w:sz w:val="18"/>
              </w:rPr>
            </w:r>
            <w:r>
              <w:rPr>
                <w:sz w:val="18"/>
              </w:rPr>
              <w:t>Participation</w:t>
            </w:r>
          </w:p>
        </w:tc>
        <w:tc>
          <w:tcPr>
            <w:tcW w:type="dxa" w:w="4032"/>
          </w:tcPr>
          <w:p>
            <w:r>
              <w:rPr>
                <w:sz w:val="18"/>
              </w:rPr>
            </w:r>
            <w:r>
              <w:rPr>
                <w:sz w:val="18"/>
              </w:rPr>
              <w:t>OINTA: all members have reported every quarter since 2017. Ridgeline: Maple Leaf and SunBasket participation "less consistent."</w:t>
            </w:r>
          </w:p>
        </w:tc>
        <w:tc>
          <w:tcPr>
            <w:tcW w:type="dxa" w:w="3600"/>
          </w:tcPr>
          <w:p>
            <w:r>
              <w:rPr>
                <w:sz w:val="18"/>
              </w:rPr>
            </w:r>
            <w:r>
              <w:rPr>
                <w:sz w:val="18"/>
              </w:rPr>
              <w:t>Facts conflict; must be reconciled before answering Interrog. 5(d).</w:t>
            </w:r>
          </w:p>
        </w:tc>
      </w:tr>
    </w:tbl>
    <w:p>
      <w:pPr>
        <w:spacing w:after="40"/>
      </w:pPr>
    </w:p>
    <w:p>
      <w:pPr>
        <w:pStyle w:val="ListBullet"/>
        <w:spacing w:after="60"/>
      </w:pPr>
      <w:r>
        <w:rPr>
          <w:b/>
        </w:rPr>
        <w:t>Safety zones no longer apply.</w:t>
      </w:r>
      <w:r>
        <w:t xml:space="preserve"> The DOJ/FTC health-care information-exchange safety zone (1996 Statements, Statement 6) was withdrawn by DOJ in February 2023 and by the FTC in July 2023. The agencies now assess exchanges case by case and have said that aggregated, lagged data can still harm competition. In any event the OINTA program would have failed two of the former criteria (data age; 25% weight).</w:t>
      </w:r>
    </w:p>
    <w:p>
      <w:pPr>
        <w:pStyle w:val="ListBullet"/>
        <w:spacing w:after="60"/>
      </w:pPr>
      <w:r>
        <w:rPr>
          <w:b/>
        </w:rPr>
        <w:t>Definitional inconsistency.</w:t>
      </w:r>
      <w:r>
        <w:t xml:space="preserve"> The OINTA guide says members report a price for their "organic baby food product lines" but also describes the figure as covering the "entire organic infant and toddler product portfolio." We must determine what Greenfield actually reported, because it bears on Interrog. 5(d) and on how the index maps to the CID's product definition.</w:t>
      </w:r>
    </w:p>
    <w:p>
      <w:pPr>
        <w:pStyle w:val="ListBullet"/>
        <w:spacing w:after="60"/>
      </w:pPr>
      <w:r>
        <w:rPr>
          <w:b/>
        </w:rPr>
        <w:t>Interrogatory 5 and Topic C</w:t>
      </w:r>
      <w:r>
        <w:t xml:space="preserve"> require dates, attendees, topics (including whether pricing was discussed) and all submissions. Summit locations and dates in the log (e.g., Chicago Apr. 2022; San Diego Oct. 14-15, 2022; Nashville Apr. 2023; Denver Apr. 2024), dinners with other OINTA members (Entries 15, 29), expense reports and travel records (Spec. 10) must be gathered. The October 15, 2022 increase took effect on day two of the San Diego summit, a fact DOJ will emphasize.</w:t>
      </w:r>
    </w:p>
    <w:p>
      <w:pPr>
        <w:pStyle w:val="ListBullet"/>
        <w:spacing w:after="60"/>
      </w:pPr>
      <w:r>
        <w:rPr>
          <w:b/>
        </w:rPr>
        <w:t>Recommendations.</w:t>
      </w:r>
      <w:r>
        <w:t xml:space="preserve"> Suspend the Oct. 31, 2024 submission and summit attendance pending review. Do not contact OINTA staff or other members about the investigation without counsel. Preserve all portal downloads and reports. Consider requesting from OINTA, through counsel, its antitrust guidelines and any counsel-attendance protocol for summits.</w:t>
      </w:r>
    </w:p>
    <w:p>
      <w:pPr>
        <w:pStyle w:val="Heading2"/>
      </w:pPr>
      <w:r>
        <w:t>E. The 2021 Common Interest Agreement with Fielding &amp; Acosta</w:t>
      </w:r>
    </w:p>
    <w:p>
      <w:pPr>
        <w:pStyle w:val="Heading3"/>
      </w:pPr>
      <w:r>
        <w:t>1. Scope and current status</w:t>
      </w:r>
    </w:p>
    <w:p>
      <w:pPr>
        <w:pStyle w:val="ListBullet"/>
        <w:spacing w:after="60"/>
      </w:pPr>
      <w:r>
        <w:rPr>
          <w:b/>
        </w:rPr>
        <w:t>Parties and form.</w:t>
      </w:r>
      <w:r>
        <w:t xml:space="preserve"> The agreement is between </w:t>
      </w:r>
      <w:r>
        <w:rPr>
          <w:b/>
        </w:rPr>
        <w:t>counsel</w:t>
      </w:r>
      <w:r>
        <w:t xml:space="preserve"> (Thornwell &amp; Pratt and Fielding &amp; Acosta), signed by Eleanor Voss and Carmen Acosta. It is not signed by Greenfield or NourishCo. It is governed by Texas law, with exclusive jurisdiction in the W.D. Tex. courts (§ 7.1).</w:t>
      </w:r>
    </w:p>
    <w:p>
      <w:pPr>
        <w:pStyle w:val="ListBullet"/>
        <w:spacing w:after="60"/>
      </w:pPr>
      <w:r>
        <w:rPr>
          <w:b/>
        </w:rPr>
        <w:t>Covered material.</w:t>
      </w:r>
      <w:r>
        <w:t xml:space="preserve"> "Common Interest Materials" are communications </w:t>
      </w:r>
      <w:r>
        <w:rPr>
          <w:b/>
        </w:rPr>
        <w:t>between Counsel</w:t>
      </w:r>
      <w:r>
        <w:t xml:space="preserve"> "relating to the defense of the Labeling Litigation" (§ 1.1). Use is limited to that defense and expressly excludes any other "investigation" (§ 3.1). The agreement does not cover communications between the companies' business people, so Hollister-Felding Entries 13, 14 and 16 are not protected.</w:t>
      </w:r>
    </w:p>
    <w:p>
      <w:pPr>
        <w:pStyle w:val="ListBullet"/>
        <w:spacing w:after="60"/>
      </w:pPr>
      <w:r>
        <w:rPr>
          <w:b/>
        </w:rPr>
        <w:t>Status.</w:t>
      </w:r>
      <w:r>
        <w:t xml:space="preserve"> The GC is right that there is no termination clause, but § 5 permits withdrawal on written notice, and the common legal interest that is the doctrinal basis for protection ended when the litigation settled on April 30, 2023 (approved summer 2023). Communications after that date are not protected. Protection for materials shared before then survives (§ 5.3), as do confidentiality and use restrictions. The parties' interests are now potentially </w:t>
      </w:r>
      <w:r>
        <w:rPr>
          <w:b/>
        </w:rPr>
        <w:t>adverse</w:t>
      </w:r>
      <w:r>
        <w:t>, since each may have incentives to cooperate with DOJ against the other. We recommend a formal written withdrawal under §§ 5.1 and 7.6, timed and worded in coordination with the leniency analysis, and no new joint-defense arrangement with NourishCo without careful analysis.</w:t>
      </w:r>
    </w:p>
    <w:p>
      <w:pPr>
        <w:pStyle w:val="Heading3"/>
      </w:pPr>
      <w:r>
        <w:t>2. The pricing-related counsel communications</w:t>
      </w:r>
    </w:p>
    <w:p>
      <w:pPr>
        <w:jc w:val="both"/>
      </w:pPr>
      <w:r>
        <w:t>The GC reports that shared counsel communications during the Labeling Litigation "touched on market positioning, pricing strategies, and competitive dynamics." That raises three problems.</w:t>
      </w:r>
    </w:p>
    <w:p>
      <w:pPr>
        <w:pStyle w:val="ListBullet"/>
        <w:spacing w:after="60"/>
      </w:pPr>
      <w:r>
        <w:rPr>
          <w:b/>
        </w:rPr>
        <w:t>Outside the common legal interest.</w:t>
      </w:r>
      <w:r>
        <w:t xml:space="preserve"> Common-interest protection extends only to communications that further the shared </w:t>
      </w:r>
      <w:r>
        <w:rPr>
          <w:b/>
        </w:rPr>
        <w:t>legal</w:t>
      </w:r>
      <w:r>
        <w:t xml:space="preserve"> interest. Exchanges of competitively sensitive pricing strategy between counsel for horizontal competitors will be contested as business information outside the defense of consumer-labeling claims. Protection is doubtful for content that goes beyond what the defense required.</w:t>
      </w:r>
    </w:p>
    <w:p>
      <w:pPr>
        <w:pStyle w:val="ListBullet"/>
        <w:spacing w:after="60"/>
      </w:pPr>
      <w:r>
        <w:rPr>
          <w:b/>
        </w:rPr>
        <w:t>Potential conduit theory and crime-fraud.</w:t>
      </w:r>
      <w:r>
        <w:t xml:space="preserve"> Spec. 7 reaches competitor communications "direct or indirect... including communications through intermediaries... or other third parties." The counsel exchanges (Sept. 2021-Apr. 2023) overlap with three of the four parallel increases. DOJ could argue that counsel channels carried competitively sensitive information. If DOJ developed evidence that the channel was used to further coordination, it could invoke the crime-fraud exception. We need to review the actual communications promptly.</w:t>
      </w:r>
    </w:p>
    <w:p>
      <w:pPr>
        <w:pStyle w:val="ListBullet"/>
        <w:spacing w:after="60"/>
      </w:pPr>
      <w:r>
        <w:rPr>
          <w:b/>
        </w:rPr>
        <w:t>Contractual constraints.</w:t>
      </w:r>
      <w:r>
        <w:t xml:space="preserve"> Greenfield cannot waive privilege over NourishCo-originated materials without F&amp;A's written consent (§ 4.3). § 4.4 obliges each party to notify the other's counsel within </w:t>
      </w:r>
      <w:r>
        <w:rPr>
          <w:b/>
        </w:rPr>
        <w:t>five business days</w:t>
      </w:r>
      <w:r>
        <w:t xml:space="preserve"> of a request by a "governmental agency" seeking Common Interest Materials, and to assert privilege and "take reasonable steps to resist" disclosure. The CID's breadth (Spec. 7, 11 and 14; the Def. 3 reference to all documents) arguably reaches these materials, which would have put notice due on </w:t>
      </w:r>
      <w:r>
        <w:rPr>
          <w:b/>
        </w:rPr>
        <w:t>October 11, 2024</w:t>
      </w:r>
      <w:r>
        <w:t>. Whether § 4.4 has been triggered, and how to give notice without compromising Greenfield's strategic options (including leniency), must be decided now. A duty to "resist" disclosure may also conflict with Greenfield's interest in full cooperation.</w:t>
      </w:r>
    </w:p>
    <w:p>
      <w:pPr>
        <w:pStyle w:val="Heading3"/>
      </w:pPr>
      <w:r>
        <w:t>3. Firm conflict and witness issues (requires prompt internal review)</w:t>
      </w:r>
    </w:p>
    <w:p>
      <w:pPr>
        <w:jc w:val="both"/>
      </w:pPr>
      <w:r>
        <w:t>Thornwell &amp; Pratt, and you personally as signatory and notice party, participated in the counsel-to-counsel exchanges that DOJ may investigate as a possible "intermediary" channel. Firm lawyers could become fact witnesses (cf. Rule 3.7), and the Firm's interest in how its own conduct is characterized could materially limit its representation of Greenfield (Rule 1.7(a)(2)). The Firm also has continuing confidentiality and use obligations to NourishCo's counsel under the CIA (§§ 3, 5.2), which may limit how freely it can use information learned from NourishCo in defending Greenfield. We recommend (i) a General Counsel/conflicts committee review before substantive DOJ engagement; (ii) informed written consent from Greenfield if the conflict is consentable; and (iii) consideration of separate counsel for any workstream (such as a CIA/crime-fraud analysis or a leniency decision) where the Firm's own conduct is at issue. Our existing 2018-forward regulatory relationship and Labeling Litigation role are assets for institutional knowledge but heighten this concern.</w:t>
      </w:r>
    </w:p>
    <w:p>
      <w:pPr>
        <w:pStyle w:val="Heading2"/>
      </w:pPr>
      <w:r>
        <w:t>F. CID Scope, Drafting Defects and Procedural Issues</w:t>
      </w:r>
    </w:p>
    <w:p>
      <w:pPr>
        <w:pStyle w:val="Heading3"/>
      </w:pPr>
      <w:r>
        <w:t>1. Definitions and instructions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E2F3"/>
          </w:tcPr>
          <w:p>
            <w:r/>
            <w:r>
              <w:rPr>
                <w:b/>
                <w:sz w:val="17"/>
              </w:rPr>
              <w:t>Provision</w:t>
            </w:r>
          </w:p>
        </w:tc>
        <w:tc>
          <w:tcPr>
            <w:tcW w:type="dxa" w:w="4032"/>
            <w:shd w:val="clear" w:color="auto" w:fill="D9E2F3"/>
          </w:tcPr>
          <w:p>
            <w:r/>
            <w:r>
              <w:rPr>
                <w:b/>
                <w:sz w:val="17"/>
              </w:rPr>
              <w:t>Issue</w:t>
            </w:r>
          </w:p>
        </w:tc>
        <w:tc>
          <w:tcPr>
            <w:tcW w:type="dxa" w:w="3312"/>
            <w:shd w:val="clear" w:color="auto" w:fill="D9E2F3"/>
          </w:tcPr>
          <w:p>
            <w:r/>
            <w:r>
              <w:rPr>
                <w:b/>
                <w:sz w:val="17"/>
              </w:rPr>
              <w:t>Proposed position</w:t>
            </w:r>
          </w:p>
        </w:tc>
      </w:tr>
      <w:tr>
        <w:tc>
          <w:tcPr>
            <w:tcW w:type="dxa" w:w="2016"/>
          </w:tcPr>
          <w:p>
            <w:r>
              <w:rPr>
                <w:sz w:val="17"/>
              </w:rPr>
            </w:r>
            <w:r>
              <w:rPr>
                <w:sz w:val="17"/>
              </w:rPr>
              <w:t>Def. 1 / 11 ("Company", "You")</w:t>
            </w:r>
          </w:p>
        </w:tc>
        <w:tc>
          <w:tcPr>
            <w:tcW w:type="dxa" w:w="4032"/>
          </w:tcPr>
          <w:p>
            <w:r>
              <w:rPr>
                <w:sz w:val="17"/>
              </w:rPr>
            </w:r>
            <w:r>
              <w:rPr>
                <w:sz w:val="17"/>
              </w:rPr>
              <w:t>Includes "agents, representatives... any person acting on its behalf" and "affiliates" -- sweeps in outside counsel (including this Firm), consultants and former employees.</w:t>
            </w:r>
          </w:p>
        </w:tc>
        <w:tc>
          <w:tcPr>
            <w:tcW w:type="dxa" w:w="3312"/>
          </w:tcPr>
          <w:p>
            <w:r>
              <w:rPr>
                <w:sz w:val="17"/>
              </w:rPr>
            </w:r>
            <w:r>
              <w:rPr>
                <w:sz w:val="17"/>
              </w:rPr>
              <w:t>Exclude outside counsel and privileged material. Limit to current officers/employees and identified custodians.</w:t>
            </w:r>
          </w:p>
        </w:tc>
      </w:tr>
      <w:tr>
        <w:tc>
          <w:tcPr>
            <w:tcW w:type="dxa" w:w="2016"/>
          </w:tcPr>
          <w:p>
            <w:r>
              <w:rPr>
                <w:sz w:val="17"/>
              </w:rPr>
            </w:r>
            <w:r>
              <w:rPr>
                <w:sz w:val="17"/>
              </w:rPr>
              <w:t>Def. 4 ("Organic Baby Food Products")</w:t>
            </w:r>
          </w:p>
        </w:tc>
        <w:tc>
          <w:tcPr>
            <w:tcW w:type="dxa" w:w="4032"/>
          </w:tcPr>
          <w:p>
            <w:r>
              <w:rPr>
                <w:sz w:val="17"/>
              </w:rPr>
            </w:r>
            <w:r>
              <w:rPr>
                <w:sz w:val="17"/>
              </w:rPr>
              <w:t xml:space="preserve">Covers any product for "infants or children" including "snacks and related nutritional products" -- sweeps in all 89 toddler-snack SKUs and arguably the 23 infant-formula SKUs, though the caption and Ridgeline's market definition (purees, pouches, jars) are narrower. This answers the GC's question: as drafted, toddler snacks are </w:t>
            </w:r>
            <w:r>
              <w:rPr>
                <w:b/>
                <w:sz w:val="17"/>
              </w:rPr>
              <w:t>in</w:t>
            </w:r>
            <w:r>
              <w:rPr>
                <w:sz w:val="17"/>
              </w:rPr>
              <w:t>.</w:t>
            </w:r>
          </w:p>
        </w:tc>
        <w:tc>
          <w:tcPr>
            <w:tcW w:type="dxa" w:w="3312"/>
          </w:tcPr>
          <w:p>
            <w:r>
              <w:rPr>
                <w:sz w:val="17"/>
              </w:rPr>
            </w:r>
            <w:r>
              <w:rPr>
                <w:sz w:val="17"/>
              </w:rPr>
              <w:t>Negotiate limitation to the 47 baby-food SKUs, with toddler/formula data limited to "documents sufficient to show" shared pricing frameworks. Caution: shared per-ounce pricing structures and co-shelving (GC memo § 2) give DOJ a basis to resist.</w:t>
            </w:r>
          </w:p>
        </w:tc>
      </w:tr>
      <w:tr>
        <w:tc>
          <w:tcPr>
            <w:tcW w:type="dxa" w:w="2016"/>
          </w:tcPr>
          <w:p>
            <w:r>
              <w:rPr>
                <w:sz w:val="17"/>
              </w:rPr>
            </w:r>
            <w:r>
              <w:rPr>
                <w:sz w:val="17"/>
              </w:rPr>
              <w:t>Def. 6 (Relevant Period)</w:t>
            </w:r>
          </w:p>
        </w:tc>
        <w:tc>
          <w:tcPr>
            <w:tcW w:type="dxa" w:w="4032"/>
          </w:tcPr>
          <w:p>
            <w:r>
              <w:rPr>
                <w:sz w:val="17"/>
              </w:rPr>
            </w:r>
            <w:r>
              <w:rPr>
                <w:sz w:val="17"/>
              </w:rPr>
              <w:t>Jan. 1, 2019 "through the date of full compliance": open-ended and moving.</w:t>
            </w:r>
          </w:p>
        </w:tc>
        <w:tc>
          <w:tcPr>
            <w:tcW w:type="dxa" w:w="3312"/>
          </w:tcPr>
          <w:p>
            <w:r>
              <w:rPr>
                <w:sz w:val="17"/>
              </w:rPr>
            </w:r>
            <w:r>
              <w:rPr>
                <w:sz w:val="17"/>
              </w:rPr>
              <w:t>Fix end date (e.g., CID issuance date, Oct. 2, 2024). Consider 2021 start for burdensome specs.</w:t>
            </w:r>
          </w:p>
        </w:tc>
      </w:tr>
      <w:tr>
        <w:tc>
          <w:tcPr>
            <w:tcW w:type="dxa" w:w="2016"/>
          </w:tcPr>
          <w:p>
            <w:r>
              <w:rPr>
                <w:sz w:val="17"/>
              </w:rPr>
            </w:r>
            <w:r>
              <w:rPr>
                <w:sz w:val="17"/>
              </w:rPr>
              <w:t>Inconsistent periods</w:t>
            </w:r>
          </w:p>
        </w:tc>
        <w:tc>
          <w:tcPr>
            <w:tcW w:type="dxa" w:w="4032"/>
          </w:tcPr>
          <w:p>
            <w:r>
              <w:rPr>
                <w:sz w:val="17"/>
              </w:rPr>
            </w:r>
            <w:r>
              <w:rPr>
                <w:sz w:val="17"/>
              </w:rPr>
              <w:t>Spec. 3: Jan. 1, 2019 "to the present"; Interrog. 4: from Jan. 1, 2020; Interrog. 6: from Jan. 1, 2021; others: Relevant Period.</w:t>
            </w:r>
          </w:p>
        </w:tc>
        <w:tc>
          <w:tcPr>
            <w:tcW w:type="dxa" w:w="3312"/>
          </w:tcPr>
          <w:p>
            <w:r>
              <w:rPr>
                <w:sz w:val="17"/>
              </w:rPr>
            </w:r>
            <w:r>
              <w:rPr>
                <w:sz w:val="17"/>
              </w:rPr>
              <w:t>Seek clarification in modification letter. Use the inconsistency to support narrower periods.</w:t>
            </w:r>
          </w:p>
        </w:tc>
      </w:tr>
      <w:tr>
        <w:tc>
          <w:tcPr>
            <w:tcW w:type="dxa" w:w="2016"/>
          </w:tcPr>
          <w:p>
            <w:r>
              <w:rPr>
                <w:sz w:val="17"/>
              </w:rPr>
            </w:r>
            <w:r>
              <w:rPr>
                <w:sz w:val="17"/>
              </w:rPr>
              <w:t>Undefined lower-case terms</w:t>
            </w:r>
          </w:p>
        </w:tc>
        <w:tc>
          <w:tcPr>
            <w:tcW w:type="dxa" w:w="4032"/>
          </w:tcPr>
          <w:p>
            <w:r>
              <w:rPr>
                <w:sz w:val="17"/>
              </w:rPr>
            </w:r>
            <w:r>
              <w:rPr>
                <w:sz w:val="17"/>
              </w:rPr>
              <w:t>Specs. 3, 7 and 14 use "organic baby food products" and "competitor" in lower case. Spec. 14 uses "any other manufacturer or distributor" rather than the defined "Competitor".</w:t>
            </w:r>
          </w:p>
        </w:tc>
        <w:tc>
          <w:tcPr>
            <w:tcW w:type="dxa" w:w="3312"/>
          </w:tcPr>
          <w:p>
            <w:r>
              <w:rPr>
                <w:sz w:val="17"/>
              </w:rPr>
            </w:r>
            <w:r>
              <w:rPr>
                <w:sz w:val="17"/>
              </w:rPr>
              <w:t>Confirm defined meanings apply. Seek to exclude routine co-marketing/cooperative merchandising and vertical distributor agreements from Spec. 14.</w:t>
            </w:r>
          </w:p>
        </w:tc>
      </w:tr>
      <w:tr>
        <w:tc>
          <w:tcPr>
            <w:tcW w:type="dxa" w:w="2016"/>
          </w:tcPr>
          <w:p>
            <w:r>
              <w:rPr>
                <w:sz w:val="17"/>
              </w:rPr>
            </w:r>
            <w:r>
              <w:rPr>
                <w:sz w:val="17"/>
              </w:rPr>
              <w:t>Def. 7 ("Relating to")</w:t>
            </w:r>
          </w:p>
        </w:tc>
        <w:tc>
          <w:tcPr>
            <w:tcW w:type="dxa" w:w="4032"/>
          </w:tcPr>
          <w:p>
            <w:r>
              <w:rPr>
                <w:sz w:val="17"/>
              </w:rPr>
            </w:r>
            <w:r>
              <w:rPr>
                <w:sz w:val="17"/>
              </w:rPr>
              <w:t>Extremely broad ("in any way pertaining to... directly or indirectly").</w:t>
            </w:r>
          </w:p>
        </w:tc>
        <w:tc>
          <w:tcPr>
            <w:tcW w:type="dxa" w:w="3312"/>
          </w:tcPr>
          <w:p>
            <w:r>
              <w:rPr>
                <w:sz w:val="17"/>
              </w:rPr>
            </w:r>
            <w:r>
              <w:rPr>
                <w:sz w:val="17"/>
              </w:rPr>
              <w:t>Negotiate search terms/TAR in lieu of literal application.</w:t>
            </w:r>
          </w:p>
        </w:tc>
      </w:tr>
      <w:tr>
        <w:tc>
          <w:tcPr>
            <w:tcW w:type="dxa" w:w="2016"/>
          </w:tcPr>
          <w:p>
            <w:r>
              <w:rPr>
                <w:sz w:val="17"/>
              </w:rPr>
            </w:r>
            <w:r>
              <w:rPr>
                <w:sz w:val="17"/>
              </w:rPr>
              <w:t>Instr. 2 (format)</w:t>
            </w:r>
          </w:p>
        </w:tc>
        <w:tc>
          <w:tcPr>
            <w:tcW w:type="dxa" w:w="4032"/>
          </w:tcPr>
          <w:p>
            <w:r>
              <w:rPr>
                <w:sz w:val="17"/>
              </w:rPr>
            </w:r>
            <w:r>
              <w:rPr>
                <w:sz w:val="17"/>
              </w:rPr>
              <w:t>Single-page TIFF plus full metadata; native for spreadsheets/databases.</w:t>
            </w:r>
          </w:p>
        </w:tc>
        <w:tc>
          <w:tcPr>
            <w:tcW w:type="dxa" w:w="3312"/>
          </w:tcPr>
          <w:p>
            <w:r>
              <w:rPr>
                <w:sz w:val="17"/>
              </w:rPr>
            </w:r>
            <w:r>
              <w:rPr>
                <w:sz w:val="17"/>
              </w:rPr>
              <w:t>Agree ESI protocol; native for Excel/structured data; reasonable metadata set.</w:t>
            </w:r>
          </w:p>
        </w:tc>
      </w:tr>
      <w:tr>
        <w:tc>
          <w:tcPr>
            <w:tcW w:type="dxa" w:w="2016"/>
          </w:tcPr>
          <w:p>
            <w:r>
              <w:rPr>
                <w:sz w:val="17"/>
              </w:rPr>
            </w:r>
            <w:r>
              <w:rPr>
                <w:sz w:val="17"/>
              </w:rPr>
              <w:t>Instr. 3 (custodians)</w:t>
            </w:r>
          </w:p>
        </w:tc>
        <w:tc>
          <w:tcPr>
            <w:tcW w:type="dxa" w:w="4032"/>
          </w:tcPr>
          <w:p>
            <w:r>
              <w:rPr>
                <w:sz w:val="17"/>
              </w:rPr>
            </w:r>
            <w:r>
              <w:rPr>
                <w:sz w:val="17"/>
              </w:rPr>
              <w:t>Names the GC as a custodian (heavy privilege load); open-ended catch-all (f). Omits IT, pricing/procurement staff.</w:t>
            </w:r>
          </w:p>
        </w:tc>
        <w:tc>
          <w:tcPr>
            <w:tcW w:type="dxa" w:w="3312"/>
          </w:tcPr>
          <w:p>
            <w:r>
              <w:rPr>
                <w:sz w:val="17"/>
              </w:rPr>
            </w:r>
            <w:r>
              <w:rPr>
                <w:sz w:val="17"/>
              </w:rPr>
              <w:t>Agree priority custodians and phased additions. Note that DOJ will likely want pricing, procurement and IT custodians anyway.</w:t>
            </w:r>
          </w:p>
        </w:tc>
      </w:tr>
      <w:tr>
        <w:tc>
          <w:tcPr>
            <w:tcW w:type="dxa" w:w="2016"/>
          </w:tcPr>
          <w:p>
            <w:r>
              <w:rPr>
                <w:sz w:val="17"/>
              </w:rPr>
            </w:r>
            <w:r>
              <w:rPr>
                <w:sz w:val="17"/>
              </w:rPr>
              <w:t>Instr. 5 (privilege log)</w:t>
            </w:r>
          </w:p>
        </w:tc>
        <w:tc>
          <w:tcPr>
            <w:tcW w:type="dxa" w:w="4032"/>
          </w:tcPr>
          <w:p>
            <w:r>
              <w:rPr>
                <w:sz w:val="17"/>
              </w:rPr>
            </w:r>
            <w:r>
              <w:rPr>
                <w:sz w:val="17"/>
              </w:rPr>
              <w:t>Unlogged documents "deemed produced without any claim of privilege"; full item-by-item log.</w:t>
            </w:r>
          </w:p>
        </w:tc>
        <w:tc>
          <w:tcPr>
            <w:tcW w:type="dxa" w:w="3312"/>
          </w:tcPr>
          <w:p>
            <w:r>
              <w:rPr>
                <w:sz w:val="17"/>
              </w:rPr>
            </w:r>
            <w:r>
              <w:rPr>
                <w:sz w:val="17"/>
              </w:rPr>
              <w:t>Seek categorical logging; exclude post-CID communications with outside counsel; obtain written clawback/non-waiver agreement.</w:t>
            </w:r>
          </w:p>
        </w:tc>
      </w:tr>
      <w:tr>
        <w:tc>
          <w:tcPr>
            <w:tcW w:type="dxa" w:w="2016"/>
          </w:tcPr>
          <w:p>
            <w:r>
              <w:rPr>
                <w:sz w:val="17"/>
              </w:rPr>
            </w:r>
            <w:r>
              <w:rPr>
                <w:sz w:val="17"/>
              </w:rPr>
              <w:t>Instr. 7 (continuing obligation)</w:t>
            </w:r>
          </w:p>
        </w:tc>
        <w:tc>
          <w:tcPr>
            <w:tcW w:type="dxa" w:w="4032"/>
          </w:tcPr>
          <w:p>
            <w:r>
              <w:rPr>
                <w:sz w:val="17"/>
              </w:rPr>
            </w:r>
            <w:r>
              <w:rPr>
                <w:sz w:val="17"/>
              </w:rPr>
              <w:t>Continuing production and supplementation duty; ACPA does not clearly authorize an indefinite continuing duty.</w:t>
            </w:r>
          </w:p>
        </w:tc>
        <w:tc>
          <w:tcPr>
            <w:tcW w:type="dxa" w:w="3312"/>
          </w:tcPr>
          <w:p>
            <w:r>
              <w:rPr>
                <w:sz w:val="17"/>
              </w:rPr>
            </w:r>
            <w:r>
              <w:rPr>
                <w:sz w:val="17"/>
              </w:rPr>
              <w:t>Object; agree to a defined cut-off.</w:t>
            </w:r>
          </w:p>
        </w:tc>
      </w:tr>
      <w:tr>
        <w:tc>
          <w:tcPr>
            <w:tcW w:type="dxa" w:w="2016"/>
          </w:tcPr>
          <w:p>
            <w:r>
              <w:rPr>
                <w:sz w:val="17"/>
              </w:rPr>
            </w:r>
            <w:r>
              <w:rPr>
                <w:sz w:val="17"/>
              </w:rPr>
              <w:t>Instr. 8 (certification)</w:t>
            </w:r>
          </w:p>
        </w:tc>
        <w:tc>
          <w:tcPr>
            <w:tcW w:type="dxa" w:w="4032"/>
          </w:tcPr>
          <w:p>
            <w:r>
              <w:rPr>
                <w:sz w:val="17"/>
              </w:rPr>
            </w:r>
            <w:r>
              <w:rPr>
                <w:sz w:val="17"/>
              </w:rPr>
              <w:t xml:space="preserve">Officer must swear search was complete and </w:t>
            </w:r>
            <w:r>
              <w:rPr>
                <w:b/>
                <w:sz w:val="17"/>
              </w:rPr>
              <w:t>preservation obligations fulfilled</w:t>
            </w:r>
            <w:r>
              <w:rPr>
                <w:sz w:val="17"/>
              </w:rPr>
              <w:t>.</w:t>
            </w:r>
          </w:p>
        </w:tc>
        <w:tc>
          <w:tcPr>
            <w:tcW w:type="dxa" w:w="3312"/>
          </w:tcPr>
          <w:p>
            <w:r>
              <w:rPr>
                <w:sz w:val="17"/>
              </w:rPr>
            </w:r>
            <w:r>
              <w:rPr>
                <w:sz w:val="17"/>
              </w:rPr>
              <w:t>Cannot be signed as drafted given known data losses; negotiate qualified certification with disclosed exceptions.</w:t>
            </w:r>
          </w:p>
        </w:tc>
      </w:tr>
    </w:tbl>
    <w:p>
      <w:pPr>
        <w:spacing w:after="40"/>
      </w:pPr>
    </w:p>
    <w:p>
      <w:pPr>
        <w:pStyle w:val="Heading3"/>
      </w:pPr>
      <w:r>
        <w:t>2. Specifications and interrogatories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17"/>
              </w:rPr>
              <w:t>Item</w:t>
            </w:r>
          </w:p>
        </w:tc>
        <w:tc>
          <w:tcPr>
            <w:tcW w:type="dxa" w:w="3744"/>
            <w:shd w:val="clear" w:color="auto" w:fill="D9E2F3"/>
          </w:tcPr>
          <w:p>
            <w:r/>
            <w:r>
              <w:rPr>
                <w:b/>
                <w:sz w:val="17"/>
              </w:rPr>
              <w:t>Burden / overbreadth issue</w:t>
            </w:r>
          </w:p>
        </w:tc>
        <w:tc>
          <w:tcPr>
            <w:tcW w:type="dxa" w:w="3312"/>
            <w:shd w:val="clear" w:color="auto" w:fill="D9E2F3"/>
          </w:tcPr>
          <w:p>
            <w:r/>
            <w:r>
              <w:rPr>
                <w:b/>
                <w:sz w:val="17"/>
              </w:rPr>
              <w:t>Negotiation objective</w:t>
            </w:r>
          </w:p>
        </w:tc>
      </w:tr>
      <w:tr>
        <w:tc>
          <w:tcPr>
            <w:tcW w:type="dxa" w:w="2304"/>
          </w:tcPr>
          <w:p>
            <w:r>
              <w:rPr>
                <w:sz w:val="17"/>
              </w:rPr>
            </w:r>
            <w:r>
              <w:rPr>
                <w:sz w:val="17"/>
              </w:rPr>
              <w:t>Spec. 3 (all pricing documents)</w:t>
            </w:r>
          </w:p>
        </w:tc>
        <w:tc>
          <w:tcPr>
            <w:tcW w:type="dxa" w:w="3744"/>
          </w:tcPr>
          <w:p>
            <w:r>
              <w:rPr>
                <w:sz w:val="17"/>
              </w:rPr>
            </w:r>
            <w:r>
              <w:rPr>
                <w:sz w:val="17"/>
              </w:rPr>
              <w:t>IT estimates hundreds of thousands of hits; largest single cost driver (~1.2M documents overall; $2M+ vendor cost).</w:t>
            </w:r>
          </w:p>
        </w:tc>
        <w:tc>
          <w:tcPr>
            <w:tcW w:type="dxa" w:w="3312"/>
          </w:tcPr>
          <w:p>
            <w:r>
              <w:rPr>
                <w:sz w:val="17"/>
              </w:rPr>
            </w:r>
            <w:r>
              <w:rPr>
                <w:sz w:val="17"/>
              </w:rPr>
              <w:t>Limit to pricing-decision documents for the four 2022-2023 increases plus price lists and approval records; agreed search terms/TAR.</w:t>
            </w:r>
          </w:p>
        </w:tc>
      </w:tr>
      <w:tr>
        <w:tc>
          <w:tcPr>
            <w:tcW w:type="dxa" w:w="2304"/>
          </w:tcPr>
          <w:p>
            <w:r>
              <w:rPr>
                <w:sz w:val="17"/>
              </w:rPr>
            </w:r>
            <w:r>
              <w:rPr>
                <w:sz w:val="17"/>
              </w:rPr>
              <w:t>Specs. 2, 4, 5, 12, 13</w:t>
            </w:r>
          </w:p>
        </w:tc>
        <w:tc>
          <w:tcPr>
            <w:tcW w:type="dxa" w:w="3744"/>
          </w:tcPr>
          <w:p>
            <w:r>
              <w:rPr>
                <w:sz w:val="17"/>
              </w:rPr>
            </w:r>
            <w:r>
              <w:rPr>
                <w:sz w:val="17"/>
              </w:rPr>
              <w:t>Broad "all documents relating to" financial, market, cost and planning material.</w:t>
            </w:r>
          </w:p>
        </w:tc>
        <w:tc>
          <w:tcPr>
            <w:tcW w:type="dxa" w:w="3312"/>
          </w:tcPr>
          <w:p>
            <w:r>
              <w:rPr>
                <w:sz w:val="17"/>
              </w:rPr>
            </w:r>
            <w:r>
              <w:rPr>
                <w:sz w:val="17"/>
              </w:rPr>
              <w:t>"Documents sufficient to show" for financials; board/leadership-level documents for strategy.</w:t>
            </w:r>
          </w:p>
        </w:tc>
      </w:tr>
      <w:tr>
        <w:tc>
          <w:tcPr>
            <w:tcW w:type="dxa" w:w="2304"/>
          </w:tcPr>
          <w:p>
            <w:r>
              <w:rPr>
                <w:sz w:val="17"/>
              </w:rPr>
            </w:r>
            <w:r>
              <w:rPr>
                <w:sz w:val="17"/>
              </w:rPr>
              <w:t>Spec. 6 (customer agreements)</w:t>
            </w:r>
          </w:p>
        </w:tc>
        <w:tc>
          <w:tcPr>
            <w:tcW w:type="dxa" w:w="3744"/>
          </w:tcPr>
          <w:p>
            <w:r>
              <w:rPr>
                <w:sz w:val="17"/>
              </w:rPr>
            </w:r>
            <w:r>
              <w:rPr>
                <w:sz w:val="17"/>
              </w:rPr>
              <w:t>All retailer/distributor agreements and communications.</w:t>
            </w:r>
          </w:p>
        </w:tc>
        <w:tc>
          <w:tcPr>
            <w:tcW w:type="dxa" w:w="3312"/>
          </w:tcPr>
          <w:p>
            <w:r>
              <w:rPr>
                <w:sz w:val="17"/>
              </w:rPr>
            </w:r>
            <w:r>
              <w:rPr>
                <w:sz w:val="17"/>
              </w:rPr>
              <w:t>Executed agreements plus MFN/MAP/RPM-specific documents; transactional data in lieu of communications.</w:t>
            </w:r>
          </w:p>
        </w:tc>
      </w:tr>
      <w:tr>
        <w:tc>
          <w:tcPr>
            <w:tcW w:type="dxa" w:w="2304"/>
          </w:tcPr>
          <w:p>
            <w:r>
              <w:rPr>
                <w:sz w:val="17"/>
              </w:rPr>
            </w:r>
            <w:r>
              <w:rPr>
                <w:sz w:val="17"/>
              </w:rPr>
              <w:t>Specs. 7, 9, 10 (competitor/OINTA/events)</w:t>
            </w:r>
          </w:p>
        </w:tc>
        <w:tc>
          <w:tcPr>
            <w:tcW w:type="dxa" w:w="3744"/>
          </w:tcPr>
          <w:p>
            <w:r>
              <w:rPr>
                <w:sz w:val="17"/>
              </w:rPr>
            </w:r>
            <w:r>
              <w:rPr>
                <w:sz w:val="17"/>
              </w:rPr>
              <w:t>Spec. 9 covers *all* OINTA documents and *any* communication with any OINTA member; Spec. 10 covers every event attended by a competitor.</w:t>
            </w:r>
          </w:p>
        </w:tc>
        <w:tc>
          <w:tcPr>
            <w:tcW w:type="dxa" w:w="3312"/>
          </w:tcPr>
          <w:p>
            <w:r>
              <w:rPr>
                <w:sz w:val="17"/>
              </w:rPr>
            </w:r>
            <w:r>
              <w:rPr>
                <w:sz w:val="17"/>
              </w:rPr>
              <w:t>Core of the investigation; limited leverage. Seek to exclude purely regulatory-advocacy material and routine logistics.</w:t>
            </w:r>
          </w:p>
        </w:tc>
      </w:tr>
      <w:tr>
        <w:tc>
          <w:tcPr>
            <w:tcW w:type="dxa" w:w="2304"/>
          </w:tcPr>
          <w:p>
            <w:r>
              <w:rPr>
                <w:sz w:val="17"/>
              </w:rPr>
            </w:r>
            <w:r>
              <w:rPr>
                <w:sz w:val="17"/>
              </w:rPr>
              <w:t>Spec. 11 (consultants)</w:t>
            </w:r>
          </w:p>
        </w:tc>
        <w:tc>
          <w:tcPr>
            <w:tcW w:type="dxa" w:w="3744"/>
          </w:tcPr>
          <w:p>
            <w:r>
              <w:rPr>
                <w:sz w:val="17"/>
              </w:rPr>
            </w:r>
            <w:r>
              <w:rPr>
                <w:sz w:val="17"/>
              </w:rPr>
              <w:t>Captures Ridgeline (and possibly other consultants).</w:t>
            </w:r>
          </w:p>
        </w:tc>
        <w:tc>
          <w:tcPr>
            <w:tcW w:type="dxa" w:w="3312"/>
          </w:tcPr>
          <w:p>
            <w:r>
              <w:rPr>
                <w:sz w:val="17"/>
              </w:rPr>
            </w:r>
            <w:r>
              <w:rPr>
                <w:sz w:val="17"/>
              </w:rPr>
              <w:t>Produce; no viable privilege claim (Part V.C).</w:t>
            </w:r>
          </w:p>
        </w:tc>
      </w:tr>
      <w:tr>
        <w:tc>
          <w:tcPr>
            <w:tcW w:type="dxa" w:w="2304"/>
          </w:tcPr>
          <w:p>
            <w:r>
              <w:rPr>
                <w:sz w:val="17"/>
              </w:rPr>
            </w:r>
            <w:r>
              <w:rPr>
                <w:sz w:val="17"/>
              </w:rPr>
              <w:t>Spec. 14 (competitor agreements)</w:t>
            </w:r>
          </w:p>
        </w:tc>
        <w:tc>
          <w:tcPr>
            <w:tcW w:type="dxa" w:w="3744"/>
          </w:tcPr>
          <w:p>
            <w:r>
              <w:rPr>
                <w:sz w:val="17"/>
              </w:rPr>
            </w:r>
            <w:r>
              <w:rPr>
                <w:sz w:val="17"/>
              </w:rPr>
              <w:t>GC fears it captures co-marketing/cooperative merchandising.</w:t>
            </w:r>
          </w:p>
        </w:tc>
        <w:tc>
          <w:tcPr>
            <w:tcW w:type="dxa" w:w="3312"/>
          </w:tcPr>
          <w:p>
            <w:r>
              <w:rPr>
                <w:sz w:val="17"/>
              </w:rPr>
            </w:r>
            <w:r>
              <w:rPr>
                <w:sz w:val="17"/>
              </w:rPr>
              <w:t>Clarify scope (horizontal agreements only).</w:t>
            </w:r>
          </w:p>
        </w:tc>
      </w:tr>
      <w:tr>
        <w:tc>
          <w:tcPr>
            <w:tcW w:type="dxa" w:w="2304"/>
          </w:tcPr>
          <w:p>
            <w:r>
              <w:rPr>
                <w:sz w:val="17"/>
              </w:rPr>
            </w:r>
            <w:r>
              <w:rPr>
                <w:sz w:val="17"/>
              </w:rPr>
              <w:t>Interrog. 1 (personnel)</w:t>
            </w:r>
          </w:p>
        </w:tc>
        <w:tc>
          <w:tcPr>
            <w:tcW w:type="dxa" w:w="3744"/>
          </w:tcPr>
          <w:p>
            <w:r>
              <w:rPr>
                <w:sz w:val="17"/>
              </w:rPr>
            </w:r>
            <w:r>
              <w:rPr>
                <w:sz w:val="17"/>
              </w:rPr>
              <w:t>Everyone with "knowledge of" pricing/marketing/distribution/sale, potentially hundreds of employees.</w:t>
            </w:r>
          </w:p>
        </w:tc>
        <w:tc>
          <w:tcPr>
            <w:tcW w:type="dxa" w:w="3312"/>
          </w:tcPr>
          <w:p>
            <w:r>
              <w:rPr>
                <w:sz w:val="17"/>
              </w:rPr>
            </w:r>
            <w:r>
              <w:rPr>
                <w:sz w:val="17"/>
              </w:rPr>
              <w:t>Limit to persons with pricing authority or competitor contact.</w:t>
            </w:r>
          </w:p>
        </w:tc>
      </w:tr>
      <w:tr>
        <w:tc>
          <w:tcPr>
            <w:tcW w:type="dxa" w:w="2304"/>
          </w:tcPr>
          <w:p>
            <w:r>
              <w:rPr>
                <w:sz w:val="17"/>
              </w:rPr>
            </w:r>
            <w:r>
              <w:rPr>
                <w:sz w:val="17"/>
              </w:rPr>
              <w:t>Interrog. 3 (every price change)</w:t>
            </w:r>
          </w:p>
        </w:tc>
        <w:tc>
          <w:tcPr>
            <w:tcW w:type="dxa" w:w="3744"/>
          </w:tcPr>
          <w:p>
            <w:r>
              <w:rPr>
                <w:sz w:val="17"/>
              </w:rPr>
            </w:r>
            <w:r>
              <w:rPr>
                <w:sz w:val="17"/>
              </w:rPr>
              <w:t>Every wholesale/list/SRP change for every SKU since 2019 with reasons and approvers.</w:t>
            </w:r>
          </w:p>
        </w:tc>
        <w:tc>
          <w:tcPr>
            <w:tcW w:type="dxa" w:w="3312"/>
          </w:tcPr>
          <w:p>
            <w:r>
              <w:rPr>
                <w:sz w:val="17"/>
              </w:rPr>
            </w:r>
            <w:r>
              <w:rPr>
                <w:sz w:val="17"/>
              </w:rPr>
              <w:t>Produce transactional/price-list data in native form plus narrative for material changes (the four 2022-2023 increases).</w:t>
            </w:r>
          </w:p>
        </w:tc>
      </w:tr>
      <w:tr>
        <w:tc>
          <w:tcPr>
            <w:tcW w:type="dxa" w:w="2304"/>
          </w:tcPr>
          <w:p>
            <w:r>
              <w:rPr>
                <w:sz w:val="17"/>
              </w:rPr>
            </w:r>
            <w:r>
              <w:rPr>
                <w:sz w:val="17"/>
              </w:rPr>
              <w:t>Interrog. 8 (data systems)</w:t>
            </w:r>
          </w:p>
        </w:tc>
        <w:tc>
          <w:tcPr>
            <w:tcW w:type="dxa" w:w="3744"/>
          </w:tcPr>
          <w:p>
            <w:r>
              <w:rPr>
                <w:sz w:val="17"/>
              </w:rPr>
            </w:r>
            <w:r>
              <w:rPr>
                <w:sz w:val="17"/>
              </w:rPr>
              <w:t>Requires full disclosure of migrations and losses.</w:t>
            </w:r>
          </w:p>
        </w:tc>
        <w:tc>
          <w:tcPr>
            <w:tcW w:type="dxa" w:w="3312"/>
          </w:tcPr>
          <w:p>
            <w:r>
              <w:rPr>
                <w:sz w:val="17"/>
              </w:rPr>
            </w:r>
            <w:r>
              <w:rPr>
                <w:sz w:val="17"/>
              </w:rPr>
              <w:t>Answer fully and accurately (Part V.B). Not a negotiation target.</w:t>
            </w:r>
          </w:p>
        </w:tc>
      </w:tr>
    </w:tbl>
    <w:p>
      <w:pPr>
        <w:spacing w:after="40"/>
      </w:pPr>
    </w:p>
    <w:p>
      <w:pPr>
        <w:pStyle w:val="Heading3"/>
      </w:pPr>
      <w:r>
        <w:t>3. Statutory and procedural observations</w:t>
      </w:r>
    </w:p>
    <w:p>
      <w:pPr>
        <w:pStyle w:val="ListBullet"/>
        <w:spacing w:after="60"/>
      </w:pPr>
      <w:r>
        <w:rPr>
          <w:b/>
        </w:rPr>
        <w:t>Petition deadline.</w:t>
      </w:r>
      <w:r>
        <w:t xml:space="preserve"> Under 15 U.S.C. § 1314(b), a petition to modify or set aside must be filed within 20 days after service or before the return date, whichever is shorter. Service was October 4, so the deadline is </w:t>
      </w:r>
      <w:r>
        <w:rPr>
          <w:b/>
        </w:rPr>
        <w:t>Thursday, October 24, 2024</w:t>
      </w:r>
      <w:r>
        <w:t>. Venue lies in the district where Greenfield resides, is found or transacts business (E.D.N.C. is the natural venue; D.D.C. may also be available). The petition must state each ground. We have not confirmed whether the 20-day period can be extended by agreement, so absent a clear written resolution with DOJ, we should be ready to file a protective petition (under seal if possible).</w:t>
      </w:r>
    </w:p>
    <w:p>
      <w:pPr>
        <w:pStyle w:val="ListBullet"/>
        <w:spacing w:after="60"/>
      </w:pPr>
      <w:r>
        <w:rPr>
          <w:b/>
        </w:rPr>
        <w:t>The CID likely misstates the effect of a petition.</w:t>
      </w:r>
      <w:r>
        <w:t xml:space="preserve"> The cover letter and Notice ¶ 2 say that a petition does not stay compliance unless the court orders otherwise. As we read § 1314(b), the time for compliance with the portions of the demand under challenge does not run while the petition is pending, though the recipient must comply with the unchallenged portions. Confirm before relying on it; this is useful leverage in negotiations.</w:t>
      </w:r>
    </w:p>
    <w:p>
      <w:pPr>
        <w:pStyle w:val="ListBullet"/>
        <w:spacing w:after="60"/>
      </w:pPr>
      <w:r>
        <w:rPr>
          <w:b/>
        </w:rPr>
        <w:t>Authority/signature.</w:t>
      </w:r>
      <w:r>
        <w:t xml:space="preserve"> ACPA § 1312(a) authorizes the Attorney General or the Assistant Attorney General in charge of the Antitrust Division to issue CIDs. This CID is signed by a Senior Trial Attorney "by authority of" the AAG, without the AAG's signature. The GC noted this. It is worth confirming the delegation, but courts generally give agencies latitude on internal delegation, and pressing a technical defect is unlikely to help a client in Greenfield's position. Preserve the objection rather than lead with it.</w:t>
      </w:r>
    </w:p>
    <w:p>
      <w:pPr>
        <w:pStyle w:val="ListBullet"/>
        <w:spacing w:after="60"/>
      </w:pPr>
      <w:r>
        <w:rPr>
          <w:b/>
        </w:rPr>
        <w:t>Statutory content requirements (§ 1312(b)).</w:t>
      </w:r>
      <w:r>
        <w:t xml:space="preserve"> The CID describes the conduct under investigation only generically ("anticompetitive conduct" under §§ 1 and 2). It does not designate a § 1313 custodian for the documents (it designates Ms. Rourke only for "delivery"). For oral testimony it does not identify the antitrust investigator who will conduct the examination ("attorneys for the Antitrust Division"). Each is a potential objection for the petition, though courts rarely set aside CIDs on these grounds. Their main value is in negotiation.</w:t>
      </w:r>
    </w:p>
    <w:p>
      <w:pPr>
        <w:pStyle w:val="ListBullet"/>
        <w:spacing w:after="60"/>
      </w:pPr>
      <w:r>
        <w:rPr>
          <w:b/>
        </w:rPr>
        <w:t>Standard of review.</w:t>
      </w:r>
      <w:r>
        <w:t xml:space="preserve"> Courts enforce CIDs where the inquiry is within the agency's authority, the demand is not too indefinite, and the information sought is reasonably relevant (cf. United States v. Morton Salt Co., 338 U.S. 632 (1950)). The petitioner bears a heavy burden to show undue burden. Overbreadth arguments are better resolved by negotiated modifications.</w:t>
      </w:r>
    </w:p>
    <w:p>
      <w:pPr>
        <w:pStyle w:val="ListBullet"/>
        <w:spacing w:after="60"/>
      </w:pPr>
      <w:r>
        <w:rPr>
          <w:b/>
        </w:rPr>
        <w:t>Notice ¶ 4.</w:t>
      </w:r>
      <w:r>
        <w:t xml:space="preserve"> The CID cites § 1312(i) for contempt for failure to comply. Contempt follows only noncompliance with a court enforcement order (§ 1314). That is a minor misstatement, worth noting but not pressing.</w:t>
      </w:r>
    </w:p>
    <w:p>
      <w:pPr>
        <w:pStyle w:val="ListBullet"/>
        <w:spacing w:after="60"/>
      </w:pPr>
      <w:r>
        <w:rPr>
          <w:b/>
        </w:rPr>
        <w:t>Return date.</w:t>
      </w:r>
      <w:r>
        <w:t xml:space="preserve"> A return date of 45 days after service for an estimated 1.2 million documents, with testimony four days later, is not a "reasonable period" (§ 1312(b)(2)(B)) and is a strong ground for an extension and a rolling-production schedule.</w:t>
      </w:r>
    </w:p>
    <w:p>
      <w:pPr>
        <w:pStyle w:val="ListBullet"/>
        <w:spacing w:after="60"/>
      </w:pPr>
      <w:r>
        <w:rPr>
          <w:b/>
        </w:rPr>
        <w:t>Confidentiality.</w:t>
      </w:r>
      <w:r>
        <w:t xml:space="preserve"> Materials are protected under § 1313 and exempt from FOIA disclosure. Mark all productions confidential and request notice before any disclosure.</w:t>
      </w:r>
    </w:p>
    <w:p>
      <w:pPr>
        <w:pStyle w:val="Heading3"/>
      </w:pPr>
      <w:r>
        <w:t>4. Recommended strategy</w:t>
      </w:r>
    </w:p>
    <w:p>
      <w:pPr>
        <w:jc w:val="both"/>
      </w:pPr>
      <w:r>
        <w:t xml:space="preserve">Given the substantive record, we recommend a </w:t>
      </w:r>
      <w:r>
        <w:rPr>
          <w:b/>
        </w:rPr>
        <w:t>cooperative, negotiated approach</w:t>
      </w:r>
      <w:r>
        <w:t xml:space="preserve">: an early call with Ms. Rourke; a written modification letter (scope, custodians, search methodology, product definition, period, format, privilege logging); a rolling production schedule beginning with priority categories DOJ cares about most (Specs. 7, 9, 11, the 2022-2023 pricing decisions, and Interrog. 8); and postponement of oral testimony until after substantial production. Litigating overbreadth would draw attention, antagonize staff, and is unlikely to keep the key documents out of DOJ's hands. File a petition only as a protective step if the § 1314(b) deadline cannot be addressed in writing. </w:t>
      </w:r>
      <w:r>
        <w:rPr>
          <w:b/>
        </w:rPr>
        <w:t>Caution:</w:t>
      </w:r>
      <w:r>
        <w:t xml:space="preserve"> substantive engagement (including any narrative about independent cost-based pricing) should wait until the leniency and individual-counsel decisions are made.</w:t>
      </w:r>
    </w:p>
    <w:p>
      <w:pPr>
        <w:pStyle w:val="Heading2"/>
      </w:pPr>
      <w:r>
        <w:t>G. Oral Testimony (November 22, 2024)</w:t>
      </w:r>
    </w:p>
    <w:p>
      <w:pPr>
        <w:pStyle w:val="ListBullet"/>
        <w:spacing w:after="60"/>
      </w:pPr>
      <w:r>
        <w:rPr>
          <w:b/>
        </w:rPr>
        <w:t>The GC memo misdescribes the topics.</w:t>
      </w:r>
      <w:r>
        <w:t xml:space="preserve"> It lists pricing, "distribution arrangements" and trade association activities. The actual topics are </w:t>
      </w:r>
      <w:r>
        <w:rPr>
          <w:b/>
        </w:rPr>
        <w:t>A</w:t>
      </w:r>
      <w:r>
        <w:t xml:space="preserve"> (pricing), </w:t>
      </w:r>
      <w:r>
        <w:rPr>
          <w:b/>
        </w:rPr>
        <w:t>B</w:t>
      </w:r>
      <w:r>
        <w:t xml:space="preserve"> (communications with any Competitor on pricing, output, capacity, market or customer allocation), </w:t>
      </w:r>
      <w:r>
        <w:rPr>
          <w:b/>
        </w:rPr>
        <w:t>C</w:t>
      </w:r>
      <w:r>
        <w:t xml:space="preserve"> (OINTA, including pricing data exchange) and </w:t>
      </w:r>
      <w:r>
        <w:rPr>
          <w:b/>
        </w:rPr>
        <w:t>D</w:t>
      </w:r>
      <w:r>
        <w:t xml:space="preserve"> (document retention, migrations, data losses and post-CID preservation). There is no distribution-arrangements topic, and the memo omits B and D, the two most dangerous topics.</w:t>
      </w:r>
    </w:p>
    <w:p>
      <w:pPr>
        <w:pStyle w:val="ListBullet"/>
        <w:spacing w:after="60"/>
      </w:pPr>
      <w:r>
        <w:rPr>
          <w:b/>
        </w:rPr>
        <w:t>Designee selection.</w:t>
      </w:r>
      <w:r>
        <w:t xml:space="preserve"> The corporation must provide a prepared witness and cannot invoke the Fifth Amendment. Ms. Hollister should not be a designee (individual Fifth Amendment exposure; she is the subject of Topic B). Mr. Yun-Nakamura should not be a designee for Topic D: he approved the Policy, received the Cloudbridge report, delayed the hold, and is a fact witness, and his testimony risks privilege waiver. Candidates must be vetted for their own competitor contacts (Waverly and Oshiro attended OINTA summits). An IT designee for Topic D must be fully prepared on the decommissioning decision and the post-service suspension timeline. Designations are due </w:t>
      </w:r>
      <w:r>
        <w:rPr>
          <w:b/>
        </w:rPr>
        <w:t>November 15, 2024</w:t>
      </w:r>
      <w:r>
        <w:t>.</w:t>
      </w:r>
    </w:p>
    <w:p>
      <w:pPr>
        <w:pStyle w:val="ListBullet"/>
        <w:spacing w:after="60"/>
      </w:pPr>
      <w:r>
        <w:rPr>
          <w:b/>
        </w:rPr>
        <w:t>Timing.</w:t>
      </w:r>
      <w:r>
        <w:t xml:space="preserve"> Testimony four days after the return date leaves no time to prepare on the produced record. Seek postponement, and ask DOJ to sequence testimony after substantial production.</w:t>
      </w:r>
    </w:p>
    <w:p>
      <w:pPr>
        <w:pStyle w:val="ListBullet"/>
        <w:spacing w:after="60"/>
      </w:pPr>
      <w:r>
        <w:rPr>
          <w:b/>
        </w:rPr>
        <w:t>Corporate knowledge.</w:t>
      </w:r>
      <w:r>
        <w:t xml:space="preserve"> For Topic B, the corporate designee must be educated on the Hollister-Felding communications, so the company's position on them must be settled before testimony.</w:t>
      </w:r>
    </w:p>
    <w:p>
      <w:pPr>
        <w:pStyle w:val="Heading2"/>
      </w:pPr>
      <w:r>
        <w:t>H. Interrogatory Responses: Accuracy and Verification Risks</w:t>
      </w:r>
    </w:p>
    <w:p>
      <w:pPr>
        <w:jc w:val="both"/>
      </w:pPr>
      <w:r>
        <w:t>Interrogatory answers are sworn. False statements to DOJ carry exposure under 18 U.S.C. § 1001 and § 1505. Several working assumptions in the client materials must be verified before they are stated to DOJ:</w:t>
      </w:r>
    </w:p>
    <w:p>
      <w:pPr>
        <w:pStyle w:val="ListBullet"/>
        <w:spacing w:after="60"/>
      </w:pPr>
      <w:r>
        <w:rPr>
          <w:b/>
        </w:rPr>
        <w:t>Interrog. 4 (NourishCo communications):</w:t>
      </w:r>
      <w:r>
        <w:t xml:space="preserve"> must identify all Hollister-Felding communications (at least 59), plus communications by any other Greenfield employee with any NourishCo employee, including at OINTA events and through intermediaries. A Hollister-only collection is insufficient.</w:t>
      </w:r>
    </w:p>
    <w:p>
      <w:pPr>
        <w:pStyle w:val="ListBullet"/>
        <w:spacing w:after="60"/>
      </w:pPr>
      <w:r>
        <w:rPr>
          <w:b/>
        </w:rPr>
        <w:t>Interrog. 5 (OINTA):</w:t>
      </w:r>
      <w:r>
        <w:t xml:space="preserve"> membership facts conflict across documents (see Part VII). Every submission to the Pricing Index since 2019 must be identified.</w:t>
      </w:r>
    </w:p>
    <w:p>
      <w:pPr>
        <w:pStyle w:val="ListBullet"/>
        <w:spacing w:after="60"/>
      </w:pPr>
      <w:r>
        <w:rPr>
          <w:b/>
        </w:rPr>
        <w:t>Interrog. 2 (market):</w:t>
      </w:r>
      <w:r>
        <w:t xml:space="preserve"> Greenfield's 28% share and Ridgeline's "duopoly" characterization will be compared against whatever market definition Greenfield advances. The CID's product definition is broader than Ridgeline's segment definition.</w:t>
      </w:r>
    </w:p>
    <w:p>
      <w:pPr>
        <w:pStyle w:val="ListBullet"/>
        <w:spacing w:after="60"/>
      </w:pPr>
      <w:r>
        <w:rPr>
          <w:b/>
        </w:rPr>
        <w:t>Interrog. 3 and 6 (price changes; methodologies):</w:t>
      </w:r>
      <w:r>
        <w:t xml:space="preserve"> the GC states that the </w:t>
      </w:r>
      <w:r>
        <w:rPr>
          <w:b/>
        </w:rPr>
        <w:t>weighted-average</w:t>
      </w:r>
      <w:r>
        <w:t xml:space="preserve"> wholesale price moved $1.42 to $1.58 to $1.71 to $1.85 to $1.99. Ridgeline reports identical figures as the </w:t>
      </w:r>
      <w:r>
        <w:rPr>
          <w:b/>
        </w:rPr>
        <w:t>4-oz pouch list price</w:t>
      </w:r>
      <w:r>
        <w:t xml:space="preserve">, and OINTA collects </w:t>
      </w:r>
      <w:r>
        <w:rPr>
          <w:b/>
        </w:rPr>
        <w:t>actual transaction</w:t>
      </w:r>
      <w:r>
        <w:t xml:space="preserve"> averages. These are different measures that could not plausibly be identical across 47 SKUs. Reconcile them with SAP/Salesforce data before answering. Whether the ±3% corridor was adopted must be addressed in Interrog. 6.</w:t>
      </w:r>
    </w:p>
    <w:p>
      <w:pPr>
        <w:pStyle w:val="ListBullet"/>
        <w:spacing w:after="60"/>
      </w:pPr>
      <w:r>
        <w:rPr>
          <w:b/>
        </w:rPr>
        <w:t>Interrog. 7 (consultants):</w:t>
      </w:r>
      <w:r>
        <w:t xml:space="preserve"> Ridgeline (Brennan; Mar. 10-June 15, 2023; $185,000 plus expenses; scope per letter § 2; 78-page report). Also confirm any other consultants (including any pricing or data vendors).</w:t>
      </w:r>
    </w:p>
    <w:p>
      <w:pPr>
        <w:pStyle w:val="ListBullet"/>
        <w:spacing w:after="60"/>
      </w:pPr>
      <w:r>
        <w:rPr>
          <w:b/>
        </w:rPr>
        <w:t>Interrog. 8 (systems):</w:t>
      </w:r>
      <w:r>
        <w:t xml:space="preserve"> the systems inventory must include Google Workspace (c. 2014-Oct. 2023), M365 (Aug. 2023-present), Slack (c. 2018-Jan. 2024), Teams (Jan. 2024-present), SharePoint, Google Drive, OneDrive, Salesforce, SAP, local Raleigh backup servers, and personal devices/accounts used for business. Disclose all known losses.</w:t>
      </w:r>
    </w:p>
    <w:p>
      <w:pPr>
        <w:pStyle w:val="Heading2"/>
      </w:pPr>
      <w:r>
        <w:t>I. Governance, Professional-Responsibility and Collateral Issues</w:t>
      </w:r>
    </w:p>
    <w:p>
      <w:pPr>
        <w:pStyle w:val="ListBullet"/>
        <w:spacing w:after="60"/>
      </w:pPr>
      <w:r>
        <w:rPr>
          <w:b/>
        </w:rPr>
        <w:t>Board oversight.</w:t>
      </w:r>
      <w:r>
        <w:t xml:space="preserve"> Because the CEO is at the center of the conduct and the GC is a fact witness on preservation and Ridgeline, the Board should consider vesting oversight of the response in independent directors (or a special committee) with direct reporting from outside counsel.</w:t>
      </w:r>
    </w:p>
    <w:p>
      <w:pPr>
        <w:pStyle w:val="ListBullet"/>
        <w:spacing w:after="60"/>
      </w:pPr>
      <w:r>
        <w:rPr>
          <w:b/>
        </w:rPr>
        <w:t>Upjohn and individual counsel.</w:t>
      </w:r>
      <w:r>
        <w:t xml:space="preserve"> All employee interviews must include Upjohn warnings (Upjohn Co. v. United States, 449 U.S. 383 (1981)). Evaluate pool or individual counsel for Hollister and others with competitor contact, and consider indemnification and advancement obligations.</w:t>
      </w:r>
    </w:p>
    <w:p>
      <w:pPr>
        <w:pStyle w:val="ListBullet"/>
        <w:spacing w:after="60"/>
      </w:pPr>
      <w:r>
        <w:rPr>
          <w:b/>
        </w:rPr>
        <w:t>Instructions to employees.</w:t>
      </w:r>
      <w:r>
        <w:t xml:space="preserve"> No contact with competitors or OINTA about the investigation; no deletion; route all government contacts to counsel. DOJ may contact current or former employees directly.</w:t>
      </w:r>
    </w:p>
    <w:p>
      <w:pPr>
        <w:pStyle w:val="ListBullet"/>
        <w:spacing w:after="60"/>
      </w:pPr>
      <w:r>
        <w:rPr>
          <w:b/>
        </w:rPr>
        <w:t>Insurance.</w:t>
      </w:r>
      <w:r>
        <w:t xml:space="preserve"> Give notice under D&amp;O (and any entity or antitrust) coverage. Investigation-cost coverage often requires timely notice.</w:t>
      </w:r>
    </w:p>
    <w:p>
      <w:pPr>
        <w:pStyle w:val="ListBullet"/>
        <w:spacing w:after="60"/>
      </w:pPr>
      <w:r>
        <w:rPr>
          <w:b/>
        </w:rPr>
        <w:t>Follow-on civil exposure.</w:t>
      </w:r>
      <w:r>
        <w:t xml:space="preserve"> Public disclosure of a DOJ investigation of parallel price increases typically triggers direct- and indirect-purchaser class actions seeking treble damages, as well as state AG inquiries. Preservation should be scoped with that in mind, and ACPERA benefits should factor into the leniency analysis.</w:t>
      </w:r>
    </w:p>
    <w:p>
      <w:pPr>
        <w:pStyle w:val="ListBullet"/>
        <w:spacing w:after="60"/>
      </w:pPr>
      <w:r>
        <w:rPr>
          <w:b/>
        </w:rPr>
        <w:t>Disclosure obligations.</w:t>
      </w:r>
      <w:r>
        <w:t xml:space="preserve"> If Greenfield has lenders, investors or financial reporting obligations, assess whether the investigation must be disclosed.</w:t>
      </w:r>
    </w:p>
    <w:p>
      <w:pPr>
        <w:pStyle w:val="ListBullet"/>
        <w:spacing w:after="60"/>
      </w:pPr>
      <w:r>
        <w:rPr>
          <w:b/>
        </w:rPr>
        <w:t>GC's dual roles.</w:t>
      </w:r>
      <w:r>
        <w:t xml:space="preserve"> The GC signed the Ridgeline letter, approved the Retention Policy, received the Cloudbridge report, directed the Hollister log, and delayed the hold. Communications with him are privileged only to the extent they involve legal advice. His business-role communications (for example, as vendor-contract manager for Ridgeline) are not. Expect DOJ to probe this line.</w:t>
      </w:r>
    </w:p>
    <w:p>
      <w:pPr>
        <w:pStyle w:val="Heading1"/>
      </w:pPr>
      <w:r>
        <w:t>VI. Corrections to the GC Memorandum's Working Assumptions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r/>
            <w:r>
              <w:rPr>
                <w:b/>
                <w:sz w:val="17"/>
              </w:rPr>
              <w:t>GC memo position</w:t>
            </w:r>
          </w:p>
        </w:tc>
        <w:tc>
          <w:tcPr>
            <w:tcW w:type="dxa" w:w="3744"/>
            <w:shd w:val="clear" w:color="auto" w:fill="D9E2F3"/>
          </w:tcPr>
          <w:p>
            <w:r/>
            <w:r>
              <w:rPr>
                <w:b/>
                <w:sz w:val="17"/>
              </w:rPr>
              <w:t>What the documents show</w:t>
            </w:r>
          </w:p>
        </w:tc>
        <w:tc>
          <w:tcPr>
            <w:tcW w:type="dxa" w:w="2736"/>
            <w:shd w:val="clear" w:color="auto" w:fill="D9E2F3"/>
          </w:tcPr>
          <w:p>
            <w:r/>
            <w:r>
              <w:rPr>
                <w:b/>
                <w:sz w:val="17"/>
              </w:rPr>
              <w:t>Consequence</w:t>
            </w:r>
          </w:p>
        </w:tc>
      </w:tr>
      <w:tr>
        <w:tc>
          <w:tcPr>
            <w:tcW w:type="dxa" w:w="2880"/>
          </w:tcPr>
          <w:p>
            <w:r>
              <w:rPr>
                <w:sz w:val="17"/>
              </w:rPr>
            </w:r>
            <w:r>
              <w:rPr>
                <w:sz w:val="17"/>
              </w:rPr>
              <w:t>June 14, 2022 text is "one message" of potential concern; business references are "fleeting."</w:t>
            </w:r>
          </w:p>
        </w:tc>
        <w:tc>
          <w:tcPr>
            <w:tcW w:type="dxa" w:w="3744"/>
          </w:tcPr>
          <w:p>
            <w:r>
              <w:rPr>
                <w:sz w:val="17"/>
              </w:rPr>
            </w:r>
            <w:r>
              <w:rPr>
                <w:sz w:val="17"/>
              </w:rPr>
              <w:t>Reciprocal forward-looking pricing exchanges preceded all four increases (Entries 23-24, 27-28, 32-33, 38-39), with post-increase confirmations.</w:t>
            </w:r>
          </w:p>
        </w:tc>
        <w:tc>
          <w:tcPr>
            <w:tcW w:type="dxa" w:w="2736"/>
          </w:tcPr>
          <w:p>
            <w:r>
              <w:rPr>
                <w:sz w:val="17"/>
              </w:rPr>
            </w:r>
            <w:r>
              <w:rPr>
                <w:sz w:val="17"/>
              </w:rPr>
              <w:t>Central exposure; criminal-risk analysis required.</w:t>
            </w:r>
          </w:p>
        </w:tc>
      </w:tr>
      <w:tr>
        <w:tc>
          <w:tcPr>
            <w:tcW w:type="dxa" w:w="2880"/>
          </w:tcPr>
          <w:p>
            <w:r>
              <w:rPr>
                <w:sz w:val="17"/>
              </w:rPr>
            </w:r>
            <w:r>
              <w:rPr>
                <w:sz w:val="17"/>
              </w:rPr>
              <w:t>"Six text messages and two emails" touch on business.</w:t>
            </w:r>
          </w:p>
        </w:tc>
        <w:tc>
          <w:tcPr>
            <w:tcW w:type="dxa" w:w="3744"/>
          </w:tcPr>
          <w:p>
            <w:r>
              <w:rPr>
                <w:sz w:val="17"/>
              </w:rPr>
            </w:r>
            <w:r>
              <w:rPr>
                <w:sz w:val="17"/>
              </w:rPr>
              <w:t>Log: 7 Business-Related (4 texts, 3 emails) plus 33 Mixed; 40 tagged responsive.</w:t>
            </w:r>
          </w:p>
        </w:tc>
        <w:tc>
          <w:tcPr>
            <w:tcW w:type="dxa" w:w="2736"/>
          </w:tcPr>
          <w:p>
            <w:r>
              <w:rPr>
                <w:sz w:val="17"/>
              </w:rPr>
            </w:r>
            <w:r>
              <w:rPr>
                <w:sz w:val="17"/>
              </w:rPr>
              <w:t>Scope of Interrog. 4 and Spec. 7 response is far larger.</w:t>
            </w:r>
          </w:p>
        </w:tc>
      </w:tr>
      <w:tr>
        <w:tc>
          <w:tcPr>
            <w:tcW w:type="dxa" w:w="2880"/>
          </w:tcPr>
          <w:p>
            <w:r>
              <w:rPr>
                <w:sz w:val="17"/>
              </w:rPr>
            </w:r>
            <w:r>
              <w:rPr>
                <w:sz w:val="17"/>
              </w:rPr>
              <w:t>TinyHarvest treated as a separate competitor; ±3% corridor is "standard benchmarking."</w:t>
            </w:r>
          </w:p>
        </w:tc>
        <w:tc>
          <w:tcPr>
            <w:tcW w:type="dxa" w:w="3744"/>
          </w:tcPr>
          <w:p>
            <w:r>
              <w:rPr>
                <w:sz w:val="17"/>
              </w:rPr>
            </w:r>
            <w:r>
              <w:rPr>
                <w:sz w:val="17"/>
              </w:rPr>
              <w:t>TinyHarvest is NourishCo's brand (Ridgeline table).</w:t>
            </w:r>
          </w:p>
        </w:tc>
        <w:tc>
          <w:tcPr>
            <w:tcW w:type="dxa" w:w="2736"/>
          </w:tcPr>
          <w:p>
            <w:r>
              <w:rPr>
                <w:sz w:val="17"/>
              </w:rPr>
            </w:r>
            <w:r>
              <w:rPr>
                <w:sz w:val="17"/>
              </w:rPr>
              <w:t>Corridor ties Greenfield pricing to the alleged co-conspirator.</w:t>
            </w:r>
          </w:p>
        </w:tc>
      </w:tr>
      <w:tr>
        <w:tc>
          <w:tcPr>
            <w:tcW w:type="dxa" w:w="2880"/>
          </w:tcPr>
          <w:p>
            <w:r>
              <w:rPr>
                <w:sz w:val="17"/>
              </w:rPr>
            </w:r>
            <w:r>
              <w:rPr>
                <w:sz w:val="17"/>
              </w:rPr>
              <w:t>Ridgeline report might be withheld as privileged.</w:t>
            </w:r>
          </w:p>
        </w:tc>
        <w:tc>
          <w:tcPr>
            <w:tcW w:type="dxa" w:w="3744"/>
          </w:tcPr>
          <w:p>
            <w:r>
              <w:rPr>
                <w:sz w:val="17"/>
              </w:rPr>
            </w:r>
            <w:r>
              <w:rPr>
                <w:sz w:val="17"/>
              </w:rPr>
              <w:t>Business purpose on its face; no privilege or work-product basis.</w:t>
            </w:r>
          </w:p>
        </w:tc>
        <w:tc>
          <w:tcPr>
            <w:tcW w:type="dxa" w:w="2736"/>
          </w:tcPr>
          <w:p>
            <w:r>
              <w:rPr>
                <w:sz w:val="17"/>
              </w:rPr>
            </w:r>
            <w:r>
              <w:rPr>
                <w:sz w:val="17"/>
              </w:rPr>
              <w:t>Must be produced; withholding risks obstruction.</w:t>
            </w:r>
          </w:p>
        </w:tc>
      </w:tr>
      <w:tr>
        <w:tc>
          <w:tcPr>
            <w:tcW w:type="dxa" w:w="2880"/>
          </w:tcPr>
          <w:p>
            <w:r>
              <w:rPr>
                <w:sz w:val="17"/>
              </w:rPr>
            </w:r>
            <w:r>
              <w:rPr>
                <w:sz w:val="17"/>
              </w:rPr>
              <w:t>OINTA participation is "routine."</w:t>
            </w:r>
          </w:p>
        </w:tc>
        <w:tc>
          <w:tcPr>
            <w:tcW w:type="dxa" w:w="3744"/>
          </w:tcPr>
          <w:p>
            <w:r>
              <w:rPr>
                <w:sz w:val="17"/>
              </w:rPr>
            </w:r>
            <w:r>
              <w:rPr>
                <w:sz w:val="17"/>
              </w:rPr>
              <w:t>Transaction-level, recent data among 7 firms; discussed at summits; CEO texts link summits to pricing.</w:t>
            </w:r>
          </w:p>
        </w:tc>
        <w:tc>
          <w:tcPr>
            <w:tcW w:type="dxa" w:w="2736"/>
          </w:tcPr>
          <w:p>
            <w:r>
              <w:rPr>
                <w:sz w:val="17"/>
              </w:rPr>
            </w:r>
            <w:r>
              <w:rPr>
                <w:sz w:val="17"/>
              </w:rPr>
              <w:t>Independent Section 1 information-exchange exposure.</w:t>
            </w:r>
          </w:p>
        </w:tc>
      </w:tr>
      <w:tr>
        <w:tc>
          <w:tcPr>
            <w:tcW w:type="dxa" w:w="2880"/>
          </w:tcPr>
          <w:p>
            <w:r>
              <w:rPr>
                <w:sz w:val="17"/>
              </w:rPr>
            </w:r>
            <w:r>
              <w:rPr>
                <w:sz w:val="17"/>
              </w:rPr>
              <w:t>Interrogatories cover "corporate structure, distribution agreements, manufacturing capacity, and market share."</w:t>
            </w:r>
          </w:p>
        </w:tc>
        <w:tc>
          <w:tcPr>
            <w:tcW w:type="dxa" w:w="3744"/>
          </w:tcPr>
          <w:p>
            <w:r>
              <w:rPr>
                <w:sz w:val="17"/>
              </w:rPr>
            </w:r>
            <w:r>
              <w:rPr>
                <w:sz w:val="17"/>
              </w:rPr>
              <w:t>Actual subjects: key personnel, market definition/share, price changes, NourishCo communications, OINTA, pricing methodologies, consultants, data systems.</w:t>
            </w:r>
          </w:p>
        </w:tc>
        <w:tc>
          <w:tcPr>
            <w:tcW w:type="dxa" w:w="2736"/>
          </w:tcPr>
          <w:p>
            <w:r>
              <w:rPr>
                <w:sz w:val="17"/>
              </w:rPr>
            </w:r>
            <w:r>
              <w:rPr>
                <w:sz w:val="17"/>
              </w:rPr>
              <w:t>Response planning must use the actual CID.</w:t>
            </w:r>
          </w:p>
        </w:tc>
      </w:tr>
      <w:tr>
        <w:tc>
          <w:tcPr>
            <w:tcW w:type="dxa" w:w="2880"/>
          </w:tcPr>
          <w:p>
            <w:r>
              <w:rPr>
                <w:sz w:val="17"/>
              </w:rPr>
            </w:r>
            <w:r>
              <w:rPr>
                <w:sz w:val="17"/>
              </w:rPr>
              <w:t>Testimony covers pricing, "distribution arrangements" and trade association.</w:t>
            </w:r>
          </w:p>
        </w:tc>
        <w:tc>
          <w:tcPr>
            <w:tcW w:type="dxa" w:w="3744"/>
          </w:tcPr>
          <w:p>
            <w:r>
              <w:rPr>
                <w:sz w:val="17"/>
              </w:rPr>
            </w:r>
            <w:r>
              <w:rPr>
                <w:sz w:val="17"/>
              </w:rPr>
              <w:t>Topics A-D include competitor communications (B) and document retention/data loss (D); no distribution topic.</w:t>
            </w:r>
          </w:p>
        </w:tc>
        <w:tc>
          <w:tcPr>
            <w:tcW w:type="dxa" w:w="2736"/>
          </w:tcPr>
          <w:p>
            <w:r>
              <w:rPr>
                <w:sz w:val="17"/>
              </w:rPr>
            </w:r>
            <w:r>
              <w:rPr>
                <w:sz w:val="17"/>
              </w:rPr>
              <w:t>Designee preparation must address B and D.</w:t>
            </w:r>
          </w:p>
        </w:tc>
      </w:tr>
      <w:tr>
        <w:tc>
          <w:tcPr>
            <w:tcW w:type="dxa" w:w="2880"/>
          </w:tcPr>
          <w:p>
            <w:r>
              <w:rPr>
                <w:sz w:val="17"/>
              </w:rPr>
            </w:r>
            <w:r>
              <w:rPr>
                <w:sz w:val="17"/>
              </w:rPr>
              <w:t>4% of emails "from the 2019-2023 period" were not migrated.</w:t>
            </w:r>
          </w:p>
        </w:tc>
        <w:tc>
          <w:tcPr>
            <w:tcW w:type="dxa" w:w="3744"/>
          </w:tcPr>
          <w:p>
            <w:r>
              <w:rPr>
                <w:sz w:val="17"/>
              </w:rPr>
            </w:r>
            <w:r>
              <w:rPr>
                <w:sz w:val="17"/>
              </w:rPr>
              <w:t>Cloudbridge: ~14,800 failures across the full Jan. 2014-Aug. 2023 archive, in ~340 mailboxes; client decommissioned despite Cloudbridge's backup recommendation.</w:t>
            </w:r>
          </w:p>
        </w:tc>
        <w:tc>
          <w:tcPr>
            <w:tcW w:type="dxa" w:w="2736"/>
          </w:tcPr>
          <w:p>
            <w:r>
              <w:rPr>
                <w:sz w:val="17"/>
              </w:rPr>
            </w:r>
            <w:r>
              <w:rPr>
                <w:sz w:val="17"/>
              </w:rPr>
              <w:t>Accurate disclosure under Interrog. 8; identify affected custodians.</w:t>
            </w:r>
          </w:p>
        </w:tc>
      </w:tr>
      <w:tr>
        <w:tc>
          <w:tcPr>
            <w:tcW w:type="dxa" w:w="2880"/>
          </w:tcPr>
          <w:p>
            <w:r>
              <w:rPr>
                <w:sz w:val="17"/>
              </w:rPr>
            </w:r>
            <w:r>
              <w:rPr>
                <w:sz w:val="17"/>
              </w:rPr>
              <w:t>Emails older than ~Oct. 2019 "would have been" deleted.</w:t>
            </w:r>
          </w:p>
        </w:tc>
        <w:tc>
          <w:tcPr>
            <w:tcW w:type="dxa" w:w="3744"/>
          </w:tcPr>
          <w:p>
            <w:r>
              <w:rPr>
                <w:sz w:val="17"/>
              </w:rPr>
            </w:r>
            <w:r>
              <w:rPr>
                <w:sz w:val="17"/>
              </w:rPr>
              <w:t>Cloudbridge migrated email back to Jan. 2014, which is inconsistent with a functioning 5-year purge.</w:t>
            </w:r>
          </w:p>
        </w:tc>
        <w:tc>
          <w:tcPr>
            <w:tcW w:type="dxa" w:w="2736"/>
          </w:tcPr>
          <w:p>
            <w:r>
              <w:rPr>
                <w:sz w:val="17"/>
              </w:rPr>
            </w:r>
            <w:r>
              <w:rPr>
                <w:sz w:val="17"/>
              </w:rPr>
              <w:t>Older email may exist; "routine practice" narrative must be verified.</w:t>
            </w:r>
          </w:p>
        </w:tc>
      </w:tr>
      <w:tr>
        <w:tc>
          <w:tcPr>
            <w:tcW w:type="dxa" w:w="2880"/>
          </w:tcPr>
          <w:p>
            <w:r>
              <w:rPr>
                <w:sz w:val="17"/>
              </w:rPr>
            </w:r>
            <w:r>
              <w:rPr>
                <w:sz w:val="17"/>
              </w:rPr>
              <w:t>Slack deletion means relevant content is gone; Teams not mentioned.</w:t>
            </w:r>
          </w:p>
        </w:tc>
        <w:tc>
          <w:tcPr>
            <w:tcW w:type="dxa" w:w="3744"/>
          </w:tcPr>
          <w:p>
            <w:r>
              <w:rPr>
                <w:sz w:val="17"/>
              </w:rPr>
            </w:r>
            <w:r>
              <w:rPr>
                <w:sz w:val="17"/>
              </w:rPr>
              <w:t>Policy applies 90-day daily deletion to "any successor platform" (Teams).</w:t>
            </w:r>
          </w:p>
        </w:tc>
        <w:tc>
          <w:tcPr>
            <w:tcW w:type="dxa" w:w="2736"/>
          </w:tcPr>
          <w:p>
            <w:r>
              <w:rPr>
                <w:sz w:val="17"/>
              </w:rPr>
            </w:r>
            <w:r>
              <w:rPr>
                <w:sz w:val="17"/>
              </w:rPr>
              <w:t>Post-service Teams deletion risk; immediate hold.</w:t>
            </w:r>
          </w:p>
        </w:tc>
      </w:tr>
      <w:tr>
        <w:tc>
          <w:tcPr>
            <w:tcW w:type="dxa" w:w="2880"/>
          </w:tcPr>
          <w:p>
            <w:r>
              <w:rPr>
                <w:sz w:val="17"/>
              </w:rPr>
            </w:r>
            <w:r>
              <w:rPr>
                <w:sz w:val="17"/>
              </w:rPr>
              <w:t>Informal suspension request to IT suffices for now.</w:t>
            </w:r>
          </w:p>
        </w:tc>
        <w:tc>
          <w:tcPr>
            <w:tcW w:type="dxa" w:w="3744"/>
          </w:tcPr>
          <w:p>
            <w:r>
              <w:rPr>
                <w:sz w:val="17"/>
              </w:rPr>
            </w:r>
            <w:r>
              <w:rPr>
                <w:sz w:val="17"/>
              </w:rPr>
              <w:t>CID requires immediate hold and suspension; unconfirmed implementation 12 days after service.</w:t>
            </w:r>
          </w:p>
        </w:tc>
        <w:tc>
          <w:tcPr>
            <w:tcW w:type="dxa" w:w="2736"/>
          </w:tcPr>
          <w:p>
            <w:r>
              <w:rPr>
                <w:sz w:val="17"/>
              </w:rPr>
            </w:r>
            <w:r>
              <w:rPr>
                <w:sz w:val="17"/>
              </w:rPr>
              <w:t>Sanctions/obstruction exposure; issue formal hold today.</w:t>
            </w:r>
          </w:p>
        </w:tc>
      </w:tr>
      <w:tr>
        <w:tc>
          <w:tcPr>
            <w:tcW w:type="dxa" w:w="2880"/>
          </w:tcPr>
          <w:p>
            <w:r>
              <w:rPr>
                <w:sz w:val="17"/>
              </w:rPr>
            </w:r>
            <w:r>
              <w:rPr>
                <w:sz w:val="17"/>
              </w:rPr>
              <w:t>IT Director is Raj Patel.</w:t>
            </w:r>
          </w:p>
        </w:tc>
        <w:tc>
          <w:tcPr>
            <w:tcW w:type="dxa" w:w="3744"/>
          </w:tcPr>
          <w:p>
            <w:r>
              <w:rPr>
                <w:sz w:val="17"/>
              </w:rPr>
            </w:r>
            <w:r>
              <w:rPr>
                <w:sz w:val="17"/>
              </w:rPr>
              <w:t>Comms log names Karen Lipscomb, Director of Information Technology, as IT contact.</w:t>
            </w:r>
          </w:p>
        </w:tc>
        <w:tc>
          <w:tcPr>
            <w:tcW w:type="dxa" w:w="2736"/>
          </w:tcPr>
          <w:p>
            <w:r>
              <w:rPr>
                <w:sz w:val="17"/>
              </w:rPr>
            </w:r>
            <w:r>
              <w:rPr>
                <w:sz w:val="17"/>
              </w:rPr>
              <w:t>Identify correct personnel for hold, certification and Topic D.</w:t>
            </w:r>
          </w:p>
        </w:tc>
      </w:tr>
      <w:tr>
        <w:tc>
          <w:tcPr>
            <w:tcW w:type="dxa" w:w="2880"/>
          </w:tcPr>
          <w:p>
            <w:r>
              <w:rPr>
                <w:sz w:val="17"/>
              </w:rPr>
            </w:r>
            <w:r>
              <w:rPr>
                <w:sz w:val="17"/>
              </w:rPr>
              <w:t>OINTA members include TinyHarvest, BabyBright Organics and LittleLeaf Foods.</w:t>
            </w:r>
          </w:p>
        </w:tc>
        <w:tc>
          <w:tcPr>
            <w:tcW w:type="dxa" w:w="3744"/>
          </w:tcPr>
          <w:p>
            <w:r>
              <w:rPr>
                <w:sz w:val="17"/>
              </w:rPr>
            </w:r>
            <w:r>
              <w:rPr>
                <w:sz w:val="17"/>
              </w:rPr>
              <w:t>OINTA guide (Jan. 2023) lists Greenfield, NourishCo, Verdant, Little Acres, Sproutwell, Canopy and Bright Meadow Foods. Ridgeline says Maple Leaf and SunBasket are members and Bright Meadow is not.</w:t>
            </w:r>
          </w:p>
        </w:tc>
        <w:tc>
          <w:tcPr>
            <w:tcW w:type="dxa" w:w="2736"/>
          </w:tcPr>
          <w:p>
            <w:r>
              <w:rPr>
                <w:sz w:val="17"/>
              </w:rPr>
            </w:r>
            <w:r>
              <w:rPr>
                <w:sz w:val="17"/>
              </w:rPr>
              <w:t>Reconcile before sworn Interrog. 5 answer.</w:t>
            </w:r>
          </w:p>
        </w:tc>
      </w:tr>
      <w:tr>
        <w:tc>
          <w:tcPr>
            <w:tcW w:type="dxa" w:w="2880"/>
          </w:tcPr>
          <w:p>
            <w:r>
              <w:rPr>
                <w:sz w:val="17"/>
              </w:rPr>
            </w:r>
            <w:r>
              <w:rPr>
                <w:sz w:val="17"/>
              </w:rPr>
              <w:t>Petition deadline "around October 24."</w:t>
            </w:r>
          </w:p>
        </w:tc>
        <w:tc>
          <w:tcPr>
            <w:tcW w:type="dxa" w:w="3744"/>
          </w:tcPr>
          <w:p>
            <w:r>
              <w:rPr>
                <w:sz w:val="17"/>
              </w:rPr>
            </w:r>
            <w:r>
              <w:rPr>
                <w:sz w:val="17"/>
              </w:rPr>
              <w:t>Correct: Oct. 24, 2024 (20 days after Oct. 4 service).</w:t>
            </w:r>
          </w:p>
        </w:tc>
        <w:tc>
          <w:tcPr>
            <w:tcW w:type="dxa" w:w="2736"/>
          </w:tcPr>
          <w:p>
            <w:r>
              <w:rPr>
                <w:sz w:val="17"/>
              </w:rPr>
            </w:r>
            <w:r>
              <w:rPr>
                <w:sz w:val="17"/>
              </w:rPr>
              <w:t>Calendar; act before then.</w:t>
            </w:r>
          </w:p>
        </w:tc>
      </w:tr>
      <w:tr>
        <w:tc>
          <w:tcPr>
            <w:tcW w:type="dxa" w:w="2880"/>
          </w:tcPr>
          <w:p>
            <w:r>
              <w:rPr>
                <w:sz w:val="17"/>
              </w:rPr>
            </w:r>
            <w:r>
              <w:rPr>
                <w:sz w:val="17"/>
              </w:rPr>
              <w:t>CIA status unclear because there is no termination clause.</w:t>
            </w:r>
          </w:p>
        </w:tc>
        <w:tc>
          <w:tcPr>
            <w:tcW w:type="dxa" w:w="3744"/>
          </w:tcPr>
          <w:p>
            <w:r>
              <w:rPr>
                <w:sz w:val="17"/>
              </w:rPr>
            </w:r>
            <w:r>
              <w:rPr>
                <w:sz w:val="17"/>
              </w:rPr>
              <w:t>Withdrawal permitted on notice (§ 5); common legal interest ended with the April 2023 settlement; § 4.4 notice duty possibly already triggered.</w:t>
            </w:r>
          </w:p>
        </w:tc>
        <w:tc>
          <w:tcPr>
            <w:tcW w:type="dxa" w:w="2736"/>
          </w:tcPr>
          <w:p>
            <w:r>
              <w:rPr>
                <w:sz w:val="17"/>
              </w:rPr>
            </w:r>
            <w:r>
              <w:rPr>
                <w:sz w:val="17"/>
              </w:rPr>
              <w:t>Formal withdrawal and notice analysis.</w:t>
            </w:r>
          </w:p>
        </w:tc>
      </w:tr>
      <w:tr>
        <w:tc>
          <w:tcPr>
            <w:tcW w:type="dxa" w:w="2880"/>
          </w:tcPr>
          <w:p>
            <w:r>
              <w:rPr>
                <w:sz w:val="17"/>
              </w:rPr>
            </w:r>
            <w:r>
              <w:rPr>
                <w:sz w:val="17"/>
              </w:rPr>
              <w:t>Collection of the CEO's personal phone/email can be handled "sensitively."</w:t>
            </w:r>
          </w:p>
        </w:tc>
        <w:tc>
          <w:tcPr>
            <w:tcW w:type="dxa" w:w="3744"/>
          </w:tcPr>
          <w:p>
            <w:r>
              <w:rPr>
                <w:sz w:val="17"/>
              </w:rPr>
            </w:r>
            <w:r>
              <w:rPr>
                <w:sz w:val="17"/>
              </w:rPr>
              <w:t>CID expressly covers personal devices used for business; IT collection was not forensic.</w:t>
            </w:r>
          </w:p>
        </w:tc>
        <w:tc>
          <w:tcPr>
            <w:tcW w:type="dxa" w:w="2736"/>
          </w:tcPr>
          <w:p>
            <w:r>
              <w:rPr>
                <w:sz w:val="17"/>
              </w:rPr>
            </w:r>
            <w:r>
              <w:rPr>
                <w:sz w:val="17"/>
              </w:rPr>
              <w:t>Forensic collection required.</w:t>
            </w:r>
          </w:p>
        </w:tc>
      </w:tr>
    </w:tbl>
    <w:p>
      <w:pPr>
        <w:spacing w:after="40"/>
      </w:pPr>
    </w:p>
    <w:p>
      <w:pPr>
        <w:pStyle w:val="Heading1"/>
      </w:pPr>
      <w:r>
        <w:t>VII. Additional Inter-Document Discrepancies and Anomalies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D9E2F3"/>
          </w:tcPr>
          <w:p>
            <w:r/>
            <w:r>
              <w:rPr>
                <w:b/>
                <w:sz w:val="17"/>
              </w:rPr>
              <w:t>#</w:t>
            </w:r>
          </w:p>
        </w:tc>
        <w:tc>
          <w:tcPr>
            <w:tcW w:type="dxa" w:w="4176"/>
            <w:shd w:val="clear" w:color="auto" w:fill="D9E2F3"/>
          </w:tcPr>
          <w:p>
            <w:r/>
            <w:r>
              <w:rPr>
                <w:b/>
                <w:sz w:val="17"/>
              </w:rPr>
              <w:t>Discrepancy</w:t>
            </w:r>
          </w:p>
        </w:tc>
        <w:tc>
          <w:tcPr>
            <w:tcW w:type="dxa" w:w="1872"/>
            <w:shd w:val="clear" w:color="auto" w:fill="D9E2F3"/>
          </w:tcPr>
          <w:p>
            <w:r/>
            <w:r>
              <w:rPr>
                <w:b/>
                <w:sz w:val="17"/>
              </w:rPr>
              <w:t>Documents</w:t>
            </w:r>
          </w:p>
        </w:tc>
        <w:tc>
          <w:tcPr>
            <w:tcW w:type="dxa" w:w="2880"/>
            <w:shd w:val="clear" w:color="auto" w:fill="D9E2F3"/>
          </w:tcPr>
          <w:p>
            <w:r/>
            <w:r>
              <w:rPr>
                <w:b/>
                <w:sz w:val="17"/>
              </w:rPr>
              <w:t>Why it matters</w:t>
            </w:r>
          </w:p>
        </w:tc>
      </w:tr>
      <w:tr>
        <w:tc>
          <w:tcPr>
            <w:tcW w:type="dxa" w:w="432"/>
          </w:tcPr>
          <w:p>
            <w:r>
              <w:rPr>
                <w:sz w:val="17"/>
              </w:rPr>
            </w:r>
            <w:r>
              <w:rPr>
                <w:sz w:val="17"/>
              </w:rPr>
              <w:t>1</w:t>
            </w:r>
          </w:p>
        </w:tc>
        <w:tc>
          <w:tcPr>
            <w:tcW w:type="dxa" w:w="4176"/>
          </w:tcPr>
          <w:p>
            <w:r>
              <w:rPr>
                <w:sz w:val="17"/>
              </w:rPr>
            </w:r>
            <w:r>
              <w:rPr>
                <w:sz w:val="17"/>
              </w:rPr>
              <w:t>Comms log summary: 47 texts/12 emails; 31 Personal/6 Business/22 Mixed; 28 responsive; 6 critical; 8 OINTA-related. Recount: 49/10; 19/7/33; 40; 8 critical (incl. Entries 28, 33); 19 OINTA references. Year counts for 2023/2024 also wrong (14/14, not 15/13).</w:t>
            </w:r>
          </w:p>
        </w:tc>
        <w:tc>
          <w:tcPr>
            <w:tcW w:type="dxa" w:w="1872"/>
          </w:tcPr>
          <w:p>
            <w:r>
              <w:rPr>
                <w:sz w:val="17"/>
              </w:rPr>
            </w:r>
            <w:r>
              <w:rPr>
                <w:sz w:val="17"/>
              </w:rPr>
              <w:t>Comms log tabs</w:t>
            </w:r>
          </w:p>
        </w:tc>
        <w:tc>
          <w:tcPr>
            <w:tcW w:type="dxa" w:w="2880"/>
          </w:tcPr>
          <w:p>
            <w:r>
              <w:rPr>
                <w:sz w:val="17"/>
              </w:rPr>
            </w:r>
            <w:r>
              <w:rPr>
                <w:sz w:val="17"/>
              </w:rPr>
              <w:t>Log is unreliable as a basis for sworn answers; re-do with vendor.</w:t>
            </w:r>
          </w:p>
        </w:tc>
      </w:tr>
      <w:tr>
        <w:tc>
          <w:tcPr>
            <w:tcW w:type="dxa" w:w="432"/>
          </w:tcPr>
          <w:p>
            <w:r>
              <w:rPr>
                <w:sz w:val="17"/>
              </w:rPr>
            </w:r>
            <w:r>
              <w:rPr>
                <w:sz w:val="17"/>
              </w:rPr>
              <w:t>2</w:t>
            </w:r>
          </w:p>
        </w:tc>
        <w:tc>
          <w:tcPr>
            <w:tcW w:type="dxa" w:w="4176"/>
          </w:tcPr>
          <w:p>
            <w:r>
              <w:rPr>
                <w:sz w:val="17"/>
              </w:rPr>
            </w:r>
            <w:r>
              <w:rPr>
                <w:sz w:val="17"/>
              </w:rPr>
              <w:t>Log entry descriptions differ between tabs (Entries 1, 49 -- e.g., Denver omitted).</w:t>
            </w:r>
          </w:p>
        </w:tc>
        <w:tc>
          <w:tcPr>
            <w:tcW w:type="dxa" w:w="1872"/>
          </w:tcPr>
          <w:p>
            <w:r>
              <w:rPr>
                <w:sz w:val="17"/>
              </w:rPr>
            </w:r>
            <w:r>
              <w:rPr>
                <w:sz w:val="17"/>
              </w:rPr>
              <w:t>Comms log</w:t>
            </w:r>
          </w:p>
        </w:tc>
        <w:tc>
          <w:tcPr>
            <w:tcW w:type="dxa" w:w="2880"/>
          </w:tcPr>
          <w:p>
            <w:r>
              <w:rPr>
                <w:sz w:val="17"/>
              </w:rPr>
            </w:r>
            <w:r>
              <w:rPr>
                <w:sz w:val="17"/>
              </w:rPr>
              <w:t>Version control of work product.</w:t>
            </w:r>
          </w:p>
        </w:tc>
      </w:tr>
      <w:tr>
        <w:tc>
          <w:tcPr>
            <w:tcW w:type="dxa" w:w="432"/>
          </w:tcPr>
          <w:p>
            <w:r>
              <w:rPr>
                <w:sz w:val="17"/>
              </w:rPr>
            </w:r>
            <w:r>
              <w:rPr>
                <w:sz w:val="17"/>
              </w:rPr>
              <w:t>3</w:t>
            </w:r>
          </w:p>
        </w:tc>
        <w:tc>
          <w:tcPr>
            <w:tcW w:type="dxa" w:w="4176"/>
          </w:tcPr>
          <w:p>
            <w:r>
              <w:rPr>
                <w:sz w:val="17"/>
              </w:rPr>
            </w:r>
            <w:r>
              <w:rPr>
                <w:sz w:val="17"/>
              </w:rPr>
              <w:t>Log's CID cross-reference mislabels Specs. 7 and 14 and Interrogs. 4 and 6.</w:t>
            </w:r>
          </w:p>
        </w:tc>
        <w:tc>
          <w:tcPr>
            <w:tcW w:type="dxa" w:w="1872"/>
          </w:tcPr>
          <w:p>
            <w:r>
              <w:rPr>
                <w:sz w:val="17"/>
              </w:rPr>
            </w:r>
            <w:r>
              <w:rPr>
                <w:sz w:val="17"/>
              </w:rPr>
              <w:t>Comms log vs. CID</w:t>
            </w:r>
          </w:p>
        </w:tc>
        <w:tc>
          <w:tcPr>
            <w:tcW w:type="dxa" w:w="2880"/>
          </w:tcPr>
          <w:p>
            <w:r>
              <w:rPr>
                <w:sz w:val="17"/>
              </w:rPr>
            </w:r>
            <w:r>
              <w:rPr>
                <w:sz w:val="17"/>
              </w:rPr>
              <w:t>Responsiveness calls are wrong.</w:t>
            </w:r>
          </w:p>
        </w:tc>
      </w:tr>
      <w:tr>
        <w:tc>
          <w:tcPr>
            <w:tcW w:type="dxa" w:w="432"/>
          </w:tcPr>
          <w:p>
            <w:r>
              <w:rPr>
                <w:sz w:val="17"/>
              </w:rPr>
            </w:r>
            <w:r>
              <w:rPr>
                <w:sz w:val="17"/>
              </w:rPr>
              <w:t>4</w:t>
            </w:r>
          </w:p>
        </w:tc>
        <w:tc>
          <w:tcPr>
            <w:tcW w:type="dxa" w:w="4176"/>
          </w:tcPr>
          <w:p>
            <w:r>
              <w:rPr>
                <w:sz w:val="17"/>
              </w:rPr>
            </w:r>
            <w:r>
              <w:rPr>
                <w:sz w:val="17"/>
              </w:rPr>
              <w:t>Ridgeline report dated June 15, 2023 reports FY2023 financials ($341M; $487M; 38.2%).</w:t>
            </w:r>
          </w:p>
        </w:tc>
        <w:tc>
          <w:tcPr>
            <w:tcW w:type="dxa" w:w="1872"/>
          </w:tcPr>
          <w:p>
            <w:r>
              <w:rPr>
                <w:sz w:val="17"/>
              </w:rPr>
            </w:r>
            <w:r>
              <w:rPr>
                <w:sz w:val="17"/>
              </w:rPr>
              <w:t>Ridgeline excerpt; GC memo</w:t>
            </w:r>
          </w:p>
        </w:tc>
        <w:tc>
          <w:tcPr>
            <w:tcW w:type="dxa" w:w="2880"/>
          </w:tcPr>
          <w:p>
            <w:r>
              <w:rPr>
                <w:sz w:val="17"/>
              </w:rPr>
            </w:r>
            <w:r>
              <w:rPr>
                <w:sz w:val="17"/>
              </w:rPr>
              <w:t>Possible post-delivery revision; identify all versions before producing.</w:t>
            </w:r>
          </w:p>
        </w:tc>
      </w:tr>
      <w:tr>
        <w:tc>
          <w:tcPr>
            <w:tcW w:type="dxa" w:w="432"/>
          </w:tcPr>
          <w:p>
            <w:r>
              <w:rPr>
                <w:sz w:val="17"/>
              </w:rPr>
            </w:r>
            <w:r>
              <w:rPr>
                <w:sz w:val="17"/>
              </w:rPr>
              <w:t>5</w:t>
            </w:r>
          </w:p>
        </w:tc>
        <w:tc>
          <w:tcPr>
            <w:tcW w:type="dxa" w:w="4176"/>
          </w:tcPr>
          <w:p>
            <w:r>
              <w:rPr>
                <w:sz w:val="17"/>
              </w:rPr>
            </w:r>
            <w:r>
              <w:rPr>
                <w:sz w:val="17"/>
              </w:rPr>
              <w:t>Ridgeline compares 30.28% (Jul. 2022-Mar. 2023) to OINTA 32% (Q1 2021-Q1 2023) as "closely aligned"; PureSprout Jan. 2021-Mar. 2023 increase is ~42%.</w:t>
            </w:r>
          </w:p>
        </w:tc>
        <w:tc>
          <w:tcPr>
            <w:tcW w:type="dxa" w:w="1872"/>
          </w:tcPr>
          <w:p>
            <w:r>
              <w:rPr>
                <w:sz w:val="17"/>
              </w:rPr>
            </w:r>
            <w:r>
              <w:rPr>
                <w:sz w:val="17"/>
              </w:rPr>
              <w:t>Ridgeline excerpt</w:t>
            </w:r>
          </w:p>
        </w:tc>
        <w:tc>
          <w:tcPr>
            <w:tcW w:type="dxa" w:w="2880"/>
          </w:tcPr>
          <w:p>
            <w:r>
              <w:rPr>
                <w:sz w:val="17"/>
              </w:rPr>
            </w:r>
            <w:r>
              <w:rPr>
                <w:sz w:val="17"/>
              </w:rPr>
              <w:t>Cost-justification narrative must not rely on this comparison.</w:t>
            </w:r>
          </w:p>
        </w:tc>
      </w:tr>
      <w:tr>
        <w:tc>
          <w:tcPr>
            <w:tcW w:type="dxa" w:w="432"/>
          </w:tcPr>
          <w:p>
            <w:r>
              <w:rPr>
                <w:sz w:val="17"/>
              </w:rPr>
            </w:r>
            <w:r>
              <w:rPr>
                <w:sz w:val="17"/>
              </w:rPr>
              <w:t>6</w:t>
            </w:r>
          </w:p>
        </w:tc>
        <w:tc>
          <w:tcPr>
            <w:tcW w:type="dxa" w:w="4176"/>
          </w:tcPr>
          <w:p>
            <w:r>
              <w:rPr>
                <w:sz w:val="17"/>
              </w:rPr>
            </w:r>
            <w:r>
              <w:rPr>
                <w:sz w:val="17"/>
              </w:rPr>
              <w:t>GC weighted-average price series is identical to Ridgeline's 4-oz pouch list-price series; OINTA uses transaction averages.</w:t>
            </w:r>
          </w:p>
        </w:tc>
        <w:tc>
          <w:tcPr>
            <w:tcW w:type="dxa" w:w="1872"/>
          </w:tcPr>
          <w:p>
            <w:r>
              <w:rPr>
                <w:sz w:val="17"/>
              </w:rPr>
            </w:r>
            <w:r>
              <w:rPr>
                <w:sz w:val="17"/>
              </w:rPr>
              <w:t>GC memo; Ridgeline; OINTA guide</w:t>
            </w:r>
          </w:p>
        </w:tc>
        <w:tc>
          <w:tcPr>
            <w:tcW w:type="dxa" w:w="2880"/>
          </w:tcPr>
          <w:p>
            <w:r>
              <w:rPr>
                <w:sz w:val="17"/>
              </w:rPr>
            </w:r>
            <w:r>
              <w:rPr>
                <w:sz w:val="17"/>
              </w:rPr>
              <w:t>Reconcile measures before Interrog. 3/6 answers.</w:t>
            </w:r>
          </w:p>
        </w:tc>
      </w:tr>
      <w:tr>
        <w:tc>
          <w:tcPr>
            <w:tcW w:type="dxa" w:w="432"/>
          </w:tcPr>
          <w:p>
            <w:r>
              <w:rPr>
                <w:sz w:val="17"/>
              </w:rPr>
            </w:r>
            <w:r>
              <w:rPr>
                <w:sz w:val="17"/>
              </w:rPr>
              <w:t>7</w:t>
            </w:r>
          </w:p>
        </w:tc>
        <w:tc>
          <w:tcPr>
            <w:tcW w:type="dxa" w:w="4176"/>
          </w:tcPr>
          <w:p>
            <w:r>
              <w:rPr>
                <w:sz w:val="17"/>
              </w:rPr>
            </w:r>
            <w:r>
              <w:rPr>
                <w:sz w:val="17"/>
              </w:rPr>
              <w:t>Log IT note for Entry 23 says NourishCo implemented an identical increase on the same date; GC memo says it does not know NourishCo's exact date.</w:t>
            </w:r>
          </w:p>
        </w:tc>
        <w:tc>
          <w:tcPr>
            <w:tcW w:type="dxa" w:w="1872"/>
          </w:tcPr>
          <w:p>
            <w:r>
              <w:rPr>
                <w:sz w:val="17"/>
              </w:rPr>
            </w:r>
            <w:r>
              <w:rPr>
                <w:sz w:val="17"/>
              </w:rPr>
              <w:t>Comms log; GC memo</w:t>
            </w:r>
          </w:p>
        </w:tc>
        <w:tc>
          <w:tcPr>
            <w:tcW w:type="dxa" w:w="2880"/>
          </w:tcPr>
          <w:p>
            <w:r>
              <w:rPr>
                <w:sz w:val="17"/>
              </w:rPr>
            </w:r>
            <w:r>
              <w:rPr>
                <w:sz w:val="17"/>
              </w:rPr>
              <w:t>Determine source of IT's knowledge; avoid inconsistent statements.</w:t>
            </w:r>
          </w:p>
        </w:tc>
      </w:tr>
      <w:tr>
        <w:tc>
          <w:tcPr>
            <w:tcW w:type="dxa" w:w="432"/>
          </w:tcPr>
          <w:p>
            <w:r>
              <w:rPr>
                <w:sz w:val="17"/>
              </w:rPr>
            </w:r>
            <w:r>
              <w:rPr>
                <w:sz w:val="17"/>
              </w:rPr>
              <w:t>8</w:t>
            </w:r>
          </w:p>
        </w:tc>
        <w:tc>
          <w:tcPr>
            <w:tcW w:type="dxa" w:w="4176"/>
          </w:tcPr>
          <w:p>
            <w:r>
              <w:rPr>
                <w:sz w:val="17"/>
              </w:rPr>
            </w:r>
            <w:r>
              <w:rPr>
                <w:sz w:val="17"/>
              </w:rPr>
              <w:t>OINTA guide: all members have reported every quarter since 2017; Ridgeline: Maple Leaf/SunBasket participation "less consistent" (and the guide does not list them as members).</w:t>
            </w:r>
          </w:p>
        </w:tc>
        <w:tc>
          <w:tcPr>
            <w:tcW w:type="dxa" w:w="1872"/>
          </w:tcPr>
          <w:p>
            <w:r>
              <w:rPr>
                <w:sz w:val="17"/>
              </w:rPr>
            </w:r>
            <w:r>
              <w:rPr>
                <w:sz w:val="17"/>
              </w:rPr>
              <w:t>OINTA guide; Ridgeline</w:t>
            </w:r>
          </w:p>
        </w:tc>
        <w:tc>
          <w:tcPr>
            <w:tcW w:type="dxa" w:w="2880"/>
          </w:tcPr>
          <w:p>
            <w:r>
              <w:rPr>
                <w:sz w:val="17"/>
              </w:rPr>
            </w:r>
            <w:r>
              <w:rPr>
                <w:sz w:val="17"/>
              </w:rPr>
              <w:t>Interrog. 5 / Topic C accuracy.</w:t>
            </w:r>
          </w:p>
        </w:tc>
      </w:tr>
      <w:tr>
        <w:tc>
          <w:tcPr>
            <w:tcW w:type="dxa" w:w="432"/>
          </w:tcPr>
          <w:p>
            <w:r>
              <w:rPr>
                <w:sz w:val="17"/>
              </w:rPr>
            </w:r>
            <w:r>
              <w:rPr>
                <w:sz w:val="17"/>
              </w:rPr>
              <w:t>9</w:t>
            </w:r>
          </w:p>
        </w:tc>
        <w:tc>
          <w:tcPr>
            <w:tcW w:type="dxa" w:w="4176"/>
          </w:tcPr>
          <w:p>
            <w:r>
              <w:rPr>
                <w:sz w:val="17"/>
              </w:rPr>
            </w:r>
            <w:r>
              <w:rPr>
                <w:sz w:val="17"/>
              </w:rPr>
              <w:t>OINTA guide describes the reported figure as covering "organic baby food product lines" and the "entire organic infant and toddler product portfolio."</w:t>
            </w:r>
          </w:p>
        </w:tc>
        <w:tc>
          <w:tcPr>
            <w:tcW w:type="dxa" w:w="1872"/>
          </w:tcPr>
          <w:p>
            <w:r>
              <w:rPr>
                <w:sz w:val="17"/>
              </w:rPr>
            </w:r>
            <w:r>
              <w:rPr>
                <w:sz w:val="17"/>
              </w:rPr>
              <w:t>OINTA guide</w:t>
            </w:r>
          </w:p>
        </w:tc>
        <w:tc>
          <w:tcPr>
            <w:tcW w:type="dxa" w:w="2880"/>
          </w:tcPr>
          <w:p>
            <w:r>
              <w:rPr>
                <w:sz w:val="17"/>
              </w:rPr>
            </w:r>
            <w:r>
              <w:rPr>
                <w:sz w:val="17"/>
              </w:rPr>
              <w:t>Determine what Greenfield reported.</w:t>
            </w:r>
          </w:p>
        </w:tc>
      </w:tr>
      <w:tr>
        <w:tc>
          <w:tcPr>
            <w:tcW w:type="dxa" w:w="432"/>
          </w:tcPr>
          <w:p>
            <w:r>
              <w:rPr>
                <w:sz w:val="17"/>
              </w:rPr>
            </w:r>
            <w:r>
              <w:rPr>
                <w:sz w:val="17"/>
              </w:rPr>
              <w:t>10</w:t>
            </w:r>
          </w:p>
        </w:tc>
        <w:tc>
          <w:tcPr>
            <w:tcW w:type="dxa" w:w="4176"/>
          </w:tcPr>
          <w:p>
            <w:r>
              <w:rPr>
                <w:sz w:val="17"/>
              </w:rPr>
            </w:r>
            <w:r>
              <w:rPr>
                <w:sz w:val="17"/>
              </w:rPr>
              <w:t>OINTA's listed phone number, (202) 555-0147, is identical to Ms. Rourke's DOJ number in the CID.</w:t>
            </w:r>
          </w:p>
        </w:tc>
        <w:tc>
          <w:tcPr>
            <w:tcW w:type="dxa" w:w="1872"/>
          </w:tcPr>
          <w:p>
            <w:r>
              <w:rPr>
                <w:sz w:val="17"/>
              </w:rPr>
            </w:r>
            <w:r>
              <w:rPr>
                <w:sz w:val="17"/>
              </w:rPr>
              <w:t>OINTA guide; CID</w:t>
            </w:r>
          </w:p>
        </w:tc>
        <w:tc>
          <w:tcPr>
            <w:tcW w:type="dxa" w:w="2880"/>
          </w:tcPr>
          <w:p>
            <w:r>
              <w:rPr>
                <w:sz w:val="17"/>
              </w:rPr>
            </w:r>
            <w:r>
              <w:rPr>
                <w:sz w:val="17"/>
              </w:rPr>
              <w:t>Likely a clerical error, but verify contact details before any outreach.</w:t>
            </w:r>
          </w:p>
        </w:tc>
      </w:tr>
      <w:tr>
        <w:tc>
          <w:tcPr>
            <w:tcW w:type="dxa" w:w="432"/>
          </w:tcPr>
          <w:p>
            <w:r>
              <w:rPr>
                <w:sz w:val="17"/>
              </w:rPr>
            </w:r>
            <w:r>
              <w:rPr>
                <w:sz w:val="17"/>
              </w:rPr>
              <w:t>11</w:t>
            </w:r>
          </w:p>
        </w:tc>
        <w:tc>
          <w:tcPr>
            <w:tcW w:type="dxa" w:w="4176"/>
          </w:tcPr>
          <w:p>
            <w:r>
              <w:rPr>
                <w:sz w:val="17"/>
              </w:rPr>
            </w:r>
            <w:r>
              <w:rPr>
                <w:sz w:val="17"/>
              </w:rPr>
              <w:t>Policy (Feb. 2020) names Slack as the platform; GC says Slack used from ~2018. Pre-Feb. 2020 deletion governed by superseded 2016 policy (not provided).</w:t>
            </w:r>
          </w:p>
        </w:tc>
        <w:tc>
          <w:tcPr>
            <w:tcW w:type="dxa" w:w="1872"/>
          </w:tcPr>
          <w:p>
            <w:r>
              <w:rPr>
                <w:sz w:val="17"/>
              </w:rPr>
            </w:r>
            <w:r>
              <w:rPr>
                <w:sz w:val="17"/>
              </w:rPr>
              <w:t>Policy; GC memo</w:t>
            </w:r>
          </w:p>
        </w:tc>
        <w:tc>
          <w:tcPr>
            <w:tcW w:type="dxa" w:w="2880"/>
          </w:tcPr>
          <w:p>
            <w:r>
              <w:rPr>
                <w:sz w:val="17"/>
              </w:rPr>
            </w:r>
            <w:r>
              <w:rPr>
                <w:sz w:val="17"/>
              </w:rPr>
              <w:t>Obtain 2016 policy for Interrog. 8 / Topic D.</w:t>
            </w:r>
          </w:p>
        </w:tc>
      </w:tr>
      <w:tr>
        <w:tc>
          <w:tcPr>
            <w:tcW w:type="dxa" w:w="432"/>
          </w:tcPr>
          <w:p>
            <w:r>
              <w:rPr>
                <w:sz w:val="17"/>
              </w:rPr>
            </w:r>
            <w:r>
              <w:rPr>
                <w:sz w:val="17"/>
              </w:rPr>
              <w:t>12</w:t>
            </w:r>
          </w:p>
        </w:tc>
        <w:tc>
          <w:tcPr>
            <w:tcW w:type="dxa" w:w="4176"/>
          </w:tcPr>
          <w:p>
            <w:r>
              <w:rPr>
                <w:sz w:val="17"/>
              </w:rPr>
            </w:r>
            <w:r>
              <w:rPr>
                <w:sz w:val="17"/>
              </w:rPr>
              <w:t>Cloudbridge says report delivered to the GC and IT; GC says IT recommended decommissioning "after Cloudbridge confirmed" completion, but Cloudbridge recommended keeping a backup.</w:t>
            </w:r>
          </w:p>
        </w:tc>
        <w:tc>
          <w:tcPr>
            <w:tcW w:type="dxa" w:w="1872"/>
          </w:tcPr>
          <w:p>
            <w:r>
              <w:rPr>
                <w:sz w:val="17"/>
              </w:rPr>
            </w:r>
            <w:r>
              <w:rPr>
                <w:sz w:val="17"/>
              </w:rPr>
              <w:t>Cloudbridge report; GC memo</w:t>
            </w:r>
          </w:p>
        </w:tc>
        <w:tc>
          <w:tcPr>
            <w:tcW w:type="dxa" w:w="2880"/>
          </w:tcPr>
          <w:p>
            <w:r>
              <w:rPr>
                <w:sz w:val="17"/>
              </w:rPr>
            </w:r>
            <w:r>
              <w:rPr>
                <w:sz w:val="17"/>
              </w:rPr>
              <w:t>Decision-maker and rationale for decommissioning must be established accurately.</w:t>
            </w:r>
          </w:p>
        </w:tc>
      </w:tr>
      <w:tr>
        <w:tc>
          <w:tcPr>
            <w:tcW w:type="dxa" w:w="432"/>
          </w:tcPr>
          <w:p>
            <w:r>
              <w:rPr>
                <w:sz w:val="17"/>
              </w:rPr>
            </w:r>
            <w:r>
              <w:rPr>
                <w:sz w:val="17"/>
              </w:rPr>
              <w:t>13</w:t>
            </w:r>
          </w:p>
        </w:tc>
        <w:tc>
          <w:tcPr>
            <w:tcW w:type="dxa" w:w="4176"/>
          </w:tcPr>
          <w:p>
            <w:r>
              <w:rPr>
                <w:sz w:val="17"/>
              </w:rPr>
            </w:r>
            <w:r>
              <w:rPr>
                <w:sz w:val="17"/>
              </w:rPr>
              <w:t>Comms log collection period begins Jan. 1, 2020; CID Relevant Period (and Spec. 7) begins Jan. 1, 2019.</w:t>
            </w:r>
          </w:p>
        </w:tc>
        <w:tc>
          <w:tcPr>
            <w:tcW w:type="dxa" w:w="1872"/>
          </w:tcPr>
          <w:p>
            <w:r>
              <w:rPr>
                <w:sz w:val="17"/>
              </w:rPr>
            </w:r>
            <w:r>
              <w:rPr>
                <w:sz w:val="17"/>
              </w:rPr>
              <w:t>Comms log; CID</w:t>
            </w:r>
          </w:p>
        </w:tc>
        <w:tc>
          <w:tcPr>
            <w:tcW w:type="dxa" w:w="2880"/>
          </w:tcPr>
          <w:p>
            <w:r>
              <w:rPr>
                <w:sz w:val="17"/>
              </w:rPr>
            </w:r>
            <w:r>
              <w:rPr>
                <w:sz w:val="17"/>
              </w:rPr>
              <w:t>Collection gap for 2019.</w:t>
            </w:r>
          </w:p>
        </w:tc>
      </w:tr>
      <w:tr>
        <w:tc>
          <w:tcPr>
            <w:tcW w:type="dxa" w:w="432"/>
          </w:tcPr>
          <w:p>
            <w:r>
              <w:rPr>
                <w:sz w:val="17"/>
              </w:rPr>
            </w:r>
            <w:r>
              <w:rPr>
                <w:sz w:val="17"/>
              </w:rPr>
              <w:t>14</w:t>
            </w:r>
          </w:p>
        </w:tc>
        <w:tc>
          <w:tcPr>
            <w:tcW w:type="dxa" w:w="4176"/>
          </w:tcPr>
          <w:p>
            <w:r>
              <w:rPr>
                <w:sz w:val="17"/>
              </w:rPr>
            </w:r>
            <w:r>
              <w:rPr>
                <w:sz w:val="17"/>
              </w:rPr>
              <w:t>Entries 13-14 (June 2021) precede the CIA (Sept. 15, 2021) and are CEO-to-CEO; log flags them for privilege review.</w:t>
            </w:r>
          </w:p>
        </w:tc>
        <w:tc>
          <w:tcPr>
            <w:tcW w:type="dxa" w:w="1872"/>
          </w:tcPr>
          <w:p>
            <w:r>
              <w:rPr>
                <w:sz w:val="17"/>
              </w:rPr>
            </w:r>
            <w:r>
              <w:rPr>
                <w:sz w:val="17"/>
              </w:rPr>
              <w:t>Comms log; CIA</w:t>
            </w:r>
          </w:p>
        </w:tc>
        <w:tc>
          <w:tcPr>
            <w:tcW w:type="dxa" w:w="2880"/>
          </w:tcPr>
          <w:p>
            <w:r>
              <w:rPr>
                <w:sz w:val="17"/>
              </w:rPr>
            </w:r>
            <w:r>
              <w:rPr>
                <w:sz w:val="17"/>
              </w:rPr>
              <w:t>Not privileged; do not over-designate.</w:t>
            </w:r>
          </w:p>
        </w:tc>
      </w:tr>
    </w:tbl>
    <w:p>
      <w:pPr>
        <w:spacing w:after="40"/>
      </w:pPr>
    </w:p>
    <w:p>
      <w:pPr>
        <w:pStyle w:val="Heading1"/>
      </w:pPr>
      <w:r>
        <w:t>VIII. Open Questions for the Client</w:t>
      </w:r>
    </w:p>
    <w:p>
      <w:pPr>
        <w:pStyle w:val="ListNumber"/>
        <w:spacing w:after="60"/>
      </w:pPr>
      <w:r>
        <w:t>Has Greenfield, Ms. Hollister or anyone else received any prior contact, inquiry, subpoena or CID from DOJ, the FTC or a state AG? What is the "FTC stuff" referenced on Aug. 25, 2024?</w:t>
      </w:r>
    </w:p>
    <w:p>
      <w:pPr>
        <w:pStyle w:val="ListNumber"/>
        <w:spacing w:after="60"/>
      </w:pPr>
      <w:r>
        <w:t>Has IT actually suspended email, Teams, SharePoint, Salesforce and SAP deletion? When? Did any purge cycle run after October 4, 2024?</w:t>
      </w:r>
    </w:p>
    <w:p>
      <w:pPr>
        <w:pStyle w:val="ListNumber"/>
        <w:spacing w:after="60"/>
      </w:pPr>
      <w:r>
        <w:t>What retention settings were configured in Google Workspace and are configured now in M365/Teams? Why did the Google archive reach back to 2014?</w:t>
      </w:r>
    </w:p>
    <w:p>
      <w:pPr>
        <w:pStyle w:val="ListNumber"/>
        <w:spacing w:after="60"/>
      </w:pPr>
      <w:r>
        <w:t>Who decided to decommission Google Workspace on Oct. 1, 2023 despite Cloudbridge's recommendation? Was any backup or Vault export made? Was Google ever contacted?</w:t>
      </w:r>
    </w:p>
    <w:p>
      <w:pPr>
        <w:pStyle w:val="ListNumber"/>
        <w:spacing w:after="60"/>
      </w:pPr>
      <w:r>
        <w:t>Was a litigation hold issued in the Labeling Litigation? What was collected and where is it now?</w:t>
      </w:r>
    </w:p>
    <w:p>
      <w:pPr>
        <w:pStyle w:val="ListNumber"/>
        <w:spacing w:after="60"/>
      </w:pPr>
      <w:r>
        <w:t>What contemporaneous documents (cost models, pricing committee minutes, approvals) support each of the four 2022-2023 increases? Who approved them?</w:t>
      </w:r>
    </w:p>
    <w:p>
      <w:pPr>
        <w:pStyle w:val="ListNumber"/>
        <w:spacing w:after="60"/>
      </w:pPr>
      <w:r>
        <w:t>Did Greenfield adopt Ridgeline's ±3% corridor or OINTA-timed reviews? How did Greenfield obtain TinyHarvest wholesale prices?</w:t>
      </w:r>
    </w:p>
    <w:p>
      <w:pPr>
        <w:pStyle w:val="ListNumber"/>
        <w:spacing w:after="60"/>
      </w:pPr>
      <w:r>
        <w:t>Which version(s) of the Ridgeline report exist, and why does the excerpt contain FY2023 figures?</w:t>
      </w:r>
    </w:p>
    <w:p>
      <w:pPr>
        <w:pStyle w:val="ListNumber"/>
        <w:spacing w:after="60"/>
      </w:pPr>
      <w:r>
        <w:t>What exactly did Greenfield submit to OINTA each quarter? Who attended each summit and dinner? Were pricing index results discussed in sessions or side meetings?</w:t>
      </w:r>
    </w:p>
    <w:p>
      <w:pPr>
        <w:pStyle w:val="ListNumber"/>
        <w:spacing w:after="60"/>
      </w:pPr>
      <w:r>
        <w:t>Do other executives (Waverly, Oshiro, Prescott) communicate with NourishCo or other competitors by personal device?</w:t>
      </w:r>
    </w:p>
    <w:p>
      <w:pPr>
        <w:pStyle w:val="ListNumber"/>
        <w:spacing w:after="60"/>
      </w:pPr>
      <w:r>
        <w:t>What counsel-to-counsel communications with Fielding &amp; Acosta discussed pricing or competitive dynamics, and where are they stored?</w:t>
      </w:r>
    </w:p>
    <w:p>
      <w:pPr>
        <w:pStyle w:val="ListNumber"/>
        <w:spacing w:after="60"/>
      </w:pPr>
      <w:r>
        <w:t>Who is the IT Director (Raj Patel or Karen Lipscomb)? Who is the Microsoft 365 administrator?</w:t>
      </w:r>
    </w:p>
    <w:p>
      <w:pPr>
        <w:pStyle w:val="ListNumber"/>
        <w:spacing w:after="60"/>
      </w:pPr>
      <w:r>
        <w:t>What D&amp;O/insurance policies are in place, and what are their notice requirements?</w:t>
      </w:r>
    </w:p>
    <w:p>
      <w:pPr>
        <w:pStyle w:val="Heading1"/>
      </w:pPr>
      <w:r>
        <w:t>IX.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D9E2F3"/>
          </w:tcPr>
          <w:p>
            <w:r/>
            <w:r>
              <w:rPr>
                <w:b/>
                <w:sz w:val="18"/>
              </w:rPr>
              <w:t>Document</w:t>
            </w:r>
          </w:p>
        </w:tc>
        <w:tc>
          <w:tcPr>
            <w:tcW w:type="dxa" w:w="2160"/>
            <w:shd w:val="clear" w:color="auto" w:fill="D9E2F3"/>
          </w:tcPr>
          <w:p>
            <w:r/>
            <w:r>
              <w:rPr>
                <w:b/>
                <w:sz w:val="18"/>
              </w:rPr>
              <w:t>Date</w:t>
            </w:r>
          </w:p>
        </w:tc>
        <w:tc>
          <w:tcPr>
            <w:tcW w:type="dxa" w:w="3456"/>
            <w:shd w:val="clear" w:color="auto" w:fill="D9E2F3"/>
          </w:tcPr>
          <w:p>
            <w:r/>
            <w:r>
              <w:rPr>
                <w:b/>
                <w:sz w:val="18"/>
              </w:rPr>
              <w:t>Key relevance</w:t>
            </w:r>
          </w:p>
        </w:tc>
      </w:tr>
      <w:tr>
        <w:tc>
          <w:tcPr>
            <w:tcW w:type="dxa" w:w="3744"/>
          </w:tcPr>
          <w:p>
            <w:r>
              <w:rPr>
                <w:sz w:val="18"/>
              </w:rPr>
            </w:r>
            <w:r>
              <w:rPr>
                <w:sz w:val="18"/>
              </w:rPr>
              <w:t>CID No. 28-47293 with cover letter and certificate of service</w:t>
            </w:r>
          </w:p>
        </w:tc>
        <w:tc>
          <w:tcPr>
            <w:tcW w:type="dxa" w:w="2160"/>
          </w:tcPr>
          <w:p>
            <w:r>
              <w:rPr>
                <w:sz w:val="18"/>
              </w:rPr>
            </w:r>
            <w:r>
              <w:rPr>
                <w:sz w:val="18"/>
              </w:rPr>
              <w:t>Issued Oct. 2, 2024; served Oct. 4, 2024</w:t>
            </w:r>
          </w:p>
        </w:tc>
        <w:tc>
          <w:tcPr>
            <w:tcW w:type="dxa" w:w="3456"/>
          </w:tcPr>
          <w:p>
            <w:r>
              <w:rPr>
                <w:sz w:val="18"/>
              </w:rPr>
            </w:r>
            <w:r>
              <w:rPr>
                <w:sz w:val="18"/>
              </w:rPr>
              <w:t>Scope, deadlines, definitions, 14 specs, 8 interrogatories, Topics A-D</w:t>
            </w:r>
          </w:p>
        </w:tc>
      </w:tr>
      <w:tr>
        <w:tc>
          <w:tcPr>
            <w:tcW w:type="dxa" w:w="3744"/>
          </w:tcPr>
          <w:p>
            <w:r>
              <w:rPr>
                <w:sz w:val="18"/>
              </w:rPr>
            </w:r>
            <w:r>
              <w:rPr>
                <w:sz w:val="18"/>
              </w:rPr>
              <w:t>GC memorandum (Yun-Nakamura to Voss)</w:t>
            </w:r>
          </w:p>
        </w:tc>
        <w:tc>
          <w:tcPr>
            <w:tcW w:type="dxa" w:w="2160"/>
          </w:tcPr>
          <w:p>
            <w:r>
              <w:rPr>
                <w:sz w:val="18"/>
              </w:rPr>
            </w:r>
            <w:r>
              <w:rPr>
                <w:sz w:val="18"/>
              </w:rPr>
              <w:t>Oct. 15, 2024</w:t>
            </w:r>
          </w:p>
        </w:tc>
        <w:tc>
          <w:tcPr>
            <w:tcW w:type="dxa" w:w="3456"/>
          </w:tcPr>
          <w:p>
            <w:r>
              <w:rPr>
                <w:sz w:val="18"/>
              </w:rPr>
            </w:r>
            <w:r>
              <w:rPr>
                <w:sz w:val="18"/>
              </w:rPr>
              <w:t>Client facts, assumptions and questions</w:t>
            </w:r>
          </w:p>
        </w:tc>
      </w:tr>
      <w:tr>
        <w:tc>
          <w:tcPr>
            <w:tcW w:type="dxa" w:w="3744"/>
          </w:tcPr>
          <w:p>
            <w:r>
              <w:rPr>
                <w:sz w:val="18"/>
              </w:rPr>
            </w:r>
            <w:r>
              <w:rPr>
                <w:sz w:val="18"/>
              </w:rPr>
              <w:t>Hollister-Felding communications log (4 tabs)</w:t>
            </w:r>
          </w:p>
        </w:tc>
        <w:tc>
          <w:tcPr>
            <w:tcW w:type="dxa" w:w="2160"/>
          </w:tcPr>
          <w:p>
            <w:r>
              <w:rPr>
                <w:sz w:val="18"/>
              </w:rPr>
            </w:r>
            <w:r>
              <w:rPr>
                <w:sz w:val="18"/>
              </w:rPr>
              <w:t>Prepared Oct. 14, 2024</w:t>
            </w:r>
          </w:p>
        </w:tc>
        <w:tc>
          <w:tcPr>
            <w:tcW w:type="dxa" w:w="3456"/>
          </w:tcPr>
          <w:p>
            <w:r>
              <w:rPr>
                <w:sz w:val="18"/>
              </w:rPr>
            </w:r>
            <w:r>
              <w:rPr>
                <w:sz w:val="18"/>
              </w:rPr>
              <w:t>59 CEO-to-CEO communications, 2020-2024</w:t>
            </w:r>
          </w:p>
        </w:tc>
      </w:tr>
      <w:tr>
        <w:tc>
          <w:tcPr>
            <w:tcW w:type="dxa" w:w="3744"/>
          </w:tcPr>
          <w:p>
            <w:r>
              <w:rPr>
                <w:sz w:val="18"/>
              </w:rPr>
            </w:r>
            <w:r>
              <w:rPr>
                <w:sz w:val="18"/>
              </w:rPr>
              <w:t>Ridgeline engagement letter</w:t>
            </w:r>
          </w:p>
        </w:tc>
        <w:tc>
          <w:tcPr>
            <w:tcW w:type="dxa" w:w="2160"/>
          </w:tcPr>
          <w:p>
            <w:r>
              <w:rPr>
                <w:sz w:val="18"/>
              </w:rPr>
            </w:r>
            <w:r>
              <w:rPr>
                <w:sz w:val="18"/>
              </w:rPr>
              <w:t>Mar. 10, 2023</w:t>
            </w:r>
          </w:p>
        </w:tc>
        <w:tc>
          <w:tcPr>
            <w:tcW w:type="dxa" w:w="3456"/>
          </w:tcPr>
          <w:p>
            <w:r>
              <w:rPr>
                <w:sz w:val="18"/>
              </w:rPr>
            </w:r>
            <w:r>
              <w:rPr>
                <w:sz w:val="18"/>
              </w:rPr>
              <w:t>Business-purpose engagement; GC signatory; $185,000 fee</w:t>
            </w:r>
          </w:p>
        </w:tc>
      </w:tr>
      <w:tr>
        <w:tc>
          <w:tcPr>
            <w:tcW w:type="dxa" w:w="3744"/>
          </w:tcPr>
          <w:p>
            <w:r>
              <w:rPr>
                <w:sz w:val="18"/>
              </w:rPr>
            </w:r>
            <w:r>
              <w:rPr>
                <w:sz w:val="18"/>
              </w:rPr>
              <w:t>Ridgeline report executive summary excerpt</w:t>
            </w:r>
          </w:p>
        </w:tc>
        <w:tc>
          <w:tcPr>
            <w:tcW w:type="dxa" w:w="2160"/>
          </w:tcPr>
          <w:p>
            <w:r>
              <w:rPr>
                <w:sz w:val="18"/>
              </w:rPr>
            </w:r>
            <w:r>
              <w:rPr>
                <w:sz w:val="18"/>
              </w:rPr>
              <w:t>June 15, 2023</w:t>
            </w:r>
          </w:p>
        </w:tc>
        <w:tc>
          <w:tcPr>
            <w:tcW w:type="dxa" w:w="3456"/>
          </w:tcPr>
          <w:p>
            <w:r>
              <w:rPr>
                <w:sz w:val="18"/>
              </w:rPr>
            </w:r>
            <w:r>
              <w:rPr>
                <w:sz w:val="18"/>
              </w:rPr>
              <w:t>Market shares; price convergence; ±3% corridor</w:t>
            </w:r>
          </w:p>
        </w:tc>
      </w:tr>
      <w:tr>
        <w:tc>
          <w:tcPr>
            <w:tcW w:type="dxa" w:w="3744"/>
          </w:tcPr>
          <w:p>
            <w:r>
              <w:rPr>
                <w:sz w:val="18"/>
              </w:rPr>
            </w:r>
            <w:r>
              <w:rPr>
                <w:sz w:val="18"/>
              </w:rPr>
              <w:t>OINTA Pricing Index Database member guide</w:t>
            </w:r>
          </w:p>
        </w:tc>
        <w:tc>
          <w:tcPr>
            <w:tcW w:type="dxa" w:w="2160"/>
          </w:tcPr>
          <w:p>
            <w:r>
              <w:rPr>
                <w:sz w:val="18"/>
              </w:rPr>
            </w:r>
            <w:r>
              <w:rPr>
                <w:sz w:val="18"/>
              </w:rPr>
              <w:t>Rev. Jan. 2023</w:t>
            </w:r>
          </w:p>
        </w:tc>
        <w:tc>
          <w:tcPr>
            <w:tcW w:type="dxa" w:w="3456"/>
          </w:tcPr>
          <w:p>
            <w:r>
              <w:rPr>
                <w:sz w:val="18"/>
              </w:rPr>
            </w:r>
            <w:r>
              <w:rPr>
                <w:sz w:val="18"/>
              </w:rPr>
              <w:t>Information exchange design</w:t>
            </w:r>
          </w:p>
        </w:tc>
      </w:tr>
      <w:tr>
        <w:tc>
          <w:tcPr>
            <w:tcW w:type="dxa" w:w="3744"/>
          </w:tcPr>
          <w:p>
            <w:r>
              <w:rPr>
                <w:sz w:val="18"/>
              </w:rPr>
            </w:r>
            <w:r>
              <w:rPr>
                <w:sz w:val="18"/>
              </w:rPr>
              <w:t>Document Retention Policy GOI-CORP-2020-003</w:t>
            </w:r>
          </w:p>
        </w:tc>
        <w:tc>
          <w:tcPr>
            <w:tcW w:type="dxa" w:w="2160"/>
          </w:tcPr>
          <w:p>
            <w:r>
              <w:rPr>
                <w:sz w:val="18"/>
              </w:rPr>
            </w:r>
            <w:r>
              <w:rPr>
                <w:sz w:val="18"/>
              </w:rPr>
              <w:t>Eff. Feb. 15, 2020</w:t>
            </w:r>
          </w:p>
        </w:tc>
        <w:tc>
          <w:tcPr>
            <w:tcW w:type="dxa" w:w="3456"/>
          </w:tcPr>
          <w:p>
            <w:r>
              <w:rPr>
                <w:sz w:val="18"/>
              </w:rPr>
            </w:r>
            <w:r>
              <w:rPr>
                <w:sz w:val="18"/>
              </w:rPr>
              <w:t>5-year email purge; 90-day chat purge; no hold provision</w:t>
            </w:r>
          </w:p>
        </w:tc>
      </w:tr>
      <w:tr>
        <w:tc>
          <w:tcPr>
            <w:tcW w:type="dxa" w:w="3744"/>
          </w:tcPr>
          <w:p>
            <w:r>
              <w:rPr>
                <w:sz w:val="18"/>
              </w:rPr>
            </w:r>
            <w:r>
              <w:rPr>
                <w:sz w:val="18"/>
              </w:rPr>
              <w:t>Cloudbridge migration completion report</w:t>
            </w:r>
          </w:p>
        </w:tc>
        <w:tc>
          <w:tcPr>
            <w:tcW w:type="dxa" w:w="2160"/>
          </w:tcPr>
          <w:p>
            <w:r>
              <w:rPr>
                <w:sz w:val="18"/>
              </w:rPr>
            </w:r>
            <w:r>
              <w:rPr>
                <w:sz w:val="18"/>
              </w:rPr>
              <w:t>Sept. 5, 2023</w:t>
            </w:r>
          </w:p>
        </w:tc>
        <w:tc>
          <w:tcPr>
            <w:tcW w:type="dxa" w:w="3456"/>
          </w:tcPr>
          <w:p>
            <w:r>
              <w:rPr>
                <w:sz w:val="18"/>
              </w:rPr>
            </w:r>
            <w:r>
              <w:rPr>
                <w:sz w:val="18"/>
              </w:rPr>
              <w:t>14,800 unmigrated emails; decommissioning Oct. 1, 2023</w:t>
            </w:r>
          </w:p>
        </w:tc>
      </w:tr>
      <w:tr>
        <w:tc>
          <w:tcPr>
            <w:tcW w:type="dxa" w:w="3744"/>
          </w:tcPr>
          <w:p>
            <w:r>
              <w:rPr>
                <w:sz w:val="18"/>
              </w:rPr>
            </w:r>
            <w:r>
              <w:rPr>
                <w:sz w:val="18"/>
              </w:rPr>
              <w:t>Common Interest Agreement (T&amp;P / F&amp;A)</w:t>
            </w:r>
          </w:p>
        </w:tc>
        <w:tc>
          <w:tcPr>
            <w:tcW w:type="dxa" w:w="2160"/>
          </w:tcPr>
          <w:p>
            <w:r>
              <w:rPr>
                <w:sz w:val="18"/>
              </w:rPr>
            </w:r>
            <w:r>
              <w:rPr>
                <w:sz w:val="18"/>
              </w:rPr>
              <w:t>Sept. 15, 2021</w:t>
            </w:r>
          </w:p>
        </w:tc>
        <w:tc>
          <w:tcPr>
            <w:tcW w:type="dxa" w:w="3456"/>
          </w:tcPr>
          <w:p>
            <w:r>
              <w:rPr>
                <w:sz w:val="18"/>
              </w:rPr>
            </w:r>
            <w:r>
              <w:rPr>
                <w:sz w:val="18"/>
              </w:rPr>
              <w:t>Scope, withdrawal, § 4.4 notice duty</w:t>
            </w:r>
          </w:p>
        </w:tc>
      </w:tr>
    </w:tbl>
    <w:p>
      <w:pPr>
        <w:spacing w:after="40"/>
      </w:pPr>
    </w:p>
    <w:p>
      <w:r>
        <w:rPr>
          <w:i/>
          <w:sz w:val="19"/>
        </w:rPr>
        <w:t>Note on authorities:</w:t>
      </w:r>
      <w:r>
        <w:rPr>
          <w:sz w:val="19"/>
        </w:rPr>
        <w:t xml:space="preserve"> Statutory and case citations in this memorandum are offered for issue-spotting and should be cite-checked before use in any filing or client advice letter. In particular, confirm the tolling effect of a § 1314(b) petition, whether the § 1314(b) deadline can be extended by agreement, and the current status of the Antitrust Division's leniency policy and any guidance on ephemeral messaging.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