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C00000"/>
          <w:sz w:val="18"/>
        </w:rPr>
        <w:t>PRIVILEGED AND CONFIDENTIAL | ATTORNEY WORK PRODUCT | PREPARED IN ANTICIPATION OF ARBITRATION</w:t>
      </w:r>
    </w:p>
    <w:p>
      <w:pPr>
        <w:spacing w:after="40"/>
        <w:jc w:val="center"/>
      </w:pPr>
      <w:r>
        <w:rPr>
          <w:b/>
          <w:i w:val="0"/>
          <w:sz w:val="24"/>
        </w:rPr>
        <w:t>Thorncastle &amp; Whitmore LLP</w:t>
      </w:r>
    </w:p>
    <w:p>
      <w:pPr>
        <w:spacing w:after="40"/>
        <w:jc w:val="center"/>
      </w:pPr>
      <w:r>
        <w:rPr>
          <w:b/>
          <w:i w:val="0"/>
          <w:color w:val="1F3864"/>
          <w:sz w:val="32"/>
        </w:rPr>
        <w:t>ARBITRATION CLAUSE / INSTITUTIONAL RULES DEVIATION REPORT</w:t>
      </w:r>
    </w:p>
    <w:p>
      <w:pPr>
        <w:spacing w:after="120"/>
        <w:jc w:val="center"/>
      </w:pPr>
      <w:r>
        <w:rPr>
          <w:b w:val="0"/>
          <w:i/>
          <w:sz w:val="22"/>
        </w:rPr>
        <w:t>MSA Section 14.2 compared against the Stonebridge Arbitral Institute Arbitration Rules (2022 Edition)</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F3864"/>
          </w:tcPr>
          <w:p>
            <w:r/>
            <w:r>
              <w:rPr>
                <w:b/>
                <w:color w:val="FFFFFF"/>
                <w:sz w:val="19"/>
              </w:rPr>
              <w:t>Item</w:t>
            </w:r>
          </w:p>
        </w:tc>
        <w:tc>
          <w:tcPr>
            <w:tcW w:type="dxa" w:w="7056"/>
            <w:shd w:val="clear" w:color="auto" w:fill="1F3864"/>
          </w:tcPr>
          <w:p>
            <w:r/>
            <w:r>
              <w:rPr>
                <w:b/>
                <w:color w:val="FFFFFF"/>
                <w:sz w:val="19"/>
              </w:rPr>
              <w:t>Detail</w:t>
            </w:r>
          </w:p>
        </w:tc>
      </w:tr>
      <w:tr>
        <w:tc>
          <w:tcPr>
            <w:tcW w:type="dxa" w:w="2304"/>
          </w:tcPr>
          <w:p>
            <w:r/>
            <w:r>
              <w:rPr>
                <w:sz w:val="18"/>
              </w:rPr>
              <w:t>Matter</w:t>
            </w:r>
          </w:p>
        </w:tc>
        <w:tc>
          <w:tcPr>
            <w:tcW w:type="dxa" w:w="7056"/>
          </w:tcPr>
          <w:p>
            <w:r/>
            <w:r>
              <w:rPr>
                <w:sz w:val="18"/>
              </w:rPr>
              <w:t>Greenleaf Biotech Solutions, Inc. v. Kuiper Data Systems GmbH (Matter No. TW-2024-01847)</w:t>
            </w:r>
          </w:p>
        </w:tc>
      </w:tr>
      <w:tr>
        <w:tc>
          <w:tcPr>
            <w:tcW w:type="dxa" w:w="2304"/>
          </w:tcPr>
          <w:p>
            <w:r/>
            <w:r>
              <w:rPr>
                <w:sz w:val="18"/>
              </w:rPr>
              <w:t>To</w:t>
            </w:r>
          </w:p>
        </w:tc>
        <w:tc>
          <w:tcPr>
            <w:tcW w:type="dxa" w:w="7056"/>
          </w:tcPr>
          <w:p>
            <w:r/>
            <w:r>
              <w:rPr>
                <w:sz w:val="18"/>
              </w:rPr>
              <w:t>Eleanor Park, Partner (for onward review by Marcus Yuen, General Counsel, Greenleaf)</w:t>
            </w:r>
          </w:p>
        </w:tc>
      </w:tr>
      <w:tr>
        <w:tc>
          <w:tcPr>
            <w:tcW w:type="dxa" w:w="2304"/>
          </w:tcPr>
          <w:p>
            <w:r/>
            <w:r>
              <w:rPr>
                <w:sz w:val="18"/>
              </w:rPr>
              <w:t>From</w:t>
            </w:r>
          </w:p>
        </w:tc>
        <w:tc>
          <w:tcPr>
            <w:tcW w:type="dxa" w:w="7056"/>
          </w:tcPr>
          <w:p>
            <w:r/>
            <w:r>
              <w:rPr>
                <w:sz w:val="18"/>
              </w:rPr>
              <w:t>David Rashidi, Senior Associate</w:t>
            </w:r>
          </w:p>
        </w:tc>
      </w:tr>
      <w:tr>
        <w:tc>
          <w:tcPr>
            <w:tcW w:type="dxa" w:w="2304"/>
          </w:tcPr>
          <w:p>
            <w:r/>
            <w:r>
              <w:rPr>
                <w:sz w:val="18"/>
              </w:rPr>
              <w:t>Date</w:t>
            </w:r>
          </w:p>
        </w:tc>
        <w:tc>
          <w:tcPr>
            <w:tcW w:type="dxa" w:w="7056"/>
          </w:tcPr>
          <w:p>
            <w:r/>
            <w:r>
              <w:rPr>
                <w:sz w:val="18"/>
              </w:rPr>
              <w:t>November 5, 2024</w:t>
            </w:r>
          </w:p>
        </w:tc>
      </w:tr>
      <w:tr>
        <w:tc>
          <w:tcPr>
            <w:tcW w:type="dxa" w:w="2304"/>
          </w:tcPr>
          <w:p>
            <w:r/>
            <w:r>
              <w:rPr>
                <w:sz w:val="18"/>
              </w:rPr>
              <w:t>Responds to</w:t>
            </w:r>
          </w:p>
        </w:tc>
        <w:tc>
          <w:tcPr>
            <w:tcW w:type="dxa" w:w="7056"/>
          </w:tcPr>
          <w:p>
            <w:r/>
            <w:r>
              <w:rPr>
                <w:sz w:val="18"/>
              </w:rPr>
              <w:t>Assignment memorandum dated November 4, 2024</w:t>
            </w:r>
          </w:p>
        </w:tc>
      </w:tr>
      <w:tr>
        <w:tc>
          <w:tcPr>
            <w:tcW w:type="dxa" w:w="2304"/>
          </w:tcPr>
          <w:p>
            <w:r/>
            <w:r>
              <w:rPr>
                <w:sz w:val="18"/>
              </w:rPr>
              <w:t>Documents reviewed</w:t>
            </w:r>
          </w:p>
        </w:tc>
        <w:tc>
          <w:tcPr>
            <w:tcW w:type="dxa" w:w="7056"/>
          </w:tcPr>
          <w:p>
            <w:r/>
            <w:r>
              <w:rPr>
                <w:sz w:val="18"/>
              </w:rPr>
              <w:t>(1) MSA dated March 15, 2023, excerpt of Sections 12, 14 and 15 (recitals and signature blocks); (2) SAI Arbitration Rules, 2022 Edition, including Appendix I (Fees) and Appendix II (Emergency Arbitrator Rules); (3) email from Dr. Katrin Vogel (Kuiper) dated October 28, 2024; (4) assignment memorandum dated November 4, 2024</w:t>
            </w:r>
          </w:p>
        </w:tc>
      </w:tr>
      <w:tr>
        <w:tc>
          <w:tcPr>
            <w:tcW w:type="dxa" w:w="2304"/>
          </w:tcPr>
          <w:p>
            <w:r/>
            <w:r>
              <w:rPr>
                <w:sz w:val="18"/>
              </w:rPr>
              <w:t>Not reviewed (not provided)</w:t>
            </w:r>
          </w:p>
        </w:tc>
        <w:tc>
          <w:tcPr>
            <w:tcW w:type="dxa" w:w="7056"/>
          </w:tcPr>
          <w:p>
            <w:r/>
            <w:r>
              <w:rPr>
                <w:sz w:val="18"/>
              </w:rPr>
              <w:t>MSA Sections 1-11, 13, 16-20 and Schedules (including s. 7.4 data restoration, s. 13 indemnification, Schedule B pricing); September 12, 2024 notice of breach and proof of delivery; Kuiper response of October 3, 2024; Palladian preliminary findings; SAI Rules 2024 Edition</w:t>
            </w:r>
          </w:p>
        </w:tc>
      </w:tr>
    </w:tbl>
    <w:p>
      <w:pPr>
        <w:spacing w:after="40"/>
      </w:pPr>
    </w:p>
    <w:p>
      <w:pPr>
        <w:pStyle w:val="Heading1"/>
      </w:pPr>
      <w:r>
        <w:t>Part A. Executive Summary</w:t>
      </w:r>
    </w:p>
    <w:p>
      <w:pPr>
        <w:spacing w:after="120"/>
      </w:pPr>
      <w:r>
        <w:rPr>
          <w:b w:val="0"/>
          <w:i w:val="0"/>
        </w:rPr>
        <w:t>Section 14.2 was drafted by Kuiper’s counsel and departs from the SAI Rules on almost every point it addresses. Most of those departures are permitted modifications under Article 1.4 of the Rules (party agreement prevails unless it contravenes a mandatory Rule or the law of the seat, or the SAI Court finds it renders the arbitration impracticable), so the principal risks are not that the clause will be disregarded, but that it will be enforced as written. Three issues are Critical and require action before, or in parallel with, filing:</w:t>
      </w:r>
    </w:p>
    <w:p>
      <w:pPr>
        <w:pStyle w:val="ListBullet"/>
        <w:spacing w:after="80"/>
      </w:pPr>
      <w:r>
        <w:rPr>
          <w:b/>
        </w:rPr>
        <w:t xml:space="preserve">Server log preservation (Issue 3). </w:t>
      </w:r>
      <w:r>
        <w:t>The emergency arbitrator procedure is available (no opt-out; the MSA post-dates the 2022 Edition; s. 14.3(d) preserves emergency and court relief despite the escalation procedure). On Palladian’s 90-120 day estimate, logs for June 2024 events may already have been deleted and the window for July and August logs closes between now and late December 2024. A preservation demand should go out immediately, with an emergency arbitrator application (CHF 20,000) and a parallel German court application ready to file. 28 U.S.C. s. 1782 is not available (ZF Automotive v. Luxshare (2022)).</w:t>
      </w:r>
    </w:p>
    <w:p>
      <w:pPr>
        <w:pStyle w:val="ListBullet"/>
        <w:spacing w:after="80"/>
      </w:pPr>
      <w:r>
        <w:rPr>
          <w:b/>
        </w:rPr>
        <w:t xml:space="preserve">90-day award deadline (Issue 1). </w:t>
      </w:r>
      <w:r>
        <w:t>The clause requires a final award within 90 days of constitution, against the Rules’ best-efforts 180-day target running from the close of proceedings (Art. 24). Because party agreement prevails, the deadline likely limits the tribunal’s mandate; an award rendered late is exposed to set-aside in Singapore (Model Law Art. 34(2)(a)(iv)) and refusal of enforcement (NYC Art. V(1)(d)), while a rushed award invites a due-process challenge. This disproportionately harms Greenleaf as claimant and gives Kuiper a tactical option to run out the clock. It should be modified by written agreement before or immediately after filing.</w:t>
      </w:r>
    </w:p>
    <w:p>
      <w:pPr>
        <w:pStyle w:val="ListBullet"/>
        <w:spacing w:after="80"/>
      </w:pPr>
      <w:r>
        <w:rPr>
          <w:b/>
        </w:rPr>
        <w:t xml:space="preserve">Damages exclusion (Issue 2). </w:t>
      </w:r>
      <w:r>
        <w:t>The exclusion of consequential damages in s. 14.2 is a permitted limitation under Art. 34.3, but it contains none of the carve-outs in MSA s. 12.2 (Section 13 indemnities; willful misconduct or fraud). Read literally, it removes those carve-outs in the only available forum. It threatens the $3.2 million outage claim and, because s. 12.2 treats "loss of data" (other than s. 7.4 restoration) as indirect loss, part of the $8.7 million "direct" claim as well. Greenleaf has credible construction and New York public-policy arguments (Kalisch-Jarcho) and recharacterisation arguments (Biotronik).</w:t>
      </w:r>
    </w:p>
    <w:p>
      <w:pPr>
        <w:spacing w:after="120"/>
      </w:pPr>
      <w:r>
        <w:rPr>
          <w:b w:val="0"/>
          <w:i w:val="0"/>
        </w:rPr>
        <w:t>Five issues are rated High: the escalation condition precedent and notice formalities (Issue 4; the 60-day period expires November 11, 2024 only if the September 12 notice qualifies as a Dispute Notice); the 15-day appointment window (Issue 5); the dual-language provision (Issue 6); perpetual confidentiality without exceptions (Issue 7); and the discovery limitation (Issue 8). Three are Moderate (sole arbitrator vs. the CHF 5 million default, Issue 9; own-costs rule, Issue 10; temporal lock to the 2022 Edition, Issue 11) and two Low (appeal waiver, Issue 12; New York / Singapore bifurcation, Issue 13).</w:t>
      </w:r>
    </w:p>
    <w:p>
      <w:pPr>
        <w:spacing w:after="120"/>
      </w:pPr>
      <w:r>
        <w:rPr>
          <w:b w:val="0"/>
          <w:i w:val="0"/>
        </w:rPr>
        <w:t>Kuiper’s October 28 positions are largely without merit: (a) Kuiper may file in German, but has no entitlement to a German award, which is for the tribunal under Art. 12.2(c); (b) its refusal to be bound by the 15-day appointment window contradicts Art. 1.4 and the clause its own counsel drafted; and (c) its reading of the confidentiality obligation is overbroad, extending to pre-arbitral matters the clause does not cover and purporting to bar legally required regulatory disclosures. Each position should be answered promptly in writing to avoid any waiver argument under Art. 30.</w:t>
      </w:r>
    </w:p>
    <w:p>
      <w:pPr>
        <w:spacing w:after="120"/>
      </w:pPr>
      <w:r>
        <w:rPr>
          <w:b w:val="0"/>
          <w:i w:val="0"/>
        </w:rPr>
        <w:t>Recommended overall strategy: secure evidence first; perfect the escalation record; and offer Kuiper a single written procedural agreement (Part F) that trades a longer appointment window (which Kuiper wants) for a workable award timetable and clarified confidentiality, language and cost rules (which both parties need for an enforceable award).</w:t>
      </w:r>
    </w:p>
    <w:p>
      <w:pPr>
        <w:pStyle w:val="Heading1"/>
      </w:pPr>
      <w:r>
        <w:t>Part B. Method and Severity Scale</w:t>
      </w:r>
    </w:p>
    <w:p>
      <w:pPr>
        <w:spacing w:after="120"/>
      </w:pPr>
      <w:r>
        <w:rPr>
          <w:b w:val="0"/>
          <w:i w:val="0"/>
        </w:rPr>
        <w:t>Each element of s. 14.2 (and the related provisions of ss. 12, 14.1, 14.3 and 15 that bear on it) was compared against the corresponding SAI Rules provision to identify (i) conflicts, (ii) deviations from the default regime, (iii) gaps where the clause is silent, and (iv) enforceability risks under New York law (substance, s. 14.1) and Singapore law (seat; International Arbitration Act 1994 and UNCITRAL Model Law). The Rules do not identify which of their provisions are "mandatory" for purposes of Art. 1.2 and 1.4(a); we have treated as potentially mandatory only provisions that define the SAI’s institutional functions (e.g., SAI Court confirmation, challenges, fee fixing). Legal authorities cited are offered for orientation and should be cite-checked, and Singapore and German law points confirmed with local counsel, before reliance in any filing.</w:t>
      </w:r>
    </w:p>
    <w:tbl>
      <w:tblPr>
        <w:tblStyle w:val="TableGrid"/>
        <w:tblW w:type="auto" w:w="0"/>
        <w:jc w:val="center"/>
        <w:tblLook w:firstColumn="1" w:firstRow="1" w:lastColumn="0" w:lastRow="0" w:noHBand="0" w:noVBand="1" w:val="04A0"/>
      </w:tblPr>
      <w:tblGrid>
        <w:gridCol w:w="4680"/>
        <w:gridCol w:w="4680"/>
      </w:tblGrid>
      <w:tr>
        <w:tc>
          <w:tcPr>
            <w:tcW w:type="dxa" w:w="1584"/>
            <w:shd w:val="clear" w:color="auto" w:fill="1F3864"/>
          </w:tcPr>
          <w:p>
            <w:r/>
            <w:r>
              <w:rPr>
                <w:b/>
                <w:color w:val="FFFFFF"/>
                <w:sz w:val="19"/>
              </w:rPr>
              <w:t>Rating</w:t>
            </w:r>
          </w:p>
        </w:tc>
        <w:tc>
          <w:tcPr>
            <w:tcW w:type="dxa" w:w="7776"/>
            <w:shd w:val="clear" w:color="auto" w:fill="1F3864"/>
          </w:tcPr>
          <w:p>
            <w:r/>
            <w:r>
              <w:rPr>
                <w:b/>
                <w:color w:val="FFFFFF"/>
                <w:sz w:val="19"/>
              </w:rPr>
              <w:t>Meaning</w:t>
            </w:r>
          </w:p>
        </w:tc>
      </w:tr>
      <w:tr>
        <w:tc>
          <w:tcPr>
            <w:tcW w:type="dxa" w:w="1584"/>
            <w:shd w:val="clear" w:color="auto" w:fill="C00000"/>
          </w:tcPr>
          <w:p>
            <w:r/>
            <w:r>
              <w:rPr>
                <w:b/>
                <w:color w:val="FFFFFF"/>
                <w:sz w:val="18"/>
              </w:rPr>
              <w:t>Critical</w:t>
            </w:r>
          </w:p>
        </w:tc>
        <w:tc>
          <w:tcPr>
            <w:tcW w:type="dxa" w:w="7776"/>
          </w:tcPr>
          <w:p>
            <w:r/>
            <w:r>
              <w:rPr>
                <w:sz w:val="18"/>
              </w:rPr>
              <w:t>Threatens the validity or enforceability of the award, a material part of Greenleaf’s recovery, or irreplaceable evidence; immediate action required.</w:t>
            </w:r>
          </w:p>
        </w:tc>
      </w:tr>
      <w:tr>
        <w:tc>
          <w:tcPr>
            <w:tcW w:type="dxa" w:w="1584"/>
            <w:shd w:val="clear" w:color="auto" w:fill="E46C0A"/>
          </w:tcPr>
          <w:p>
            <w:r/>
            <w:r>
              <w:rPr>
                <w:b/>
                <w:color w:val="FFFFFF"/>
                <w:sz w:val="18"/>
              </w:rPr>
              <w:t>High</w:t>
            </w:r>
          </w:p>
        </w:tc>
        <w:tc>
          <w:tcPr>
            <w:tcW w:type="dxa" w:w="7776"/>
          </w:tcPr>
          <w:p>
            <w:r/>
            <w:r>
              <w:rPr>
                <w:sz w:val="18"/>
              </w:rPr>
              <w:t>Likely to cause a significant procedural dispute, cost or prejudice to Greenleaf; action required before or at filing.</w:t>
            </w:r>
          </w:p>
        </w:tc>
      </w:tr>
      <w:tr>
        <w:tc>
          <w:tcPr>
            <w:tcW w:type="dxa" w:w="1584"/>
            <w:shd w:val="clear" w:color="auto" w:fill="BF8F00"/>
          </w:tcPr>
          <w:p>
            <w:r/>
            <w:r>
              <w:rPr>
                <w:b/>
                <w:color w:val="FFFFFF"/>
                <w:sz w:val="18"/>
              </w:rPr>
              <w:t>Moderate</w:t>
            </w:r>
          </w:p>
        </w:tc>
        <w:tc>
          <w:tcPr>
            <w:tcW w:type="dxa" w:w="7776"/>
          </w:tcPr>
          <w:p>
            <w:r/>
            <w:r>
              <w:rPr>
                <w:sz w:val="18"/>
              </w:rPr>
              <w:t>Real but manageable risk; address in the Request, the first case management conference or by negotiation.</w:t>
            </w:r>
          </w:p>
        </w:tc>
      </w:tr>
      <w:tr>
        <w:tc>
          <w:tcPr>
            <w:tcW w:type="dxa" w:w="1584"/>
            <w:shd w:val="clear" w:color="auto" w:fill="548235"/>
          </w:tcPr>
          <w:p>
            <w:r/>
            <w:r>
              <w:rPr>
                <w:b/>
                <w:color w:val="FFFFFF"/>
                <w:sz w:val="18"/>
              </w:rPr>
              <w:t>Low</w:t>
            </w:r>
          </w:p>
        </w:tc>
        <w:tc>
          <w:tcPr>
            <w:tcW w:type="dxa" w:w="7776"/>
          </w:tcPr>
          <w:p>
            <w:r/>
            <w:r>
              <w:rPr>
                <w:sz w:val="18"/>
              </w:rPr>
              <w:t>Limited practical impact or largely consistent with the Rules; note and monitor.</w:t>
            </w:r>
          </w:p>
        </w:tc>
      </w:tr>
    </w:tbl>
    <w:p>
      <w:pPr>
        <w:spacing w:after="40"/>
      </w:pPr>
    </w:p>
    <w:p>
      <w:pPr>
        <w:pStyle w:val="Heading1"/>
      </w:pPr>
      <w:r>
        <w:t>Part C. Summary Matrix of Deviations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432"/>
            <w:shd w:val="clear" w:color="auto" w:fill="1F3864"/>
          </w:tcPr>
          <w:p>
            <w:r/>
            <w:r>
              <w:rPr>
                <w:b/>
                <w:color w:val="FFFFFF"/>
                <w:sz w:val="19"/>
              </w:rPr>
              <w:t>#</w:t>
            </w:r>
          </w:p>
        </w:tc>
        <w:tc>
          <w:tcPr>
            <w:tcW w:type="dxa" w:w="1728"/>
            <w:shd w:val="clear" w:color="auto" w:fill="1F3864"/>
          </w:tcPr>
          <w:p>
            <w:r/>
            <w:r>
              <w:rPr>
                <w:b/>
                <w:color w:val="FFFFFF"/>
                <w:sz w:val="19"/>
              </w:rPr>
              <w:t>Issue</w:t>
            </w:r>
          </w:p>
        </w:tc>
        <w:tc>
          <w:tcPr>
            <w:tcW w:type="dxa" w:w="1080"/>
            <w:shd w:val="clear" w:color="auto" w:fill="1F3864"/>
          </w:tcPr>
          <w:p>
            <w:r/>
            <w:r>
              <w:rPr>
                <w:b/>
                <w:color w:val="FFFFFF"/>
                <w:sz w:val="19"/>
              </w:rPr>
              <w:t>Severity</w:t>
            </w:r>
          </w:p>
        </w:tc>
        <w:tc>
          <w:tcPr>
            <w:tcW w:type="dxa" w:w="1584"/>
            <w:shd w:val="clear" w:color="auto" w:fill="1F3864"/>
          </w:tcPr>
          <w:p>
            <w:r/>
            <w:r>
              <w:rPr>
                <w:b/>
                <w:color w:val="FFFFFF"/>
                <w:sz w:val="19"/>
              </w:rPr>
              <w:t>Clause (s. 14.2)</w:t>
            </w:r>
          </w:p>
        </w:tc>
        <w:tc>
          <w:tcPr>
            <w:tcW w:type="dxa" w:w="1656"/>
            <w:shd w:val="clear" w:color="auto" w:fill="1F3864"/>
          </w:tcPr>
          <w:p>
            <w:r/>
            <w:r>
              <w:rPr>
                <w:b/>
                <w:color w:val="FFFFFF"/>
                <w:sz w:val="19"/>
              </w:rPr>
              <w:t>SAI Rules (2022)</w:t>
            </w:r>
          </w:p>
        </w:tc>
        <w:tc>
          <w:tcPr>
            <w:tcW w:type="dxa" w:w="1656"/>
            <w:shd w:val="clear" w:color="auto" w:fill="1F3864"/>
          </w:tcPr>
          <w:p>
            <w:r/>
            <w:r>
              <w:rPr>
                <w:b/>
                <w:color w:val="FFFFFF"/>
                <w:sz w:val="19"/>
              </w:rPr>
              <w:t>Key risk</w:t>
            </w:r>
          </w:p>
        </w:tc>
        <w:tc>
          <w:tcPr>
            <w:tcW w:type="dxa" w:w="1584"/>
            <w:shd w:val="clear" w:color="auto" w:fill="1F3864"/>
          </w:tcPr>
          <w:p>
            <w:r/>
            <w:r>
              <w:rPr>
                <w:b/>
                <w:color w:val="FFFFFF"/>
                <w:sz w:val="19"/>
              </w:rPr>
              <w:t>Priority action</w:t>
            </w:r>
          </w:p>
        </w:tc>
      </w:tr>
      <w:tr>
        <w:tc>
          <w:tcPr>
            <w:tcW w:type="dxa" w:w="432"/>
          </w:tcPr>
          <w:p>
            <w:r/>
            <w:r>
              <w:rPr>
                <w:sz w:val="18"/>
              </w:rPr>
              <w:t>1</w:t>
            </w:r>
          </w:p>
        </w:tc>
        <w:tc>
          <w:tcPr>
            <w:tcW w:type="dxa" w:w="1728"/>
          </w:tcPr>
          <w:p>
            <w:r/>
            <w:r>
              <w:rPr>
                <w:sz w:val="18"/>
              </w:rPr>
              <w:t>90-Day Award Deadline Running from Constitution of the Tribunal</w:t>
            </w:r>
          </w:p>
        </w:tc>
        <w:tc>
          <w:tcPr>
            <w:tcW w:type="dxa" w:w="1080"/>
            <w:shd w:val="clear" w:color="auto" w:fill="C00000"/>
          </w:tcPr>
          <w:p>
            <w:r/>
            <w:r>
              <w:rPr>
                <w:b/>
                <w:color w:val="FFFFFF"/>
                <w:sz w:val="18"/>
              </w:rPr>
              <w:t>Critical</w:t>
            </w:r>
          </w:p>
        </w:tc>
        <w:tc>
          <w:tcPr>
            <w:tcW w:type="dxa" w:w="1584"/>
          </w:tcPr>
          <w:p>
            <w:r/>
            <w:r>
              <w:rPr>
                <w:sz w:val="18"/>
              </w:rPr>
              <w:t>90 days from constitution; mandatory</w:t>
            </w:r>
          </w:p>
        </w:tc>
        <w:tc>
          <w:tcPr>
            <w:tcW w:type="dxa" w:w="1656"/>
          </w:tcPr>
          <w:p>
            <w:r/>
            <w:r>
              <w:rPr>
                <w:sz w:val="18"/>
              </w:rPr>
              <w:t>Art. 24: best efforts, 180 days from last hearing/submission; late award not invalid</w:t>
            </w:r>
          </w:p>
        </w:tc>
        <w:tc>
          <w:tcPr>
            <w:tcW w:type="dxa" w:w="1656"/>
          </w:tcPr>
          <w:p>
            <w:r/>
            <w:r>
              <w:rPr>
                <w:sz w:val="18"/>
              </w:rPr>
              <w:t>Clause prevails (Art. 1.4); late award open to set-aside; rushed award open to due-process challenge</w:t>
            </w:r>
          </w:p>
        </w:tc>
        <w:tc>
          <w:tcPr>
            <w:tcW w:type="dxa" w:w="1584"/>
          </w:tcPr>
          <w:p>
            <w:r/>
            <w:r>
              <w:rPr>
                <w:sz w:val="18"/>
              </w:rPr>
              <w:t>Agree written modification; record in Terms of Reference</w:t>
            </w:r>
          </w:p>
        </w:tc>
      </w:tr>
      <w:tr>
        <w:tc>
          <w:tcPr>
            <w:tcW w:type="dxa" w:w="432"/>
          </w:tcPr>
          <w:p>
            <w:r/>
            <w:r>
              <w:rPr>
                <w:sz w:val="18"/>
              </w:rPr>
              <w:t>2</w:t>
            </w:r>
          </w:p>
        </w:tc>
        <w:tc>
          <w:tcPr>
            <w:tcW w:type="dxa" w:w="1728"/>
          </w:tcPr>
          <w:p>
            <w:r/>
            <w:r>
              <w:rPr>
                <w:sz w:val="18"/>
              </w:rPr>
              <w:t>Exclusion of Punitive, Exemplary and Consequential Damages; Conflict with MSA Section 12.2</w:t>
            </w:r>
          </w:p>
        </w:tc>
        <w:tc>
          <w:tcPr>
            <w:tcW w:type="dxa" w:w="1080"/>
            <w:shd w:val="clear" w:color="auto" w:fill="C00000"/>
          </w:tcPr>
          <w:p>
            <w:r/>
            <w:r>
              <w:rPr>
                <w:b/>
                <w:color w:val="FFFFFF"/>
                <w:sz w:val="18"/>
              </w:rPr>
              <w:t>Critical</w:t>
            </w:r>
          </w:p>
        </w:tc>
        <w:tc>
          <w:tcPr>
            <w:tcW w:type="dxa" w:w="1584"/>
          </w:tcPr>
          <w:p>
            <w:r/>
            <w:r>
              <w:rPr>
                <w:sz w:val="18"/>
              </w:rPr>
              <w:t>No authority to award punitive, exemplary or consequential damages; no carve-outs</w:t>
            </w:r>
          </w:p>
        </w:tc>
        <w:tc>
          <w:tcPr>
            <w:tcW w:type="dxa" w:w="1656"/>
          </w:tcPr>
          <w:p>
            <w:r/>
            <w:r>
              <w:rPr>
                <w:sz w:val="18"/>
              </w:rPr>
              <w:t>Art. 34.1(a) allows consequential; 34.2 punitive only if law permits; 34.3 limits allowed</w:t>
            </w:r>
          </w:p>
        </w:tc>
        <w:tc>
          <w:tcPr>
            <w:tcW w:type="dxa" w:w="1656"/>
          </w:tcPr>
          <w:p>
            <w:r/>
            <w:r>
              <w:rPr>
                <w:sz w:val="18"/>
              </w:rPr>
              <w:t>Valid limit, but conflicts with s. 12.2 carve-outs; threatens $3.2m and part of $8.7m</w:t>
            </w:r>
          </w:p>
        </w:tc>
        <w:tc>
          <w:tcPr>
            <w:tcW w:type="dxa" w:w="1584"/>
          </w:tcPr>
          <w:p>
            <w:r/>
            <w:r>
              <w:rPr>
                <w:sz w:val="18"/>
              </w:rPr>
              <w:t>Review ss. 7.4, 13; plead carve-outs, public policy, direct-damage characterisation</w:t>
            </w:r>
          </w:p>
        </w:tc>
      </w:tr>
      <w:tr>
        <w:tc>
          <w:tcPr>
            <w:tcW w:type="dxa" w:w="432"/>
          </w:tcPr>
          <w:p>
            <w:r/>
            <w:r>
              <w:rPr>
                <w:sz w:val="18"/>
              </w:rPr>
              <w:t>3</w:t>
            </w:r>
          </w:p>
        </w:tc>
        <w:tc>
          <w:tcPr>
            <w:tcW w:type="dxa" w:w="1728"/>
          </w:tcPr>
          <w:p>
            <w:r/>
            <w:r>
              <w:rPr>
                <w:sz w:val="18"/>
              </w:rPr>
              <w:t>Emergency Arbitrator and Interim Relief for Preservation of Server Logs</w:t>
            </w:r>
          </w:p>
        </w:tc>
        <w:tc>
          <w:tcPr>
            <w:tcW w:type="dxa" w:w="1080"/>
            <w:shd w:val="clear" w:color="auto" w:fill="C00000"/>
          </w:tcPr>
          <w:p>
            <w:r/>
            <w:r>
              <w:rPr>
                <w:b/>
                <w:color w:val="FFFFFF"/>
                <w:sz w:val="18"/>
              </w:rPr>
              <w:t>Critical</w:t>
            </w:r>
          </w:p>
        </w:tc>
        <w:tc>
          <w:tcPr>
            <w:tcW w:type="dxa" w:w="1584"/>
          </w:tcPr>
          <w:p>
            <w:r/>
            <w:r>
              <w:rPr>
                <w:sz w:val="18"/>
              </w:rPr>
              <w:t>Silent; s. 14.3(d) preserves emergency and court relief</w:t>
            </w:r>
          </w:p>
        </w:tc>
        <w:tc>
          <w:tcPr>
            <w:tcW w:type="dxa" w:w="1656"/>
          </w:tcPr>
          <w:p>
            <w:r/>
            <w:r>
              <w:rPr>
                <w:sz w:val="18"/>
              </w:rPr>
              <w:t>Art. 15bis / App. II apply unless express opt-out; Art. 15.4 court relief</w:t>
            </w:r>
          </w:p>
        </w:tc>
        <w:tc>
          <w:tcPr>
            <w:tcW w:type="dxa" w:w="1656"/>
          </w:tcPr>
          <w:p>
            <w:r/>
            <w:r>
              <w:rPr>
                <w:sz w:val="18"/>
              </w:rPr>
              <w:t>EA available; logs may already be deleted; s. 1782 unavailable</w:t>
            </w:r>
          </w:p>
        </w:tc>
        <w:tc>
          <w:tcPr>
            <w:tcW w:type="dxa" w:w="1584"/>
          </w:tcPr>
          <w:p>
            <w:r/>
            <w:r>
              <w:rPr>
                <w:sz w:val="18"/>
              </w:rPr>
              <w:t>Preservation demand now; EA application; Munich court application</w:t>
            </w:r>
          </w:p>
        </w:tc>
      </w:tr>
      <w:tr>
        <w:tc>
          <w:tcPr>
            <w:tcW w:type="dxa" w:w="432"/>
          </w:tcPr>
          <w:p>
            <w:r/>
            <w:r>
              <w:rPr>
                <w:sz w:val="18"/>
              </w:rPr>
              <w:t>4</w:t>
            </w:r>
          </w:p>
        </w:tc>
        <w:tc>
          <w:tcPr>
            <w:tcW w:type="dxa" w:w="1728"/>
          </w:tcPr>
          <w:p>
            <w:r/>
            <w:r>
              <w:rPr>
                <w:sz w:val="18"/>
              </w:rPr>
              <w:t>Multi-Tier Escalation Procedure as a Condition Precedent (MSA s. 14.3) and Formal Notice Requirements (s. 15.3)</w:t>
            </w:r>
          </w:p>
        </w:tc>
        <w:tc>
          <w:tcPr>
            <w:tcW w:type="dxa" w:w="1080"/>
            <w:shd w:val="clear" w:color="auto" w:fill="E46C0A"/>
          </w:tcPr>
          <w:p>
            <w:r/>
            <w:r>
              <w:rPr>
                <w:b/>
                <w:color w:val="FFFFFF"/>
                <w:sz w:val="18"/>
              </w:rPr>
              <w:t>High</w:t>
            </w:r>
          </w:p>
        </w:tc>
        <w:tc>
          <w:tcPr>
            <w:tcW w:type="dxa" w:w="1584"/>
          </w:tcPr>
          <w:p>
            <w:r/>
            <w:r>
              <w:rPr>
                <w:sz w:val="18"/>
              </w:rPr>
              <w:t>Dispute Notice, VP meeting, 60 days; strict notice formalities</w:t>
            </w:r>
          </w:p>
        </w:tc>
        <w:tc>
          <w:tcPr>
            <w:tcW w:type="dxa" w:w="1656"/>
          </w:tcPr>
          <w:p>
            <w:r/>
            <w:r>
              <w:rPr>
                <w:sz w:val="18"/>
              </w:rPr>
              <w:t>No equivalent; Art. 4.1 commencement</w:t>
            </w:r>
          </w:p>
        </w:tc>
        <w:tc>
          <w:tcPr>
            <w:tcW w:type="dxa" w:w="1656"/>
          </w:tcPr>
          <w:p>
            <w:r/>
            <w:r>
              <w:rPr>
                <w:sz w:val="18"/>
              </w:rPr>
              <w:t>Premature filing risks jurisdiction/admissibility objection; address discrepancies</w:t>
            </w:r>
          </w:p>
        </w:tc>
        <w:tc>
          <w:tcPr>
            <w:tcW w:type="dxa" w:w="1584"/>
          </w:tcPr>
          <w:p>
            <w:r/>
            <w:r>
              <w:rPr>
                <w:sz w:val="18"/>
              </w:rPr>
              <w:t>Verify Sept. 12 notice; serve protective Dispute Notice; hold meeting</w:t>
            </w:r>
          </w:p>
        </w:tc>
      </w:tr>
      <w:tr>
        <w:tc>
          <w:tcPr>
            <w:tcW w:type="dxa" w:w="432"/>
          </w:tcPr>
          <w:p>
            <w:r/>
            <w:r>
              <w:rPr>
                <w:sz w:val="18"/>
              </w:rPr>
              <w:t>5</w:t>
            </w:r>
          </w:p>
        </w:tc>
        <w:tc>
          <w:tcPr>
            <w:tcW w:type="dxa" w:w="1728"/>
          </w:tcPr>
          <w:p>
            <w:r/>
            <w:r>
              <w:rPr>
                <w:sz w:val="18"/>
              </w:rPr>
              <w:t>15-Day Window for Agreement on the Sole Arbitrator</w:t>
            </w:r>
          </w:p>
        </w:tc>
        <w:tc>
          <w:tcPr>
            <w:tcW w:type="dxa" w:w="1080"/>
            <w:shd w:val="clear" w:color="auto" w:fill="E46C0A"/>
          </w:tcPr>
          <w:p>
            <w:r/>
            <w:r>
              <w:rPr>
                <w:b/>
                <w:color w:val="FFFFFF"/>
                <w:sz w:val="18"/>
              </w:rPr>
              <w:t>High</w:t>
            </w:r>
          </w:p>
        </w:tc>
        <w:tc>
          <w:tcPr>
            <w:tcW w:type="dxa" w:w="1584"/>
          </w:tcPr>
          <w:p>
            <w:r/>
            <w:r>
              <w:rPr>
                <w:sz w:val="18"/>
              </w:rPr>
              <w:t>Sole arbitrator agreed within 15 days of filing; no fallback</w:t>
            </w:r>
          </w:p>
        </w:tc>
        <w:tc>
          <w:tcPr>
            <w:tcW w:type="dxa" w:w="1656"/>
          </w:tcPr>
          <w:p>
            <w:r/>
            <w:r>
              <w:rPr>
                <w:sz w:val="18"/>
              </w:rPr>
              <w:t>Art. 6.4: 30 days, then SAI Court appoints</w:t>
            </w:r>
          </w:p>
        </w:tc>
        <w:tc>
          <w:tcPr>
            <w:tcW w:type="dxa" w:w="1656"/>
          </w:tcPr>
          <w:p>
            <w:r/>
            <w:r>
              <w:rPr>
                <w:sz w:val="18"/>
              </w:rPr>
              <w:t>Clause prevails; gap on day 16; Kuiper refuses to be bound</w:t>
            </w:r>
          </w:p>
        </w:tc>
        <w:tc>
          <w:tcPr>
            <w:tcW w:type="dxa" w:w="1584"/>
          </w:tcPr>
          <w:p>
            <w:r/>
            <w:r>
              <w:rPr>
                <w:sz w:val="18"/>
              </w:rPr>
              <w:t>Reject Kuiper position in writing; shortlist; trade for Issue 1</w:t>
            </w:r>
          </w:p>
        </w:tc>
      </w:tr>
      <w:tr>
        <w:tc>
          <w:tcPr>
            <w:tcW w:type="dxa" w:w="432"/>
          </w:tcPr>
          <w:p>
            <w:r/>
            <w:r>
              <w:rPr>
                <w:sz w:val="18"/>
              </w:rPr>
              <w:t>6</w:t>
            </w:r>
          </w:p>
        </w:tc>
        <w:tc>
          <w:tcPr>
            <w:tcW w:type="dxa" w:w="1728"/>
          </w:tcPr>
          <w:p>
            <w:r/>
            <w:r>
              <w:rPr>
                <w:sz w:val="18"/>
              </w:rPr>
              <w:t>Dual Language (English and German) with Submissions in Either Language</w:t>
            </w:r>
          </w:p>
        </w:tc>
        <w:tc>
          <w:tcPr>
            <w:tcW w:type="dxa" w:w="1080"/>
            <w:shd w:val="clear" w:color="auto" w:fill="E46C0A"/>
          </w:tcPr>
          <w:p>
            <w:r/>
            <w:r>
              <w:rPr>
                <w:b/>
                <w:color w:val="FFFFFF"/>
                <w:sz w:val="18"/>
              </w:rPr>
              <w:t>High</w:t>
            </w:r>
          </w:p>
        </w:tc>
        <w:tc>
          <w:tcPr>
            <w:tcW w:type="dxa" w:w="1584"/>
          </w:tcPr>
          <w:p>
            <w:r/>
            <w:r>
              <w:rPr>
                <w:sz w:val="18"/>
              </w:rPr>
              <w:t>English and German; submissions in either language</w:t>
            </w:r>
          </w:p>
        </w:tc>
        <w:tc>
          <w:tcPr>
            <w:tcW w:type="dxa" w:w="1656"/>
          </w:tcPr>
          <w:p>
            <w:r/>
            <w:r>
              <w:rPr>
                <w:sz w:val="18"/>
              </w:rPr>
              <w:t>Art. 12.2: tribunal sets procedure incl. award language and translation costs</w:t>
            </w:r>
          </w:p>
        </w:tc>
        <w:tc>
          <w:tcPr>
            <w:tcW w:type="dxa" w:w="1656"/>
          </w:tcPr>
          <w:p>
            <w:r/>
            <w:r>
              <w:rPr>
                <w:sz w:val="18"/>
              </w:rPr>
              <w:t>Award language open; translation burden on Greenleaf; narrower pool</w:t>
            </w:r>
          </w:p>
        </w:tc>
        <w:tc>
          <w:tcPr>
            <w:tcW w:type="dxa" w:w="1584"/>
          </w:tcPr>
          <w:p>
            <w:r/>
            <w:r>
              <w:rPr>
                <w:sz w:val="18"/>
              </w:rPr>
              <w:t>File in English; seek English award and translation directions</w:t>
            </w:r>
          </w:p>
        </w:tc>
      </w:tr>
      <w:tr>
        <w:tc>
          <w:tcPr>
            <w:tcW w:type="dxa" w:w="432"/>
          </w:tcPr>
          <w:p>
            <w:r/>
            <w:r>
              <w:rPr>
                <w:sz w:val="18"/>
              </w:rPr>
              <w:t>7</w:t>
            </w:r>
          </w:p>
        </w:tc>
        <w:tc>
          <w:tcPr>
            <w:tcW w:type="dxa" w:w="1728"/>
          </w:tcPr>
          <w:p>
            <w:r/>
            <w:r>
              <w:rPr>
                <w:sz w:val="18"/>
              </w:rPr>
              <w:t>Perpetual Confidentiality Without Exceptions</w:t>
            </w:r>
          </w:p>
        </w:tc>
        <w:tc>
          <w:tcPr>
            <w:tcW w:type="dxa" w:w="1080"/>
            <w:shd w:val="clear" w:color="auto" w:fill="E46C0A"/>
          </w:tcPr>
          <w:p>
            <w:r/>
            <w:r>
              <w:rPr>
                <w:b/>
                <w:color w:val="FFFFFF"/>
                <w:sz w:val="18"/>
              </w:rPr>
              <w:t>High</w:t>
            </w:r>
          </w:p>
        </w:tc>
        <w:tc>
          <w:tcPr>
            <w:tcW w:type="dxa" w:w="1584"/>
          </w:tcPr>
          <w:p>
            <w:r/>
            <w:r>
              <w:rPr>
                <w:sz w:val="18"/>
              </w:rPr>
              <w:t>Strictly confidential in perpetuity; no exceptions</w:t>
            </w:r>
          </w:p>
        </w:tc>
        <w:tc>
          <w:tcPr>
            <w:tcW w:type="dxa" w:w="1656"/>
          </w:tcPr>
          <w:p>
            <w:r/>
            <w:r>
              <w:rPr>
                <w:sz w:val="18"/>
              </w:rPr>
              <w:t>Art. 20.1-20.3: confidential with exceptions; five years post-award</w:t>
            </w:r>
          </w:p>
        </w:tc>
        <w:tc>
          <w:tcPr>
            <w:tcW w:type="dxa" w:w="1656"/>
          </w:tcPr>
          <w:p>
            <w:r/>
            <w:r>
              <w:rPr>
                <w:sz w:val="18"/>
              </w:rPr>
              <w:t>Perpetual duty valid; exceptions unclear; regulatory disclosure risk</w:t>
            </w:r>
          </w:p>
        </w:tc>
        <w:tc>
          <w:tcPr>
            <w:tcW w:type="dxa" w:w="1584"/>
          </w:tcPr>
          <w:p>
            <w:r/>
            <w:r>
              <w:rPr>
                <w:sz w:val="18"/>
              </w:rPr>
              <w:t>Reject Kuiper reading; agree protocol incorporating Art. 20.2</w:t>
            </w:r>
          </w:p>
        </w:tc>
      </w:tr>
      <w:tr>
        <w:tc>
          <w:tcPr>
            <w:tcW w:type="dxa" w:w="432"/>
          </w:tcPr>
          <w:p>
            <w:r/>
            <w:r>
              <w:rPr>
                <w:sz w:val="18"/>
              </w:rPr>
              <w:t>8</w:t>
            </w:r>
          </w:p>
        </w:tc>
        <w:tc>
          <w:tcPr>
            <w:tcW w:type="dxa" w:w="1728"/>
          </w:tcPr>
          <w:p>
            <w:r/>
            <w:r>
              <w:rPr>
                <w:sz w:val="18"/>
              </w:rPr>
              <w:t>Discovery Limited to Document Production Only</w:t>
            </w:r>
          </w:p>
        </w:tc>
        <w:tc>
          <w:tcPr>
            <w:tcW w:type="dxa" w:w="1080"/>
            <w:shd w:val="clear" w:color="auto" w:fill="E46C0A"/>
          </w:tcPr>
          <w:p>
            <w:r/>
            <w:r>
              <w:rPr>
                <w:b/>
                <w:color w:val="FFFFFF"/>
                <w:sz w:val="18"/>
              </w:rPr>
              <w:t>High</w:t>
            </w:r>
          </w:p>
        </w:tc>
        <w:tc>
          <w:tcPr>
            <w:tcW w:type="dxa" w:w="1584"/>
          </w:tcPr>
          <w:p>
            <w:r/>
            <w:r>
              <w:rPr>
                <w:sz w:val="18"/>
              </w:rPr>
              <w:t>Discovery limited to document production</w:t>
            </w:r>
          </w:p>
        </w:tc>
        <w:tc>
          <w:tcPr>
            <w:tcW w:type="dxa" w:w="1656"/>
          </w:tcPr>
          <w:p>
            <w:r/>
            <w:r>
              <w:rPr>
                <w:sz w:val="18"/>
              </w:rPr>
              <w:t>Arts. 14.3, 17, 18.2: broad evidentiary powers incl. inspection</w:t>
            </w:r>
          </w:p>
        </w:tc>
        <w:tc>
          <w:tcPr>
            <w:tcW w:type="dxa" w:w="1656"/>
          </w:tcPr>
          <w:p>
            <w:r/>
            <w:r>
              <w:rPr>
                <w:sz w:val="18"/>
              </w:rPr>
              <w:t>Ambiguity may bar server inspection; Greenleaf bears burden</w:t>
            </w:r>
          </w:p>
        </w:tc>
        <w:tc>
          <w:tcPr>
            <w:tcW w:type="dxa" w:w="1584"/>
          </w:tcPr>
          <w:p>
            <w:r/>
            <w:r>
              <w:rPr>
                <w:sz w:val="18"/>
              </w:rPr>
              <w:t>Seek ESI/native directions; neutral forensic expert; adverse inferences</w:t>
            </w:r>
          </w:p>
        </w:tc>
      </w:tr>
      <w:tr>
        <w:tc>
          <w:tcPr>
            <w:tcW w:type="dxa" w:w="432"/>
          </w:tcPr>
          <w:p>
            <w:r/>
            <w:r>
              <w:rPr>
                <w:sz w:val="18"/>
              </w:rPr>
              <w:t>9</w:t>
            </w:r>
          </w:p>
        </w:tc>
        <w:tc>
          <w:tcPr>
            <w:tcW w:type="dxa" w:w="1728"/>
          </w:tcPr>
          <w:p>
            <w:r/>
            <w:r>
              <w:rPr>
                <w:sz w:val="18"/>
              </w:rPr>
              <w:t>Sole Arbitrator Despite Amount in Controversy Above the CHF 5 Million Three-Member Default</w:t>
            </w:r>
          </w:p>
        </w:tc>
        <w:tc>
          <w:tcPr>
            <w:tcW w:type="dxa" w:w="1080"/>
            <w:shd w:val="clear" w:color="auto" w:fill="BF8F00"/>
          </w:tcPr>
          <w:p>
            <w:r/>
            <w:r>
              <w:rPr>
                <w:b/>
                <w:color w:val="FFFFFF"/>
                <w:sz w:val="18"/>
              </w:rPr>
              <w:t>Moderate</w:t>
            </w:r>
          </w:p>
        </w:tc>
        <w:tc>
          <w:tcPr>
            <w:tcW w:type="dxa" w:w="1584"/>
          </w:tcPr>
          <w:p>
            <w:r/>
            <w:r>
              <w:rPr>
                <w:sz w:val="18"/>
              </w:rPr>
              <w:t>Sole arbitrator</w:t>
            </w:r>
          </w:p>
        </w:tc>
        <w:tc>
          <w:tcPr>
            <w:tcW w:type="dxa" w:w="1656"/>
          </w:tcPr>
          <w:p>
            <w:r/>
            <w:r>
              <w:rPr>
                <w:sz w:val="18"/>
              </w:rPr>
              <w:t>Art. 6.2 gives effect; 6.3 CHF 5m default only absent agreement; 6.5 override</w:t>
            </w:r>
          </w:p>
        </w:tc>
        <w:tc>
          <w:tcPr>
            <w:tcW w:type="dxa" w:w="1656"/>
          </w:tcPr>
          <w:p>
            <w:r/>
            <w:r>
              <w:rPr>
                <w:sz w:val="18"/>
              </w:rPr>
              <w:t>No conflict; modest Art. 6.5 risk</w:t>
            </w:r>
          </w:p>
        </w:tc>
        <w:tc>
          <w:tcPr>
            <w:tcW w:type="dxa" w:w="1584"/>
          </w:tcPr>
          <w:p>
            <w:r/>
            <w:r>
              <w:rPr>
                <w:sz w:val="18"/>
              </w:rPr>
              <w:t>Maintain sole arbitrator; oppose any Art. 6.5 request</w:t>
            </w:r>
          </w:p>
        </w:tc>
      </w:tr>
      <w:tr>
        <w:tc>
          <w:tcPr>
            <w:tcW w:type="dxa" w:w="432"/>
          </w:tcPr>
          <w:p>
            <w:r/>
            <w:r>
              <w:rPr>
                <w:sz w:val="18"/>
              </w:rPr>
              <w:t>10</w:t>
            </w:r>
          </w:p>
        </w:tc>
        <w:tc>
          <w:tcPr>
            <w:tcW w:type="dxa" w:w="1728"/>
          </w:tcPr>
          <w:p>
            <w:r/>
            <w:r>
              <w:rPr>
                <w:sz w:val="18"/>
              </w:rPr>
              <w:t>Each Party Bears Its Own Costs Regardless of Outcome</w:t>
            </w:r>
          </w:p>
        </w:tc>
        <w:tc>
          <w:tcPr>
            <w:tcW w:type="dxa" w:w="1080"/>
            <w:shd w:val="clear" w:color="auto" w:fill="BF8F00"/>
          </w:tcPr>
          <w:p>
            <w:r/>
            <w:r>
              <w:rPr>
                <w:b/>
                <w:color w:val="FFFFFF"/>
                <w:sz w:val="18"/>
              </w:rPr>
              <w:t>Moderate</w:t>
            </w:r>
          </w:p>
        </w:tc>
        <w:tc>
          <w:tcPr>
            <w:tcW w:type="dxa" w:w="1584"/>
          </w:tcPr>
          <w:p>
            <w:r/>
            <w:r>
              <w:rPr>
                <w:sz w:val="18"/>
              </w:rPr>
              <w:t>Each party bears own costs regardless of outcome</w:t>
            </w:r>
          </w:p>
        </w:tc>
        <w:tc>
          <w:tcPr>
            <w:tcW w:type="dxa" w:w="1656"/>
          </w:tcPr>
          <w:p>
            <w:r/>
            <w:r>
              <w:rPr>
                <w:sz w:val="18"/>
              </w:rPr>
              <w:t>Art. 26.3: tribunal allocates; agreement given effect unless manifestly unreasonable</w:t>
            </w:r>
          </w:p>
        </w:tc>
        <w:tc>
          <w:tcPr>
            <w:tcW w:type="dxa" w:w="1656"/>
          </w:tcPr>
          <w:p>
            <w:r/>
            <w:r>
              <w:rPr>
                <w:sz w:val="18"/>
              </w:rPr>
              <w:t>Loss of cost recovery; ambiguity re arbitration costs and EA costs</w:t>
            </w:r>
          </w:p>
        </w:tc>
        <w:tc>
          <w:tcPr>
            <w:tcW w:type="dxa" w:w="1584"/>
          </w:tcPr>
          <w:p>
            <w:r/>
            <w:r>
              <w:rPr>
                <w:sz w:val="18"/>
              </w:rPr>
              <w:t>Budget accordingly; argue limited to party costs</w:t>
            </w:r>
          </w:p>
        </w:tc>
      </w:tr>
      <w:tr>
        <w:tc>
          <w:tcPr>
            <w:tcW w:type="dxa" w:w="432"/>
          </w:tcPr>
          <w:p>
            <w:r/>
            <w:r>
              <w:rPr>
                <w:sz w:val="18"/>
              </w:rPr>
              <w:t>11</w:t>
            </w:r>
          </w:p>
        </w:tc>
        <w:tc>
          <w:tcPr>
            <w:tcW w:type="dxa" w:w="1728"/>
          </w:tcPr>
          <w:p>
            <w:r/>
            <w:r>
              <w:rPr>
                <w:sz w:val="18"/>
              </w:rPr>
              <w:t>Temporal Lock to the Rules "in Effect at the Time of the Signing" (2022 Edition)</w:t>
            </w:r>
          </w:p>
        </w:tc>
        <w:tc>
          <w:tcPr>
            <w:tcW w:type="dxa" w:w="1080"/>
            <w:shd w:val="clear" w:color="auto" w:fill="BF8F00"/>
          </w:tcPr>
          <w:p>
            <w:r/>
            <w:r>
              <w:rPr>
                <w:b/>
                <w:color w:val="FFFFFF"/>
                <w:sz w:val="18"/>
              </w:rPr>
              <w:t>Moderate</w:t>
            </w:r>
          </w:p>
        </w:tc>
        <w:tc>
          <w:tcPr>
            <w:tcW w:type="dxa" w:w="1584"/>
          </w:tcPr>
          <w:p>
            <w:r/>
            <w:r>
              <w:rPr>
                <w:sz w:val="18"/>
              </w:rPr>
              <w:t>Rules in effect at signing (2022 Edition)</w:t>
            </w:r>
          </w:p>
        </w:tc>
        <w:tc>
          <w:tcPr>
            <w:tcW w:type="dxa" w:w="1656"/>
          </w:tcPr>
          <w:p>
            <w:r/>
            <w:r>
              <w:rPr>
                <w:sz w:val="18"/>
              </w:rPr>
              <w:t>Preamble; Art. 35.3: SAI may apply current procedural provisions</w:t>
            </w:r>
          </w:p>
        </w:tc>
        <w:tc>
          <w:tcPr>
            <w:tcW w:type="dxa" w:w="1656"/>
          </w:tcPr>
          <w:p>
            <w:r/>
            <w:r>
              <w:rPr>
                <w:sz w:val="18"/>
              </w:rPr>
              <w:t>Uncertainty about 2024 Edition application</w:t>
            </w:r>
          </w:p>
        </w:tc>
        <w:tc>
          <w:tcPr>
            <w:tcW w:type="dxa" w:w="1584"/>
          </w:tcPr>
          <w:p>
            <w:r/>
            <w:r>
              <w:rPr>
                <w:sz w:val="18"/>
              </w:rPr>
              <w:t>Obtain 2024 Edition; confirm with Secretariat</w:t>
            </w:r>
          </w:p>
        </w:tc>
      </w:tr>
      <w:tr>
        <w:tc>
          <w:tcPr>
            <w:tcW w:type="dxa" w:w="432"/>
          </w:tcPr>
          <w:p>
            <w:r/>
            <w:r>
              <w:rPr>
                <w:sz w:val="18"/>
              </w:rPr>
              <w:t>12</w:t>
            </w:r>
          </w:p>
        </w:tc>
        <w:tc>
          <w:tcPr>
            <w:tcW w:type="dxa" w:w="1728"/>
          </w:tcPr>
          <w:p>
            <w:r/>
            <w:r>
              <w:rPr>
                <w:sz w:val="18"/>
              </w:rPr>
              <w:t>Waiver of "Any Right to Appeal the Award on Any Grounds"</w:t>
            </w:r>
          </w:p>
        </w:tc>
        <w:tc>
          <w:tcPr>
            <w:tcW w:type="dxa" w:w="1080"/>
            <w:shd w:val="clear" w:color="auto" w:fill="548235"/>
          </w:tcPr>
          <w:p>
            <w:r/>
            <w:r>
              <w:rPr>
                <w:b/>
                <w:color w:val="FFFFFF"/>
                <w:sz w:val="18"/>
              </w:rPr>
              <w:t>Low</w:t>
            </w:r>
          </w:p>
        </w:tc>
        <w:tc>
          <w:tcPr>
            <w:tcW w:type="dxa" w:w="1584"/>
          </w:tcPr>
          <w:p>
            <w:r/>
            <w:r>
              <w:rPr>
                <w:sz w:val="18"/>
              </w:rPr>
              <w:t>Waiver of appeal on any grounds</w:t>
            </w:r>
          </w:p>
        </w:tc>
        <w:tc>
          <w:tcPr>
            <w:tcW w:type="dxa" w:w="1656"/>
          </w:tcPr>
          <w:p>
            <w:r/>
            <w:r>
              <w:rPr>
                <w:sz w:val="18"/>
              </w:rPr>
              <w:t>Art. 29.2-29.3: waiver only so far as valid; set-aside preserved</w:t>
            </w:r>
          </w:p>
        </w:tc>
        <w:tc>
          <w:tcPr>
            <w:tcW w:type="dxa" w:w="1656"/>
          </w:tcPr>
          <w:p>
            <w:r/>
            <w:r>
              <w:rPr>
                <w:sz w:val="18"/>
              </w:rPr>
              <w:t>Consistent; set-aside not waived (memo premise corrected)</w:t>
            </w:r>
          </w:p>
        </w:tc>
        <w:tc>
          <w:tcPr>
            <w:tcW w:type="dxa" w:w="1584"/>
          </w:tcPr>
          <w:p>
            <w:r/>
            <w:r>
              <w:rPr>
                <w:sz w:val="18"/>
              </w:rPr>
              <w:t>No action; preserve objections</w:t>
            </w:r>
          </w:p>
        </w:tc>
      </w:tr>
      <w:tr>
        <w:tc>
          <w:tcPr>
            <w:tcW w:type="dxa" w:w="432"/>
          </w:tcPr>
          <w:p>
            <w:r/>
            <w:r>
              <w:rPr>
                <w:sz w:val="18"/>
              </w:rPr>
              <w:t>13</w:t>
            </w:r>
          </w:p>
        </w:tc>
        <w:tc>
          <w:tcPr>
            <w:tcW w:type="dxa" w:w="1728"/>
          </w:tcPr>
          <w:p>
            <w:r/>
            <w:r>
              <w:rPr>
                <w:sz w:val="18"/>
              </w:rPr>
              <w:t>Bifurcated Regime: New York Governing Law and Singapore Seat; Law of the Arbitration Agreement</w:t>
            </w:r>
          </w:p>
        </w:tc>
        <w:tc>
          <w:tcPr>
            <w:tcW w:type="dxa" w:w="1080"/>
            <w:shd w:val="clear" w:color="auto" w:fill="548235"/>
          </w:tcPr>
          <w:p>
            <w:r/>
            <w:r>
              <w:rPr>
                <w:b/>
                <w:color w:val="FFFFFF"/>
                <w:sz w:val="18"/>
              </w:rPr>
              <w:t>Low</w:t>
            </w:r>
          </w:p>
        </w:tc>
        <w:tc>
          <w:tcPr>
            <w:tcW w:type="dxa" w:w="1584"/>
          </w:tcPr>
          <w:p>
            <w:r/>
            <w:r>
              <w:rPr>
                <w:sz w:val="18"/>
              </w:rPr>
              <w:t>NY law substance; Singapore seat; no law of arbitration agreement</w:t>
            </w:r>
          </w:p>
        </w:tc>
        <w:tc>
          <w:tcPr>
            <w:tcW w:type="dxa" w:w="1656"/>
          </w:tcPr>
          <w:p>
            <w:r/>
            <w:r>
              <w:rPr>
                <w:sz w:val="18"/>
              </w:rPr>
              <w:t>Arts. 10, 11, 23</w:t>
            </w:r>
          </w:p>
        </w:tc>
        <w:tc>
          <w:tcPr>
            <w:tcW w:type="dxa" w:w="1656"/>
          </w:tcPr>
          <w:p>
            <w:r/>
            <w:r>
              <w:rPr>
                <w:sz w:val="18"/>
              </w:rPr>
              <w:t>Split regime affects Issues 1, 2, 4, 7</w:t>
            </w:r>
          </w:p>
        </w:tc>
        <w:tc>
          <w:tcPr>
            <w:tcW w:type="dxa" w:w="1584"/>
          </w:tcPr>
          <w:p>
            <w:r/>
            <w:r>
              <w:rPr>
                <w:sz w:val="18"/>
              </w:rPr>
              <w:t>Engage Singapore and German counsel</w:t>
            </w:r>
          </w:p>
        </w:tc>
      </w:tr>
    </w:tbl>
    <w:p>
      <w:pPr>
        <w:spacing w:after="40"/>
      </w:pPr>
    </w:p>
    <w:p>
      <w:pPr>
        <w:pStyle w:val="Heading1"/>
      </w:pPr>
      <w:r>
        <w:t>Part D. Corrections to Premises in the Assignment Memorandum</w:t>
      </w:r>
    </w:p>
    <w:p>
      <w:pPr>
        <w:spacing w:after="120"/>
      </w:pPr>
      <w:r>
        <w:rPr>
          <w:b w:val="0"/>
          <w:i w:val="0"/>
        </w:rPr>
        <w:t>In the course of the review we identified several points on which the documents do not support, or qualify, statements in the November 4 memorandum. They are flagged here so that they are not carried into client advice or pleadings.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F3864"/>
          </w:tcPr>
          <w:p>
            <w:r/>
            <w:r>
              <w:rPr>
                <w:b/>
                <w:color w:val="FFFFFF"/>
                <w:sz w:val="19"/>
              </w:rPr>
              <w:t>#</w:t>
            </w:r>
          </w:p>
        </w:tc>
        <w:tc>
          <w:tcPr>
            <w:tcW w:type="dxa" w:w="2592"/>
            <w:shd w:val="clear" w:color="auto" w:fill="1F3864"/>
          </w:tcPr>
          <w:p>
            <w:r/>
            <w:r>
              <w:rPr>
                <w:b/>
                <w:color w:val="FFFFFF"/>
                <w:sz w:val="19"/>
              </w:rPr>
              <w:t>Memorandum statement</w:t>
            </w:r>
          </w:p>
        </w:tc>
        <w:tc>
          <w:tcPr>
            <w:tcW w:type="dxa" w:w="5328"/>
            <w:shd w:val="clear" w:color="auto" w:fill="1F3864"/>
          </w:tcPr>
          <w:p>
            <w:r/>
            <w:r>
              <w:rPr>
                <w:b/>
                <w:color w:val="FFFFFF"/>
                <w:sz w:val="19"/>
              </w:rPr>
              <w:t>What the documents show</w:t>
            </w:r>
          </w:p>
        </w:tc>
        <w:tc>
          <w:tcPr>
            <w:tcW w:type="dxa" w:w="1008"/>
            <w:shd w:val="clear" w:color="auto" w:fill="1F3864"/>
          </w:tcPr>
          <w:p>
            <w:r/>
            <w:r>
              <w:rPr>
                <w:b/>
                <w:color w:val="FFFFFF"/>
                <w:sz w:val="19"/>
              </w:rPr>
              <w:t>Issue</w:t>
            </w:r>
          </w:p>
        </w:tc>
      </w:tr>
      <w:tr>
        <w:tc>
          <w:tcPr>
            <w:tcW w:type="dxa" w:w="432"/>
          </w:tcPr>
          <w:p>
            <w:r/>
            <w:r>
              <w:rPr>
                <w:sz w:val="18"/>
              </w:rPr>
              <w:t>1</w:t>
            </w:r>
          </w:p>
        </w:tc>
        <w:tc>
          <w:tcPr>
            <w:tcW w:type="dxa" w:w="2592"/>
          </w:tcPr>
          <w:p>
            <w:r/>
            <w:r>
              <w:rPr>
                <w:sz w:val="18"/>
              </w:rPr>
              <w:t>The clause has no express carve-out for interim judicial relief.</w:t>
            </w:r>
          </w:p>
        </w:tc>
        <w:tc>
          <w:tcPr>
            <w:tcW w:type="dxa" w:w="5328"/>
          </w:tcPr>
          <w:p>
            <w:r/>
            <w:r>
              <w:rPr>
                <w:sz w:val="18"/>
              </w:rPr>
              <w:t>MSA s. 14.3(d) expressly preserves emergency or interim relief under the Rules and from a court of competent jurisdiction where necessary to prevent irreparable harm.</w:t>
            </w:r>
          </w:p>
        </w:tc>
        <w:tc>
          <w:tcPr>
            <w:tcW w:type="dxa" w:w="1008"/>
          </w:tcPr>
          <w:p>
            <w:r/>
            <w:r>
              <w:rPr>
                <w:sz w:val="18"/>
              </w:rPr>
              <w:t>3</w:t>
            </w:r>
          </w:p>
        </w:tc>
      </w:tr>
      <w:tr>
        <w:tc>
          <w:tcPr>
            <w:tcW w:type="dxa" w:w="432"/>
          </w:tcPr>
          <w:p>
            <w:r/>
            <w:r>
              <w:rPr>
                <w:sz w:val="18"/>
              </w:rPr>
              <w:t>2</w:t>
            </w:r>
          </w:p>
        </w:tc>
        <w:tc>
          <w:tcPr>
            <w:tcW w:type="dxa" w:w="2592"/>
          </w:tcPr>
          <w:p>
            <w:r/>
            <w:r>
              <w:rPr>
                <w:sz w:val="18"/>
              </w:rPr>
              <w:t>Interim relief may be available from a U.S. federal court under 28 U.S.C. s. 1782.</w:t>
            </w:r>
          </w:p>
        </w:tc>
        <w:tc>
          <w:tcPr>
            <w:tcW w:type="dxa" w:w="5328"/>
          </w:tcPr>
          <w:p>
            <w:r/>
            <w:r>
              <w:rPr>
                <w:sz w:val="18"/>
              </w:rPr>
              <w:t>Section 1782 is a discovery statute and, after ZF Automotive US, Inc. v. Luxshare, Ltd., 596 U.S. 619 (2022), is not available in aid of private commercial arbitration.</w:t>
            </w:r>
          </w:p>
        </w:tc>
        <w:tc>
          <w:tcPr>
            <w:tcW w:type="dxa" w:w="1008"/>
          </w:tcPr>
          <w:p>
            <w:r/>
            <w:r>
              <w:rPr>
                <w:sz w:val="18"/>
              </w:rPr>
              <w:t>3</w:t>
            </w:r>
          </w:p>
        </w:tc>
      </w:tr>
      <w:tr>
        <w:tc>
          <w:tcPr>
            <w:tcW w:type="dxa" w:w="432"/>
          </w:tcPr>
          <w:p>
            <w:r/>
            <w:r>
              <w:rPr>
                <w:sz w:val="18"/>
              </w:rPr>
              <w:t>3</w:t>
            </w:r>
          </w:p>
        </w:tc>
        <w:tc>
          <w:tcPr>
            <w:tcW w:type="dxa" w:w="2592"/>
          </w:tcPr>
          <w:p>
            <w:r/>
            <w:r>
              <w:rPr>
                <w:sz w:val="18"/>
              </w:rPr>
              <w:t>The log deletion window "may be imminent".</w:t>
            </w:r>
          </w:p>
        </w:tc>
        <w:tc>
          <w:tcPr>
            <w:tcW w:type="dxa" w:w="5328"/>
          </w:tcPr>
          <w:p>
            <w:r/>
            <w:r>
              <w:rPr>
                <w:sz w:val="18"/>
              </w:rPr>
              <w:t>On Palladian’s 90-120 day estimate, the window for early-June 2024 events closed around end-August to end-September 2024; July and August logs are at risk now.</w:t>
            </w:r>
          </w:p>
        </w:tc>
        <w:tc>
          <w:tcPr>
            <w:tcW w:type="dxa" w:w="1008"/>
          </w:tcPr>
          <w:p>
            <w:r/>
            <w:r>
              <w:rPr>
                <w:sz w:val="18"/>
              </w:rPr>
              <w:t>3</w:t>
            </w:r>
          </w:p>
        </w:tc>
      </w:tr>
      <w:tr>
        <w:tc>
          <w:tcPr>
            <w:tcW w:type="dxa" w:w="432"/>
          </w:tcPr>
          <w:p>
            <w:r/>
            <w:r>
              <w:rPr>
                <w:sz w:val="18"/>
              </w:rPr>
              <w:t>4</w:t>
            </w:r>
          </w:p>
        </w:tc>
        <w:tc>
          <w:tcPr>
            <w:tcW w:type="dxa" w:w="2592"/>
          </w:tcPr>
          <w:p>
            <w:r/>
            <w:r>
              <w:rPr>
                <w:sz w:val="18"/>
              </w:rPr>
              <w:t>The emergency arbitrator procedure applies unless the parties opted out "in writing".</w:t>
            </w:r>
          </w:p>
        </w:tc>
        <w:tc>
          <w:tcPr>
            <w:tcW w:type="dxa" w:w="5328"/>
          </w:tcPr>
          <w:p>
            <w:r/>
            <w:r>
              <w:rPr>
                <w:sz w:val="18"/>
              </w:rPr>
              <w:t>EA-7 requires an express opt-out in the arbitration agreement; Art. 15bis.4(b) also excludes pre-introduction agreements (not applicable here, as the MSA post-dates the 2022 Edition).</w:t>
            </w:r>
          </w:p>
        </w:tc>
        <w:tc>
          <w:tcPr>
            <w:tcW w:type="dxa" w:w="1008"/>
          </w:tcPr>
          <w:p>
            <w:r/>
            <w:r>
              <w:rPr>
                <w:sz w:val="18"/>
              </w:rPr>
              <w:t>3</w:t>
            </w:r>
          </w:p>
        </w:tc>
      </w:tr>
      <w:tr>
        <w:tc>
          <w:tcPr>
            <w:tcW w:type="dxa" w:w="432"/>
          </w:tcPr>
          <w:p>
            <w:r/>
            <w:r>
              <w:rPr>
                <w:sz w:val="18"/>
              </w:rPr>
              <w:t>5</w:t>
            </w:r>
          </w:p>
        </w:tc>
        <w:tc>
          <w:tcPr>
            <w:tcW w:type="dxa" w:w="2592"/>
          </w:tcPr>
          <w:p>
            <w:r/>
            <w:r>
              <w:rPr>
                <w:sz w:val="18"/>
              </w:rPr>
              <w:t>The CHF 5 million threshold may allow the SAI Court or Kuiper to challenge the sole-arbitrator designation.</w:t>
            </w:r>
          </w:p>
        </w:tc>
        <w:tc>
          <w:tcPr>
            <w:tcW w:type="dxa" w:w="5328"/>
          </w:tcPr>
          <w:p>
            <w:r/>
            <w:r>
              <w:rPr>
                <w:sz w:val="18"/>
              </w:rPr>
              <w:t>The threshold is a default that applies only where the parties have not agreed (Art. 6.3); the parties’ agreement is given effect (Art. 6.2), subject only to the exceptional Art. 6.5 power.</w:t>
            </w:r>
          </w:p>
        </w:tc>
        <w:tc>
          <w:tcPr>
            <w:tcW w:type="dxa" w:w="1008"/>
          </w:tcPr>
          <w:p>
            <w:r/>
            <w:r>
              <w:rPr>
                <w:sz w:val="18"/>
              </w:rPr>
              <w:t>9</w:t>
            </w:r>
          </w:p>
        </w:tc>
      </w:tr>
      <w:tr>
        <w:tc>
          <w:tcPr>
            <w:tcW w:type="dxa" w:w="432"/>
          </w:tcPr>
          <w:p>
            <w:r/>
            <w:r>
              <w:rPr>
                <w:sz w:val="18"/>
              </w:rPr>
              <w:t>6</w:t>
            </w:r>
          </w:p>
        </w:tc>
        <w:tc>
          <w:tcPr>
            <w:tcW w:type="dxa" w:w="2592"/>
          </w:tcPr>
          <w:p>
            <w:r/>
            <w:r>
              <w:rPr>
                <w:sz w:val="18"/>
              </w:rPr>
              <w:t>The appeal waiver includes "any right to set aside the award".</w:t>
            </w:r>
          </w:p>
        </w:tc>
        <w:tc>
          <w:tcPr>
            <w:tcW w:type="dxa" w:w="5328"/>
          </w:tcPr>
          <w:p>
            <w:r/>
            <w:r>
              <w:rPr>
                <w:sz w:val="18"/>
              </w:rPr>
              <w:t>The clause waives only a right to "appeal"; set-aside under Model Law Art. 34 / IAA s. 24 is not addressed and could not in any event be excluded; Art. 29.3 preserves it.</w:t>
            </w:r>
          </w:p>
        </w:tc>
        <w:tc>
          <w:tcPr>
            <w:tcW w:type="dxa" w:w="1008"/>
          </w:tcPr>
          <w:p>
            <w:r/>
            <w:r>
              <w:rPr>
                <w:sz w:val="18"/>
              </w:rPr>
              <w:t>12</w:t>
            </w:r>
          </w:p>
        </w:tc>
      </w:tr>
      <w:tr>
        <w:tc>
          <w:tcPr>
            <w:tcW w:type="dxa" w:w="432"/>
          </w:tcPr>
          <w:p>
            <w:r/>
            <w:r>
              <w:rPr>
                <w:sz w:val="18"/>
              </w:rPr>
              <w:t>7</w:t>
            </w:r>
          </w:p>
        </w:tc>
        <w:tc>
          <w:tcPr>
            <w:tcW w:type="dxa" w:w="2592"/>
          </w:tcPr>
          <w:p>
            <w:r/>
            <w:r>
              <w:rPr>
                <w:sz w:val="18"/>
              </w:rPr>
              <w:t>The $8.7 million data-corruption claim is "direct" damage.</w:t>
            </w:r>
          </w:p>
        </w:tc>
        <w:tc>
          <w:tcPr>
            <w:tcW w:type="dxa" w:w="5328"/>
          </w:tcPr>
          <w:p>
            <w:r/>
            <w:r>
              <w:rPr>
                <w:sz w:val="18"/>
              </w:rPr>
              <w:t>MSA s. 12.2 classifies "loss of data" (other than s. 7.4 restoration) as excluded indirect loss; part of the $8.7 million is at risk.</w:t>
            </w:r>
          </w:p>
        </w:tc>
        <w:tc>
          <w:tcPr>
            <w:tcW w:type="dxa" w:w="1008"/>
          </w:tcPr>
          <w:p>
            <w:r/>
            <w:r>
              <w:rPr>
                <w:sz w:val="18"/>
              </w:rPr>
              <w:t>2</w:t>
            </w:r>
          </w:p>
        </w:tc>
      </w:tr>
      <w:tr>
        <w:tc>
          <w:tcPr>
            <w:tcW w:type="dxa" w:w="432"/>
          </w:tcPr>
          <w:p>
            <w:r/>
            <w:r>
              <w:rPr>
                <w:sz w:val="18"/>
              </w:rPr>
              <w:t>8</w:t>
            </w:r>
          </w:p>
        </w:tc>
        <w:tc>
          <w:tcPr>
            <w:tcW w:type="dxa" w:w="2592"/>
          </w:tcPr>
          <w:p>
            <w:r/>
            <w:r>
              <w:rPr>
                <w:sz w:val="18"/>
              </w:rPr>
              <w:t>The liability cap is "$15 million per party".</w:t>
            </w:r>
          </w:p>
        </w:tc>
        <w:tc>
          <w:tcPr>
            <w:tcW w:type="dxa" w:w="5328"/>
          </w:tcPr>
          <w:p>
            <w:r/>
            <w:r>
              <w:rPr>
                <w:sz w:val="18"/>
              </w:rPr>
              <w:t>Section 12.1 is a cumulative aggregate cap per party for all claims, not a per-claim cap, and does not apply to s. 13 indemnities or willful misconduct/fraud. The combined claims are within the cap.</w:t>
            </w:r>
          </w:p>
        </w:tc>
        <w:tc>
          <w:tcPr>
            <w:tcW w:type="dxa" w:w="1008"/>
          </w:tcPr>
          <w:p>
            <w:r/>
            <w:r>
              <w:rPr>
                <w:sz w:val="18"/>
              </w:rPr>
              <w:t>2</w:t>
            </w:r>
          </w:p>
        </w:tc>
      </w:tr>
    </w:tbl>
    <w:p>
      <w:pPr>
        <w:spacing w:after="40"/>
      </w:pPr>
    </w:p>
    <w:p>
      <w:pPr>
        <w:pStyle w:val="Heading1"/>
      </w:pPr>
      <w:r>
        <w:t>Part E. Issue-by-Issue Analysis</w:t>
      </w:r>
    </w:p>
    <w:p>
      <w:pPr>
        <w:pStyle w:val="Heading2"/>
      </w:pPr>
      <w:r>
        <w:t>Issue 1: 90-Day Award Deadline Running from Constitution of the Tribunal</w:t>
      </w:r>
    </w:p>
    <w:p>
      <w:r>
        <w:rPr>
          <w:b/>
        </w:rPr>
        <w:t xml:space="preserve">Severity: </w:t>
      </w:r>
      <w:r>
        <w:rPr>
          <w:b/>
          <w:color w:val="C00000"/>
        </w:rPr>
        <w:t xml:space="preserve"> CRITICAL </w:t>
      </w:r>
    </w:p>
    <w:p>
      <w:pPr>
        <w:spacing w:after="120"/>
      </w:pPr>
      <w:r>
        <w:rPr>
          <w:b/>
        </w:rPr>
        <w:t xml:space="preserve">Clause provision: </w:t>
      </w:r>
      <w:r>
        <w:t>"The arbitrator shall render a final award within 90 calendar days of the constitution of the tribunal." (MSA s. 14.2)</w:t>
      </w:r>
    </w:p>
    <w:p>
      <w:pPr>
        <w:spacing w:after="120"/>
      </w:pPr>
      <w:r>
        <w:rPr>
          <w:b/>
        </w:rPr>
        <w:t xml:space="preserve">Corresponding SAI Rules provisions: </w:t>
      </w:r>
      <w:r>
        <w:t>Art. 24.1 (best-efforts target of 180 calendar days, running from the last substantive hearing or last authorised written submission, whichever is later); Art. 24.2 (SAI Court may extend); Art. 24.3 (time limit is a target; a late award is not invalid); Art. 24.4 (period runs from the last hearing/submission, not from constitution); Art. 8.1 (constitution occurs on confirmation/appointment plus filed declarations); Arts. 9.2 and 13.2 (provisional timetable and case management conference within 21 days of receipt of the file); Art. 25.5 (award notified only once costs are paid); Art. 1.4 (party agreement prevails unless it contravenes a mandatory Rule or the law of the seat, or the SAI Court finds it renders the arbitration impracticable).</w:t>
      </w:r>
    </w:p>
    <w:p>
      <w:pPr>
        <w:pStyle w:val="Heading3"/>
      </w:pPr>
      <w:r>
        <w:t>Analysis</w:t>
      </w:r>
    </w:p>
    <w:p>
      <w:pPr>
        <w:pStyle w:val="ListBullet"/>
        <w:spacing w:after="80"/>
      </w:pPr>
      <w:r>
        <w:rPr>
          <w:b/>
        </w:rPr>
        <w:t xml:space="preserve">Nature of the deviation. </w:t>
      </w:r>
      <w:r>
        <w:t>The clause departs from Article 24 on three axes at once: (i) length (90 days versus 180 days); (ii) trigger (constitution of the tribunal versus the close of the evidentiary phase; Article 24.4 expressly excludes from the calculation the constitution-to-merits period that the clause makes the whole of the window); and (iii) character (the clause is framed as a mandatory obligation, "shall render", whereas Article 24 is a best-efforts target whose breach expressly does not invalidate the award (Art. 24.3)). In practical terms the clause allows for the entire proceeding a fraction of the time the Rules contemplate for deliberation and drafting alone.</w:t>
      </w:r>
    </w:p>
    <w:p>
      <w:pPr>
        <w:pStyle w:val="ListBullet"/>
        <w:spacing w:after="80"/>
      </w:pPr>
      <w:r>
        <w:rPr>
          <w:b/>
        </w:rPr>
        <w:t xml:space="preserve">Feasibility. </w:t>
      </w:r>
      <w:r>
        <w:t>Within the 90 days the tribunal must: receive the file and fix a provisional timetable (up to 21 days, Art. 9.2); hold the case management conference (Art. 13.2); receive at least one round of written submissions from each side (Art. 14.1) on an $11.9 million claim and a $1.4 million counterclaim; manage document production on technical server and API data; receive witness statements and forensic expert reports (Palladian on Greenleaf’s side, presumably a Kuiper expert in reply); manage a bilingual English/German record (Issue 6); hold any hearing a party requests (Art. 16.1); deliberate; and draft a reasoned award (Art. 25.2) that also fixes costs (Art. 25.4). This is not realistically achievable in a contested, expert-driven, bilingual case of this value.</w:t>
      </w:r>
    </w:p>
    <w:p>
      <w:pPr>
        <w:pStyle w:val="ListBullet"/>
        <w:spacing w:after="80"/>
      </w:pPr>
      <w:r>
        <w:rPr>
          <w:b/>
        </w:rPr>
        <w:t xml:space="preserve">Which prevails. </w:t>
      </w:r>
      <w:r>
        <w:t>Under Article 1.4 the parties’ agreement prevails over Article 24. Article 24 is not identified as mandatory (the Rules nowhere list which provisions are "mandatory"), and a short time limit does not on its face contravene Singapore law. The 90-day limit therefore likely binds the tribunal as a limit on its mandate. The SAI Court could invoke Article 1.4(c) (impracticability), but an institutional decision to disregard the parties’ express time limit would itself create a ground for challenge (see below). It is also doubtful that the SAI Court’s power to extend under Article 24.2 reaches a contractual (as opposed to Rules-based) deadline, and the savings language in Article 24.3 is expressed to apply to "the time limit under Article 24.1", not to a limit agreed by the parties.</w:t>
      </w:r>
    </w:p>
    <w:p>
      <w:pPr>
        <w:pStyle w:val="ListBullet"/>
        <w:spacing w:after="80"/>
      </w:pPr>
      <w:r>
        <w:rPr>
          <w:b/>
        </w:rPr>
        <w:t xml:space="preserve">Enforceability risk (seat law: Singapore). </w:t>
      </w:r>
      <w:r>
        <w:t>The International Arbitration Act 1994 ("IAA") gives the UNCITRAL Model Law force of law. An award rendered after the agreed deadline is exposed to set-aside under Model Law Art. 34(2)(a)(iv) (arbitral procedure not in accordance with the parties’ agreement) and potentially Art. 34(2)(a)(iii) (tribunal acting after its mandate expired), and to refusal of recognition abroad under New York Convention Art. V(1)(d). Unlike the domestic Arbitration Act 2001 (s. 36, court power to extend time for making an award), the IAA does not, to our understanding, contain an equivalent express court power to extend a contractually agreed award deadline; this must be confirmed with Singapore counsel. Conversely, an award rushed out within 90 days on a truncated record invites a due-process challenge under Model Law Arts. 18 and 34(2)(a)(ii) and IAA s. 24(b) (breach of natural justice) if either side is denied a reasonable opportunity to present its case (cf. SAI Art. 18.1).</w:t>
      </w:r>
    </w:p>
    <w:p>
      <w:pPr>
        <w:pStyle w:val="ListBullet"/>
        <w:spacing w:after="80"/>
      </w:pPr>
      <w:r>
        <w:rPr>
          <w:b/>
        </w:rPr>
        <w:t xml:space="preserve">Strategic implications for Greenleaf. </w:t>
      </w:r>
      <w:r>
        <w:t>As claimant, Greenleaf carries the burden of proof (Art. 14.2) on technically complex causation (server-side corruption versus Greenleaf API configuration) and on quantum. A compressed timetable disproportionately harms the party with the burden. It also hands Kuiper a tactical option: participate slowly, allow day 90 to pass, and then attack any adverse award as out of time. Qualified candidates (who also need cloud/data and life-sciences expertise and, per Issue 6, ideally German) may decline appointment because the deadline is unrealistic and exposes them to an award rendered without mandate.</w:t>
      </w:r>
    </w:p>
    <w:p>
      <w:pPr>
        <w:pStyle w:val="ListBullet"/>
        <w:spacing w:after="80"/>
      </w:pPr>
      <w:r>
        <w:rPr>
          <w:b/>
        </w:rPr>
        <w:t xml:space="preserve">Applicable-law note. </w:t>
      </w:r>
      <w:r>
        <w:t>The deadline is a procedural matter governed by the seat (MSA s. 14.1(b) expressly allocates procedural law to the seat). New York substantive law does not cure the problem; if New York law governs the arbitration agreement (Issue 13), agreed time limits in arbitration agreements are likewise generally enforced as written.</w:t>
      </w:r>
    </w:p>
    <w:p>
      <w:pPr>
        <w:pStyle w:val="Heading3"/>
      </w:pPr>
      <w:r>
        <w:t>Kuiper’s position (October 28, 2024 email)</w:t>
      </w:r>
    </w:p>
    <w:p>
      <w:pPr>
        <w:spacing w:after="120"/>
      </w:pPr>
      <w:r>
        <w:rPr>
          <w:b w:val="0"/>
          <w:i w:val="0"/>
        </w:rPr>
        <w:t>Kuiper’s October 28, 2024 email does not address the 90-day deadline. Its stated insistence on German-language submissions and on a 30-day (rather than 15-day) appointment window would, if accepted, further burden a proceeding that must finish within 90 days of constitution.</w:t>
      </w:r>
    </w:p>
    <w:p>
      <w:pPr>
        <w:pStyle w:val="Heading3"/>
      </w:pPr>
      <w:r>
        <w:t>Recommendations</w:t>
      </w:r>
    </w:p>
    <w:p>
      <w:pPr>
        <w:spacing w:after="60"/>
        <w:ind w:left="432" w:hanging="360"/>
      </w:pPr>
      <w:r>
        <w:rPr>
          <w:b/>
        </w:rPr>
        <w:t xml:space="preserve">1.  </w:t>
      </w:r>
      <w:r>
        <w:t>Make this the centrepiece of a pre-filing procedural agreement with Kuiper (Part F). Propose a written modification under Article 1.2 replacing the 90-day limit with the Article 24 regime (or, at minimum, a deadline running from the close of proceedings with an express power of the SAI Court to extend). Kuiper has an equal interest in an enforceable award on its $1.4 million counterclaim, and its own email emphasises an "orderly and efficient" process.</w:t>
      </w:r>
    </w:p>
    <w:p>
      <w:pPr>
        <w:spacing w:after="60"/>
        <w:ind w:left="432" w:hanging="360"/>
      </w:pPr>
      <w:r>
        <w:rPr>
          <w:b/>
        </w:rPr>
        <w:t xml:space="preserve">2.  </w:t>
      </w:r>
      <w:r>
        <w:t>If no modification is agreed before filing, raise the issue in the Request (Art. 4.2(e) observations) and ask the tribunal at the first case management conference to record, in Terms of Reference (Art. 13.1) signed by both parties, an agreed extended timetable. Any party agreement must be express and in writing; do not rely on implied waiver under Art. 30 alone.</w:t>
      </w:r>
    </w:p>
    <w:p>
      <w:pPr>
        <w:spacing w:after="60"/>
        <w:ind w:left="432" w:hanging="360"/>
      </w:pPr>
      <w:r>
        <w:rPr>
          <w:b/>
        </w:rPr>
        <w:t xml:space="preserve">3.  </w:t>
      </w:r>
      <w:r>
        <w:t>Do not invite the SAI Court to override the clause unilaterally under Art. 1.4(c) without Kuiper’s agreement; that would itself create a Model Law Art. 34(2)(a)(iv) argument.</w:t>
      </w:r>
    </w:p>
    <w:p>
      <w:pPr>
        <w:spacing w:after="60"/>
        <w:ind w:left="432" w:hanging="360"/>
      </w:pPr>
      <w:r>
        <w:rPr>
          <w:b/>
        </w:rPr>
        <w:t xml:space="preserve">4.  </w:t>
      </w:r>
      <w:r>
        <w:t>Brief prospective arbitrators on the deadline issue during candidate screening; prefer candidates willing to proceed on the basis of a written party agreement to extend.</w:t>
      </w:r>
    </w:p>
    <w:p>
      <w:pPr>
        <w:spacing w:after="60"/>
        <w:ind w:left="432" w:hanging="360"/>
      </w:pPr>
      <w:r>
        <w:rPr>
          <w:b/>
        </w:rPr>
        <w:t xml:space="preserve">5.  </w:t>
      </w:r>
      <w:r>
        <w:t>Instruct Singapore counsel to confirm (i) whether the Singapore High Court has power under the IAA to extend an agreed award deadline and (ii) how Singapore courts treat late awards under an agreed time limit.</w:t>
      </w:r>
    </w:p>
    <w:p>
      <w:pPr>
        <w:pStyle w:val="Heading2"/>
      </w:pPr>
      <w:r>
        <w:t>Issue 2: Exclusion of Punitive, Exemplary and Consequential Damages; Conflict with MSA Section 12.2</w:t>
      </w:r>
    </w:p>
    <w:p>
      <w:r>
        <w:rPr>
          <w:b/>
        </w:rPr>
        <w:t xml:space="preserve">Severity: </w:t>
      </w:r>
      <w:r>
        <w:rPr>
          <w:b/>
          <w:color w:val="C00000"/>
        </w:rPr>
        <w:t xml:space="preserve"> CRITICAL </w:t>
      </w:r>
    </w:p>
    <w:p>
      <w:pPr>
        <w:spacing w:after="120"/>
      </w:pPr>
      <w:r>
        <w:rPr>
          <w:b/>
        </w:rPr>
        <w:t xml:space="preserve">Clause provision: </w:t>
      </w:r>
      <w:r>
        <w:t>"The arbitrator shall not have the authority to award punitive, exemplary, or consequential damages." (MSA s. 14.2). Compare MSA s. 12.2 (exclusion of indirect, incidental, special and consequential damages EXCEPT for Section 13 indemnification obligations and cases of willful misconduct or fraud; excluded categories expressly include loss of revenue, profits and business, loss of data (other than the Service Provider’s restoration obligation under Section 7.4) and cost of substitute services) and s. 12.1 ($15 million cumulative aggregate cap, subject to the same carve-outs).</w:t>
      </w:r>
    </w:p>
    <w:p>
      <w:pPr>
        <w:spacing w:after="120"/>
      </w:pPr>
      <w:r>
        <w:rPr>
          <w:b/>
        </w:rPr>
        <w:t xml:space="preserve">Corresponding SAI Rules provisions: </w:t>
      </w:r>
      <w:r>
        <w:t>Art. 34.1(a) (tribunal may award damages "whether compensatory, consequential, or otherwise available under the applicable law"); Art. 34.2 (no punitive or exemplary damages unless authorised by the applicable substantive law); Art. 34.3 (parties may agree to limit remedies; such agreement "shall be given effect", subject to mandatory provisions of the applicable law); Arts. 11.1 and 23.1 (tribunal applies the parties’ chosen substantive law, here New York law).</w:t>
      </w:r>
    </w:p>
    <w:p>
      <w:pPr>
        <w:pStyle w:val="Heading3"/>
      </w:pPr>
      <w:r>
        <w:t>Analysis</w:t>
      </w:r>
    </w:p>
    <w:p>
      <w:pPr>
        <w:pStyle w:val="ListBullet"/>
        <w:spacing w:after="80"/>
      </w:pPr>
      <w:r>
        <w:rPr>
          <w:b/>
        </w:rPr>
        <w:t xml:space="preserve">Deviation from the Rules. </w:t>
      </w:r>
      <w:r>
        <w:t>The clause narrows the default remedial power in Art. 34.1(a), which expressly includes consequential damages. Article 34.3 authorises exactly this kind of limitation, so the clause is a permitted modification rather than a conflict with a mandatory Rule. On punitive and exemplary damages the clause is consistent with Art. 34.2 and with New York law, which does not permit punitive damages for ordinary breach of contract absent egregious conduct directed at the public (Rocanova v. Equitable Life Assurance Society, 83 N.Y.2d 603 (1994)) and has treated arbitral awards of punitive damages as contrary to New York public policy (Garrity v. Lyle Stuart, Inc., 40 N.Y.2d 354 (1976); cf. Mastrobuono v. Shearson Lehman Hutton, Inc., 514 U.S. 52 (1995) on the FAA). The punitive/exemplary limb therefore costs Greenleaf little.</w:t>
      </w:r>
    </w:p>
    <w:p>
      <w:pPr>
        <w:pStyle w:val="ListBullet"/>
        <w:spacing w:after="80"/>
      </w:pPr>
      <w:r>
        <w:t>Internal conflict within the MSA (most significant point, not identified in the assignment memorandum). Section 12.2 excludes consequential damages but expressly preserves them for (i) Section 13 indemnification obligations and (ii) willful misconduct or fraud. Section 14.2 contains no such carve-outs: it strips the arbitrator of authority to award consequential damages at all. Because arbitration is the exclusive forum ("resolved exclusively by binding arbitration"), a literal reading of s. 14.2 eliminates the s. 12.2 carve-outs in the only forum available, including the willful misconduct/fraud carve-out that may be Greenleaf’s best route to the $3.2 million. Arguments for Greenleaf: (a) the specific, negotiated risk-allocation provision (s. 12, described in s. 12.3 as "an essential basis of the bargain") should control over a general sentence in a procedural clause; (b) under New York law a contract is read as a whole so as to give effect to every provision, and a literal reading of s. 14.2 would render the s. 12.2 carve-outs meaningless; (c) ambiguity may be construed against the drafter, and s. 14.2 was proposed by Kuiper’s counsel (Feldhammer Grau) and accepted with minimal revision (contra proferentem is a weak, last-resort canon between sophisticated, represented parties, but it is available). Kuiper will argue that s. 14.2 is a specific limitation on the tribunal’s authority that the parties chose to state without exception. This is a genuine construction question for the tribunal under New York law.</w:t>
      </w:r>
    </w:p>
    <w:p>
      <w:pPr>
        <w:pStyle w:val="ListBullet"/>
        <w:spacing w:after="80"/>
      </w:pPr>
      <w:r>
        <w:rPr>
          <w:b/>
        </w:rPr>
        <w:t xml:space="preserve">Seat-law overlay (Singapore). </w:t>
      </w:r>
      <w:r>
        <w:t>Because s. 14.2 is framed as a limit on the arbitrator’s "authority", an award of consequential damages could be attacked at the seat as dealing with matters beyond the scope of the submission (Model Law Art. 34(2)(a)(iii)) and resisted abroad under New York Convention Art. V(1)(c). Singapore courts do not review the merits, so a tribunal’s reasoned construction of ss. 12.2/14.2 is unlikely to be disturbed, but the jurisdictional framing increases challenge risk if consequential losses are awarded. Whether the exclusion is enforceable is a question of New York substantive law (s. 14.1; Art. 23.1); whether the tribunal stayed within its mandate is a seat-law question. This is the clearest instance of the New York / Singapore bifurcation the assignment asks us to examine.</w:t>
      </w:r>
    </w:p>
    <w:p>
      <w:pPr>
        <w:pStyle w:val="ListBullet"/>
        <w:spacing w:after="80"/>
      </w:pPr>
      <w:r>
        <w:rPr>
          <w:b/>
        </w:rPr>
        <w:t xml:space="preserve">Enforceability under New York law. </w:t>
      </w:r>
      <w:r>
        <w:t>New York enforces consequential-damages exclusions negotiated between sophisticated commercial parties. However, New York public policy will not enforce an exculpatory clause to shield a party from liability for gross negligence or intentional wrongdoing (Kalisch-Jarcho, Inc. v. City of New York, 58 N.Y.2d 377 (1983); Sommer v. Federal Signal Corp., 79 N.Y.2d 540 (1992)). If the forensic evidence supports gross negligence or willful misconduct (for example, a knowing failure to remediate a known defect, or deletion of server logs after the September 12, 2024 notice), Greenleaf can argue that the s. 14.2 exclusion is unenforceable to that extent as a matter of New York public policy, which reinforces the s. 12.2 carve-out argument.</w:t>
      </w:r>
    </w:p>
    <w:p>
      <w:pPr>
        <w:pStyle w:val="ListBullet"/>
        <w:spacing w:after="80"/>
      </w:pPr>
      <w:r>
        <w:rPr>
          <w:b/>
        </w:rPr>
        <w:t xml:space="preserve">Recharacterisation of the $3.2 million outage losses. </w:t>
      </w:r>
      <w:r>
        <w:t>Under New York law the line is between general (direct) damages, the natural and probable consequence of the breach, and consequential damages, which arise from collateral transactions or special circumstances (Kenford Co. v. County of Erie, 73 N.Y.2d 312 (1989)). In Biotronik A.G. v. Conor Medsystems Ireland, Ltd., 22 N.Y.3d 799 (2014), the Court of Appeals held that lost profits can be general damages where they are the direct and probable result of the breach and flow from the very bargain. Arguments: (a) uninterrupted availability of the LIMS platform was Kuiper’s core performance obligation, so the cost of 47 days of non-availability (lost productivity of laboratory staff, workarounds) represents the direct value of lost performance; (b) costs incurred to mitigate the outages are recoverable mitigation costs rather than consequential losses; (c) a refund or abatement of fees for the period of non-performance is direct damage. Weaker components: third-party vendor penalties and "delayed commercial milestones" depend on collateral contracts and are most exposed. Note that s. 12.2 expressly lists "cost of procurement of substitute services" and "loss of business" as excluded categories, which undercuts certain mitigation and milestone arguments.</w:t>
      </w:r>
    </w:p>
    <w:p>
      <w:pPr>
        <w:pStyle w:val="ListBullet"/>
        <w:spacing w:after="80"/>
      </w:pPr>
      <w:r>
        <w:t>Exposure of the $8.7 million "direct" claim (not identified in the assignment memorandum). Section 12.2 lists "loss of data (other than the Service Provider’s obligation to restore data under Section 7.4)" among the excluded indirect damages. Kuiper will argue that much of the $8.7 million (in particular delayed trial timelines and FDA re-submission costs) is excluded loss of data, and that only Section 7.4 restoration is recoverable. Greenleaf’s strongest position is to anchor data-reconstruction costs to Kuiper’s Section 7.4 restoration obligation (which is excepted from the exclusion) and to characterise re-submission costs as the direct cost of restoring compliant data. Sections 7.4 and 13 were not provided and must be reviewed before the Request is drafted.</w:t>
      </w:r>
    </w:p>
    <w:p>
      <w:pPr>
        <w:pStyle w:val="ListBullet"/>
        <w:spacing w:after="80"/>
      </w:pPr>
      <w:r>
        <w:rPr>
          <w:b/>
        </w:rPr>
        <w:t xml:space="preserve">Internal characterisation risk. </w:t>
      </w:r>
      <w:r>
        <w:t>The assignment memorandum labels the $3.2 million as "consequential". That label is privileged work product, but Greenleaf’s pleadings, correspondence (including any further notices), expert reports and board materials should not adopt it. The Request should plead the outage losses as direct/general damages.</w:t>
      </w:r>
    </w:p>
    <w:p>
      <w:pPr>
        <w:pStyle w:val="Heading3"/>
      </w:pPr>
      <w:r>
        <w:t>Kuiper’s position (October 28, 2024 email)</w:t>
      </w:r>
    </w:p>
    <w:p>
      <w:pPr>
        <w:spacing w:after="120"/>
      </w:pPr>
      <w:r>
        <w:rPr>
          <w:b w:val="0"/>
          <w:i w:val="0"/>
        </w:rPr>
        <w:t>Not addressed in the October 28 email, but Kuiper’s denial of breach and attribution of fault to Greenleaf’s API configuration indicate that it will contest causation and quantum vigorously; the exclusion gives it a second line of defence.</w:t>
      </w:r>
    </w:p>
    <w:p>
      <w:pPr>
        <w:pStyle w:val="Heading3"/>
      </w:pPr>
      <w:r>
        <w:t>Recommendations</w:t>
      </w:r>
    </w:p>
    <w:p>
      <w:pPr>
        <w:spacing w:after="60"/>
        <w:ind w:left="432" w:hanging="360"/>
      </w:pPr>
      <w:r>
        <w:rPr>
          <w:b/>
        </w:rPr>
        <w:t xml:space="preserve">1.  </w:t>
      </w:r>
      <w:r>
        <w:t>Obtain and review MSA Sections 7.4 (data restoration) and 13 (indemnification) immediately, together with the September 12, 2024 notice of breach, to check how the claims have been characterised to date.</w:t>
      </w:r>
    </w:p>
    <w:p>
      <w:pPr>
        <w:spacing w:after="60"/>
        <w:ind w:left="432" w:hanging="360"/>
      </w:pPr>
      <w:r>
        <w:rPr>
          <w:b/>
        </w:rPr>
        <w:t xml:space="preserve">2.  </w:t>
      </w:r>
      <w:r>
        <w:t>Re-model the $11.9 million claim into (a) direct performance/restoration damages anchored to Section 7.4, (b) mitigation costs, and (c) residual items at risk of exclusion; quantify the downside if (c) is excluded.</w:t>
      </w:r>
    </w:p>
    <w:p>
      <w:pPr>
        <w:spacing w:after="60"/>
        <w:ind w:left="432" w:hanging="360"/>
      </w:pPr>
      <w:r>
        <w:rPr>
          <w:b/>
        </w:rPr>
        <w:t xml:space="preserve">3.  </w:t>
      </w:r>
      <w:r>
        <w:t>Plead in the alternative (i) that the s. 12.2 carve-outs for willful misconduct and fraud apply notwithstanding s. 14.2 and (ii) that New York public policy (Kalisch-Jarcho) bars enforcement of the exclusion against grossly negligent or intentional conduct. Direct Palladian to look specifically for evidence bearing on gross negligence or willful conduct, including any post-notice log deletion.</w:t>
      </w:r>
    </w:p>
    <w:p>
      <w:pPr>
        <w:spacing w:after="60"/>
        <w:ind w:left="432" w:hanging="360"/>
      </w:pPr>
      <w:r>
        <w:rPr>
          <w:b/>
        </w:rPr>
        <w:t xml:space="preserve">4.  </w:t>
      </w:r>
      <w:r>
        <w:t>Consider whether any element of the claim (for example, third-party vendor penalties) falls within the Section 13 indemnity, which is carved out of both the cap and the s. 12.2 exclusion.</w:t>
      </w:r>
    </w:p>
    <w:p>
      <w:pPr>
        <w:spacing w:after="60"/>
        <w:ind w:left="432" w:hanging="360"/>
      </w:pPr>
      <w:r>
        <w:rPr>
          <w:b/>
        </w:rPr>
        <w:t xml:space="preserve">5.  </w:t>
      </w:r>
      <w:r>
        <w:t>Avoid the word "consequential" in all external documents and instruct the client accordingly.</w:t>
      </w:r>
    </w:p>
    <w:p>
      <w:pPr>
        <w:pStyle w:val="Heading2"/>
      </w:pPr>
      <w:r>
        <w:t>Issue 3: Emergency Arbitrator and Interim Relief for Preservation of Server Logs</w:t>
      </w:r>
    </w:p>
    <w:p>
      <w:r>
        <w:rPr>
          <w:b/>
        </w:rPr>
        <w:t xml:space="preserve">Severity: </w:t>
      </w:r>
      <w:r>
        <w:rPr>
          <w:b/>
          <w:color w:val="C00000"/>
        </w:rPr>
        <w:t xml:space="preserve"> CRITICAL </w:t>
      </w:r>
    </w:p>
    <w:p>
      <w:pPr>
        <w:spacing w:after="120"/>
      </w:pPr>
      <w:r>
        <w:rPr>
          <w:b/>
        </w:rPr>
        <w:t xml:space="preserve">Clause provision: </w:t>
      </w:r>
      <w:r>
        <w:t>Section 14.2 is silent on emergency arbitrator relief and contains no opt-out. Section 14.3(d): nothing in the escalation procedure "shall prevent a Party from seeking emergency or interim relief pursuant to the arbitration rules referenced in Section 14.2 or from a court of competent jurisdiction where such relief is necessary to prevent irreparable harm."</w:t>
      </w:r>
    </w:p>
    <w:p>
      <w:pPr>
        <w:spacing w:after="120"/>
      </w:pPr>
      <w:r>
        <w:rPr>
          <w:b/>
        </w:rPr>
        <w:t xml:space="preserve">Corresponding SAI Rules provisions: </w:t>
      </w:r>
      <w:r>
        <w:t>Art. 15.1(a) (tribunal may order preservation of evidence); Art. 15.4 (recourse to courts for interim measures is not a waiver); Art. 15.5 and Art. 15bis (emergency arbitrator before constitution); Art. 15bis.2 / EA-3 (appointment within 2 business days of application and fee); Art. 15bis.3 (decision binding until modified by the tribunal); Art. 15bis.4 (applies unless (a) the parties opted out or (b) the arbitration agreement was concluded before the effective date of the edition first introducing the procedure); EA-1 (contents of application, including irreparable harm); EA-2 (CHF 20,000 fee); EA-4 (schedule within 2 business days of appointment); EA-5 (decision within 15 calendar days); EA-6 (costs); EA-7 (applies unless the parties "expressly opted out in their arbitration agreement").</w:t>
      </w:r>
    </w:p>
    <w:p>
      <w:pPr>
        <w:pStyle w:val="Heading3"/>
      </w:pPr>
      <w:r>
        <w:t>Analysis</w:t>
      </w:r>
    </w:p>
    <w:p>
      <w:pPr>
        <w:pStyle w:val="ListBullet"/>
        <w:spacing w:after="80"/>
      </w:pPr>
      <w:r>
        <w:rPr>
          <w:b/>
        </w:rPr>
        <w:t xml:space="preserve">Availability confirmed. </w:t>
      </w:r>
      <w:r>
        <w:t>The emergency arbitrator procedure is available to Greenleaf. (a) There is no opt-out in s. 14.2; under EA-7 an opt-out must be express and contained in the arbitration agreement itself (the memorandum’s paraphrase, "opted out in writing", is slightly imprecise). (b) The Art. 15bis.4(b) exception does not apply: the MSA was concluded on March 15, 2023, after the January 1, 2022 effective date of the 2022 Edition, and therefore after the effective date of whichever edition first introduced the procedure. (c) Section 14.3(d) affirmatively preserves emergency relief under the Rules notwithstanding the escalation procedure, so the 60-day cooling-off period is not a bar.</w:t>
      </w:r>
    </w:p>
    <w:p>
      <w:pPr>
        <w:pStyle w:val="ListBullet"/>
        <w:spacing w:after="80"/>
      </w:pPr>
      <w:r>
        <w:rPr>
          <w:b/>
        </w:rPr>
        <w:t xml:space="preserve">Correction: the clause does contain a court carve-out. </w:t>
      </w:r>
      <w:r>
        <w:t>The assignment memorandum states that the clause contains no express carve-out for interim judicial relief. In fact s. 14.3(d) expressly preserves applications "from a court of competent jurisdiction where such relief is necessary to prevent irreparable harm". The carve-out is helpful but is conditioned on irreparable harm. Article 15.4 independently confirms that a court application neither is incompatible with nor waives the agreement to arbitrate. Greenleaf therefore has access to both routes.</w:t>
      </w:r>
    </w:p>
    <w:p>
      <w:pPr>
        <w:pStyle w:val="ListBullet"/>
        <w:spacing w:after="80"/>
      </w:pPr>
      <w:r>
        <w:t>Timing: the deletion window may already have closed for the earliest logs. Palladian estimates automated deletion 90 to 120 days after the events. For events in early June 2024, 90 days ran out at about the end of August 2024 and 120 days at about the end of September 2024 (end of October 2024 for late-June events). As at the date of this report, logs for June events may already have been deleted; logs for July events fall in a window closing between about late September and late November 2024; logs for August events in a window closing between about late October and late December 2024. This is a matter of days, not weeks, and the memorandum’s description of the window as "may be imminent" understates the position.</w:t>
      </w:r>
    </w:p>
    <w:p>
      <w:pPr>
        <w:pStyle w:val="ListBullet"/>
        <w:spacing w:after="80"/>
      </w:pPr>
      <w:r>
        <w:rPr>
          <w:b/>
        </w:rPr>
        <w:t xml:space="preserve">Choice of forum. </w:t>
      </w:r>
      <w:r>
        <w:t>(i) SAI emergency arbitrator: fast (appointment within 2 business days, procedural schedule within 2 business days, decision within 15 days) and binding on the parties (Art. 15bis.3). The IAA defines "arbitral tribunal" to include an emergency arbitrator, so an emergency arbitrator’s order is enforceable in Singapore with leave of the court; enforcement against Kuiper in Germany is less certain. (ii) Singapore High Court under IAA s. 12A: available in support of a Singapore-seated arbitration, including urgent preservation of evidence, but under s. 12A(6) the court acts only where the tribunal or emergency arbitrator has no power or is unable to act effectively; an order against a Munich company may also face practical enforcement obstacles. (iii) German courts: Kuiper and, presumably, its servers are in Germany; German procedural law (ZPO s. 1033, applicable to foreign-seated arbitrations by virtue of ZPO s. 1025(2)) permits a German court to order interim measures in support of an arbitration. This is likely the most directly effective route against Kuiper and should be assessed with German counsel. (iv) United States, 28 U.S.C. s. 1782: the memorandum’s suggestion should not be relied upon. Section 1782 is a discovery statute, not an interim-relief mechanism, and in ZF Automotive US, Inc. v. Luxshare, Ltd., 596 U.S. 619 (2022) the Supreme Court held that private commercial arbitral panels are not "foreign or international tribunals" for s. 1782 purposes. An SAI tribunal is such a private panel.</w:t>
      </w:r>
    </w:p>
    <w:p>
      <w:pPr>
        <w:pStyle w:val="ListBullet"/>
        <w:spacing w:after="80"/>
      </w:pPr>
      <w:r>
        <w:rPr>
          <w:b/>
        </w:rPr>
        <w:t xml:space="preserve">Points Kuiper may raise. </w:t>
      </w:r>
      <w:r>
        <w:t>(a) Whether an emergency application may precede the Request: the SAI Rules do not require the Request to be filed first or within a set period after the application, but the Secretariat should confirm its practice. (b) Data protection: the logs may contain personal data subject to the EU GDPR; a preservation (rather than transfer) order mitigates this. (c) Confidentiality: court applications may make the dispute public, which Kuiper will characterise as a breach of the perpetual confidentiality obligation (Issue 7); applications should be filed under seal or heard in private (in Singapore, IAA ss. 22-23).</w:t>
      </w:r>
    </w:p>
    <w:p>
      <w:pPr>
        <w:pStyle w:val="ListBullet"/>
        <w:spacing w:after="80"/>
      </w:pPr>
      <w:r>
        <w:rPr>
          <w:b/>
        </w:rPr>
        <w:t xml:space="preserve">Costs. </w:t>
      </w:r>
      <w:r>
        <w:t>The CHF 20,000 emergency arbitrator fee and associated legal costs may be unrecoverable given the each-party-bears-own-costs language (Issue 10), notwithstanding EA-6. The cost is modest relative to the evidentiary value of the logs.</w:t>
      </w:r>
    </w:p>
    <w:p>
      <w:pPr>
        <w:pStyle w:val="Heading3"/>
      </w:pPr>
      <w:r>
        <w:t>Kuiper’s position (October 28, 2024 email)</w:t>
      </w:r>
    </w:p>
    <w:p>
      <w:pPr>
        <w:spacing w:after="120"/>
      </w:pPr>
      <w:r>
        <w:rPr>
          <w:b w:val="0"/>
          <w:i w:val="0"/>
        </w:rPr>
        <w:t>Kuiper’s email asks for "reasonable advance notice" before any Request is filed. There is no obligation to give advance notice of an emergency application, and doing so before a preservation undertaking is secured could increase the risk of deletion. Kuiper’s assertion that the issues stem from Greenleaf’s API configurations makes the server-side logs central to both sides’ cases.</w:t>
      </w:r>
    </w:p>
    <w:p>
      <w:pPr>
        <w:pStyle w:val="Heading3"/>
      </w:pPr>
      <w:r>
        <w:t>Recommendations</w:t>
      </w:r>
    </w:p>
    <w:p>
      <w:pPr>
        <w:spacing w:after="60"/>
        <w:ind w:left="432" w:hanging="360"/>
      </w:pPr>
      <w:r>
        <w:rPr>
          <w:b/>
        </w:rPr>
        <w:t xml:space="preserve">1.  </w:t>
      </w:r>
      <w:r>
        <w:t>Immediately send a formal litigation hold / preservation demand to Kuiper under s. 15.3 (email and courier to Dr. Vogel at the s. 15.2 address and at the address in actual use, copied to Feldhammer Grau), identifying the log categories, systems and date ranges (June 1 - August 31, 2024 and thereafter), requiring suspension of automated deletion and forensic imaging, and requesting a written undertaking within 48 hours. State that any deletion after the September 12 notice will be relied upon for adverse inferences and as evidence of willful misconduct (relevant to Issue 2).</w:t>
      </w:r>
    </w:p>
    <w:p>
      <w:pPr>
        <w:spacing w:after="60"/>
        <w:ind w:left="432" w:hanging="360"/>
      </w:pPr>
      <w:r>
        <w:rPr>
          <w:b/>
        </w:rPr>
        <w:t xml:space="preserve">2.  </w:t>
      </w:r>
      <w:r>
        <w:t>In parallel, prepare an emergency arbitrator application under Art. 15bis / EA-1 (circumstances, urgency, irreparable harm, relief sought, copy of s. 14.2, proof of the CHF 20,000 fee) seeking preservation and forensic imaging of the logs by an independent expert. File if the undertaking is not received within 48 hours.</w:t>
      </w:r>
    </w:p>
    <w:p>
      <w:pPr>
        <w:spacing w:after="60"/>
        <w:ind w:left="432" w:hanging="360"/>
      </w:pPr>
      <w:r>
        <w:rPr>
          <w:b/>
        </w:rPr>
        <w:t xml:space="preserve">3.  </w:t>
      </w:r>
      <w:r>
        <w:t>Instruct German counsel to prepare a parallel application to the competent Munich court (ZPO ss. 1025(2), 1033) for preservation of evidence, for filing if the emergency arbitrator route is delayed or Kuiper signals non-compliance.</w:t>
      </w:r>
    </w:p>
    <w:p>
      <w:pPr>
        <w:spacing w:after="60"/>
        <w:ind w:left="432" w:hanging="360"/>
      </w:pPr>
      <w:r>
        <w:rPr>
          <w:b/>
        </w:rPr>
        <w:t xml:space="preserve">4.  </w:t>
      </w:r>
      <w:r>
        <w:t>Ask the SAI Secretariat to confirm in writing that an emergency application may be made before the Request and before the escalation period has run, citing s. 14.3(d).</w:t>
      </w:r>
    </w:p>
    <w:p>
      <w:pPr>
        <w:spacing w:after="60"/>
        <w:ind w:left="432" w:hanging="360"/>
      </w:pPr>
      <w:r>
        <w:rPr>
          <w:b/>
        </w:rPr>
        <w:t xml:space="preserve">5.  </w:t>
      </w:r>
      <w:r>
        <w:t>Do not pursue 28 U.S.C. s. 1782 as a source of interim relief.</w:t>
      </w:r>
    </w:p>
    <w:p>
      <w:pPr>
        <w:pStyle w:val="Heading2"/>
      </w:pPr>
      <w:r>
        <w:t>Issue 4: Multi-Tier Escalation Procedure as a Condition Precedent (MSA s. 14.3) and Formal Notice Requirements (s. 15.3)</w:t>
      </w:r>
    </w:p>
    <w:p>
      <w:r>
        <w:rPr>
          <w:b/>
        </w:rPr>
        <w:t xml:space="preserve">Severity: </w:t>
      </w:r>
      <w:r>
        <w:rPr>
          <w:b/>
          <w:color w:val="E46C0A"/>
        </w:rPr>
        <w:t xml:space="preserve"> HIGH </w:t>
      </w:r>
    </w:p>
    <w:p>
      <w:pPr>
        <w:spacing w:after="120"/>
      </w:pPr>
      <w:r>
        <w:rPr>
          <w:b/>
        </w:rPr>
        <w:t xml:space="preserve">Clause provision: </w:t>
      </w:r>
      <w:r>
        <w:t>Section 14.2 is expressly "Subject to Section 14.3". Section 14.3: (a) a Dispute Notice describing the dispute and relief sought, delivered in accordance with s. 15.3; (b) a meeting of senior representatives (Vice President or above) within 30 days; (c) arbitration may be commenced only if the dispute is not resolved within 60 days of delivery of the Dispute Notice. Section 15.3: notices relating to dispute resolution are effective "only if" sent to the s. 15.2 addresses and to General Counsel/Head of Legal by both email and international courier.</w:t>
      </w:r>
    </w:p>
    <w:p>
      <w:pPr>
        <w:spacing w:after="120"/>
      </w:pPr>
      <w:r>
        <w:rPr>
          <w:b/>
        </w:rPr>
        <w:t xml:space="preserve">Corresponding SAI Rules provisions: </w:t>
      </w:r>
      <w:r>
        <w:t>Art. 4.1 (arbitration commences when the Request is received by the Secretariat); Art. 4.2 (contents of Request); Art. 30 (waiver of right to object). The Rules contain no cooling-off or pre-arbitral negotiation requirement; this is a clause-level addition rather than a conflict.</w:t>
      </w:r>
    </w:p>
    <w:p>
      <w:pPr>
        <w:pStyle w:val="Heading3"/>
      </w:pPr>
      <w:r>
        <w:t>Analysis</w:t>
      </w:r>
    </w:p>
    <w:p>
      <w:pPr>
        <w:pStyle w:val="ListBullet"/>
        <w:spacing w:after="80"/>
      </w:pPr>
      <w:r>
        <w:t>Whether the September 12, 2024 notice of breach qualifies as the Dispute Notice is not established by the materials provided. To qualify, it must (i) describe the dispute and the relief sought in reasonable detail and (ii) have been delivered by both email and international courier to Kuiper’s Head of Legal at the s. 15.2 address. We also have no record that a senior-representative meeting took place within 30 days (that is, by about October 12, 2024).</w:t>
      </w:r>
    </w:p>
    <w:p>
      <w:pPr>
        <w:pStyle w:val="ListBullet"/>
        <w:spacing w:after="80"/>
      </w:pPr>
      <w:r>
        <w:t>If the September 12 notice qualifies, the 60-day period expires on November 11, 2024 and the Request can be filed after that date (computed conservatively; the MSA does not adopt the Art. 3.4 counting convention). If it does not qualify, a fresh Dispute Notice must be served now and the earliest filing date moves to about early January 2025.</w:t>
      </w:r>
    </w:p>
    <w:p>
      <w:pPr>
        <w:pStyle w:val="ListBullet"/>
        <w:spacing w:after="80"/>
      </w:pPr>
      <w:r>
        <w:t>Singapore law treats sufficiently certain pre-arbitration escalation steps as enforceable conditions precedent (International Research Corp PLC v. Lufthansa Systems Asia Pacific Pte Ltd [2013] SGCA 55). Premature filing exposes Greenleaf to a jurisdictional or admissibility objection, a stay, or wasted costs (unrecoverable given Issue 10). Whether non-compliance goes to jurisdiction or admissibility (cf. BBA v. BAZ [2020] SGCA 53 on the tribunal/claim distinction) should be confirmed with Singapore counsel.</w:t>
      </w:r>
    </w:p>
    <w:p>
      <w:pPr>
        <w:pStyle w:val="ListBullet"/>
        <w:spacing w:after="80"/>
      </w:pPr>
      <w:r>
        <w:rPr>
          <w:b/>
        </w:rPr>
        <w:t xml:space="preserve">Notice-address discrepancies. </w:t>
      </w:r>
      <w:r>
        <w:t>Kuiper’s October 28 email was sent from k.vogel@kuiper-data.de and addressed to m.yuen@greenleafbio.com, whereas s. 15.2 specifies k.vogel@kuiperdata.de and myuen@greenleafbio.com. We have seen no notice of change of address under s. 15.3. Because s. 15.3 makes dispute-resolution notices effective "only if" properly delivered, Greenleaf should serve at the contractual addresses and, protectively, at the address actually in use, plus courier. Kuiper has asked that Dr. Feldhammer and Dr. Grau be copied; s. 15.2 lists Feldhammer Grau’s general address (info@feldhammer-grau.de, Maximilianstrasse 34, Munich) as a non-notice copy. Copy all of them. Greenleaf should also confirm that its own records reflect the correct address for Mr. Yuen.</w:t>
      </w:r>
    </w:p>
    <w:p>
      <w:pPr>
        <w:pStyle w:val="ListBullet"/>
        <w:spacing w:after="80"/>
      </w:pPr>
      <w:r>
        <w:rPr>
          <w:b/>
        </w:rPr>
        <w:t xml:space="preserve">Language of notices. </w:t>
      </w:r>
      <w:r>
        <w:t>Section 15.4 requires all Notices to be in English, which supports Greenleaf’s position on Issue 6.</w:t>
      </w:r>
    </w:p>
    <w:p>
      <w:pPr>
        <w:pStyle w:val="Heading3"/>
      </w:pPr>
      <w:r>
        <w:t>Kuiper’s position (October 28, 2024 email)</w:t>
      </w:r>
    </w:p>
    <w:p>
      <w:pPr>
        <w:spacing w:after="120"/>
      </w:pPr>
      <w:r>
        <w:rPr>
          <w:b w:val="0"/>
          <w:i w:val="0"/>
        </w:rPr>
        <w:t>Kuiper’s request for "reasonable advance notice" and to "explore whether a more efficient resolution is possible" is an opening Greenleaf can use to convene the s. 14.3(b) senior-representative meeting promptly, curing any defect in the escalation record without delaying the filing timetable.</w:t>
      </w:r>
    </w:p>
    <w:p>
      <w:pPr>
        <w:pStyle w:val="Heading3"/>
      </w:pPr>
      <w:r>
        <w:t>Recommendations</w:t>
      </w:r>
    </w:p>
    <w:p>
      <w:pPr>
        <w:spacing w:after="60"/>
        <w:ind w:left="432" w:hanging="360"/>
      </w:pPr>
      <w:r>
        <w:rPr>
          <w:b/>
        </w:rPr>
        <w:t xml:space="preserve">1.  </w:t>
      </w:r>
      <w:r>
        <w:t>Pull the September 12, 2024 notice and proof of delivery (email and courier receipts); confirm whether it meets s. 14.3(a) and s. 15.3.</w:t>
      </w:r>
    </w:p>
    <w:p>
      <w:pPr>
        <w:spacing w:after="60"/>
        <w:ind w:left="432" w:hanging="360"/>
      </w:pPr>
      <w:r>
        <w:rPr>
          <w:b/>
        </w:rPr>
        <w:t xml:space="preserve">2.  </w:t>
      </w:r>
      <w:r>
        <w:t>Regardless of the answer, serve a short protective Dispute Notice now (English; email and courier; to both Kuiper email domains, the s. 15.2 postal address and Dr. Vogel, copied to Feldhammer Grau) that expressly invokes s. 14.3, states the relief sought, and proposes dates for a VP-level videoconference within the next 10 days.</w:t>
      </w:r>
    </w:p>
    <w:p>
      <w:pPr>
        <w:spacing w:after="60"/>
        <w:ind w:left="432" w:hanging="360"/>
      </w:pPr>
      <w:r>
        <w:rPr>
          <w:b/>
        </w:rPr>
        <w:t xml:space="preserve">3.  </w:t>
      </w:r>
      <w:r>
        <w:t>Document the meeting (or Kuiper’s refusal) so the condition precedent is demonstrably satisfied when the Request is filed.</w:t>
      </w:r>
    </w:p>
    <w:p>
      <w:pPr>
        <w:spacing w:after="60"/>
        <w:ind w:left="432" w:hanging="360"/>
      </w:pPr>
      <w:r>
        <w:rPr>
          <w:b/>
        </w:rPr>
        <w:t xml:space="preserve">4.  </w:t>
      </w:r>
      <w:r>
        <w:t>Do not file the Request before the 60-day period has expired on a conservative calculation. Emergency relief (Issue 3) is not subject to this constraint (s. 14.3(d)).</w:t>
      </w:r>
    </w:p>
    <w:p>
      <w:pPr>
        <w:pStyle w:val="Heading2"/>
      </w:pPr>
      <w:r>
        <w:t>Issue 5: 15-Day Window for Agreement on the Sole Arbitrator</w:t>
      </w:r>
    </w:p>
    <w:p>
      <w:r>
        <w:rPr>
          <w:b/>
        </w:rPr>
        <w:t xml:space="preserve">Severity: </w:t>
      </w:r>
      <w:r>
        <w:rPr>
          <w:b/>
          <w:color w:val="E46C0A"/>
        </w:rPr>
        <w:t xml:space="preserve"> HIGH </w:t>
      </w:r>
    </w:p>
    <w:p>
      <w:pPr>
        <w:spacing w:after="120"/>
      </w:pPr>
      <w:r>
        <w:rPr>
          <w:b/>
        </w:rPr>
        <w:t xml:space="preserve">Clause provision: </w:t>
      </w:r>
      <w:r>
        <w:t>"The arbitration shall be conducted by a sole arbitrator mutually agreed upon by the parties within 15 calendar days of the filing of the Request for Arbitration." (MSA s. 14.2). The clause contains no fallback if agreement is not reached.</w:t>
      </w:r>
    </w:p>
    <w:p>
      <w:pPr>
        <w:spacing w:after="120"/>
      </w:pPr>
      <w:r>
        <w:rPr>
          <w:b/>
        </w:rPr>
        <w:t xml:space="preserve">Corresponding SAI Rules provisions: </w:t>
      </w:r>
      <w:r>
        <w:t>Art. 6.4 (parties shall endeavour to agree within 30 calendar days of the filing of the Request; failing agreement "within that period", the SAI Court appoints); Art. 4.1 (filing = receipt by the Secretariat); Art. 4.3 (Secretariat transmits the Request to the Respondent only upon receipt of the filing fee); Art. 3.4 (time periods run from the day after receipt); Art. 4.2(f) (Request must name any proposed sole arbitrator or propose a method of appointment); Art. 8.1 (SAI Court confirmation and declaration of independence required for constitution); Art. 1.4 (party agreement prevails).</w:t>
      </w:r>
    </w:p>
    <w:p>
      <w:pPr>
        <w:pStyle w:val="Heading3"/>
      </w:pPr>
      <w:r>
        <w:t>Analysis</w:t>
      </w:r>
    </w:p>
    <w:p>
      <w:pPr>
        <w:pStyle w:val="ListBullet"/>
        <w:spacing w:after="80"/>
      </w:pPr>
      <w:r>
        <w:rPr>
          <w:b/>
        </w:rPr>
        <w:t xml:space="preserve">Deviation. </w:t>
      </w:r>
      <w:r>
        <w:t>The clause halves the Rules’ 30-day period. Article 6.4 is not designated mandatory and is expressed as a default "endeavour" provision; under Art. 1.4 the parties’ 15-day period should prevail. A 15-day period is not contrary to Singapore law (Model Law Art. 11(2) leaves the appointment procedure to the parties).</w:t>
      </w:r>
    </w:p>
    <w:p>
      <w:pPr>
        <w:pStyle w:val="ListBullet"/>
        <w:spacing w:after="80"/>
      </w:pPr>
      <w:r>
        <w:rPr>
          <w:b/>
        </w:rPr>
        <w:t xml:space="preserve">Gap. </w:t>
      </w:r>
      <w:r>
        <w:t>The clause does not say what happens on day 16. Read with the Rules, the SAI Court’s default appointment power under Art. 6.4 fills the gap, so the arbitration agreement is not pathological. But Art. 6.4 refers to failure to agree "within that period", that is, the 30-day period, which gives Kuiper the argument it has previewed that the SAI Court may not act until day 30. The better view is that the contractual 15-day period substitutes for the Rules’ 30-day period, so the SAI Court’s power arises on day 16. Note also that the parties’ agreed choice still requires SAI Court confirmation (Art. 8.1).</w:t>
      </w:r>
    </w:p>
    <w:p>
      <w:pPr>
        <w:pStyle w:val="ListBullet"/>
        <w:spacing w:after="80"/>
      </w:pPr>
      <w:r>
        <w:rPr>
          <w:b/>
        </w:rPr>
        <w:t xml:space="preserve">Practical compression. </w:t>
      </w:r>
      <w:r>
        <w:t>The 15 days run from filing (receipt by the Secretariat, Art. 4.1), but Kuiper receives the Request only when the Secretariat transmits it after the filing fee is received (Art. 4.3), and Rules periods run from the day after receipt (Art. 3.4). Kuiper may in practice have materially fewer than 15 days, which strengthens a fairness argument for flexibility and weakens any rigid insistence by Greenleaf on the deadline.</w:t>
      </w:r>
    </w:p>
    <w:p>
      <w:pPr>
        <w:pStyle w:val="ListBullet"/>
        <w:spacing w:after="80"/>
      </w:pPr>
      <w:r>
        <w:rPr>
          <w:b/>
        </w:rPr>
        <w:t xml:space="preserve">Merit of Kuiper’s position. </w:t>
      </w:r>
      <w:r>
        <w:t>Kuiper’s statement that it "will not consider itself bound by the 15-day contractual deadline" is legally weak: it agreed to the deadline, its own counsel drafted the clause, and Art. 1.4 gives the parties’ agreement priority over Art. 6.4. However, a dispute about the appointment timetable is a potential ground of later challenge under Model Law Art. 34(2)(a)(iv) (composition of the tribunal not in accordance with the agreement) whichever way the SAI Court rules. A party that proceeds without objection risks waiver under Art. 30, so Greenleaf must object promptly and in writing to Kuiper’s stated position.</w:t>
      </w:r>
    </w:p>
    <w:p>
      <w:pPr>
        <w:pStyle w:val="ListBullet"/>
        <w:spacing w:after="80"/>
      </w:pPr>
      <w:r>
        <w:rPr>
          <w:b/>
        </w:rPr>
        <w:t xml:space="preserve">Strategic assessment. </w:t>
      </w:r>
      <w:r>
        <w:t>A fast appointment helps Greenleaf only if the resulting tribunal is unimpeachable. Greenleaf’s real interests are (a) early constitution for interim relief (largely addressed by the emergency arbitrator, Issue 3) and (b) an appointment that cannot be attacked. Kuiper’s request for more time is a bargaining chip that can be traded for relief on the 90-day award deadline (Issue 1). The bilingual, technical and life-sciences requirements make the candidate pool small; 15 days is tight even for Greenleaf.</w:t>
      </w:r>
    </w:p>
    <w:p>
      <w:pPr>
        <w:pStyle w:val="Heading3"/>
      </w:pPr>
      <w:r>
        <w:t>Kuiper’s position (October 28, 2024 email)</w:t>
      </w:r>
    </w:p>
    <w:p>
      <w:pPr>
        <w:spacing w:after="120"/>
      </w:pPr>
      <w:r>
        <w:rPr>
          <w:b w:val="0"/>
          <w:i w:val="0"/>
        </w:rPr>
        <w:t>Kuiper asserts that the 15-day window is impracticable and inconsistent with Art. 6, that it will rely on 30 days, and that it will object to any SAI Court appointment before day 30. Assessment: inconsistent with Art. 1.4 and with the clause Kuiper itself proposed; the objection must nonetheless be answered in writing to avoid any later waiver argument (Art. 30).</w:t>
      </w:r>
    </w:p>
    <w:p>
      <w:pPr>
        <w:pStyle w:val="Heading3"/>
      </w:pPr>
      <w:r>
        <w:t>Recommendations</w:t>
      </w:r>
    </w:p>
    <w:p>
      <w:pPr>
        <w:spacing w:after="60"/>
        <w:ind w:left="432" w:hanging="360"/>
      </w:pPr>
      <w:r>
        <w:rPr>
          <w:b/>
        </w:rPr>
        <w:t xml:space="preserve">1.  </w:t>
      </w:r>
      <w:r>
        <w:t>Respond in writing to the October 28 email rejecting Kuiper’s position and reserving Greenleaf’s rights under s. 14.2 and Art. 1.4, while offering a negotiated package (Part F): for example, a written agreement extending the appointment window to 30 days in exchange for replacing the 90-day award deadline.</w:t>
      </w:r>
    </w:p>
    <w:p>
      <w:pPr>
        <w:spacing w:after="60"/>
        <w:ind w:left="432" w:hanging="360"/>
      </w:pPr>
      <w:r>
        <w:rPr>
          <w:b/>
        </w:rPr>
        <w:t xml:space="preserve">2.  </w:t>
      </w:r>
      <w:r>
        <w:t>Prepare a shortlist of three to five candidates now (cloud/data and life-sciences expertise; independence from both sides and from Feldhammer Grau; English-German capability; availability on a realistic timetable) and name one in the Request (Art. 4.2(f)). Consider sending the list to Kuiper with the Dispute Notice so the agreement process starts before filing.</w:t>
      </w:r>
    </w:p>
    <w:p>
      <w:pPr>
        <w:spacing w:after="60"/>
        <w:ind w:left="432" w:hanging="360"/>
      </w:pPr>
      <w:r>
        <w:rPr>
          <w:b/>
        </w:rPr>
        <w:t xml:space="preserve">3.  </w:t>
      </w:r>
      <w:r>
        <w:t>At filing, ask the Secretariat to confirm how it will compute the 15-day period and when the SAI Court will exercise its Art. 6.4 power.</w:t>
      </w:r>
    </w:p>
    <w:p>
      <w:pPr>
        <w:spacing w:after="60"/>
        <w:ind w:left="432" w:hanging="360"/>
      </w:pPr>
      <w:r>
        <w:rPr>
          <w:b/>
        </w:rPr>
        <w:t xml:space="preserve">4.  </w:t>
      </w:r>
      <w:r>
        <w:t>If no agreement is reached and no extension is agreed, request SAI Court appointment promptly after day 15, citing Art. 1.4, while avoiding any step that could be portrayed as depriving Kuiper of a fair opportunity to participate in selection.</w:t>
      </w:r>
    </w:p>
    <w:p>
      <w:pPr>
        <w:pStyle w:val="Heading2"/>
      </w:pPr>
      <w:r>
        <w:t>Issue 6: Dual Language (English and German) with Submissions in Either Language</w:t>
      </w:r>
    </w:p>
    <w:p>
      <w:r>
        <w:rPr>
          <w:b/>
        </w:rPr>
        <w:t xml:space="preserve">Severity: </w:t>
      </w:r>
      <w:r>
        <w:rPr>
          <w:b/>
          <w:color w:val="E46C0A"/>
        </w:rPr>
        <w:t xml:space="preserve"> HIGH </w:t>
      </w:r>
    </w:p>
    <w:p>
      <w:pPr>
        <w:spacing w:after="120"/>
      </w:pPr>
      <w:r>
        <w:rPr>
          <w:b/>
        </w:rPr>
        <w:t xml:space="preserve">Clause provision: </w:t>
      </w:r>
      <w:r>
        <w:t>"The language of the arbitration shall be English and German, with all submissions accepted in either language." (MSA s. 14.2). Section 15.4: all Notices in English; non-English supporting documents to be accompanied by an English translation.</w:t>
      </w:r>
    </w:p>
    <w:p>
      <w:pPr>
        <w:spacing w:after="120"/>
      </w:pPr>
      <w:r>
        <w:rPr>
          <w:b/>
        </w:rPr>
        <w:t xml:space="preserve">Corresponding SAI Rules provisions: </w:t>
      </w:r>
      <w:r>
        <w:t>Art. 12.1 (language(s) as agreed); Art. 12.2 (where more than one language is designated, the tribunal determines procedures, including (a) language of written submissions, (b) hearings, (c) the award and (d) translation/interpretation and cost); Art. 12.4 (tribunal may order translation of documents in a language other than the language(s) of the arbitration); Arts. 4.2(e) and 5.1(e) (observations on language in Request and Answer).</w:t>
      </w:r>
    </w:p>
    <w:p>
      <w:pPr>
        <w:pStyle w:val="Heading3"/>
      </w:pPr>
      <w:r>
        <w:t>Analysis</w:t>
      </w:r>
    </w:p>
    <w:p>
      <w:pPr>
        <w:pStyle w:val="ListBullet"/>
        <w:spacing w:after="80"/>
      </w:pPr>
      <w:r>
        <w:rPr>
          <w:b/>
        </w:rPr>
        <w:t xml:space="preserve">Deviation and gap. </w:t>
      </w:r>
      <w:r>
        <w:t>Designating two languages is permitted (Art. 12.1). The clause fixes one element (submissions may be in either language), which binds the tribunal and narrows its Art. 12.2(a) discretion. The clause is silent on hearings, witness evidence, the language of the award, translation and interpretation, and who bears their cost; those matters fall to the tribunal under Art. 12.2(b)-(d). Because both English and German are languages of the arbitration, Art. 12.4 does not by itself entitle Greenleaf to translations of Kuiper’s German submissions or documents, which are not in a language "other than the language(s) of the arbitration".</w:t>
      </w:r>
    </w:p>
    <w:p>
      <w:pPr>
        <w:pStyle w:val="ListBullet"/>
        <w:spacing w:after="80"/>
      </w:pPr>
      <w:r>
        <w:rPr>
          <w:b/>
        </w:rPr>
        <w:t xml:space="preserve">Assessment of Kuiper’s positions. </w:t>
      </w:r>
      <w:r>
        <w:t>(a) German as a co-equal language: correct; the clause gives both languages equal status. (b) Kuiper’s right to file all of its submissions in German: supported by the literal text ("all submissions accepted in either language"). (c) Award in German: not supported. The clause is silent on the language of the award and Art. 12.2(c) gives the decision to the tribunal. Kuiper’s assertion that the MSA was "negotiated in significant part in German" is unverified and is in tension with the documentary record: the MSA is in English; Greenleaf was represented by its U.S. General Counsel; the governing law is New York law; the seat is Singapore, whose courts will hear any set-aside application in English; and s. 15.4 requires all contractual Notices to be in English. These factors strongly support an English award (or at least an authoritative English version).</w:t>
      </w:r>
    </w:p>
    <w:p>
      <w:pPr>
        <w:pStyle w:val="ListBullet"/>
        <w:spacing w:after="80"/>
      </w:pPr>
      <w:r>
        <w:rPr>
          <w:b/>
        </w:rPr>
        <w:t xml:space="preserve">Enforceability and cost. </w:t>
      </w:r>
      <w:r>
        <w:t>A German award would require a certified translation for enforcement in the U.S. or Singapore (New York Convention Art. IV(2)), and any Singapore set-aside proceeding would be in English. Combined with the each-party-bears-own-costs provision (Issue 10), the clause means Greenleaf is likely to bear, without recovery, the cost of translating Kuiper’s German submissions, exhibits and witness evidence for its own team and witnesses. The bilingual requirement also narrows the pool of suitable arbitrators (who must also meet the expertise and availability constraints in Issues 1 and 5) and lengthens every phase of a proceeding already constrained by the 90-day deadline.</w:t>
      </w:r>
    </w:p>
    <w:p>
      <w:pPr>
        <w:pStyle w:val="ListBullet"/>
        <w:spacing w:after="80"/>
      </w:pPr>
      <w:r>
        <w:rPr>
          <w:b/>
        </w:rPr>
        <w:t xml:space="preserve">Strategic implications. </w:t>
      </w:r>
      <w:r>
        <w:t>Kuiper’s stated intention to file everything in German is a cost and time lever against Greenleaf. Greenleaf cannot prevent German submissions, but it can seek directions under Art. 12.2 that (i) hearings be conducted in English with simultaneous interpretation for German witnesses, (ii) the award and procedural orders be in English, and (iii) the party submitting German-language material provide English translations (or that translation costs be shared).</w:t>
      </w:r>
    </w:p>
    <w:p>
      <w:pPr>
        <w:pStyle w:val="Heading3"/>
      </w:pPr>
      <w:r>
        <w:t>Kuiper’s position (October 28, 2024 email)</w:t>
      </w:r>
    </w:p>
    <w:p>
      <w:pPr>
        <w:spacing w:after="120"/>
      </w:pPr>
      <w:r>
        <w:rPr>
          <w:b w:val="0"/>
          <w:i w:val="0"/>
        </w:rPr>
        <w:t>Kuiper expects all substantive submissions, witness statements and expert reports in German and an award in German. Assessment: entitled to file in German; no entitlement to a German award, which is for the tribunal under Art. 12.2(c); the factual premise regarding German-language negotiation is unproven and inconsistent with the documentary record.</w:t>
      </w:r>
    </w:p>
    <w:p>
      <w:pPr>
        <w:pStyle w:val="Heading3"/>
      </w:pPr>
      <w:r>
        <w:t>Recommendations</w:t>
      </w:r>
    </w:p>
    <w:p>
      <w:pPr>
        <w:spacing w:after="60"/>
        <w:ind w:left="432" w:hanging="360"/>
      </w:pPr>
      <w:r>
        <w:rPr>
          <w:b/>
        </w:rPr>
        <w:t xml:space="preserve">1.  </w:t>
      </w:r>
      <w:r>
        <w:t>File the Request and all Greenleaf materials in English. In the Request (Art. 4.2(e)) state Greenleaf’s position that the award and procedural orders should be in English and that a party submitting non-English material should provide English translations.</w:t>
      </w:r>
    </w:p>
    <w:p>
      <w:pPr>
        <w:spacing w:after="60"/>
        <w:ind w:left="432" w:hanging="360"/>
      </w:pPr>
      <w:r>
        <w:rPr>
          <w:b/>
        </w:rPr>
        <w:t xml:space="preserve">2.  </w:t>
      </w:r>
      <w:r>
        <w:t>Respond to the October 28 email: acknowledge that the clause permits submissions in either language; reject the proposition that the award must be in German; reserve the issue for the tribunal under Art. 12.2.</w:t>
      </w:r>
    </w:p>
    <w:p>
      <w:pPr>
        <w:spacing w:after="60"/>
        <w:ind w:left="432" w:hanging="360"/>
      </w:pPr>
      <w:r>
        <w:rPr>
          <w:b/>
        </w:rPr>
        <w:t xml:space="preserve">3.  </w:t>
      </w:r>
      <w:r>
        <w:t>Collect evidence of the negotiating history (drafts, correspondence, meeting languages) to rebut the "negotiated in German" assertion.</w:t>
      </w:r>
    </w:p>
    <w:p>
      <w:pPr>
        <w:spacing w:after="60"/>
        <w:ind w:left="432" w:hanging="360"/>
      </w:pPr>
      <w:r>
        <w:rPr>
          <w:b/>
        </w:rPr>
        <w:t xml:space="preserve">4.  </w:t>
      </w:r>
      <w:r>
        <w:t>Prefer arbitrator candidates with working German so that the tribunal can read German materials without delay, while maintaining that the award be in English.</w:t>
      </w:r>
    </w:p>
    <w:p>
      <w:pPr>
        <w:spacing w:after="60"/>
        <w:ind w:left="432" w:hanging="360"/>
      </w:pPr>
      <w:r>
        <w:rPr>
          <w:b/>
        </w:rPr>
        <w:t xml:space="preserve">5.  </w:t>
      </w:r>
      <w:r>
        <w:t>Budget for translation and interpretation; seek a cost-sharing direction under Art. 12.2(d).</w:t>
      </w:r>
    </w:p>
    <w:p>
      <w:pPr>
        <w:pStyle w:val="Heading2"/>
      </w:pPr>
      <w:r>
        <w:t>Issue 7: Perpetual Confidentiality Without Exceptions</w:t>
      </w:r>
    </w:p>
    <w:p>
      <w:r>
        <w:rPr>
          <w:b/>
        </w:rPr>
        <w:t xml:space="preserve">Severity: </w:t>
      </w:r>
      <w:r>
        <w:rPr>
          <w:b/>
          <w:color w:val="E46C0A"/>
        </w:rPr>
        <w:t xml:space="preserve"> HIGH </w:t>
      </w:r>
    </w:p>
    <w:p>
      <w:pPr>
        <w:spacing w:after="120"/>
      </w:pPr>
      <w:r>
        <w:rPr>
          <w:b/>
        </w:rPr>
        <w:t xml:space="preserve">Clause provision: </w:t>
      </w:r>
      <w:r>
        <w:t>"All arbitration proceedings, including the existence of the arbitration and any awards, shall remain strictly confidential in perpetuity." (MSA s. 14.2)</w:t>
      </w:r>
    </w:p>
    <w:p>
      <w:pPr>
        <w:spacing w:after="120"/>
      </w:pPr>
      <w:r>
        <w:rPr>
          <w:b/>
        </w:rPr>
        <w:t xml:space="preserve">Corresponding SAI Rules provisions: </w:t>
      </w:r>
      <w:r>
        <w:t>Art. 20.1 (proceedings, existence, submissions, evidence, materials, awards and orders confidential); Art. 20.2 (permitted disclosures: (a) as required by law, regulation or legal process, including securities and regulatory filings; (b) to protect or pursue a legal right before a court or regulator; (c) enforcement or challenge of an award; (d) with written consent; (e) to professional advisors bound by professional duties of confidentiality); Art. 20.3 (Rules obligation survives for five years after the final award, without prejudice to obligations under the underlying agreement or applicable law); Art. 20.4 (protective orders); Art. 16.4 (hearings private).</w:t>
      </w:r>
    </w:p>
    <w:p>
      <w:pPr>
        <w:pStyle w:val="Heading3"/>
      </w:pPr>
      <w:r>
        <w:t>Analysis</w:t>
      </w:r>
    </w:p>
    <w:p>
      <w:pPr>
        <w:pStyle w:val="ListBullet"/>
        <w:spacing w:after="80"/>
      </w:pPr>
      <w:r>
        <w:rPr>
          <w:b/>
        </w:rPr>
        <w:t xml:space="preserve">Duration conflict. </w:t>
      </w:r>
      <w:r>
        <w:t>The clause is perpetual; Art. 20.3 ends the Rules-based obligation five years after the final award. Article 20.3 expressly preserves longer contractual obligations, so the perpetual duty prevails. This is a permitted extension, not a conflict with a mandatory Rule.</w:t>
      </w:r>
    </w:p>
    <w:p>
      <w:pPr>
        <w:pStyle w:val="ListBullet"/>
        <w:spacing w:after="80"/>
      </w:pPr>
      <w:r>
        <w:rPr>
          <w:b/>
        </w:rPr>
        <w:t xml:space="preserve">Absence of exceptions (key gap). </w:t>
      </w:r>
      <w:r>
        <w:t>The clause contains none of the Art. 20.2 exceptions. A literal reading would bar disclosure even where required by law, for enforcement, to regulators or to advisors. Arguments that the exceptions survive: (a) the clause incorporates the Rules, and the Art. 20.2 exceptions are part of the regime the parties adopted; (b) Art. 20.3 confirms that the contractual obligation operates alongside, not in substitution for, the Rules; (c) a private confidentiality obligation cannot override mandatory legal disclosure obligations (public policy under both New York and Singapore law); (d) Singapore law recognises an implied duty of confidentiality in arbitration subject to exceptions such as disclosure reasonably necessary to protect a party’s legitimate interests or required by law (e.g., AAY v. AAZ [2009] SGHC 142). The counter-argument is that by specifying a stricter regime the parties intended to exclude the Rules’ exceptions. The point should be resolved by agreement or tribunal order rather than left to dispute.</w:t>
      </w:r>
    </w:p>
    <w:p>
      <w:pPr>
        <w:pStyle w:val="ListBullet"/>
        <w:spacing w:after="80"/>
      </w:pPr>
      <w:r>
        <w:rPr>
          <w:b/>
        </w:rPr>
        <w:t xml:space="preserve">Scope. </w:t>
      </w:r>
      <w:r>
        <w:t>The clause covers "arbitration proceedings, including the existence of the arbitration and any awards". It does not, on its terms, extend to (i) the underlying facts (the data corruption and outages); (ii) the existence of a commercial dispute before arbitration is commenced; (iii) pre-arbitral correspondence such as the September 12 notice and the October 3 response; or (iv) Greenleaf’s own business records and forensic findings. Kuiper’s assertion that the obligation already covers "all information relating to the dispute" overstates the clause.</w:t>
      </w:r>
    </w:p>
    <w:p>
      <w:pPr>
        <w:pStyle w:val="ListBullet"/>
        <w:spacing w:after="80"/>
      </w:pPr>
      <w:r>
        <w:rPr>
          <w:b/>
        </w:rPr>
        <w:t xml:space="preserve">Regulatory and disclosure exposure. </w:t>
      </w:r>
      <w:r>
        <w:t>Greenleaf’s damages include FDA regulatory re-submissions arising from corruption of three clinical trial databases; Greenleaf will necessarily communicate with the FDA (and possibly sponsors, CROs, investigators and IRBs) about data integrity. If Greenleaf is publicly traded (described as "mid-cap"; to be confirmed), it may have SEC disclosure obligations regarding material legal proceedings and risks; it will also need to make disclosures to auditors and insurers. Kuiper’s position, read as preventing disclosure to regulators, is untenable as a matter of law and public policy; Art. 20.2(a)-(b) expressly contemplates regulatory disclosure.</w:t>
      </w:r>
    </w:p>
    <w:p>
      <w:pPr>
        <w:pStyle w:val="ListBullet"/>
        <w:spacing w:after="80"/>
      </w:pPr>
      <w:r>
        <w:rPr>
          <w:b/>
        </w:rPr>
        <w:t xml:space="preserve">Forensic experts and service providers. </w:t>
      </w:r>
      <w:r>
        <w:t>Art. 20.2(e) permits disclosure to professional advisors "bound by professional duties of confidentiality". A forensic technology firm such as Palladian may not be bound by professional (as opposed to contractual) duties, so Kuiper may argue the exception does not apply to it. Greenleaf should ensure Palladian and any other consultants are under written confidentiality undertakings and are engaged through counsel to support privilege and work-product protection.</w:t>
      </w:r>
    </w:p>
    <w:p>
      <w:pPr>
        <w:pStyle w:val="ListBullet"/>
        <w:spacing w:after="80"/>
      </w:pPr>
      <w:r>
        <w:rPr>
          <w:b/>
        </w:rPr>
        <w:t xml:space="preserve">Court applications. </w:t>
      </w:r>
      <w:r>
        <w:t>Emergency and enforcement applications (Issue 3) will disclose the existence of the arbitration. Greenleaf should seek sealing or private hearings (IAA ss. 22-23 in Singapore; equivalent measures in Germany or the U.S.) and rely on Art. 20.2(b)-(c).</w:t>
      </w:r>
    </w:p>
    <w:p>
      <w:pPr>
        <w:pStyle w:val="Heading3"/>
      </w:pPr>
      <w:r>
        <w:t>Kuiper’s position (October 28, 2024 email)</w:t>
      </w:r>
    </w:p>
    <w:p>
      <w:pPr>
        <w:spacing w:after="120"/>
      </w:pPr>
      <w:r>
        <w:rPr>
          <w:b w:val="0"/>
          <w:i w:val="0"/>
        </w:rPr>
        <w:t>Kuiper asserts that the perpetual obligation covers the existence of the dispute, all correspondence, its October 3 response and all future filings, and that neither Greenleaf nor its advisors, consultants or forensic experts may disclose anything to any third party; it reserves rights for breach. Assessment: overbroad. The clause covers the arbitration proceedings, their existence and awards, not the pre-arbitral dispute or the underlying facts; it cannot lawfully prevent legally required disclosure to regulators; and disclosure to advisors and experts for the purpose of the arbitration is inherent in the right to arbitrate and is expressly permitted by Art. 20.2(e) (subject to the point on non-professional consultants above).</w:t>
      </w:r>
    </w:p>
    <w:p>
      <w:pPr>
        <w:pStyle w:val="Heading3"/>
      </w:pPr>
      <w:r>
        <w:t>Recommendations</w:t>
      </w:r>
    </w:p>
    <w:p>
      <w:pPr>
        <w:spacing w:after="60"/>
        <w:ind w:left="432" w:hanging="360"/>
      </w:pPr>
      <w:r>
        <w:rPr>
          <w:b/>
        </w:rPr>
        <w:t xml:space="preserve">1.  </w:t>
      </w:r>
      <w:r>
        <w:t>Respond to the October 28 email rejecting Kuiper’s interpretation, confirming that Greenleaf will comply with s. 14.2 as properly construed and will make disclosures required by law or regulation (including to the FDA and, if applicable, the SEC) and to its advisors and experts under confidentiality undertakings.</w:t>
      </w:r>
    </w:p>
    <w:p>
      <w:pPr>
        <w:spacing w:after="60"/>
        <w:ind w:left="432" w:hanging="360"/>
      </w:pPr>
      <w:r>
        <w:rPr>
          <w:b/>
        </w:rPr>
        <w:t xml:space="preserve">2.  </w:t>
      </w:r>
      <w:r>
        <w:t>Propose a written confidentiality protocol (for Terms of Reference or a procedural order under Art. 20.4) that expressly incorporates the Art. 20.2 exceptions on a perpetual basis.</w:t>
      </w:r>
    </w:p>
    <w:p>
      <w:pPr>
        <w:spacing w:after="60"/>
        <w:ind w:left="432" w:hanging="360"/>
      </w:pPr>
      <w:r>
        <w:rPr>
          <w:b/>
        </w:rPr>
        <w:t xml:space="preserve">3.  </w:t>
      </w:r>
      <w:r>
        <w:t>Confirm with regulatory counsel what FDA and securities disclosures are required and when; frame them by reference to facts rather than arbitral filings where possible.</w:t>
      </w:r>
    </w:p>
    <w:p>
      <w:pPr>
        <w:spacing w:after="60"/>
        <w:ind w:left="432" w:hanging="360"/>
      </w:pPr>
      <w:r>
        <w:rPr>
          <w:b/>
        </w:rPr>
        <w:t xml:space="preserve">4.  </w:t>
      </w:r>
      <w:r>
        <w:t>Put written NDAs in place with Palladian and any other non-lawyer advisors; route engagements through Thorncastle &amp; Whitmore.</w:t>
      </w:r>
    </w:p>
    <w:p>
      <w:pPr>
        <w:pStyle w:val="Heading2"/>
      </w:pPr>
      <w:r>
        <w:t>Issue 8: Discovery Limited to Document Production Only</w:t>
      </w:r>
    </w:p>
    <w:p>
      <w:r>
        <w:rPr>
          <w:b/>
        </w:rPr>
        <w:t xml:space="preserve">Severity: </w:t>
      </w:r>
      <w:r>
        <w:rPr>
          <w:b/>
          <w:color w:val="E46C0A"/>
        </w:rPr>
        <w:t xml:space="preserve"> HIGH </w:t>
      </w:r>
    </w:p>
    <w:p>
      <w:pPr>
        <w:spacing w:after="120"/>
      </w:pPr>
      <w:r>
        <w:rPr>
          <w:b/>
        </w:rPr>
        <w:t xml:space="preserve">Clause provision: </w:t>
      </w:r>
      <w:r>
        <w:t>"Discovery shall be limited to document production only ..." (MSA s. 14.2)</w:t>
      </w:r>
    </w:p>
    <w:p>
      <w:pPr>
        <w:spacing w:after="120"/>
      </w:pPr>
      <w:r>
        <w:rPr>
          <w:b/>
        </w:rPr>
        <w:t xml:space="preserve">Corresponding SAI Rules provisions: </w:t>
      </w:r>
      <w:r>
        <w:t>Arts. 14.3 and 18.2 (tribunal may order production of documents, exhibits or other evidence and may take evidence through witness testimony, expert evidence, site inspections and other means); Arts. 14.4 and 17.3 (tribunal-appointed experts); Arts. 14.5, 17.1 and 17.4 (party witness statements and expert reports); Art. 17.2 (tribunal may order a person, including a party’s officer or employee, to appear); Art. 13.3(c) (case management of document production, witnesses and experts); Art. 15.1(a) (interim preservation orders).</w:t>
      </w:r>
    </w:p>
    <w:p>
      <w:pPr>
        <w:pStyle w:val="Heading3"/>
      </w:pPr>
      <w:r>
        <w:t>Analysis</w:t>
      </w:r>
    </w:p>
    <w:p>
      <w:pPr>
        <w:pStyle w:val="ListBullet"/>
        <w:spacing w:after="80"/>
      </w:pPr>
      <w:r>
        <w:rPr>
          <w:b/>
        </w:rPr>
        <w:t xml:space="preserve">Deviation. </w:t>
      </w:r>
      <w:r>
        <w:t>The Rules confer broad evidentiary powers on the tribunal; the clause restricts "discovery" to document production. Depositions, interrogatories and requests for admission are not features of the Rules or of international arbitration practice in any event, so excluding them changes little.</w:t>
      </w:r>
    </w:p>
    <w:p>
      <w:pPr>
        <w:pStyle w:val="ListBullet"/>
        <w:spacing w:after="80"/>
      </w:pPr>
      <w:r>
        <w:rPr>
          <w:b/>
        </w:rPr>
        <w:t xml:space="preserve">Ambiguity that matters. </w:t>
      </w:r>
      <w:r>
        <w:t>"Discovery" is a U.S. term with no defined meaning in the Rules. Kuiper may argue that it excludes (i) inspection of Kuiper’s servers, systems and environments (Art. 18.2 site inspection); (ii) forensic imaging or access to native data and logs; (iii) orders requiring Kuiper personnel to attend (Art. 17.2); and (iv) tribunal-appointed experts with access to Kuiper systems (Arts. 14.4 / 17.3). Greenleaf’s position should be that (a) "discovery" refers only to compelled disclosure from the opposing party, not to the presentation of evidence (witness statements and expert reports under Arts. 14.5 and 17 remain fully available); (b) "documents" include electronically stored information such as server logs, audit trails and configuration records in native format; and (c) interim preservation orders under Art. 15.1(a) and the emergency arbitrator procedure are not "discovery" at all.</w:t>
      </w:r>
    </w:p>
    <w:p>
      <w:pPr>
        <w:pStyle w:val="ListBullet"/>
        <w:spacing w:after="80"/>
      </w:pPr>
      <w:r>
        <w:rPr>
          <w:b/>
        </w:rPr>
        <w:t xml:space="preserve">Strategic implications. </w:t>
      </w:r>
      <w:r>
        <w:t>The key causation evidence (Kuiper server logs, incident tickets, change records, root-cause analyses) is in Kuiper’s control, and Greenleaf bears the burden of proof (Art. 14.2). A narrow reading of the limitation, especially if combined with log deletion, would severely prejudice Greenleaf. The limitation is enforceable as a party agreement (Art. 1.4), but it must be applied consistently with each party’s right to a reasonable opportunity to present its case (Art. 18.1; Model Law Art. 18), which supports a broad reading of "document production" for electronic records.</w:t>
      </w:r>
    </w:p>
    <w:p>
      <w:pPr>
        <w:pStyle w:val="ListBullet"/>
        <w:spacing w:after="80"/>
      </w:pPr>
      <w:r>
        <w:rPr>
          <w:b/>
        </w:rPr>
        <w:t xml:space="preserve">Interaction with the 90-day deadline. </w:t>
      </w:r>
      <w:r>
        <w:t>Even document production limited to electronic data is unlikely to be completed within the 90-day window (Issue 1).</w:t>
      </w:r>
    </w:p>
    <w:p>
      <w:pPr>
        <w:pStyle w:val="Heading3"/>
      </w:pPr>
      <w:r>
        <w:t>Recommendations</w:t>
      </w:r>
    </w:p>
    <w:p>
      <w:pPr>
        <w:spacing w:after="60"/>
        <w:ind w:left="432" w:hanging="360"/>
      </w:pPr>
      <w:r>
        <w:rPr>
          <w:b/>
        </w:rPr>
        <w:t xml:space="preserve">1.  </w:t>
      </w:r>
      <w:r>
        <w:t>In the Request and at the case management conference (Art. 13.3(c)), seek directions that "documents" include ESI and native-format logs and metadata, and that inspection of systems by a tribunal-appointed or jointly appointed neutral forensic expert is within the tribunal’s power.</w:t>
      </w:r>
    </w:p>
    <w:p>
      <w:pPr>
        <w:spacing w:after="60"/>
        <w:ind w:left="432" w:hanging="360"/>
      </w:pPr>
      <w:r>
        <w:rPr>
          <w:b/>
        </w:rPr>
        <w:t xml:space="preserve">2.  </w:t>
      </w:r>
      <w:r>
        <w:t>Secure preservation and forensic imaging through the emergency arbitrator now (Issue 3) so that the evidence still exists when document production takes place.</w:t>
      </w:r>
    </w:p>
    <w:p>
      <w:pPr>
        <w:spacing w:after="60"/>
        <w:ind w:left="432" w:hanging="360"/>
      </w:pPr>
      <w:r>
        <w:rPr>
          <w:b/>
        </w:rPr>
        <w:t xml:space="preserve">3.  </w:t>
      </w:r>
      <w:r>
        <w:t>Prepare targeted Redfern-style document requests focused on log data, incident reports and root-cause analyses for June-August 2024.</w:t>
      </w:r>
    </w:p>
    <w:p>
      <w:pPr>
        <w:spacing w:after="60"/>
        <w:ind w:left="432" w:hanging="360"/>
      </w:pPr>
      <w:r>
        <w:rPr>
          <w:b/>
        </w:rPr>
        <w:t xml:space="preserve">4.  </w:t>
      </w:r>
      <w:r>
        <w:t>Ask the tribunal to confirm that adverse inferences may be drawn from non-production or destruction of logs after the September 12 notice.</w:t>
      </w:r>
    </w:p>
    <w:p>
      <w:pPr>
        <w:pStyle w:val="Heading2"/>
      </w:pPr>
      <w:r>
        <w:t>Issue 9: Sole Arbitrator Despite Amount in Controversy Above the CHF 5 Million Three-Member Default</w:t>
      </w:r>
    </w:p>
    <w:p>
      <w:r>
        <w:rPr>
          <w:b/>
        </w:rPr>
        <w:t xml:space="preserve">Severity: </w:t>
      </w:r>
      <w:r>
        <w:rPr>
          <w:b/>
          <w:color w:val="BF8F00"/>
        </w:rPr>
        <w:t xml:space="preserve"> MODERATE </w:t>
      </w:r>
    </w:p>
    <w:p>
      <w:pPr>
        <w:spacing w:after="120"/>
      </w:pPr>
      <w:r>
        <w:rPr>
          <w:b/>
        </w:rPr>
        <w:t xml:space="preserve">Clause provision: </w:t>
      </w:r>
      <w:r>
        <w:t>"The arbitration shall be conducted by a sole arbitrator ..." (MSA s. 14.2)</w:t>
      </w:r>
    </w:p>
    <w:p>
      <w:pPr>
        <w:spacing w:after="120"/>
      </w:pPr>
      <w:r>
        <w:rPr>
          <w:b/>
        </w:rPr>
        <w:t xml:space="preserve">Corresponding SAI Rules provisions: </w:t>
      </w:r>
      <w:r>
        <w:t>Art. 6.2 (agreement on number given effect, subject to Art. 6.5); Art. 6.3 (CHF 5,000,000 threshold for a three-member default applies only "where the parties have not agreed"); Art. 6.5 (SAI Court may, in exceptional circumstances and on a party’s reasoned request, determine a different number); Art. 5.3 (counterclaims treated as separate claims for amount-in-controversy purposes, including Art. 6 and Appendix I); Appendix I (fees).</w:t>
      </w:r>
    </w:p>
    <w:p>
      <w:pPr>
        <w:pStyle w:val="Heading3"/>
      </w:pPr>
      <w:r>
        <w:t>Analysis</w:t>
      </w:r>
    </w:p>
    <w:p>
      <w:pPr>
        <w:pStyle w:val="ListBullet"/>
        <w:spacing w:after="80"/>
      </w:pPr>
      <w:r>
        <w:rPr>
          <w:b/>
        </w:rPr>
        <w:t xml:space="preserve">No conflict with the default rule. </w:t>
      </w:r>
      <w:r>
        <w:t>The memorandum’s concern requires a correction of emphasis: the CHF 5 million threshold in Art. 6.3(a) is a default that applies only where the parties have not agreed on the number. Here they have agreed on a sole arbitrator, and Art. 6.2 directs that the agreement be given effect. The amount in controversy does not, by itself, entitle the SAI Court or Kuiper to displace the clause.</w:t>
      </w:r>
    </w:p>
    <w:p>
      <w:pPr>
        <w:pStyle w:val="ListBullet"/>
        <w:spacing w:after="80"/>
      </w:pPr>
      <w:r>
        <w:rPr>
          <w:b/>
        </w:rPr>
        <w:t xml:space="preserve">Residual risk: Article 6.5. </w:t>
      </w:r>
      <w:r>
        <w:t>The SAI Court may depart from the agreed number "in exceptional circumstances and upon the reasoned request of a party". Kuiper could invoke it, pointing to the amount (Greenleaf’s $11.9 million claim is about CHF 10.6 million at the exchange rate implied by the memorandum; with the counterclaim, $13.3 million is about CHF 11.9 million), technical complexity and the dual-language regime. Value alone is unlikely to be "exceptional" for a CHF 10-12 million dispute, so the override risk is moderate to low. Under Art. 5.3 the counterclaim is treated as a separate claim; on either an aggregated or a separate measure, Greenleaf’s claim alone exceeds CHF 5 million.</w:t>
      </w:r>
    </w:p>
    <w:p>
      <w:pPr>
        <w:pStyle w:val="ListBullet"/>
        <w:spacing w:after="80"/>
      </w:pPr>
      <w:r>
        <w:rPr>
          <w:b/>
        </w:rPr>
        <w:t xml:space="preserve">Seat-law risk if the number is changed. </w:t>
      </w:r>
      <w:r>
        <w:t>If the SAI Court imposed three arbitrators over a party’s objection, the opposing party could argue that the composition of the tribunal was not in accordance with the parties’ agreement (Model Law Art. 34(2)(a)(iv); New York Convention Art. V(1)(d)). The counter-argument is that the parties agreed to the Rules, including Art. 6.5. The risk is real but limited.</w:t>
      </w:r>
    </w:p>
    <w:p>
      <w:pPr>
        <w:pStyle w:val="ListBullet"/>
        <w:spacing w:after="80"/>
      </w:pPr>
      <w:r>
        <w:rPr>
          <w:b/>
        </w:rPr>
        <w:t xml:space="preserve">Strategic assessment. </w:t>
      </w:r>
      <w:r>
        <w:t>A sole arbitrator suits Greenleaf’s interest in speed and cost (indicative sole-arbitrator fees of CHF 50,000-200,000 versus CHF 120,000-500,000 for a three-member tribunal in the CHF 5-20 million band, Appendix I Part III), particularly as Greenleaf will bear its own costs (Issue 10). The downside is single-decision-maker risk on difficult construction questions (Issue 2) and heavy dependence on the quality of the appointee. Kuiper may seek a three-member tribunal if it perceives tactical advantage, for example as a route to escape the 90-day deadline.</w:t>
      </w:r>
    </w:p>
    <w:p>
      <w:pPr>
        <w:pStyle w:val="ListBullet"/>
        <w:spacing w:after="80"/>
      </w:pPr>
      <w:r>
        <w:rPr>
          <w:b/>
        </w:rPr>
        <w:t xml:space="preserve">Fees (Appendix I). </w:t>
      </w:r>
      <w:r>
        <w:t>In the CHF 5,000,001-20,000,000 band: filing fee CHF 5,000 (payable by Greenleaf on filing; non-refundable); SAI administrative charges CHF 25,000-60,000; sole-arbitrator fees indicatively CHF 50,000-200,000; plus the CHF 20,000 emergency arbitrator fee. If the counterclaim (about CHF 1.25 million) is assessed separately under Art. 5.3, it falls in the CHF 500,001-2,000,000 band.</w:t>
      </w:r>
    </w:p>
    <w:p>
      <w:pPr>
        <w:pStyle w:val="Heading3"/>
      </w:pPr>
      <w:r>
        <w:t>Kuiper’s position (October 28, 2024 email)</w:t>
      </w:r>
    </w:p>
    <w:p>
      <w:pPr>
        <w:spacing w:after="120"/>
      </w:pPr>
      <w:r>
        <w:rPr>
          <w:b w:val="0"/>
          <w:i w:val="0"/>
        </w:rPr>
        <w:t>Not addressed in Kuiper’s email.</w:t>
      </w:r>
    </w:p>
    <w:p>
      <w:pPr>
        <w:pStyle w:val="Heading3"/>
      </w:pPr>
      <w:r>
        <w:t>Recommendations</w:t>
      </w:r>
    </w:p>
    <w:p>
      <w:pPr>
        <w:spacing w:after="60"/>
        <w:ind w:left="432" w:hanging="360"/>
      </w:pPr>
      <w:r>
        <w:rPr>
          <w:b/>
        </w:rPr>
        <w:t xml:space="preserve">1.  </w:t>
      </w:r>
      <w:r>
        <w:t>Do not challenge the sole-arbitrator designation. State in the Request that the parties have agreed a sole arbitrator and that Art. 6.2 applies.</w:t>
      </w:r>
    </w:p>
    <w:p>
      <w:pPr>
        <w:spacing w:after="60"/>
        <w:ind w:left="432" w:hanging="360"/>
      </w:pPr>
      <w:r>
        <w:rPr>
          <w:b/>
        </w:rPr>
        <w:t xml:space="preserve">2.  </w:t>
      </w:r>
      <w:r>
        <w:t>If Kuiper makes an Art. 6.5 application, oppose it as not "exceptional", but consider whether a three-member tribunal could be traded for an agreed, realistic award timetable.</w:t>
      </w:r>
    </w:p>
    <w:p>
      <w:pPr>
        <w:spacing w:after="60"/>
        <w:ind w:left="432" w:hanging="360"/>
      </w:pPr>
      <w:r>
        <w:rPr>
          <w:b/>
        </w:rPr>
        <w:t xml:space="preserve">3.  </w:t>
      </w:r>
      <w:r>
        <w:t>Confirm the CHF/USD rate at filing for Appendix I purposes.</w:t>
      </w:r>
    </w:p>
    <w:p>
      <w:pPr>
        <w:pStyle w:val="Heading2"/>
      </w:pPr>
      <w:r>
        <w:t>Issue 10: Each Party Bears Its Own Costs Regardless of Outcome</w:t>
      </w:r>
    </w:p>
    <w:p>
      <w:r>
        <w:rPr>
          <w:b/>
        </w:rPr>
        <w:t xml:space="preserve">Severity: </w:t>
      </w:r>
      <w:r>
        <w:rPr>
          <w:b/>
          <w:color w:val="BF8F00"/>
        </w:rPr>
        <w:t xml:space="preserve"> MODERATE </w:t>
      </w:r>
    </w:p>
    <w:p>
      <w:pPr>
        <w:spacing w:after="120"/>
      </w:pPr>
      <w:r>
        <w:rPr>
          <w:b/>
        </w:rPr>
        <w:t xml:space="preserve">Clause provision: </w:t>
      </w:r>
      <w:r>
        <w:t>"... each party shall bear its own costs regardless of the outcome." (MSA s. 14.2)</w:t>
      </w:r>
    </w:p>
    <w:p>
      <w:pPr>
        <w:spacing w:after="120"/>
      </w:pPr>
      <w:r>
        <w:rPr>
          <w:b/>
        </w:rPr>
        <w:t xml:space="preserve">Corresponding SAI Rules provisions: </w:t>
      </w:r>
      <w:r>
        <w:t>Art. 25.4 (award fixes costs and decides allocation); Art. 26.1 (costs of arbitration include arbitrator fees and expenses, SAI administrative charges, tribunal-expert fees and reasonable legal costs); Art. 26.3 (tribunal allocates costs; party agreements on allocation given effect unless "manifestly unreasonable"); Arts. 26.4-26.5 and 27 (advances in equal shares; a party may pay the defaulting party’s share); Art. 34.1(e) (costs as relief); EA-6 (emergency arbitrator may allocate EA costs).</w:t>
      </w:r>
    </w:p>
    <w:p>
      <w:pPr>
        <w:pStyle w:val="Heading3"/>
      </w:pPr>
      <w:r>
        <w:t>Analysis</w:t>
      </w:r>
    </w:p>
    <w:p>
      <w:pPr>
        <w:pStyle w:val="ListBullet"/>
        <w:spacing w:after="80"/>
      </w:pPr>
      <w:r>
        <w:rPr>
          <w:b/>
        </w:rPr>
        <w:t xml:space="preserve">Deviation. </w:t>
      </w:r>
      <w:r>
        <w:t>The clause displaces the tribunal’s default discretion to allocate costs by reference to outcome and conduct (Art. 26.3). Under Art. 26.3 the agreement will be given effect unless the tribunal considers it "manifestly unreasonable in the circumstances of the case", a safety valve that the clause does not (and cannot effectively) exclude.</w:t>
      </w:r>
    </w:p>
    <w:p>
      <w:pPr>
        <w:pStyle w:val="ListBullet"/>
        <w:spacing w:after="80"/>
      </w:pPr>
      <w:r>
        <w:t>Ambiguity: which costs? "Its own costs" most naturally refers to each party’s own legal and expert costs (Art. 26.1(d)). It is unclear whether it also fixes the shared costs of the arbitration (arbitrator fees, SAI charges and tribunal-appointed expert fees under Art. 26.1(a)-(c)), which are not any one party’s "own" costs. Greenleaf should argue that the clause covers only party-incurred costs, leaving the tribunal free to allocate the shared costs of the arbitration and the emergency arbitrator costs (EA-6) by outcome.</w:t>
      </w:r>
    </w:p>
    <w:p>
      <w:pPr>
        <w:pStyle w:val="ListBullet"/>
        <w:spacing w:after="80"/>
      </w:pPr>
      <w:r>
        <w:rPr>
          <w:b/>
        </w:rPr>
        <w:t xml:space="preserve">Strategic impact. </w:t>
      </w:r>
      <w:r>
        <w:t>As the claimant with what it believes to be the stronger case, Greenleaf loses the cost-shifting leverage that normally accompanies a meritorious claim; its net recovery will be reduced by its full legal, forensic, translation and interpretation spend. If Kuiper defaults on its share of the advance (Art. 26.5), Greenleaf may have to fund it to keep the case alive with uncertain recovery. Costs of satellite disputes (escalation compliance, appointment timetable, language, confidentiality) also fall on Greenleaf. The clause is consistent with the American Rule under New York law and is likely enforceable.</w:t>
      </w:r>
    </w:p>
    <w:p>
      <w:pPr>
        <w:pStyle w:val="ListBullet"/>
        <w:spacing w:after="80"/>
      </w:pPr>
      <w:r>
        <w:rPr>
          <w:b/>
        </w:rPr>
        <w:t xml:space="preserve">Manifest unreasonableness. </w:t>
      </w:r>
      <w:r>
        <w:t>Conduct such as spoliation of server logs, obstructive procedural tactics or a bad-faith counterclaim could support an Art. 26.3 argument that applying the clause would be manifestly unreasonable.</w:t>
      </w:r>
    </w:p>
    <w:p>
      <w:pPr>
        <w:pStyle w:val="Heading3"/>
      </w:pPr>
      <w:r>
        <w:t>Recommendations</w:t>
      </w:r>
    </w:p>
    <w:p>
      <w:pPr>
        <w:spacing w:after="60"/>
        <w:ind w:left="432" w:hanging="360"/>
      </w:pPr>
      <w:r>
        <w:rPr>
          <w:b/>
        </w:rPr>
        <w:t xml:space="preserve">1.  </w:t>
      </w:r>
      <w:r>
        <w:t>Build the costs budget and settlement valuation on the assumption that legal and expert costs are unrecoverable.</w:t>
      </w:r>
    </w:p>
    <w:p>
      <w:pPr>
        <w:spacing w:after="60"/>
        <w:ind w:left="432" w:hanging="360"/>
      </w:pPr>
      <w:r>
        <w:rPr>
          <w:b/>
        </w:rPr>
        <w:t xml:space="preserve">2.  </w:t>
      </w:r>
      <w:r>
        <w:t>Plead that the clause covers only party-incurred costs and request allocation of the costs of the arbitration (Art. 26.1(a)-(c)) and of the emergency arbitrator procedure (EA-6) by outcome.</w:t>
      </w:r>
    </w:p>
    <w:p>
      <w:pPr>
        <w:spacing w:after="60"/>
        <w:ind w:left="432" w:hanging="360"/>
      </w:pPr>
      <w:r>
        <w:rPr>
          <w:b/>
        </w:rPr>
        <w:t xml:space="preserve">3.  </w:t>
      </w:r>
      <w:r>
        <w:t>Keep a record of Kuiper’s procedural conduct to support an Art. 26.3 argument if warranted.</w:t>
      </w:r>
    </w:p>
    <w:p>
      <w:pPr>
        <w:spacing w:after="60"/>
        <w:ind w:left="432" w:hanging="360"/>
      </w:pPr>
      <w:r>
        <w:rPr>
          <w:b/>
        </w:rPr>
        <w:t xml:space="preserve">4.  </w:t>
      </w:r>
      <w:r>
        <w:t>Consider including cost allocation in the pre-filing procedural package (Part F).</w:t>
      </w:r>
    </w:p>
    <w:p>
      <w:pPr>
        <w:pStyle w:val="Heading2"/>
      </w:pPr>
      <w:r>
        <w:t>Issue 11: Temporal Lock to the Rules "in Effect at the Time of the Signing" (2022 Edition)</w:t>
      </w:r>
    </w:p>
    <w:p>
      <w:r>
        <w:rPr>
          <w:b/>
        </w:rPr>
        <w:t xml:space="preserve">Severity: </w:t>
      </w:r>
      <w:r>
        <w:rPr>
          <w:b/>
          <w:color w:val="BF8F00"/>
        </w:rPr>
        <w:t xml:space="preserve"> MODERATE </w:t>
      </w:r>
    </w:p>
    <w:p>
      <w:pPr>
        <w:spacing w:after="120"/>
      </w:pPr>
      <w:r>
        <w:rPr>
          <w:b/>
        </w:rPr>
        <w:t xml:space="preserve">Clause provision: </w:t>
      </w:r>
      <w:r>
        <w:t>"... in accordance with the SAI Arbitration Rules in effect at the time of the signing of this Agreement." (MSA s. 14.2; signed March 15, 2023)</w:t>
      </w:r>
    </w:p>
    <w:p>
      <w:pPr>
        <w:spacing w:after="120"/>
      </w:pPr>
      <w:r>
        <w:rPr>
          <w:b/>
        </w:rPr>
        <w:t xml:space="preserve">Corresponding SAI Rules provisions: </w:t>
      </w:r>
      <w:r>
        <w:t>Preamble (where a specific edition is referenced, the SAI administers under that edition "subject to any modifications the SAI Court deems necessary for proper administration"); Art. 35.1 (2022 Rules apply to arbitrations filed on or after January 1, 2022); Art. 35.3 (where a specific prior edition is referenced, the SAI administers under it "to the extent practicable" and may apply procedural or administrative provisions of the current edition if this does not prejudice either party); Art. 2.10.</w:t>
      </w:r>
    </w:p>
    <w:p>
      <w:pPr>
        <w:pStyle w:val="Heading3"/>
      </w:pPr>
      <w:r>
        <w:t>Analysis</w:t>
      </w:r>
    </w:p>
    <w:p>
      <w:pPr>
        <w:pStyle w:val="ListBullet"/>
        <w:spacing w:after="80"/>
      </w:pPr>
      <w:r>
        <w:rPr>
          <w:b/>
        </w:rPr>
        <w:t xml:space="preserve">Identification of the edition. </w:t>
      </w:r>
      <w:r>
        <w:t>The 2022 Edition took effect on January 1, 2022 and, on the materials provided, was in effect on March 15, 2023. It is therefore the edition locked in by the clause. We have not been provided with the 2024 Edition (stated in the memorandum to be effective July 1, 2024) and cannot assess its changes, nor can we exclude interim amendments between January 2022 and March 2023. Both points should be confirmed with the SAI Secretariat.</w:t>
      </w:r>
    </w:p>
    <w:p>
      <w:pPr>
        <w:pStyle w:val="ListBullet"/>
        <w:spacing w:after="80"/>
      </w:pPr>
      <w:r>
        <w:rPr>
          <w:b/>
        </w:rPr>
        <w:t xml:space="preserve">Administrative risk. </w:t>
      </w:r>
      <w:r>
        <w:t>Now that the 2024 Edition is in force, the clause refers to a superseded edition. The 2022 Preamble and Art. 35.3 (assuming the 2024 Edition contains an equivalent transitional provision) allow the SAI to apply current procedural or administrative provisions where it considers this necessary and non-prejudicial, which introduces uncertainty about, for example, fee scales, emergency arbitrator mechanics, time limits and any expedited procedure. If the 2024 Edition contains provisions favourable to Greenleaf, Greenleaf may wish to agree with Kuiper to apply them; if unfavourable, Greenleaf should insist on the 2022 Edition. The Preamble’s reference to SAI Court "modifications" is itself a source of uncertainty.</w:t>
      </w:r>
    </w:p>
    <w:p>
      <w:pPr>
        <w:pStyle w:val="ListBullet"/>
        <w:spacing w:after="80"/>
      </w:pPr>
      <w:r>
        <w:rPr>
          <w:b/>
        </w:rPr>
        <w:t xml:space="preserve">Enforceability. </w:t>
      </w:r>
      <w:r>
        <w:t>Application of an edition other than the one agreed, if prejudicial, could be raised under Model Law Art. 34(2)(a)(iv). The risk is low if the SAI confines itself to administrative matters.</w:t>
      </w:r>
    </w:p>
    <w:p>
      <w:pPr>
        <w:pStyle w:val="Heading3"/>
      </w:pPr>
      <w:r>
        <w:t>Kuiper’s position (October 28, 2024 email)</w:t>
      </w:r>
    </w:p>
    <w:p>
      <w:pPr>
        <w:spacing w:after="120"/>
      </w:pPr>
      <w:r>
        <w:rPr>
          <w:b w:val="0"/>
          <w:i w:val="0"/>
        </w:rPr>
        <w:t>Kuiper’s email refers to the "SAI Rules (2022 Edition)" (citing Arts. 6 and 12), so both parties appear to accept that the 2022 Edition governs. That common position should be recorded.</w:t>
      </w:r>
    </w:p>
    <w:p>
      <w:pPr>
        <w:pStyle w:val="Heading3"/>
      </w:pPr>
      <w:r>
        <w:t>Recommendations</w:t>
      </w:r>
    </w:p>
    <w:p>
      <w:pPr>
        <w:spacing w:after="60"/>
        <w:ind w:left="432" w:hanging="360"/>
      </w:pPr>
      <w:r>
        <w:rPr>
          <w:b/>
        </w:rPr>
        <w:t xml:space="preserve">1.  </w:t>
      </w:r>
      <w:r>
        <w:t>Obtain the 2024 Edition and any 2022-2023 amendments; prepare a short comparison focused on Arts. 6, 12, 15bis/Appendix II, 20, 24, 26 and Appendix I.</w:t>
      </w:r>
    </w:p>
    <w:p>
      <w:pPr>
        <w:spacing w:after="60"/>
        <w:ind w:left="432" w:hanging="360"/>
      </w:pPr>
      <w:r>
        <w:rPr>
          <w:b/>
        </w:rPr>
        <w:t xml:space="preserve">2.  </w:t>
      </w:r>
      <w:r>
        <w:t>State in the Request that the 2022 Edition governs (consistent with Kuiper’s own position) and ask the Secretariat to confirm it will administer under that edition.</w:t>
      </w:r>
    </w:p>
    <w:p>
      <w:pPr>
        <w:spacing w:after="60"/>
        <w:ind w:left="432" w:hanging="360"/>
      </w:pPr>
      <w:r>
        <w:rPr>
          <w:b/>
        </w:rPr>
        <w:t xml:space="preserve">3.  </w:t>
      </w:r>
      <w:r>
        <w:t>Decide, after the comparison, whether to propose to Kuiper the application of any 2024 provisions.</w:t>
      </w:r>
    </w:p>
    <w:p>
      <w:pPr>
        <w:pStyle w:val="Heading2"/>
      </w:pPr>
      <w:r>
        <w:t>Issue 12: Waiver of "Any Right to Appeal the Award on Any Grounds"</w:t>
      </w:r>
    </w:p>
    <w:p>
      <w:r>
        <w:rPr>
          <w:b/>
        </w:rPr>
        <w:t xml:space="preserve">Severity: </w:t>
      </w:r>
      <w:r>
        <w:rPr>
          <w:b/>
          <w:color w:val="548235"/>
        </w:rPr>
        <w:t xml:space="preserve"> LOW </w:t>
      </w:r>
    </w:p>
    <w:p>
      <w:pPr>
        <w:spacing w:after="120"/>
      </w:pPr>
      <w:r>
        <w:rPr>
          <w:b/>
        </w:rPr>
        <w:t xml:space="preserve">Clause provision: </w:t>
      </w:r>
      <w:r>
        <w:t>"The parties waive any right to appeal the award on any grounds." (MSA s. 14.2)</w:t>
      </w:r>
    </w:p>
    <w:p>
      <w:pPr>
        <w:spacing w:after="120"/>
      </w:pPr>
      <w:r>
        <w:rPr>
          <w:b/>
        </w:rPr>
        <w:t xml:space="preserve">Corresponding SAI Rules provisions: </w:t>
      </w:r>
      <w:r>
        <w:t>Art. 29.1 (award binding; undertaking to carry it out without delay); Art. 29.2 (waiver of recourse insofar as validly waivable under applicable law); Art. 29.3 (non-waivable set-aside rights at the seat unaffected); Art. 28 (correction, interpretation, additional award within 30 days).</w:t>
      </w:r>
    </w:p>
    <w:p>
      <w:pPr>
        <w:pStyle w:val="Heading3"/>
      </w:pPr>
      <w:r>
        <w:t>Analysis</w:t>
      </w:r>
    </w:p>
    <w:p>
      <w:pPr>
        <w:pStyle w:val="ListBullet"/>
        <w:spacing w:after="80"/>
      </w:pPr>
      <w:r>
        <w:rPr>
          <w:b/>
        </w:rPr>
        <w:t xml:space="preserve">Scope correction. </w:t>
      </w:r>
      <w:r>
        <w:t>The assignment memorandum describes this as a blanket waiver "including any right to set aside the award". The clause does not say that: it waives a right to "appeal". An appeal (review on the merits) is conceptually distinct from an application to set aside an award on limited statutory grounds.</w:t>
      </w:r>
    </w:p>
    <w:p>
      <w:pPr>
        <w:pStyle w:val="ListBullet"/>
        <w:spacing w:after="80"/>
      </w:pPr>
      <w:r>
        <w:rPr>
          <w:b/>
        </w:rPr>
        <w:t xml:space="preserve">Consistency with the Rules and seat law. </w:t>
      </w:r>
      <w:r>
        <w:t>The waiver mirrors Art. 29.2. Under the IAA there is in any event no appeal on questions of law (that mechanism exists only under the domestic Arbitration Act 2001). The set-aside grounds under Model Law Art. 34 and IAA s. 24 (including fraud, corruption and breach of natural justice) are generally regarded in Singapore as not excludable by party agreement, and Art. 29.3 confirms that the Rules do not purport to exclude them. Resistance to recognition and enforcement under New York Convention Art. V is likewise unaffected. If the waiver were read as excluding set-aside, it would to that extent be ineffective, but it would not invalidate the arbitration agreement.</w:t>
      </w:r>
    </w:p>
    <w:p>
      <w:pPr>
        <w:pStyle w:val="ListBullet"/>
        <w:spacing w:after="80"/>
      </w:pPr>
      <w:r>
        <w:rPr>
          <w:b/>
        </w:rPr>
        <w:t xml:space="preserve">Strategic implications. </w:t>
      </w:r>
      <w:r>
        <w:t>The waiver is mutual. It cuts against Greenleaf if the tribunal misapplies New York law on the damages exclusion (Issue 2), because a merits error is not a set-aside ground. Conversely, the set-aside routes that remain (procedure not in accordance with the agreement; excess of mandate) are precisely those engaged by Issues 1, 2, 4 and 5, which is why those issues should be resolved by agreement before or early in the proceedings. Because the seat is Singapore, U.S. courts would have only secondary (enforcement) jurisdiction and could not vacate the award.</w:t>
      </w:r>
    </w:p>
    <w:p>
      <w:pPr>
        <w:pStyle w:val="ListBullet"/>
        <w:spacing w:after="80"/>
      </w:pPr>
      <w:r>
        <w:t>Correction and interpretation requests under Art. 28 are unaffected and should be calendared (30 days from receipt of the award).</w:t>
      </w:r>
    </w:p>
    <w:p>
      <w:pPr>
        <w:pStyle w:val="Heading3"/>
      </w:pPr>
      <w:r>
        <w:t>Recommendations</w:t>
      </w:r>
    </w:p>
    <w:p>
      <w:pPr>
        <w:spacing w:after="60"/>
        <w:ind w:left="432" w:hanging="360"/>
      </w:pPr>
      <w:r>
        <w:rPr>
          <w:b/>
        </w:rPr>
        <w:t xml:space="preserve">1.  </w:t>
      </w:r>
      <w:r>
        <w:t>No pre-filing action is needed on the waiver itself. Ensure that objections which could ground a set-aside (Issues 1, 4, 5) are raised promptly to avoid waiver under Art. 30 and Model Law Art. 4.</w:t>
      </w:r>
    </w:p>
    <w:p>
      <w:pPr>
        <w:spacing w:after="60"/>
        <w:ind w:left="432" w:hanging="360"/>
      </w:pPr>
      <w:r>
        <w:rPr>
          <w:b/>
        </w:rPr>
        <w:t xml:space="preserve">2.  </w:t>
      </w:r>
      <w:r>
        <w:t>Correct the characterisation in client-facing materials: the waiver does not extend to set-aside.</w:t>
      </w:r>
    </w:p>
    <w:p>
      <w:pPr>
        <w:pStyle w:val="Heading2"/>
      </w:pPr>
      <w:r>
        <w:t>Issue 13: Bifurcated Regime: New York Governing Law and Singapore Seat; Law of the Arbitration Agreement</w:t>
      </w:r>
    </w:p>
    <w:p>
      <w:r>
        <w:rPr>
          <w:b/>
        </w:rPr>
        <w:t xml:space="preserve">Severity: </w:t>
      </w:r>
      <w:r>
        <w:rPr>
          <w:b/>
          <w:color w:val="548235"/>
        </w:rPr>
        <w:t xml:space="preserve"> LOW </w:t>
      </w:r>
    </w:p>
    <w:p>
      <w:pPr>
        <w:spacing w:after="120"/>
      </w:pPr>
      <w:r>
        <w:rPr>
          <w:b/>
        </w:rPr>
        <w:t xml:space="preserve">Clause provision: </w:t>
      </w:r>
      <w:r>
        <w:t>MSA s. 14.1 (New York law governs the Agreement and all claims arising out of or relating to it; CISG excluded; procedural law of any arbitration determined by the seat); s. 14.2 (seat Singapore). No express choice of law for the arbitration agreement itself.</w:t>
      </w:r>
    </w:p>
    <w:p>
      <w:pPr>
        <w:spacing w:after="120"/>
      </w:pPr>
      <w:r>
        <w:rPr>
          <w:b/>
        </w:rPr>
        <w:t xml:space="preserve">Corresponding SAI Rules provisions: </w:t>
      </w:r>
      <w:r>
        <w:t>Arts. 10.1, 10.3, 10.4 (seat as agreed; hearings may be held elsewhere; award deemed made at the seat); Arts. 11.1 and 23.1 (substantive law as designated; refers to substantive law, not conflict rules); Art. 33 (tribunal to make every effort to ensure enforceability); Arts. 1.2 and 1.4(b) (party modifications subject to the law of the seat).</w:t>
      </w:r>
    </w:p>
    <w:p>
      <w:pPr>
        <w:pStyle w:val="Heading3"/>
      </w:pPr>
      <w:r>
        <w:t>Analysis</w:t>
      </w:r>
    </w:p>
    <w:p>
      <w:pPr>
        <w:pStyle w:val="ListBullet"/>
        <w:spacing w:after="80"/>
      </w:pPr>
      <w:r>
        <w:rPr>
          <w:b/>
        </w:rPr>
        <w:t xml:space="preserve">Allocation. </w:t>
      </w:r>
      <w:r>
        <w:t>Substance (breach, damages, construction of ss. 12 and 14.2, enforceability of the exclusions and the cap) is governed by New York law (s. 14.1; Art. 23.1). Procedure, the tribunal’s mandate, court support for interim measures and set-aside are governed by Singapore law (IAA and Model Law) (s. 14.1(b); Art. 10.4).</w:t>
      </w:r>
    </w:p>
    <w:p>
      <w:pPr>
        <w:pStyle w:val="ListBullet"/>
        <w:spacing w:after="80"/>
      </w:pPr>
      <w:r>
        <w:rPr>
          <w:b/>
        </w:rPr>
        <w:t xml:space="preserve">Gap. </w:t>
      </w:r>
      <w:r>
        <w:t>The clause does not specify the law governing the arbitration agreement. Under Singapore choice-of-law principles, an express choice of law for the main contract is a strong indicator of the law governing an arbitration agreement contained in it (BCY v. BCZ [2016] SGHC 249; see also Anupam Mittal v. Westbridge Ventures II Investment Holdings [2023] SGCA 1, applying both the law of the arbitration agreement and the law of the seat to arbitrability at the pre-award stage). New York law is therefore likely to govern the construction of the scope of the arbitrator’s authority (for example the damages exclusion), while Singapore law governs whether the tribunal stayed within that authority for set-aside purposes. The breadth of s. 14.1 ("all claims ... that may be based upon, arise out of, or relate to this Agreement") supports this.</w:t>
      </w:r>
    </w:p>
    <w:p>
      <w:pPr>
        <w:pStyle w:val="ListBullet"/>
        <w:spacing w:after="80"/>
      </w:pPr>
      <w:r>
        <w:rPr>
          <w:b/>
        </w:rPr>
        <w:t xml:space="preserve">Where the regimes interact. </w:t>
      </w:r>
      <w:r>
        <w:t>(a) Damages exclusion: enforceability under New York law (including the Kalisch-Jarcho public-policy limit) versus excess-of-mandate review at the seat (Issue 2). (b) Award deadline: seat procedure, but construed as a contractual term (Issue 1). (c) Confidentiality: New York contract law governs the express obligation; Singapore law supplies the implied duty and its exceptions and governs confidentiality of court proceedings (Issue 7). (d) Escalation: Singapore law on conditions precedent bears on admissibility/jurisdiction (Issue 4). (e) The jury waiver (s. 14.5) is relevant only to any U.S. court proceeding and has no effect on the arbitration.</w:t>
      </w:r>
    </w:p>
    <w:p>
      <w:pPr>
        <w:pStyle w:val="ListBullet"/>
        <w:spacing w:after="80"/>
      </w:pPr>
      <w:r>
        <w:t>Related observation (s. 14.4, continued performance). Section 14.4 requires both parties to continue performing pending resolution. Greenleaf’s withholding of $1.4 million of invoices is the basis of Kuiper’s counterclaim, and Kuiper may also allege breach of s. 14.4. Greenleaf should be ready to justify the withholding (e.g., set-off or a contractual right in Schedule B or elsewhere) under New York law.</w:t>
      </w:r>
    </w:p>
    <w:p>
      <w:pPr>
        <w:pStyle w:val="Heading3"/>
      </w:pPr>
      <w:r>
        <w:t>Recommendations</w:t>
      </w:r>
    </w:p>
    <w:p>
      <w:pPr>
        <w:spacing w:after="60"/>
        <w:ind w:left="432" w:hanging="360"/>
      </w:pPr>
      <w:r>
        <w:rPr>
          <w:b/>
        </w:rPr>
        <w:t xml:space="preserve">1.  </w:t>
      </w:r>
      <w:r>
        <w:t>Engage Singapore counsel (procedure, IAA s. 12A, set-aside risk) and German counsel (interim relief in Munich, enforcement against Kuiper) now; this firm to lead on New York substantive law.</w:t>
      </w:r>
    </w:p>
    <w:p>
      <w:pPr>
        <w:spacing w:after="60"/>
        <w:ind w:left="432" w:hanging="360"/>
      </w:pPr>
      <w:r>
        <w:rPr>
          <w:b/>
        </w:rPr>
        <w:t xml:space="preserve">2.  </w:t>
      </w:r>
      <w:r>
        <w:t>Analyse the contractual basis for Greenleaf’s withholding of the $1.4 million and its exposure under s. 14.4.</w:t>
      </w:r>
    </w:p>
    <w:p>
      <w:pPr>
        <w:pStyle w:val="Heading1"/>
      </w:pPr>
      <w:r>
        <w:t>Part F. Pre-Filing Action Plan</w:t>
      </w:r>
    </w:p>
    <w:p>
      <w:pPr>
        <w:spacing w:after="120"/>
      </w:pPr>
      <w:r>
        <w:rPr>
          <w:b w:val="0"/>
          <w:i w:val="0"/>
        </w:rPr>
        <w:t>The steps below are sequenced by urgency. Dates assume this report is acted upon on November 5, 2024.</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val="clear" w:color="auto" w:fill="1F3864"/>
          </w:tcPr>
          <w:p>
            <w:r/>
            <w:r>
              <w:rPr>
                <w:b/>
                <w:color w:val="FFFFFF"/>
                <w:sz w:val="19"/>
              </w:rPr>
              <w:t>When</w:t>
            </w:r>
          </w:p>
        </w:tc>
        <w:tc>
          <w:tcPr>
            <w:tcW w:type="dxa" w:w="6408"/>
            <w:shd w:val="clear" w:color="auto" w:fill="1F3864"/>
          </w:tcPr>
          <w:p>
            <w:r/>
            <w:r>
              <w:rPr>
                <w:b/>
                <w:color w:val="FFFFFF"/>
                <w:sz w:val="19"/>
              </w:rPr>
              <w:t>Action</w:t>
            </w:r>
          </w:p>
        </w:tc>
        <w:tc>
          <w:tcPr>
            <w:tcW w:type="dxa" w:w="1008"/>
            <w:shd w:val="clear" w:color="auto" w:fill="1F3864"/>
          </w:tcPr>
          <w:p>
            <w:r/>
            <w:r>
              <w:rPr>
                <w:b/>
                <w:color w:val="FFFFFF"/>
                <w:sz w:val="19"/>
              </w:rPr>
              <w:t>Issues</w:t>
            </w:r>
          </w:p>
        </w:tc>
      </w:tr>
      <w:tr>
        <w:tc>
          <w:tcPr>
            <w:tcW w:type="dxa" w:w="1944"/>
          </w:tcPr>
          <w:p>
            <w:r/>
            <w:r>
              <w:rPr>
                <w:sz w:val="18"/>
              </w:rPr>
              <w:t>Immediately (Day 0)</w:t>
            </w:r>
          </w:p>
        </w:tc>
        <w:tc>
          <w:tcPr>
            <w:tcW w:type="dxa" w:w="6408"/>
          </w:tcPr>
          <w:p>
            <w:r/>
            <w:r>
              <w:rPr>
                <w:sz w:val="18"/>
              </w:rPr>
              <w:t>Send preservation / litigation hold demand to Kuiper (s. 15.3: email to both Kuiper domains and courier to Dr. Vogel at Leopoldstrasse 78; copy Dr. Feldhammer, Dr. Grau and info@feldhammer-grau.de), seeking a written undertaking within 48 hours to suspend deletion and permit forensic imaging.</w:t>
            </w:r>
          </w:p>
        </w:tc>
        <w:tc>
          <w:tcPr>
            <w:tcW w:type="dxa" w:w="1008"/>
          </w:tcPr>
          <w:p>
            <w:r/>
            <w:r>
              <w:rPr>
                <w:sz w:val="18"/>
              </w:rPr>
              <w:t>3, 8</w:t>
            </w:r>
          </w:p>
        </w:tc>
      </w:tr>
      <w:tr>
        <w:tc>
          <w:tcPr>
            <w:tcW w:type="dxa" w:w="1944"/>
          </w:tcPr>
          <w:p>
            <w:r/>
            <w:r>
              <w:rPr>
                <w:sz w:val="18"/>
              </w:rPr>
              <w:t>Day 0-2</w:t>
            </w:r>
          </w:p>
        </w:tc>
        <w:tc>
          <w:tcPr>
            <w:tcW w:type="dxa" w:w="6408"/>
          </w:tcPr>
          <w:p>
            <w:r/>
            <w:r>
              <w:rPr>
                <w:sz w:val="18"/>
              </w:rPr>
              <w:t>Finalise emergency arbitrator application (EA-1 contents; CHF 20,000 fee); instruct German counsel on a Munich court application (ZPO ss. 1025(2), 1033); instruct Singapore counsel on IAA s. 12A and sealing (ss. 22-23). Seek Secretariat confirmation that an EA application may precede the Request.</w:t>
            </w:r>
          </w:p>
        </w:tc>
        <w:tc>
          <w:tcPr>
            <w:tcW w:type="dxa" w:w="1008"/>
          </w:tcPr>
          <w:p>
            <w:r/>
            <w:r>
              <w:rPr>
                <w:sz w:val="18"/>
              </w:rPr>
              <w:t>3, 7</w:t>
            </w:r>
          </w:p>
        </w:tc>
      </w:tr>
      <w:tr>
        <w:tc>
          <w:tcPr>
            <w:tcW w:type="dxa" w:w="1944"/>
          </w:tcPr>
          <w:p>
            <w:r/>
            <w:r>
              <w:rPr>
                <w:sz w:val="18"/>
              </w:rPr>
              <w:t>Day 2 (if no undertaking)</w:t>
            </w:r>
          </w:p>
        </w:tc>
        <w:tc>
          <w:tcPr>
            <w:tcW w:type="dxa" w:w="6408"/>
          </w:tcPr>
          <w:p>
            <w:r/>
            <w:r>
              <w:rPr>
                <w:sz w:val="18"/>
              </w:rPr>
              <w:t>File EA application; consider parallel court application if Kuiper signals non-compliance.</w:t>
            </w:r>
          </w:p>
        </w:tc>
        <w:tc>
          <w:tcPr>
            <w:tcW w:type="dxa" w:w="1008"/>
          </w:tcPr>
          <w:p>
            <w:r/>
            <w:r>
              <w:rPr>
                <w:sz w:val="18"/>
              </w:rPr>
              <w:t>3</w:t>
            </w:r>
          </w:p>
        </w:tc>
      </w:tr>
      <w:tr>
        <w:tc>
          <w:tcPr>
            <w:tcW w:type="dxa" w:w="1944"/>
          </w:tcPr>
          <w:p>
            <w:r/>
            <w:r>
              <w:rPr>
                <w:sz w:val="18"/>
              </w:rPr>
              <w:t>Day 0-3</w:t>
            </w:r>
          </w:p>
        </w:tc>
        <w:tc>
          <w:tcPr>
            <w:tcW w:type="dxa" w:w="6408"/>
          </w:tcPr>
          <w:p>
            <w:r/>
            <w:r>
              <w:rPr>
                <w:sz w:val="18"/>
              </w:rPr>
              <w:t>Retrieve September 12 notice and delivery proofs; serve protective Dispute Notice under s. 14.3(a) (English, email + courier, all addresses); propose VP-level meeting within 10 days, responding to Kuiper’s invitation to explore resolution.</w:t>
            </w:r>
          </w:p>
        </w:tc>
        <w:tc>
          <w:tcPr>
            <w:tcW w:type="dxa" w:w="1008"/>
          </w:tcPr>
          <w:p>
            <w:r/>
            <w:r>
              <w:rPr>
                <w:sz w:val="18"/>
              </w:rPr>
              <w:t>4</w:t>
            </w:r>
          </w:p>
        </w:tc>
      </w:tr>
      <w:tr>
        <w:tc>
          <w:tcPr>
            <w:tcW w:type="dxa" w:w="1944"/>
          </w:tcPr>
          <w:p>
            <w:r/>
            <w:r>
              <w:rPr>
                <w:sz w:val="18"/>
              </w:rPr>
              <w:t>Day 0-5</w:t>
            </w:r>
          </w:p>
        </w:tc>
        <w:tc>
          <w:tcPr>
            <w:tcW w:type="dxa" w:w="6408"/>
          </w:tcPr>
          <w:p>
            <w:r/>
            <w:r>
              <w:rPr>
                <w:sz w:val="18"/>
              </w:rPr>
              <w:t>Written response to the October 28 email: (a) language: submissions in either language accepted, award language for the tribunal, Greenleaf’s position English; (b) 15-day window binding under Art. 1.4, rejection of Kuiper’s reservation; (c) confidentiality: rejection of overbroad reading, notice of legally required disclosures; (d) full reservation of rights, including under Art. 30.</w:t>
            </w:r>
          </w:p>
        </w:tc>
        <w:tc>
          <w:tcPr>
            <w:tcW w:type="dxa" w:w="1008"/>
          </w:tcPr>
          <w:p>
            <w:r/>
            <w:r>
              <w:rPr>
                <w:sz w:val="18"/>
              </w:rPr>
              <w:t>5, 6, 7</w:t>
            </w:r>
          </w:p>
        </w:tc>
      </w:tr>
      <w:tr>
        <w:tc>
          <w:tcPr>
            <w:tcW w:type="dxa" w:w="1944"/>
          </w:tcPr>
          <w:p>
            <w:r/>
            <w:r>
              <w:rPr>
                <w:sz w:val="18"/>
              </w:rPr>
              <w:t>Day 5-10</w:t>
            </w:r>
          </w:p>
        </w:tc>
        <w:tc>
          <w:tcPr>
            <w:tcW w:type="dxa" w:w="6408"/>
          </w:tcPr>
          <w:p>
            <w:r/>
            <w:r>
              <w:rPr>
                <w:sz w:val="18"/>
              </w:rPr>
              <w:t>Propose a single written Procedural Agreement under Art. 1.2 covering: (i) award deadline replaced by Art. 24 regime (or a deadline from close of proceedings with SAI Court extension power); (ii) 30-day appointment window with SAI Court default thereafter; (iii) English as language of award, orders and hearings (with interpretation), translation obligations on the submitting party; (iv) confidentiality protocol incorporating Art. 20.2 exceptions perpetually; (v) clarification that "own costs" means party legal/expert costs only; (vi) confirmation of the 2022 Edition and that "documents" include ESI.</w:t>
            </w:r>
          </w:p>
        </w:tc>
        <w:tc>
          <w:tcPr>
            <w:tcW w:type="dxa" w:w="1008"/>
          </w:tcPr>
          <w:p>
            <w:r/>
            <w:r>
              <w:rPr>
                <w:sz w:val="18"/>
              </w:rPr>
              <w:t>1, 5, 6, 7, 8, 10, 11</w:t>
            </w:r>
          </w:p>
        </w:tc>
      </w:tr>
      <w:tr>
        <w:tc>
          <w:tcPr>
            <w:tcW w:type="dxa" w:w="1944"/>
          </w:tcPr>
          <w:p>
            <w:r/>
            <w:r>
              <w:rPr>
                <w:sz w:val="18"/>
              </w:rPr>
              <w:t>Day 0-10</w:t>
            </w:r>
          </w:p>
        </w:tc>
        <w:tc>
          <w:tcPr>
            <w:tcW w:type="dxa" w:w="6408"/>
          </w:tcPr>
          <w:p>
            <w:r/>
            <w:r>
              <w:rPr>
                <w:sz w:val="18"/>
              </w:rPr>
              <w:t>Obtain MSA ss. 7.4 and 13, Schedule B and SAI 2024 Edition; re-model damages into direct / mitigation / at-risk tranches; instruct Palladian on gross negligence / willful misconduct indicators; confirm FDA and SEC disclosure obligations; put NDAs in place with Palladian.</w:t>
            </w:r>
          </w:p>
        </w:tc>
        <w:tc>
          <w:tcPr>
            <w:tcW w:type="dxa" w:w="1008"/>
          </w:tcPr>
          <w:p>
            <w:r/>
            <w:r>
              <w:rPr>
                <w:sz w:val="18"/>
              </w:rPr>
              <w:t>2, 7, 11</w:t>
            </w:r>
          </w:p>
        </w:tc>
      </w:tr>
      <w:tr>
        <w:tc>
          <w:tcPr>
            <w:tcW w:type="dxa" w:w="1944"/>
          </w:tcPr>
          <w:p>
            <w:r/>
            <w:r>
              <w:rPr>
                <w:sz w:val="18"/>
              </w:rPr>
              <w:t>Day 0-14</w:t>
            </w:r>
          </w:p>
        </w:tc>
        <w:tc>
          <w:tcPr>
            <w:tcW w:type="dxa" w:w="6408"/>
          </w:tcPr>
          <w:p>
            <w:r/>
            <w:r>
              <w:rPr>
                <w:sz w:val="18"/>
              </w:rPr>
              <w:t>Build arbitrator shortlist (3-5 candidates: cloud/data and life-sciences expertise; German capability; conflicts cleared against Kuiper and Feldhammer Grau; availability); consider sharing with Kuiper before filing.</w:t>
            </w:r>
          </w:p>
        </w:tc>
        <w:tc>
          <w:tcPr>
            <w:tcW w:type="dxa" w:w="1008"/>
          </w:tcPr>
          <w:p>
            <w:r/>
            <w:r>
              <w:rPr>
                <w:sz w:val="18"/>
              </w:rPr>
              <w:t>5, 6, 9</w:t>
            </w:r>
          </w:p>
        </w:tc>
      </w:tr>
      <w:tr>
        <w:tc>
          <w:tcPr>
            <w:tcW w:type="dxa" w:w="1944"/>
          </w:tcPr>
          <w:p>
            <w:r/>
            <w:r>
              <w:rPr>
                <w:sz w:val="18"/>
              </w:rPr>
              <w:t>On expiry of 60-day period (Nov. 11, 2024 at the earliest; early Jan. 2025 if a new Dispute Notice is required)</w:t>
            </w:r>
          </w:p>
        </w:tc>
        <w:tc>
          <w:tcPr>
            <w:tcW w:type="dxa" w:w="6408"/>
          </w:tcPr>
          <w:p>
            <w:r/>
            <w:r>
              <w:rPr>
                <w:sz w:val="18"/>
              </w:rPr>
              <w:t>File Request (Art. 4.2), in English, with: copy of s. 14.2; claim pleaded as direct damages with alternative carve-out and public-policy arguments; observations on language, seat, sole arbitrator, 2022 Edition and the 90-day deadline (Art. 4.2(e)); proposed arbitrator (Art. 4.2(f)); CHF 5,000 filing fee (Art. 4.2(g)).</w:t>
            </w:r>
          </w:p>
        </w:tc>
        <w:tc>
          <w:tcPr>
            <w:tcW w:type="dxa" w:w="1008"/>
          </w:tcPr>
          <w:p>
            <w:r/>
            <w:r>
              <w:rPr>
                <w:sz w:val="18"/>
              </w:rPr>
              <w:t>All</w:t>
            </w:r>
          </w:p>
        </w:tc>
      </w:tr>
      <w:tr>
        <w:tc>
          <w:tcPr>
            <w:tcW w:type="dxa" w:w="1944"/>
          </w:tcPr>
          <w:p>
            <w:r/>
            <w:r>
              <w:rPr>
                <w:sz w:val="18"/>
              </w:rPr>
              <w:t>Day 1-15 after filing</w:t>
            </w:r>
          </w:p>
        </w:tc>
        <w:tc>
          <w:tcPr>
            <w:tcW w:type="dxa" w:w="6408"/>
          </w:tcPr>
          <w:p>
            <w:r/>
            <w:r>
              <w:rPr>
                <w:sz w:val="18"/>
              </w:rPr>
              <w:t>Seek agreement on the sole arbitrator; if none, apply for SAI Court appointment under Art. 6.4 read with Art. 1.4 (unless a longer window has been agreed).</w:t>
            </w:r>
          </w:p>
        </w:tc>
        <w:tc>
          <w:tcPr>
            <w:tcW w:type="dxa" w:w="1008"/>
          </w:tcPr>
          <w:p>
            <w:r/>
            <w:r>
              <w:rPr>
                <w:sz w:val="18"/>
              </w:rPr>
              <w:t>5</w:t>
            </w:r>
          </w:p>
        </w:tc>
      </w:tr>
      <w:tr>
        <w:tc>
          <w:tcPr>
            <w:tcW w:type="dxa" w:w="1944"/>
          </w:tcPr>
          <w:p>
            <w:r/>
            <w:r>
              <w:rPr>
                <w:sz w:val="18"/>
              </w:rPr>
              <w:t>First case management conference</w:t>
            </w:r>
          </w:p>
        </w:tc>
        <w:tc>
          <w:tcPr>
            <w:tcW w:type="dxa" w:w="6408"/>
          </w:tcPr>
          <w:p>
            <w:r/>
            <w:r>
              <w:rPr>
                <w:sz w:val="18"/>
              </w:rPr>
              <w:t>Terms of Reference recording any agreed modifications; directions on languages, ESI, neutral forensic expert, confidentiality protocol and timetable.</w:t>
            </w:r>
          </w:p>
        </w:tc>
        <w:tc>
          <w:tcPr>
            <w:tcW w:type="dxa" w:w="1008"/>
          </w:tcPr>
          <w:p>
            <w:r/>
            <w:r>
              <w:rPr>
                <w:sz w:val="18"/>
              </w:rPr>
              <w:t>1, 6, 7, 8</w:t>
            </w:r>
          </w:p>
        </w:tc>
      </w:tr>
    </w:tbl>
    <w:p>
      <w:pPr>
        <w:spacing w:after="40"/>
      </w:pPr>
    </w:p>
    <w:p>
      <w:pPr>
        <w:pStyle w:val="Heading1"/>
      </w:pPr>
      <w:r>
        <w:t>Part G. Assumptions, Open Items and Limitations</w:t>
      </w:r>
    </w:p>
    <w:p>
      <w:pPr>
        <w:pStyle w:val="ListBullet"/>
        <w:spacing w:after="80"/>
      </w:pPr>
      <w:r>
        <w:t>The analysis is based only on the documents listed in the cover table. The MSA excerpt omits Sections 1-11, 13 and 16-20 and the Schedules; conclusions on Issue 2 in particular may change once Sections 7.4 and 13 are reviewed.</w:t>
      </w:r>
    </w:p>
    <w:p>
      <w:pPr>
        <w:pStyle w:val="ListBullet"/>
        <w:spacing w:after="80"/>
      </w:pPr>
      <w:r>
        <w:t>We have assumed that the September 12, 2024 notice and the October 3, 2024 response are as described in the memorandum and in Kuiper’s email; we have not seen them.</w:t>
      </w:r>
    </w:p>
    <w:p>
      <w:pPr>
        <w:pStyle w:val="ListBullet"/>
        <w:spacing w:after="80"/>
      </w:pPr>
      <w:r>
        <w:t>We have assumed that the 2022 Edition was the edition in force on March 15, 2023 and that no amendment intervened; the 2024 Edition has not been reviewed.</w:t>
      </w:r>
    </w:p>
    <w:p>
      <w:pPr>
        <w:pStyle w:val="ListBullet"/>
        <w:spacing w:after="80"/>
      </w:pPr>
      <w:r>
        <w:t>USD/CHF conversions use the approximate rate implied by the memorandum (CHF 5 million to about $5.6 million) and must be updated at filing.</w:t>
      </w:r>
    </w:p>
    <w:p>
      <w:pPr>
        <w:pStyle w:val="ListBullet"/>
        <w:spacing w:after="80"/>
      </w:pPr>
      <w:r>
        <w:t>The server-log deletion analysis relies on Palladian’s 90-120 day estimate and the June-August 2024 event window; exact event dates and Kuiper’s actual retention settings should be confirmed.</w:t>
      </w:r>
    </w:p>
    <w:p>
      <w:pPr>
        <w:pStyle w:val="ListBullet"/>
        <w:spacing w:after="80"/>
      </w:pPr>
      <w:r>
        <w:t>Statements of Singapore and German law are summary views for planning purposes and must be confirmed by local counsel; case citations should be cite-checked before use in any submission.</w:t>
      </w:r>
    </w:p>
    <w:p>
      <w:pPr>
        <w:pStyle w:val="ListBullet"/>
        <w:spacing w:after="80"/>
      </w:pPr>
      <w:r>
        <w:t>Whether Greenleaf is publicly traded (relevant to securities disclosure under Issue 7) is to be confirmed with Mr. Yuen.</w:t>
      </w:r>
    </w:p>
    <w:p>
      <w:pPr>
        <w:spacing w:after="120"/>
      </w:pPr>
      <w:r>
        <w:rPr>
          <w:b w:val="0"/>
          <w:i w:val="0"/>
        </w:rPr>
      </w:r>
    </w:p>
    <w:p>
      <w:pPr>
        <w:spacing w:after="120"/>
      </w:pPr>
      <w:r>
        <w:rPr>
          <w:b w:val="0"/>
          <w:i/>
        </w:rPr>
        <w:t>David Rashidi, Senior Associate, Thorncastle &amp; Whitmore LLP</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