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INTERNATIONAL CHAMBER OF COMMERCE</w:t>
      </w:r>
    </w:p>
    <w:p>
      <w:pPr>
        <w:spacing w:after="360"/>
        <w:jc w:val="center"/>
      </w:pPr>
      <w:r>
        <w:rPr>
          <w:b/>
          <w:sz w:val="26"/>
        </w:rPr>
        <w:t>INTERNATIONAL COURT OF ARBITRATION</w:t>
      </w:r>
    </w:p>
    <w:p>
      <w:pPr>
        <w:spacing w:after="120"/>
        <w:jc w:val="center"/>
      </w:pPr>
      <w:r>
        <w:rPr>
          <w:b/>
          <w:sz w:val="24"/>
        </w:rPr>
        <w:t>EMERGENCY ARBITRATOR PROCEEDINGS</w:t>
      </w:r>
    </w:p>
    <w:p>
      <w:pPr>
        <w:spacing w:after="480"/>
        <w:jc w:val="center"/>
      </w:pPr>
      <w:r>
        <w:rPr>
          <w:b w:val="0"/>
          <w:sz w:val="22"/>
        </w:rPr>
        <w:t>pursuant to Article 29 and Appendix V (Emergency Arbitrator Rules) of the ICC Rules of Arbitration (in force as from 1 January 2021)</w:t>
      </w:r>
    </w:p>
    <w:p>
      <w:pPr>
        <w:spacing w:after="480"/>
        <w:jc w:val="center"/>
      </w:pPr>
      <w:r>
        <w:rPr>
          <w:b w:val="0"/>
          <w:sz w:val="22"/>
        </w:rPr>
        <w:t>ICC Case No. [to be assigned by the Secretariat]</w:t>
      </w:r>
    </w:p>
    <w:p>
      <w:pPr>
        <w:spacing w:after="40"/>
        <w:jc w:val="center"/>
      </w:pPr>
      <w:r>
        <w:rPr>
          <w:b/>
          <w:sz w:val="28"/>
        </w:rPr>
        <w:t>PINNACLE DYNAMICS INC.</w:t>
      </w:r>
    </w:p>
    <w:p>
      <w:pPr>
        <w:spacing w:after="40"/>
        <w:jc w:val="center"/>
      </w:pPr>
      <w:r>
        <w:rPr>
          <w:b w:val="0"/>
          <w:sz w:val="22"/>
        </w:rPr>
        <w:t>(Delaware, United States of America)</w:t>
      </w:r>
    </w:p>
    <w:p>
      <w:pPr>
        <w:spacing w:after="280"/>
        <w:jc w:val="center"/>
      </w:pPr>
      <w:r>
        <w:rPr>
          <w:b w:val="0"/>
          <w:sz w:val="22"/>
        </w:rPr>
        <w:t>Applicant / Claimant</w:t>
      </w:r>
    </w:p>
    <w:p>
      <w:pPr>
        <w:spacing w:after="280"/>
        <w:jc w:val="center"/>
      </w:pPr>
      <w:r>
        <w:rPr>
          <w:b w:val="0"/>
          <w:sz w:val="24"/>
        </w:rPr>
        <w:t>v.</w:t>
      </w:r>
    </w:p>
    <w:p>
      <w:pPr>
        <w:spacing w:after="40"/>
        <w:jc w:val="center"/>
      </w:pPr>
      <w:r>
        <w:rPr>
          <w:b/>
          <w:sz w:val="28"/>
        </w:rPr>
        <w:t>DR. RAJAN MEHTA</w:t>
      </w:r>
    </w:p>
    <w:p>
      <w:pPr>
        <w:spacing w:after="40"/>
        <w:jc w:val="center"/>
      </w:pPr>
      <w:r>
        <w:rPr>
          <w:b w:val="0"/>
          <w:sz w:val="22"/>
        </w:rPr>
        <w:t>(Texas, United States of America)</w:t>
      </w:r>
    </w:p>
    <w:p>
      <w:pPr>
        <w:spacing w:after="560"/>
        <w:jc w:val="center"/>
      </w:pPr>
      <w:r>
        <w:rPr>
          <w:b w:val="0"/>
          <w:sz w:val="22"/>
        </w:rPr>
        <w:t>Respondent</w:t>
      </w:r>
    </w:p>
    <w:p>
      <w:pPr>
        <w:spacing w:after="120"/>
        <w:jc w:val="center"/>
      </w:pPr>
      <w:r>
        <w:rPr>
          <w:b/>
          <w:sz w:val="30"/>
        </w:rPr>
        <w:t>APPLICATION FOR EMERGENCY MEASURES</w:t>
      </w:r>
    </w:p>
    <w:p>
      <w:pPr>
        <w:spacing w:after="560"/>
        <w:jc w:val="center"/>
      </w:pPr>
      <w:r>
        <w:rPr>
          <w:b w:val="0"/>
          <w:sz w:val="22"/>
        </w:rPr>
        <w:t>(Article 29(1) of the ICC Rules; Article 1 of Appendix V)</w:t>
      </w:r>
    </w:p>
    <w:p>
      <w:pPr>
        <w:spacing w:after="560"/>
        <w:jc w:val="center"/>
      </w:pPr>
      <w:r>
        <w:rPr>
          <w:b w:val="0"/>
          <w:sz w:val="20"/>
        </w:rPr>
        <w:t>Place of arbitration: New York, New York, U.S.A.   |   Language: English   |   Governing law: New York</w:t>
      </w:r>
    </w:p>
    <w:p>
      <w:pPr>
        <w:spacing w:after="560"/>
        <w:jc w:val="center"/>
      </w:pPr>
      <w:r>
        <w:rPr>
          <w:b w:val="0"/>
          <w:sz w:val="24"/>
        </w:rPr>
        <w:t>[21] May 2025</w:t>
      </w:r>
    </w:p>
    <w:p>
      <w:pPr>
        <w:spacing w:after="40"/>
        <w:jc w:val="center"/>
      </w:pPr>
      <w:r>
        <w:rPr>
          <w:b/>
          <w:sz w:val="22"/>
        </w:rPr>
        <w:t>Counsel for the Applicant</w:t>
      </w:r>
    </w:p>
    <w:p>
      <w:pPr>
        <w:spacing w:after="40"/>
        <w:jc w:val="center"/>
      </w:pPr>
      <w:r>
        <w:rPr>
          <w:b/>
          <w:sz w:val="22"/>
        </w:rPr>
        <w:t>HARGROVE, TILLMAN &amp; BECK LLP</w:t>
      </w:r>
    </w:p>
    <w:p>
      <w:pPr>
        <w:spacing w:after="400"/>
        <w:jc w:val="center"/>
      </w:pPr>
      <w:r>
        <w:rPr>
          <w:b w:val="0"/>
          <w:sz w:val="20"/>
        </w:rPr>
        <w:t>[Address] | [Telephone] | [Email]</w:t>
      </w:r>
    </w:p>
    <w:p>
      <w:pPr>
        <w:spacing w:after="120"/>
        <w:jc w:val="center"/>
      </w:pPr>
      <w:r>
        <w:rPr>
          <w:b w:val="0"/>
          <w:sz w:val="18"/>
        </w:rPr>
        <w:t>CONFIDENTIAL — Submitted subject to Section 12(e) of the Employment Agreement and Section 9.5 of the IP Assignment and Confidentiality Agreement. Contains trade-secret descriptions; Applicant requests that the Secretariat and the Emergency Arbitrator treat this Application and its exhibits as confidential.</w:t>
      </w:r>
    </w:p>
    <w:p>
      <w:r>
        <w:br w:type="page"/>
      </w:r>
    </w:p>
    <w:p>
      <w:pPr>
        <w:spacing w:after="200"/>
        <w:jc w:val="center"/>
      </w:pPr>
      <w:r>
        <w:rPr>
          <w:b/>
          <w:sz w:val="24"/>
        </w:rPr>
        <w:t>TABLE OF CONTENTS</w:t>
      </w:r>
    </w:p>
    <w:p>
      <w:pPr>
        <w:spacing w:after="160" w:line="276" w:lineRule="auto"/>
        <w:jc w:val="both"/>
      </w:pPr>
      <w:r>
        <w:t>I.</w:t>
        <w:tab/>
        <w:t>Introduction and Summary of the Application</w:t>
      </w:r>
    </w:p>
    <w:p>
      <w:pPr>
        <w:spacing w:after="160" w:line="276" w:lineRule="auto"/>
        <w:jc w:val="both"/>
      </w:pPr>
      <w:r>
        <w:t>II.</w:t>
        <w:tab/>
        <w:t>The Parties and Their Representatives (Appendix V, Art. 1(3)(a)–(b))</w:t>
      </w:r>
    </w:p>
    <w:p>
      <w:pPr>
        <w:spacing w:after="160" w:line="276" w:lineRule="auto"/>
        <w:jc w:val="both"/>
      </w:pPr>
      <w:r>
        <w:t>III.</w:t>
        <w:tab/>
        <w:t>The Arbitration Agreements, Jurisdiction and Applicability of the Emergency Arbitrator Provisions (Appendix V, Art. 1(3)(f)–(g), (i))</w:t>
      </w:r>
    </w:p>
    <w:p>
      <w:pPr>
        <w:spacing w:after="160" w:line="276" w:lineRule="auto"/>
        <w:jc w:val="both"/>
      </w:pPr>
      <w:r>
        <w:t>IV.</w:t>
        <w:tab/>
        <w:t>Statement of Facts (Appendix V, Art. 1(3)(c))</w:t>
      </w:r>
    </w:p>
    <w:p>
      <w:pPr>
        <w:spacing w:after="160" w:line="276" w:lineRule="auto"/>
        <w:jc w:val="both"/>
      </w:pPr>
      <w:r>
        <w:t>V.</w:t>
        <w:tab/>
        <w:t>The Underlying Dispute to Be Referred to Arbitration</w:t>
      </w:r>
    </w:p>
    <w:p>
      <w:pPr>
        <w:spacing w:after="160" w:line="276" w:lineRule="auto"/>
        <w:jc w:val="both"/>
      </w:pPr>
      <w:r>
        <w:t>VI.</w:t>
        <w:tab/>
        <w:t>The Applicable Standard for Emergency Measures</w:t>
      </w:r>
    </w:p>
    <w:p>
      <w:pPr>
        <w:spacing w:after="160" w:line="276" w:lineRule="auto"/>
        <w:jc w:val="both"/>
      </w:pPr>
      <w:r>
        <w:t>VII.</w:t>
        <w:tab/>
        <w:t>The Applicant Satisfies Each Requirement for Emergency Measures (Appendix V, Art. 1(3)(e))</w:t>
      </w:r>
    </w:p>
    <w:p>
      <w:pPr>
        <w:spacing w:after="160" w:line="276" w:lineRule="auto"/>
        <w:jc w:val="both"/>
      </w:pPr>
      <w:r>
        <w:t>VIII.</w:t>
        <w:tab/>
        <w:t>Emergency Measures Requested (Appendix V, Art. 1(3)(d))</w:t>
      </w:r>
    </w:p>
    <w:p>
      <w:pPr>
        <w:spacing w:after="160" w:line="276" w:lineRule="auto"/>
        <w:jc w:val="both"/>
      </w:pPr>
      <w:r>
        <w:t>IX.</w:t>
        <w:tab/>
        <w:t>Procedural Requests</w:t>
      </w:r>
    </w:p>
    <w:p>
      <w:pPr>
        <w:spacing w:after="160" w:line="276" w:lineRule="auto"/>
        <w:jc w:val="both"/>
      </w:pPr>
      <w:r>
        <w:t>X.</w:t>
        <w:tab/>
        <w:t>Advance on Costs (Appendix V, Arts. 1(3)(h) and 7(1))</w:t>
      </w:r>
    </w:p>
    <w:p>
      <w:pPr>
        <w:spacing w:after="160" w:line="276" w:lineRule="auto"/>
        <w:jc w:val="both"/>
      </w:pPr>
      <w:r>
        <w:t>XI.</w:t>
        <w:tab/>
        <w:t>Reservation of Rights</w:t>
      </w:r>
    </w:p>
    <w:p>
      <w:pPr>
        <w:spacing w:after="160" w:line="276" w:lineRule="auto"/>
        <w:jc w:val="both"/>
      </w:pPr>
      <w:r>
        <w:t>Schedule 1 — Index of Exhibits</w:t>
      </w:r>
    </w:p>
    <w:p>
      <w:pPr>
        <w:spacing w:after="160" w:line="276" w:lineRule="auto"/>
        <w:jc w:val="both"/>
      </w:pPr>
      <w:r>
        <w:t>Schedule 2 — Consolidated Chronology</w:t>
      </w:r>
    </w:p>
    <w:p>
      <w:pPr>
        <w:spacing w:after="160" w:line="276" w:lineRule="auto"/>
        <w:jc w:val="both"/>
      </w:pPr>
      <w:r>
        <w:t>Schedule 3 — Compliance Checklist: Appendix V, Article 1(3)</w:t>
      </w:r>
    </w:p>
    <w:p>
      <w:pPr>
        <w:spacing w:after="160" w:line="276" w:lineRule="auto"/>
        <w:jc w:val="both"/>
      </w:pPr>
      <w:r>
        <w:t>Annex — Counsel’s Internal Drafting Notes (REMOVE BEFORE FILING)</w:t>
      </w:r>
    </w:p>
    <w:p>
      <w:pPr>
        <w:spacing w:after="160" w:line="276" w:lineRule="auto"/>
        <w:jc w:val="both"/>
      </w:pPr>
      <w:r>
        <w:rPr>
          <w:b/>
        </w:rPr>
        <w:t>Defined terms.</w:t>
      </w:r>
      <w:r>
        <w:t xml:space="preserve"> “Applicant” or “Pinnacle”: Pinnacle Dynamics Inc. “Respondent” or “Dr. Mehta”: Dr. Rajan Mehta. “Employment Agreement” or “EA”: Employment Agreement dated as of 1 March 2018 (</w:t>
      </w:r>
      <w:r>
        <w:rPr>
          <w:b/>
        </w:rPr>
        <w:t>Exhibit C-1</w:t>
      </w:r>
      <w:r>
        <w:t>). “IP Agreement” or “IPA”: Intellectual Property Assignment and Confidentiality Agreement dated 1 March 2018 (</w:t>
      </w:r>
      <w:r>
        <w:rPr>
          <w:b/>
        </w:rPr>
        <w:t>Exhibit C-2</w:t>
      </w:r>
      <w:r>
        <w:t>). “Ironclad Report”: Forensic Analysis Report of Ironclad Digital Forensics LLC, Ref. IDF-2025-0472, dated 16 May 2025 (</w:t>
      </w:r>
      <w:r>
        <w:rPr>
          <w:b/>
        </w:rPr>
        <w:t>Exhibit C-3</w:t>
      </w:r>
      <w:r>
        <w:t>). “Rules”: ICC Rules of Arbitration in force as from 1 January 2021. “Appendix V”: Emergency Arbitrator Rules, Appendix V to the Rules. “Zenith Materials”: the 4,217 files described in Section IV.C below and all copies, excerpts, and derivatives thereof. “USB Device”: SanDisk Extreme Pro USB 3.2 flash drive, serial number 04023A4D7F8B9C01. “Gmail Account”: rajan.mehta.private@gmail.com. “Vortech”: Vortech Automation Systems LLC (a non-party).</w:t>
      </w:r>
    </w:p>
    <w:p>
      <w:r>
        <w:br w:type="page"/>
      </w:r>
    </w:p>
    <w:p>
      <w:pPr>
        <w:pStyle w:val="Heading1"/>
      </w:pPr>
      <w:r>
        <w:t>I.  INTRODUCTION AND SUMMARY OF THE APPLICATION</w:t>
      </w:r>
    </w:p>
    <w:p>
      <w:pPr>
        <w:spacing w:after="160" w:line="276" w:lineRule="auto"/>
        <w:ind w:left="720" w:hanging="720"/>
        <w:jc w:val="both"/>
      </w:pPr>
      <w:r>
        <w:t>1.</w:t>
        <w:tab/>
      </w:r>
      <w:r>
        <w:t>Pinnacle Dynamics Inc. submits this Application for Emergency Measures pursuant to Article 29(1) of the Rules and Article 1 of Appendix V against its former Chief Technology Officer, Dr. Rajan Mehta. Pinnacle requests urgent interim and conservatory measures that cannot await the constitution of the arbitral tribunal, to preserve the status quo, to prevent the further dissemination and use of Pinnacle’s trade secrets, and to preserve evidence pending determination of the underlying dispute.</w:t>
      </w:r>
    </w:p>
    <w:p>
      <w:pPr>
        <w:spacing w:after="160" w:line="276" w:lineRule="auto"/>
        <w:ind w:left="720" w:hanging="720"/>
        <w:jc w:val="both"/>
      </w:pPr>
      <w:r>
        <w:t>2.</w:t>
        <w:tab/>
      </w:r>
      <w:r>
        <w:t>The facts that make this Application urgent are established by contemporaneous forensic evidence and by the Respondent’s own public statements:</w:t>
      </w:r>
    </w:p>
    <w:p>
      <w:pPr>
        <w:spacing w:after="120" w:line="276" w:lineRule="auto"/>
        <w:ind w:left="1440" w:hanging="576"/>
        <w:jc w:val="both"/>
      </w:pPr>
      <w:r>
        <w:t>(a)</w:t>
        <w:tab/>
      </w:r>
      <w:r>
        <w:rPr>
          <w:b/>
        </w:rPr>
        <w:t>Systematic exfiltration.</w:t>
      </w:r>
      <w:r>
        <w:t xml:space="preserve"> Between 10 and 25 April 2025, while still serving as Pinnacle’s CTO, Dr. Mehta copied </w:t>
      </w:r>
      <w:r>
        <w:rPr>
          <w:b/>
        </w:rPr>
        <w:t>4,217 files (approximately 3.8 GB)</w:t>
      </w:r>
      <w:r>
        <w:t xml:space="preserve"> from Pinnacle’s restricted R&amp;D server “ZenithVault” to a personal USB flash drive in </w:t>
      </w:r>
      <w:r>
        <w:rPr>
          <w:b/>
        </w:rPr>
        <w:t>twelve separate sessions</w:t>
      </w:r>
      <w:r>
        <w:t>, every one of which began on a weekday evening between 6:30 p.m. and 10:15 p.m. CDT. The files comprise the source code for Pinnacle’s Zenith adaptive-control algorithm (1,847 files), the Zenith controller-board hardware schematics (923 files), customer requirement specifications for Pinnacle’s top fifteen accounts (412 files), and Pinnacle’s 2025–2027 strategic product roadmap (1,035 files). Ironclad Report, §§ 5.1–5.2, 7, 9(1)–(2) (</w:t>
      </w:r>
      <w:r>
        <w:rPr>
          <w:b/>
        </w:rPr>
        <w:t>C-3</w:t>
      </w:r>
      <w:r>
        <w:t>).</w:t>
      </w:r>
    </w:p>
    <w:p>
      <w:pPr>
        <w:spacing w:after="120" w:line="276" w:lineRule="auto"/>
        <w:ind w:left="1440" w:hanging="576"/>
        <w:jc w:val="both"/>
      </w:pPr>
      <w:r>
        <w:t>(b)</w:t>
        <w:tab/>
      </w:r>
      <w:r>
        <w:rPr>
          <w:b/>
        </w:rPr>
        <w:t>A second, uncontainable channel.</w:t>
      </w:r>
      <w:r>
        <w:t xml:space="preserve"> On 22 April 2025 at 9:47 p.m. CDT, Dr. Mehta emailed fourteen core Zenith algorithm files (core source modules, design specifications, and test datasets) from his corporate account to his personal Gmail Account under the subject line “Reference Materials — Personal Backup.” Ironclad Report, §§ 6.1–6.3 (</w:t>
      </w:r>
      <w:r>
        <w:rPr>
          <w:b/>
        </w:rPr>
        <w:t>C-3</w:t>
      </w:r>
      <w:r>
        <w:t>).</w:t>
      </w:r>
    </w:p>
    <w:p>
      <w:pPr>
        <w:spacing w:after="120" w:line="276" w:lineRule="auto"/>
        <w:ind w:left="1440" w:hanging="576"/>
        <w:jc w:val="both"/>
      </w:pPr>
      <w:r>
        <w:t>(c)</w:t>
        <w:tab/>
      </w:r>
      <w:r>
        <w:rPr>
          <w:b/>
        </w:rPr>
        <w:t>Contemporaneous contact with a direct competitor.</w:t>
      </w:r>
      <w:r>
        <w:t xml:space="preserve"> Between 15 and 24 April 2025 — in the middle of the download campaign — Dr. Mehta exchanged seven emails with an address associated with Franklin Doyle, the CEO of Pinnacle’s principal competitor, Vortech, under subject lines including “Next steps” and “Re: Timing and logistics.” Ironclad Report, § 8.1, Observation 4 (</w:t>
      </w:r>
      <w:r>
        <w:rPr>
          <w:b/>
        </w:rPr>
        <w:t>C-3</w:t>
      </w:r>
      <w:r>
        <w:t>).</w:t>
      </w:r>
    </w:p>
    <w:p>
      <w:pPr>
        <w:spacing w:after="120" w:line="276" w:lineRule="auto"/>
        <w:ind w:left="1440" w:hanging="576"/>
        <w:jc w:val="both"/>
      </w:pPr>
      <w:r>
        <w:t>(d)</w:t>
        <w:tab/>
      </w:r>
      <w:r>
        <w:rPr>
          <w:b/>
        </w:rPr>
        <w:t>Resignation and immediate competitive employment.</w:t>
      </w:r>
      <w:r>
        <w:t xml:space="preserve"> Dr. Mehta resigned on 25 April 2025 — the date of the final download session — and his employment ended on 9 May 2025. Five days later, on 14 May 2025, Vortech announced his appointment as “Executive Vice President — Advanced Systems” to “oversee all aspects of Vortech’s advanced controller development operations” and to drive an “accelerated timeline” for Vortech’s competing adaptive-control controller platform, “Project Helix,” now targeted for commercial launch in </w:t>
      </w:r>
      <w:r>
        <w:rPr>
          <w:b/>
        </w:rPr>
        <w:t>Q4 2025</w:t>
      </w:r>
      <w:r>
        <w:t xml:space="preserve"> — ahead of Zenith’s planned Q2 2026 launch (</w:t>
      </w:r>
      <w:r>
        <w:rPr>
          <w:b/>
        </w:rPr>
        <w:t>C-5</w:t>
      </w:r>
      <w:r>
        <w:t xml:space="preserve">; </w:t>
      </w:r>
      <w:r>
        <w:rPr>
          <w:b/>
        </w:rPr>
        <w:t>C-7</w:t>
      </w:r>
      <w:r>
        <w:t>).</w:t>
      </w:r>
    </w:p>
    <w:p>
      <w:pPr>
        <w:spacing w:after="120" w:line="276" w:lineRule="auto"/>
        <w:ind w:left="1440" w:hanging="576"/>
        <w:jc w:val="both"/>
      </w:pPr>
      <w:r>
        <w:t>(e)</w:t>
        <w:tab/>
      </w:r>
      <w:r>
        <w:rPr>
          <w:b/>
        </w:rPr>
        <w:t>Solicitation of the Zenith team.</w:t>
      </w:r>
      <w:r>
        <w:t xml:space="preserve"> Within 24 hours of that announcement, a Vortech recruiter contacted two of Pinnacle’s most senior Zenith engineers — Dr. Lena Petrov (Principal Hardware Engineer) and Mr. James Nakamura (Lead Software Architect) — stating that Dr. Mehta had “recommended” them and had “specifically mentioned [Mr. Nakamura’s] name” (</w:t>
      </w:r>
      <w:r>
        <w:rPr>
          <w:b/>
        </w:rPr>
        <w:t>C-6</w:t>
      </w:r>
      <w:r>
        <w:t>).</w:t>
      </w:r>
    </w:p>
    <w:p>
      <w:pPr>
        <w:spacing w:after="120" w:line="276" w:lineRule="auto"/>
        <w:ind w:left="1440" w:hanging="576"/>
        <w:jc w:val="both"/>
      </w:pPr>
      <w:r>
        <w:t>(f)</w:t>
        <w:tab/>
      </w:r>
      <w:r>
        <w:rPr>
          <w:b/>
        </w:rPr>
        <w:t>Refusal to return anything.</w:t>
      </w:r>
      <w:r>
        <w:t xml:space="preserve"> Despite three written demands (29 April, 2 May and 7 May 2025) and the expiry on 16 May 2025 of the contractual five-business-day return deadline under IPA § 4.1, Dr. Mehta has returned nothing, certified nothing, and identified no device or account. His only communication was a non-substantive acknowledgment of 30 April 2025 — sent, notably, from the very Gmail Account to which the Zenith files had been emailed (</w:t>
      </w:r>
      <w:r>
        <w:rPr>
          <w:b/>
        </w:rPr>
        <w:t>C-4</w:t>
      </w:r>
      <w:r>
        <w:t>).</w:t>
      </w:r>
    </w:p>
    <w:p>
      <w:pPr>
        <w:spacing w:after="160" w:line="276" w:lineRule="auto"/>
        <w:ind w:left="720" w:hanging="720"/>
        <w:jc w:val="both"/>
      </w:pPr>
      <w:r>
        <w:t>3.</w:t>
        <w:tab/>
      </w:r>
      <w:r>
        <w:t>Dr. Mehta expressly agreed that any breach or threatened breach of his confidentiality, restrictive-covenant and intellectual-property obligations “would cause the Company immediate and irreparable harm” (EA § 9(a); IPA § 6.1), and that Pinnacle may seek emergency relief from an emergency arbitrator under the Rules (EA § 12(c); IPA §§ 9.2–9.3). In IPA § 9.3 he “specifically consent[ed] to the application of the Emergency Arbitrator Provisions and agree[d] not to challenge the authority of any emergency arbitrator.”</w:t>
      </w:r>
    </w:p>
    <w:p>
      <w:pPr>
        <w:spacing w:after="160" w:line="276" w:lineRule="auto"/>
        <w:ind w:left="720" w:hanging="720"/>
        <w:jc w:val="both"/>
      </w:pPr>
      <w:r>
        <w:t>4.</w:t>
        <w:tab/>
      </w:r>
      <w:r>
        <w:t>Pinnacle seeks narrowly tailored measures, set out in full in Section VIII, that (i) freeze and preserve the evidence; (ii) prohibit any use or disclosure of the Zenith Materials; (iii) require delivery of the USB Device and all copies into the custody of an independent forensic examiner; (iv) require a sworn accounting of every device, account and person that has received the Zenith Materials; (v) provide for neutral forensic imaging and, thereafter, supervised remediation of the Respondent’s personal devices and accounts, including the Gmail Account; (vi) enjoin solicitation of Pinnacle employees and customers; and (vii) enforce the non-competition covenant pending the tribunal’s decision — or, in the alternative, at minimum bar Dr. Mehta from any work on Project Helix or any adaptive-control or programmable-controller development. Every measure tracks an obligation Dr. Mehta freely undertook.</w:t>
      </w:r>
    </w:p>
    <w:p>
      <w:pPr>
        <w:spacing w:after="160" w:line="276" w:lineRule="auto"/>
        <w:ind w:left="720" w:hanging="720"/>
        <w:jc w:val="both"/>
      </w:pPr>
      <w:r>
        <w:t>5.</w:t>
        <w:tab/>
      </w:r>
      <w:r>
        <w:t>Without these measures, by the time a three-member tribunal is constituted (see ¶ 46 below) the Zenith Materials may be irreversibly embedded in a competing product scheduled to reach the market within months. Trade-secret value, once lost, cannot be restored by an award of damages.</w:t>
      </w:r>
    </w:p>
    <w:p>
      <w:pPr>
        <w:pStyle w:val="Heading1"/>
      </w:pPr>
      <w:r>
        <w:t>II.  THE PARTIES AND THEIR REPRESENTATIVES</w:t>
      </w:r>
    </w:p>
    <w:p>
      <w:pPr>
        <w:pStyle w:val="Heading2"/>
      </w:pPr>
      <w:r>
        <w:t>A.  The Applicant</w:t>
      </w:r>
    </w:p>
    <w:p>
      <w:pPr>
        <w:spacing w:after="160" w:line="276" w:lineRule="auto"/>
        <w:ind w:left="720" w:hanging="720"/>
        <w:jc w:val="both"/>
      </w:pPr>
      <w:r>
        <w:t>6.</w:t>
        <w:tab/>
      </w:r>
      <w:r>
        <w:rPr>
          <w:b/>
        </w:rPr>
        <w:t>Pinnacle Dynamics Inc.</w:t>
      </w:r>
      <w:r>
        <w:t xml:space="preserve"> is a corporation organized under the laws of the State of Delaware, U.S.A., with its principal offices at 4200 Innovation Parkway, Suite 300, Austin, Texas 78759, U.S.A. Pinnacle designs, develops, manufactures and sells programmable logic controllers (“PLCs”), robotic process automation systems and industrial automation solutions. It employs approximately 2,100 people, approximately 340 of whom work in its R&amp;D division, and reported fiscal year 2024 revenue of approximately US$485 million (</w:t>
      </w:r>
      <w:r>
        <w:rPr>
          <w:b/>
        </w:rPr>
        <w:t>C-8</w:t>
      </w:r>
      <w:r>
        <w:t xml:space="preserve">; </w:t>
      </w:r>
      <w:r>
        <w:rPr>
          <w:b/>
        </w:rPr>
        <w:t>C-7</w:t>
      </w:r>
      <w:r>
        <w:t>).</w:t>
      </w:r>
    </w:p>
    <w:p>
      <w:pPr>
        <w:spacing w:after="160" w:line="276" w:lineRule="auto"/>
        <w:ind w:left="720" w:hanging="720"/>
        <w:jc w:val="both"/>
      </w:pPr>
      <w:r>
        <w:t>7.</w:t>
        <w:tab/>
      </w:r>
      <w:r>
        <w:t xml:space="preserve">Pinnacle is represented in these proceedings by </w:t>
      </w:r>
      <w:r>
        <w:rPr>
          <w:b/>
        </w:rPr>
        <w:t>Hargrove, Tillman &amp; Beck LLP</w:t>
      </w:r>
      <w:r>
        <w:t xml:space="preserve">, [address], [telephone], [email] (Attention: [lead counsel]), to whom all communications should be addressed, with a copy to Mr. Marcus Engel, General Counsel, Pinnacle Dynamics Inc., 4200 Innovation Parkway, Suite 300, Austin, Texas 78759; telephone (512) 555-4100; email m.engel@pinnacledynamics.com. A power of attorney is submitted as </w:t>
      </w:r>
      <w:r>
        <w:rPr>
          <w:b/>
        </w:rPr>
        <w:t>Exhibit C-10</w:t>
      </w:r>
      <w:r>
        <w:t>.</w:t>
      </w:r>
    </w:p>
    <w:p>
      <w:pPr>
        <w:pStyle w:val="Heading2"/>
      </w:pPr>
      <w:r>
        <w:t>B.  The Respondent</w:t>
      </w:r>
    </w:p>
    <w:p>
      <w:pPr>
        <w:spacing w:after="160" w:line="276" w:lineRule="auto"/>
        <w:ind w:left="720" w:hanging="720"/>
        <w:jc w:val="both"/>
      </w:pPr>
      <w:r>
        <w:t>8.</w:t>
        <w:tab/>
      </w:r>
      <w:r>
        <w:rPr>
          <w:b/>
        </w:rPr>
        <w:t>Dr. Rajan Mehta</w:t>
      </w:r>
      <w:r>
        <w:t xml:space="preserve"> is an individual residing at 1815 Cedar Ridge Lane, Austin, Texas 78746, U.S.A. He served as Pinnacle’s Chief Technology Officer from 1 March 2018 until 9 May 2025 and is now Executive Vice President — Advanced Systems of Vortech Automation Systems LLC, 7700 Commerce Boulevard, Dallas, Texas 75240 (</w:t>
      </w:r>
      <w:r>
        <w:rPr>
          <w:b/>
        </w:rPr>
        <w:t>C-5</w:t>
      </w:r>
      <w:r>
        <w:t>).</w:t>
      </w:r>
    </w:p>
    <w:p>
      <w:pPr>
        <w:spacing w:after="160" w:line="276" w:lineRule="auto"/>
        <w:ind w:left="720" w:hanging="720"/>
        <w:jc w:val="both"/>
      </w:pPr>
      <w:r>
        <w:t>9.</w:t>
        <w:tab/>
      </w:r>
      <w:r>
        <w:t>Contact details for the Respondent: (i) the notice address and email designated in EA § 13(f), namely 1815 Cedar Ridge Lane, Austin, Texas 78746 and rajan.mehta@personal.net; and (ii) the email address rajan.mehta.private@gmail.com, which Dr. Mehta used to correspond with Pinnacle on 30 April 2025 (</w:t>
      </w:r>
      <w:r>
        <w:rPr>
          <w:b/>
        </w:rPr>
        <w:t>C-4</w:t>
      </w:r>
      <w:r>
        <w:t>). Pinnacle is not aware that Dr. Mehta has retained counsel. Pinnacle requests that the Secretariat transmit this Application to all of the foregoing addresses and is concurrently delivering a copy to the Respondent by email and courier (see ¶ 71).</w:t>
      </w:r>
    </w:p>
    <w:p>
      <w:pPr>
        <w:pStyle w:val="Heading2"/>
      </w:pPr>
      <w:r>
        <w:t>C.  Non-Party: Vortech Automation Systems LLC</w:t>
      </w:r>
    </w:p>
    <w:p>
      <w:pPr>
        <w:spacing w:after="160" w:line="276" w:lineRule="auto"/>
        <w:ind w:left="720" w:hanging="720"/>
        <w:jc w:val="both"/>
      </w:pPr>
      <w:r>
        <w:t>10.</w:t>
        <w:tab/>
      </w:r>
      <w:r>
        <w:t>Vortech is a Texas limited liability company headquartered in Dallas, Texas, with fiscal year 2024 revenue of approximately US$310 million, and is Pinnacle’s direct competitor in the industrial PLC market (</w:t>
      </w:r>
      <w:r>
        <w:rPr>
          <w:b/>
        </w:rPr>
        <w:t>C-5</w:t>
      </w:r>
      <w:r>
        <w:t xml:space="preserve">; </w:t>
      </w:r>
      <w:r>
        <w:rPr>
          <w:b/>
        </w:rPr>
        <w:t>C-7</w:t>
      </w:r>
      <w:r>
        <w:t>). Vortech is not a signatory to the arbitration agreements. Consistent with Article 29(5) of the Rules, Pinnacle seeks no measures directed at Vortech in this proceeding; all measures requested are directed to Dr. Mehta, including in respect of materials and information within his possession, custody or control, wherever located. Pinnacle reserves all rights against Vortech before any competent forum.</w:t>
      </w:r>
    </w:p>
    <w:p>
      <w:pPr>
        <w:pStyle w:val="Heading1"/>
      </w:pPr>
      <w:r>
        <w:t>III.  THE ARBITRATION AGREEMENTS, JURISDICTION AND APPLICABILITY OF THE EMERGENCY ARBITRATOR PROVISIONS</w:t>
      </w:r>
    </w:p>
    <w:p>
      <w:pPr>
        <w:pStyle w:val="Heading2"/>
      </w:pPr>
      <w:r>
        <w:t>A.  The arbitration agreements (Appendix V, Art. 1(3)(f))</w:t>
      </w:r>
    </w:p>
    <w:p>
      <w:pPr>
        <w:spacing w:after="160" w:line="276" w:lineRule="auto"/>
        <w:ind w:left="720" w:hanging="720"/>
        <w:jc w:val="both"/>
      </w:pPr>
      <w:r>
        <w:t>11.</w:t>
        <w:tab/>
      </w:r>
      <w:r>
        <w:t>This Application is based on two arbitration agreements, both providing for ICC arbitration seated in New York:</w:t>
      </w:r>
    </w:p>
    <w:p>
      <w:pPr>
        <w:spacing w:after="120" w:line="276" w:lineRule="auto"/>
        <w:ind w:left="1440" w:hanging="576"/>
        <w:jc w:val="both"/>
      </w:pPr>
      <w:r>
        <w:t>(a)</w:t>
        <w:tab/>
      </w:r>
      <w:r>
        <w:rPr>
          <w:b/>
        </w:rPr>
        <w:t>EA § 12(a)</w:t>
      </w:r>
      <w:r>
        <w:t xml:space="preserve"> provides that “[a]ny dispute, claim, or controversy arising out of or relating to this Agreement, or the breach, termination, enforcement, interpretation, or validity thereof … shall be resolved exclusively by final and binding arbitration administered by the International Court of Arbitration of the International Chamber of Commerce … under the ICC Rules of Arbitration.” The seat is New York, New York; the language is English; the tribunal is a sole arbitrator unless the amount in controversy exceeds US$5,000,000, in which case three arbitrators. </w:t>
      </w:r>
      <w:r>
        <w:rPr>
          <w:b/>
        </w:rPr>
        <w:t>EA § 12(c)</w:t>
      </w:r>
      <w:r>
        <w:t xml:space="preserve"> expressly preserves the right to “seek emergency or interim relief from an emergency arbitrator appointed pursuant to the Emergency Arbitrator Provisions of the ICC Rules,” and provides that “the emergency arbitrator provisions of the ICC Rules are incorporated into and form part of this agreement to arbitrate.”</w:t>
      </w:r>
    </w:p>
    <w:p>
      <w:pPr>
        <w:spacing w:after="120" w:line="276" w:lineRule="auto"/>
        <w:ind w:left="1440" w:hanging="576"/>
        <w:jc w:val="both"/>
      </w:pPr>
      <w:r>
        <w:t>(b)</w:t>
        <w:tab/>
      </w:r>
      <w:r>
        <w:rPr>
          <w:b/>
        </w:rPr>
        <w:t>IPA § 9.1</w:t>
      </w:r>
      <w:r>
        <w:t xml:space="preserve"> provides for final and binding ICC arbitration of “[a]ny dispute, controversy, or claim arising out of or relating to this Agreement,” seated in New York, New York, in English, before a sole arbitrator unless the parties agree otherwise or the ICC Court determines that three arbitrators are warranted. </w:t>
      </w:r>
      <w:r>
        <w:rPr>
          <w:b/>
        </w:rPr>
        <w:t>IPA § 9.2</w:t>
      </w:r>
      <w:r>
        <w:t xml:space="preserve"> authorizes either party to “apply to the ICC for the appointment of an emergency arbitrator pursuant to Article 29 of the ICC Rules and the ICC Emergency Arbitrator Provisions (Appendix V to the 2021 ICC Rules of Arbitration).” </w:t>
      </w:r>
      <w:r>
        <w:rPr>
          <w:b/>
        </w:rPr>
        <w:t>IPA § 9.3</w:t>
      </w:r>
      <w:r>
        <w:t xml:space="preserve"> incorporates Appendix V by reference and records that the Employee “specifically consents to the application of the Emergency Arbitrator Provisions and agrees not to challenge the authority of any emergency arbitrator appointed under such provisions.”</w:t>
      </w:r>
    </w:p>
    <w:p>
      <w:pPr>
        <w:spacing w:after="160" w:line="276" w:lineRule="auto"/>
        <w:ind w:left="720" w:hanging="720"/>
        <w:jc w:val="both"/>
      </w:pPr>
      <w:r>
        <w:t>12.</w:t>
        <w:tab/>
      </w:r>
      <w:r>
        <w:t xml:space="preserve">Both agreements were executed on 1 March 2018 by Pinnacle (through its CEO, Sandra Whitfield) and by Dr. Mehta personally, and are expressly to be “read in conjunction” with one another (EA §§ 8(e), 13(a); IPA preamble and § 8.3). Copies are submitted as </w:t>
      </w:r>
      <w:r>
        <w:rPr>
          <w:b/>
        </w:rPr>
        <w:t>Exhibits C-1</w:t>
      </w:r>
      <w:r>
        <w:t xml:space="preserve"> and </w:t>
      </w:r>
      <w:r>
        <w:rPr>
          <w:b/>
        </w:rPr>
        <w:t>C-2</w:t>
      </w:r>
      <w:r>
        <w:t>.</w:t>
      </w:r>
    </w:p>
    <w:p>
      <w:pPr>
        <w:pStyle w:val="Heading2"/>
      </w:pPr>
      <w:r>
        <w:t>B.  Prima facie jurisdiction of the Emergency Arbitrator and applicability of Appendix V</w:t>
      </w:r>
    </w:p>
    <w:p>
      <w:pPr>
        <w:spacing w:after="160" w:line="276" w:lineRule="auto"/>
        <w:ind w:left="720" w:hanging="720"/>
        <w:jc w:val="both"/>
      </w:pPr>
      <w:r>
        <w:t>13.</w:t>
        <w:tab/>
      </w:r>
      <w:r>
        <w:t>The conditions of Article 29 are satisfied on a prima facie basis:</w:t>
      </w:r>
    </w:p>
    <w:p>
      <w:pPr>
        <w:spacing w:after="120" w:line="276" w:lineRule="auto"/>
        <w:ind w:left="1440" w:hanging="576"/>
        <w:jc w:val="both"/>
      </w:pPr>
      <w:r>
        <w:t>(a)</w:t>
        <w:tab/>
      </w:r>
      <w:r>
        <w:rPr>
          <w:b/>
        </w:rPr>
        <w:t>Article 29(5):</w:t>
      </w:r>
      <w:r>
        <w:t xml:space="preserve"> Both Pinnacle and Dr. Mehta are signatories of the arbitration agreements relied upon. No relief is sought against any non-signatory.</w:t>
      </w:r>
    </w:p>
    <w:p>
      <w:pPr>
        <w:spacing w:after="120" w:line="276" w:lineRule="auto"/>
        <w:ind w:left="1440" w:hanging="576"/>
        <w:jc w:val="both"/>
      </w:pPr>
      <w:r>
        <w:t>(b)</w:t>
        <w:tab/>
      </w:r>
      <w:r>
        <w:rPr>
          <w:b/>
        </w:rPr>
        <w:t>Article 29(6):</w:t>
      </w:r>
      <w:r>
        <w:t xml:space="preserve"> None of the exclusions applies. Both arbitration agreements were concluded on 1 March 2018, i.e., after 1 January 2012; the parties did not opt out of the Emergency Arbitrator Provisions — to the contrary, they expressly opted in (EA § 12(c); IPA §§ 9.2–9.3); the agreements are contractual, not treaty-based; and the parties agreed no other pre-arbitral procedure for interim measures. Recourse to a court for interim relief is a permissive alternative preserved by EA § 12(c), IPA § 9.2 and Article 29(7), not a substitute procedure.</w:t>
      </w:r>
    </w:p>
    <w:p>
      <w:pPr>
        <w:spacing w:after="120" w:line="276" w:lineRule="auto"/>
        <w:ind w:left="1440" w:hanging="576"/>
        <w:jc w:val="both"/>
      </w:pPr>
      <w:r>
        <w:t>(c)</w:t>
        <w:tab/>
      </w:r>
      <w:r>
        <w:rPr>
          <w:b/>
        </w:rPr>
        <w:t>Subject-matter scope:</w:t>
      </w:r>
      <w:r>
        <w:t xml:space="preserve"> The claims concern breach of EA §§ 5, 6(h), 7 and 8 and IPA §§ 2, 4 and 5, and related statutory and common-law claims, all of which “aris[e] out of or relat[e] to” the agreements. EA § 12(a) further delegates questions of “scope or applicability of this agreement to arbitrate” to the arbitrators.</w:t>
      </w:r>
    </w:p>
    <w:p>
      <w:pPr>
        <w:spacing w:after="120" w:line="276" w:lineRule="auto"/>
        <w:ind w:left="1440" w:hanging="576"/>
        <w:jc w:val="both"/>
      </w:pPr>
      <w:r>
        <w:t>(d)</w:t>
        <w:tab/>
      </w:r>
      <w:r>
        <w:rPr>
          <w:b/>
        </w:rPr>
        <w:t>Urgency requirement of Article 29(1):</w:t>
      </w:r>
      <w:r>
        <w:t xml:space="preserve"> addressed in Section VII.B below.</w:t>
      </w:r>
    </w:p>
    <w:p>
      <w:pPr>
        <w:spacing w:after="160" w:line="276" w:lineRule="auto"/>
        <w:ind w:left="720" w:hanging="720"/>
        <w:jc w:val="both"/>
      </w:pPr>
      <w:r>
        <w:t>14.</w:t>
        <w:tab/>
      </w:r>
      <w:r>
        <w:rPr>
          <w:b/>
        </w:rPr>
        <w:t>Version of the Rules.</w:t>
      </w:r>
      <w:r>
        <w:t xml:space="preserve"> EA § 12(a) refers to “the ICC Rules of Arbitration (2021 edition) then in effect,” and IPA § 9.1 to the Rules “in effect at the time of filing (currently the 2021 ICC Rules of Arbitration).” In any event, under Article 6(1) of the Rules the parties are deemed to have submitted to the Rules in effect on the date of commencement of the proceedings. The Rules in force as from 1 January 2021, including Appendix V, therefore govern.</w:t>
      </w:r>
    </w:p>
    <w:p>
      <w:pPr>
        <w:pStyle w:val="Heading2"/>
      </w:pPr>
      <w:r>
        <w:t>C.  Agreements as to place, applicable law and language (Appendix V, Art. 1(3)(g))</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D9D9"/>
          </w:tcPr>
          <w:p>
            <w:r>
              <w:rPr>
                <w:b/>
              </w:rPr>
            </w:r>
            <w:r>
              <w:rPr>
                <w:b/>
                <w:sz w:val="19"/>
              </w:rPr>
              <w:t>Matter</w:t>
            </w:r>
          </w:p>
        </w:tc>
        <w:tc>
          <w:tcPr>
            <w:tcW w:type="dxa" w:w="3456"/>
            <w:shd w:val="clear" w:color="auto" w:fill="D9D9D9"/>
          </w:tcPr>
          <w:p>
            <w:r>
              <w:rPr>
                <w:b/>
              </w:rPr>
            </w:r>
            <w:r>
              <w:rPr>
                <w:b/>
                <w:sz w:val="19"/>
              </w:rPr>
              <w:t>Employment Agreement</w:t>
            </w:r>
          </w:p>
        </w:tc>
        <w:tc>
          <w:tcPr>
            <w:tcW w:type="dxa" w:w="3456"/>
            <w:shd w:val="clear" w:color="auto" w:fill="D9D9D9"/>
          </w:tcPr>
          <w:p>
            <w:r>
              <w:rPr>
                <w:b/>
              </w:rPr>
            </w:r>
            <w:r>
              <w:rPr>
                <w:b/>
                <w:sz w:val="19"/>
              </w:rPr>
              <w:t>IP Agreement</w:t>
            </w:r>
          </w:p>
        </w:tc>
      </w:tr>
      <w:tr>
        <w:tc>
          <w:tcPr>
            <w:tcW w:type="dxa" w:w="2304"/>
          </w:tcPr>
          <w:p>
            <w:r/>
            <w:r>
              <w:rPr>
                <w:sz w:val="19"/>
              </w:rPr>
              <w:t>Place (seat) of arbitration</w:t>
            </w:r>
          </w:p>
        </w:tc>
        <w:tc>
          <w:tcPr>
            <w:tcW w:type="dxa" w:w="3456"/>
          </w:tcPr>
          <w:p>
            <w:r/>
            <w:r>
              <w:rPr>
                <w:sz w:val="19"/>
              </w:rPr>
              <w:t>New York, New York (§ 12(a))</w:t>
            </w:r>
          </w:p>
        </w:tc>
        <w:tc>
          <w:tcPr>
            <w:tcW w:type="dxa" w:w="3456"/>
          </w:tcPr>
          <w:p>
            <w:r/>
            <w:r>
              <w:rPr>
                <w:sz w:val="19"/>
              </w:rPr>
              <w:t>New York, New York (§ 9.1)</w:t>
            </w:r>
          </w:p>
        </w:tc>
      </w:tr>
      <w:tr>
        <w:tc>
          <w:tcPr>
            <w:tcW w:type="dxa" w:w="2304"/>
          </w:tcPr>
          <w:p>
            <w:r/>
            <w:r>
              <w:rPr>
                <w:sz w:val="19"/>
              </w:rPr>
              <w:t>Language</w:t>
            </w:r>
          </w:p>
        </w:tc>
        <w:tc>
          <w:tcPr>
            <w:tcW w:type="dxa" w:w="3456"/>
          </w:tcPr>
          <w:p>
            <w:r/>
            <w:r>
              <w:rPr>
                <w:sz w:val="19"/>
              </w:rPr>
              <w:t>English (§ 12(a))</w:t>
            </w:r>
          </w:p>
        </w:tc>
        <w:tc>
          <w:tcPr>
            <w:tcW w:type="dxa" w:w="3456"/>
          </w:tcPr>
          <w:p>
            <w:r/>
            <w:r>
              <w:rPr>
                <w:sz w:val="19"/>
              </w:rPr>
              <w:t>English (§ 9.1)</w:t>
            </w:r>
          </w:p>
        </w:tc>
      </w:tr>
      <w:tr>
        <w:tc>
          <w:tcPr>
            <w:tcW w:type="dxa" w:w="2304"/>
          </w:tcPr>
          <w:p>
            <w:r/>
            <w:r>
              <w:rPr>
                <w:sz w:val="19"/>
              </w:rPr>
              <w:t>Governing law</w:t>
            </w:r>
          </w:p>
        </w:tc>
        <w:tc>
          <w:tcPr>
            <w:tcW w:type="dxa" w:w="3456"/>
          </w:tcPr>
          <w:p>
            <w:r/>
            <w:r>
              <w:rPr>
                <w:sz w:val="19"/>
              </w:rPr>
              <w:t>Internal laws of the State of New York (§ 12(b))</w:t>
            </w:r>
          </w:p>
        </w:tc>
        <w:tc>
          <w:tcPr>
            <w:tcW w:type="dxa" w:w="3456"/>
          </w:tcPr>
          <w:p>
            <w:r/>
            <w:r>
              <w:rPr>
                <w:sz w:val="19"/>
              </w:rPr>
              <w:t>Laws of the State of New York (§ 8.1)</w:t>
            </w:r>
          </w:p>
        </w:tc>
      </w:tr>
      <w:tr>
        <w:tc>
          <w:tcPr>
            <w:tcW w:type="dxa" w:w="2304"/>
          </w:tcPr>
          <w:p>
            <w:r/>
            <w:r>
              <w:rPr>
                <w:sz w:val="19"/>
              </w:rPr>
              <w:t>Number of arbitrators</w:t>
            </w:r>
          </w:p>
        </w:tc>
        <w:tc>
          <w:tcPr>
            <w:tcW w:type="dxa" w:w="3456"/>
          </w:tcPr>
          <w:p>
            <w:r/>
            <w:r>
              <w:rPr>
                <w:sz w:val="19"/>
              </w:rPr>
              <w:t>Sole arbitrator; three if amount in controversy exceeds US$5,000,000 (§ 12(a))</w:t>
            </w:r>
          </w:p>
        </w:tc>
        <w:tc>
          <w:tcPr>
            <w:tcW w:type="dxa" w:w="3456"/>
          </w:tcPr>
          <w:p>
            <w:r/>
            <w:r>
              <w:rPr>
                <w:sz w:val="19"/>
              </w:rPr>
              <w:t>Sole arbitrator unless parties agree or ICC Court determines three (§ 9.1)</w:t>
            </w:r>
          </w:p>
        </w:tc>
      </w:tr>
      <w:tr>
        <w:tc>
          <w:tcPr>
            <w:tcW w:type="dxa" w:w="2304"/>
          </w:tcPr>
          <w:p>
            <w:r/>
            <w:r>
              <w:rPr>
                <w:sz w:val="19"/>
              </w:rPr>
              <w:t>Emergency arbitrator</w:t>
            </w:r>
          </w:p>
        </w:tc>
        <w:tc>
          <w:tcPr>
            <w:tcW w:type="dxa" w:w="3456"/>
          </w:tcPr>
          <w:p>
            <w:r/>
            <w:r>
              <w:rPr>
                <w:sz w:val="19"/>
              </w:rPr>
              <w:t>Expressly available and incorporated (§ 12(c))</w:t>
            </w:r>
          </w:p>
        </w:tc>
        <w:tc>
          <w:tcPr>
            <w:tcW w:type="dxa" w:w="3456"/>
          </w:tcPr>
          <w:p>
            <w:r/>
            <w:r>
              <w:rPr>
                <w:sz w:val="19"/>
              </w:rPr>
              <w:t>Expressly available, incorporated; no challenge to authority (§§ 9.2–9.3)</w:t>
            </w:r>
          </w:p>
        </w:tc>
      </w:tr>
      <w:tr>
        <w:tc>
          <w:tcPr>
            <w:tcW w:type="dxa" w:w="2304"/>
          </w:tcPr>
          <w:p>
            <w:r/>
            <w:r>
              <w:rPr>
                <w:sz w:val="19"/>
              </w:rPr>
              <w:t>Confidentiality</w:t>
            </w:r>
          </w:p>
        </w:tc>
        <w:tc>
          <w:tcPr>
            <w:tcW w:type="dxa" w:w="3456"/>
          </w:tcPr>
          <w:p>
            <w:r/>
            <w:r>
              <w:rPr>
                <w:sz w:val="19"/>
              </w:rPr>
              <w:t>§ 12(e)</w:t>
            </w:r>
          </w:p>
        </w:tc>
        <w:tc>
          <w:tcPr>
            <w:tcW w:type="dxa" w:w="3456"/>
          </w:tcPr>
          <w:p>
            <w:r/>
            <w:r>
              <w:rPr>
                <w:sz w:val="19"/>
              </w:rPr>
              <w:t>§ 9.5</w:t>
            </w:r>
          </w:p>
        </w:tc>
      </w:tr>
    </w:tbl>
    <w:p>
      <w:pPr>
        <w:spacing w:after="80"/>
      </w:pPr>
    </w:p>
    <w:p>
      <w:pPr>
        <w:spacing w:after="160" w:line="276" w:lineRule="auto"/>
        <w:ind w:left="720" w:hanging="720"/>
        <w:jc w:val="both"/>
      </w:pPr>
      <w:r>
        <w:t>15.</w:t>
        <w:tab/>
      </w:r>
      <w:r>
        <w:t>Pursuant to Article 4(1) of Appendix V, the place of the emergency arbitrator proceedings is New York, New York. Pinnacle’s claims will exceed US$5,000,000; accordingly, EA § 12(a) calls for a three-member tribunal, and Pinnacle will address in its Request for Arbitration the joinder of claims under both agreements in a single arbitration pursuant to Article 9 of the Rules and the reconciliation of the tribunal-size provisions (IPA § 9.1 itself permits three arbitrators by agreement or ICC Court determination). The expected time to constitute a three-member tribunal reinforces the need for emergency measures.</w:t>
      </w:r>
    </w:p>
    <w:p>
      <w:pPr>
        <w:pStyle w:val="Heading2"/>
      </w:pPr>
      <w:r>
        <w:t>D.  Request for Arbitration and prior submissions (Appendix V, Arts. 1(3)(i) and 1(6))</w:t>
      </w:r>
    </w:p>
    <w:p>
      <w:pPr>
        <w:spacing w:after="160" w:line="276" w:lineRule="auto"/>
        <w:ind w:left="720" w:hanging="720"/>
        <w:jc w:val="both"/>
      </w:pPr>
      <w:r>
        <w:t>16.</w:t>
        <w:tab/>
      </w:r>
      <w:r>
        <w:t>No Request for Arbitration or other submission concerning the underlying dispute has been filed with the Secretariat by either party prior to this Application. Pinnacle undertakes to file its Request for Arbitration within ten days of the Secretariat’s receipt of this Application, as required by Article 1(6) of Appendix V.</w:t>
      </w:r>
    </w:p>
    <w:p>
      <w:pPr>
        <w:spacing w:after="160" w:line="276" w:lineRule="auto"/>
        <w:ind w:left="720" w:hanging="720"/>
        <w:jc w:val="both"/>
      </w:pPr>
      <w:r>
        <w:t>17.</w:t>
        <w:tab/>
      </w:r>
      <w:r>
        <w:t>Pinnacle has not sought interim relief from any court in respect of this dispute. Pinnacle reserves its right under Article 29(7) of the Rules, EA § 12(c) and IPA § 9.2 to seek measures from a competent judicial authority, including in aid of any Order issued in these proceedings or in respect of non-parties, and will promptly inform the Emergency Arbitrator of any such application.</w:t>
      </w:r>
    </w:p>
    <w:p>
      <w:pPr>
        <w:pStyle w:val="Heading1"/>
      </w:pPr>
      <w:r>
        <w:t>IV.  STATEMENT OF FACTS</w:t>
      </w:r>
    </w:p>
    <w:p>
      <w:pPr>
        <w:pStyle w:val="Heading2"/>
      </w:pPr>
      <w:r>
        <w:t>A.  Pinnacle and Project Zenith</w:t>
      </w:r>
    </w:p>
    <w:p>
      <w:pPr>
        <w:spacing w:after="160" w:line="276" w:lineRule="auto"/>
        <w:ind w:left="720" w:hanging="720"/>
        <w:jc w:val="both"/>
      </w:pPr>
      <w:r>
        <w:t>18.</w:t>
        <w:tab/>
      </w:r>
      <w:r>
        <w:t>Project Zenith is Pinnacle’s next-generation adaptive robotic process controller and the most significant R&amp;D initiative in the company’s history. It formally launched in January 2023, with Dr. Mehta designated as project lead from inception, and is scheduled for commercial launch in Q2 2026 (</w:t>
      </w:r>
      <w:r>
        <w:rPr>
          <w:b/>
        </w:rPr>
        <w:t>C-7</w:t>
      </w:r>
      <w:r>
        <w:t xml:space="preserve">, “Investment to Date” and “Revenue Projections” sheets; </w:t>
      </w:r>
      <w:r>
        <w:rPr>
          <w:b/>
        </w:rPr>
        <w:t>C-8</w:t>
      </w:r>
      <w:r>
        <w:t>, § II).</w:t>
      </w:r>
    </w:p>
    <w:p>
      <w:pPr>
        <w:spacing w:after="160" w:line="276" w:lineRule="auto"/>
        <w:ind w:left="720" w:hanging="720"/>
        <w:jc w:val="both"/>
      </w:pPr>
      <w:r>
        <w:t>19.</w:t>
        <w:tab/>
      </w:r>
      <w:r>
        <w:t xml:space="preserve">Pinnacle’s Finance &amp; Strategy Division records cumulative investment in Project Zenith from Q1 2023 through Q1 2025 of </w:t>
      </w:r>
      <w:r>
        <w:rPr>
          <w:b/>
        </w:rPr>
        <w:t>US$37.2 million</w:t>
      </w:r>
      <w:r>
        <w:t>, comprising personnel costs (US$14.6 million), prototyping (US$9.8 million), testing infrastructure (US$7.4 million), and licensing and IP acquisition (US$5.4 million) (</w:t>
      </w:r>
      <w:r>
        <w:rPr>
          <w:b/>
        </w:rPr>
        <w:t>C-7</w:t>
      </w:r>
      <w:r>
        <w:t xml:space="preserve">). Management’s three-year post-launch projections forecast Zenith revenue of approximately </w:t>
      </w:r>
      <w:r>
        <w:rPr>
          <w:b/>
        </w:rPr>
        <w:t>US$120 million</w:t>
      </w:r>
      <w:r>
        <w:t xml:space="preserve"> (Year 1: US$35 million; Year 2: US$42 million; Year 3: US$43 million), on the express assumption that Pinnacle retains its estimated 18-month competitive lead derived from its proprietary adaptive-control algorithm and hardware design (</w:t>
      </w:r>
      <w:r>
        <w:rPr>
          <w:b/>
        </w:rPr>
        <w:t>C-7</w:t>
      </w:r>
      <w:r>
        <w:t>, Assumptions 4(a)).</w:t>
      </w:r>
    </w:p>
    <w:p>
      <w:pPr>
        <w:spacing w:after="160" w:line="276" w:lineRule="auto"/>
        <w:ind w:left="720" w:hanging="720"/>
        <w:jc w:val="both"/>
      </w:pPr>
      <w:r>
        <w:t>20.</w:t>
        <w:tab/>
      </w:r>
      <w:r>
        <w:t>The core Zenith technology is held on a segregated, access-restricted R&amp;D server known as “ZenithVault.” Only six individuals in Pinnacle — out of approximately 2,100 employees — held full access to the Zenith core adaptive-control algorithm source code and hardware schematics on ZenithVault. Dr. Mehta was one of them (Ironclad Report, § 8.1, Observation 1 (</w:t>
      </w:r>
      <w:r>
        <w:rPr>
          <w:b/>
        </w:rPr>
        <w:t>C-3</w:t>
      </w:r>
      <w:r>
        <w:t xml:space="preserve">); </w:t>
      </w:r>
      <w:r>
        <w:rPr>
          <w:b/>
        </w:rPr>
        <w:t>C-7</w:t>
      </w:r>
      <w:r>
        <w:t xml:space="preserve">, Assumption 5(a); </w:t>
      </w:r>
      <w:r>
        <w:rPr>
          <w:b/>
        </w:rPr>
        <w:t>C-8</w:t>
      </w:r>
      <w:r>
        <w:t>, § II).</w:t>
      </w:r>
    </w:p>
    <w:p>
      <w:pPr>
        <w:pStyle w:val="Heading2"/>
      </w:pPr>
      <w:r>
        <w:t>B.  Dr. Mehta’s role and contractual undertakings</w:t>
      </w:r>
    </w:p>
    <w:p>
      <w:pPr>
        <w:spacing w:after="160" w:line="276" w:lineRule="auto"/>
        <w:ind w:left="720" w:hanging="720"/>
        <w:jc w:val="both"/>
      </w:pPr>
      <w:r>
        <w:t>21.</w:t>
        <w:tab/>
      </w:r>
      <w:r>
        <w:t>Dr. Mehta joined Pinnacle as Chief Technology Officer on 1 March 2018, reporting directly to the CEO, with “overall responsibility for overseeing and directing all technology strategy, research and development activities, product development, engineering operations, and technical innovation initiatives” (EA § 2(a)). His initial base salary was US$385,000 with a 50% target bonus and equity participation (EA §§ 4(a)–(c)). On the same day he executed the Employment Agreement and the IP Agreement, in each of which he acknowledged that his access to Pinnacle’s “most sensitive” trade secrets was conditioned upon his restrictive covenants (EA Recitals, §§ 7(d)(ii), 14; IPA Recitals).</w:t>
      </w:r>
    </w:p>
    <w:p>
      <w:pPr>
        <w:spacing w:after="160" w:line="276" w:lineRule="auto"/>
        <w:ind w:left="720" w:hanging="720"/>
        <w:jc w:val="both"/>
      </w:pPr>
      <w:r>
        <w:t>22.</w:t>
        <w:tab/>
      </w:r>
      <w:r>
        <w:t>The obligations relevant to this Application are: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Pr>
                <w:b/>
              </w:rPr>
            </w:r>
            <w:r>
              <w:rPr>
                <w:b/>
                <w:sz w:val="19"/>
              </w:rPr>
              <w:t>Provision</w:t>
            </w:r>
          </w:p>
        </w:tc>
        <w:tc>
          <w:tcPr>
            <w:tcW w:type="dxa" w:w="7200"/>
            <w:shd w:val="clear" w:color="auto" w:fill="D9D9D9"/>
          </w:tcPr>
          <w:p>
            <w:r>
              <w:rPr>
                <w:b/>
              </w:rPr>
            </w:r>
            <w:r>
              <w:rPr>
                <w:b/>
                <w:sz w:val="19"/>
              </w:rPr>
              <w:t>Obligation (summary; quotations from C-1 / C-2)</w:t>
            </w:r>
          </w:p>
        </w:tc>
      </w:tr>
      <w:tr>
        <w:tc>
          <w:tcPr>
            <w:tcW w:type="dxa" w:w="2160"/>
          </w:tcPr>
          <w:p>
            <w:r/>
            <w:r>
              <w:rPr>
                <w:sz w:val="19"/>
              </w:rPr>
              <w:t>EA § 5(a); IPA § 2.1</w:t>
            </w:r>
          </w:p>
        </w:tc>
        <w:tc>
          <w:tcPr>
            <w:tcW w:type="dxa" w:w="7200"/>
          </w:tcPr>
          <w:p>
            <w:r/>
            <w:r>
              <w:rPr>
                <w:sz w:val="19"/>
              </w:rPr>
              <w:t>Not to “use, disclose, publish, communicate, disseminate, or make available any Confidential Information” during employment “and at all times following” termination (perpetual as to trade secrets: IPA § 2.6(a)).</w:t>
            </w:r>
          </w:p>
        </w:tc>
      </w:tr>
      <w:tr>
        <w:tc>
          <w:tcPr>
            <w:tcW w:type="dxa" w:w="2160"/>
          </w:tcPr>
          <w:p>
            <w:r/>
            <w:r>
              <w:rPr>
                <w:sz w:val="19"/>
              </w:rPr>
              <w:t>IPA § 2.3</w:t>
            </w:r>
          </w:p>
        </w:tc>
        <w:tc>
          <w:tcPr>
            <w:tcW w:type="dxa" w:w="7200"/>
          </w:tcPr>
          <w:p>
            <w:r/>
            <w:r>
              <w:rPr>
                <w:sz w:val="19"/>
              </w:rPr>
              <w:t>Not to “copy, download, upload, transfer … any Confidential Information to any personal device, personal account, personal email address” — expressly including “any personal Gmail” account — without written authorization of the General Counsel or CIO.</w:t>
            </w:r>
          </w:p>
        </w:tc>
      </w:tr>
      <w:tr>
        <w:tc>
          <w:tcPr>
            <w:tcW w:type="dxa" w:w="2160"/>
          </w:tcPr>
          <w:p>
            <w:r/>
            <w:r>
              <w:rPr>
                <w:sz w:val="19"/>
              </w:rPr>
              <w:t>EA § 6(h); IPA §§ 4.1–4.3</w:t>
            </w:r>
          </w:p>
        </w:tc>
        <w:tc>
          <w:tcPr>
            <w:tcW w:type="dxa" w:w="7200"/>
          </w:tcPr>
          <w:p>
            <w:r/>
            <w:r>
              <w:rPr>
                <w:sz w:val="19"/>
              </w:rPr>
              <w:t>Return all Company Materials, including copies on personal devices, personal email and cloud accounts and materials accessible to third parties, “immediately, and in no event later than five (5) business days following the Termination Date”; delete non-returnable electronic copies; and deliver a certification “signed under penalty of perjury” listing all devices and accounts. Failure to meet the Return Deadline “shall constitute a material breach.”</w:t>
            </w:r>
          </w:p>
        </w:tc>
      </w:tr>
      <w:tr>
        <w:tc>
          <w:tcPr>
            <w:tcW w:type="dxa" w:w="2160"/>
          </w:tcPr>
          <w:p>
            <w:r/>
            <w:r>
              <w:rPr>
                <w:sz w:val="19"/>
              </w:rPr>
              <w:t>IPA § 4.4</w:t>
            </w:r>
          </w:p>
        </w:tc>
        <w:tc>
          <w:tcPr>
            <w:tcW w:type="dxa" w:w="7200"/>
          </w:tcPr>
          <w:p>
            <w:r/>
            <w:r>
              <w:rPr>
                <w:sz w:val="19"/>
              </w:rPr>
              <w:t>Pinnacle may “conduct or commission a forensic examination of any personal device, personal account, or other medium” used to store or transmit Company Materials; Employee “agrees to cooperate fully and promptly … including by providing all necessary access, passwords, credentials, and authorizations.”</w:t>
            </w:r>
          </w:p>
        </w:tc>
      </w:tr>
      <w:tr>
        <w:tc>
          <w:tcPr>
            <w:tcW w:type="dxa" w:w="2160"/>
          </w:tcPr>
          <w:p>
            <w:r/>
            <w:r>
              <w:rPr>
                <w:sz w:val="19"/>
              </w:rPr>
              <w:t>IPA § 4.5</w:t>
            </w:r>
          </w:p>
        </w:tc>
        <w:tc>
          <w:tcPr>
            <w:tcW w:type="dxa" w:w="7200"/>
          </w:tcPr>
          <w:p>
            <w:r/>
            <w:r>
              <w:rPr>
                <w:sz w:val="19"/>
              </w:rPr>
              <w:t>Continuing obligation to notify and return/destroy any Company Materials discovered later, within 48 hours.</w:t>
            </w:r>
          </w:p>
        </w:tc>
      </w:tr>
      <w:tr>
        <w:tc>
          <w:tcPr>
            <w:tcW w:type="dxa" w:w="2160"/>
          </w:tcPr>
          <w:p>
            <w:r/>
            <w:r>
              <w:rPr>
                <w:sz w:val="19"/>
              </w:rPr>
              <w:t>EA § 7(a)</w:t>
            </w:r>
          </w:p>
        </w:tc>
        <w:tc>
          <w:tcPr>
            <w:tcW w:type="dxa" w:w="7200"/>
          </w:tcPr>
          <w:p>
            <w:r/>
            <w:r>
              <w:rPr>
                <w:sz w:val="19"/>
              </w:rPr>
              <w:t>For 24 months after the Termination Date, not to “engage in, be employed by, consult for, or render services to any Competing Business within the Restricted Territory” (North America) in duties “the same as or substantially similar to” those performed for Pinnacle or “that involve the use or application of Confidential Information.” “Competing Business” covers industrial automation, PLCs and robotic process automation (EA §§ 1.5, 1.9, 1.10).</w:t>
            </w:r>
          </w:p>
        </w:tc>
      </w:tr>
      <w:tr>
        <w:tc>
          <w:tcPr>
            <w:tcW w:type="dxa" w:w="2160"/>
          </w:tcPr>
          <w:p>
            <w:r/>
            <w:r>
              <w:rPr>
                <w:sz w:val="19"/>
              </w:rPr>
              <w:t>EA § 7(b); IPA § 5.1</w:t>
            </w:r>
          </w:p>
        </w:tc>
        <w:tc>
          <w:tcPr>
            <w:tcW w:type="dxa" w:w="7200"/>
          </w:tcPr>
          <w:p>
            <w:r/>
            <w:r>
              <w:rPr>
                <w:sz w:val="19"/>
              </w:rPr>
              <w:t>For 24 months, not to solicit, recruit, or “assist, encourage, or facilitate any other person or entity in soliciting [or] recruiting” Pinnacle employees; “indirectly” expressly includes “directing or requesting that any third party (including … any recruiter … or future employer) undertake any such solicitation.”</w:t>
            </w:r>
          </w:p>
        </w:tc>
      </w:tr>
      <w:tr>
        <w:tc>
          <w:tcPr>
            <w:tcW w:type="dxa" w:w="2160"/>
          </w:tcPr>
          <w:p>
            <w:r/>
            <w:r>
              <w:rPr>
                <w:sz w:val="19"/>
              </w:rPr>
              <w:t>EA § 7(c); IPA § 5.2</w:t>
            </w:r>
          </w:p>
        </w:tc>
        <w:tc>
          <w:tcPr>
            <w:tcW w:type="dxa" w:w="7200"/>
          </w:tcPr>
          <w:p>
            <w:r/>
            <w:r>
              <w:rPr>
                <w:sz w:val="19"/>
              </w:rPr>
              <w:t>For 24 months, not to solicit or divert customers or prospective customers with whom he had contact, or about whom he obtained Confidential Information, in the last two years of employment.</w:t>
            </w:r>
          </w:p>
        </w:tc>
      </w:tr>
      <w:tr>
        <w:tc>
          <w:tcPr>
            <w:tcW w:type="dxa" w:w="2160"/>
          </w:tcPr>
          <w:p>
            <w:r/>
            <w:r>
              <w:rPr>
                <w:sz w:val="19"/>
              </w:rPr>
              <w:t>EA §§ 7(e)–(f); IPA §§ 6.3, 8.2</w:t>
            </w:r>
          </w:p>
        </w:tc>
        <w:tc>
          <w:tcPr>
            <w:tcW w:type="dxa" w:w="7200"/>
          </w:tcPr>
          <w:p>
            <w:r/>
            <w:r>
              <w:rPr>
                <w:sz w:val="19"/>
              </w:rPr>
              <w:t>Arbitrator empowered to “blue pencil” any overbroad covenant; Restricted Period tolled during any period of violation.</w:t>
            </w:r>
          </w:p>
        </w:tc>
      </w:tr>
      <w:tr>
        <w:tc>
          <w:tcPr>
            <w:tcW w:type="dxa" w:w="2160"/>
          </w:tcPr>
          <w:p>
            <w:r/>
            <w:r>
              <w:rPr>
                <w:sz w:val="19"/>
              </w:rPr>
              <w:t>EA § 9(a); IPA § 6.1</w:t>
            </w:r>
          </w:p>
        </w:tc>
        <w:tc>
          <w:tcPr>
            <w:tcW w:type="dxa" w:w="7200"/>
          </w:tcPr>
          <w:p>
            <w:r/>
            <w:r>
              <w:rPr>
                <w:sz w:val="19"/>
              </w:rPr>
              <w:t>Breach or threatened breach “would cause the Company immediate and irreparable harm”; equitable relief available “without the requirement of posting a bond” unless mandatorily required (IPA: bond, if any, “at the minimum amount permitted”).</w:t>
            </w:r>
          </w:p>
        </w:tc>
      </w:tr>
    </w:tbl>
    <w:p>
      <w:pPr>
        <w:spacing w:after="80"/>
      </w:pPr>
    </w:p>
    <w:p>
      <w:pPr>
        <w:pStyle w:val="Heading2"/>
      </w:pPr>
      <w:r>
        <w:t>C.  The USB exfiltration: 10–25 April 2025</w:t>
      </w:r>
    </w:p>
    <w:p>
      <w:pPr>
        <w:spacing w:after="160" w:line="276" w:lineRule="auto"/>
        <w:ind w:left="720" w:hanging="720"/>
        <w:jc w:val="both"/>
      </w:pPr>
      <w:r>
        <w:t>23.</w:t>
        <w:tab/>
      </w:r>
      <w:r>
        <w:t>On 28 April 2025, Pinnacle’s IT security team, conducting a routine departure audit triggered by Dr. Mehta’s resignation, identified anomalous transfers from ZenithVault. The same day, Pinnacle’s General Counsel engaged Ironclad Digital Forensics LLC, and Pinnacle’s IT Security Manager secured Dr. Mehta’s company-issued laptop (Dell Precision 5570, Asset Tag PDI-L-04718) in a tamper-evident evidence bag. Ironclad created a write-blocked, hash-verified (SHA-256) forensic image on 29 April 2025 and analyzed ZenithVault access logs and Exchange email transport logs under documented chain of custody (Ironclad Report, §§ 2–4, App. A (</w:t>
      </w:r>
      <w:r>
        <w:rPr>
          <w:b/>
        </w:rPr>
        <w:t>C-3</w:t>
      </w:r>
      <w:r>
        <w:t xml:space="preserve">); </w:t>
      </w:r>
      <w:r>
        <w:rPr>
          <w:b/>
        </w:rPr>
        <w:t>C-4</w:t>
      </w:r>
      <w:r>
        <w:t>, letter of 29 April 2025).</w:t>
      </w:r>
    </w:p>
    <w:p>
      <w:pPr>
        <w:spacing w:after="160" w:line="276" w:lineRule="auto"/>
        <w:ind w:left="720" w:hanging="720"/>
        <w:jc w:val="both"/>
      </w:pPr>
      <w:r>
        <w:t>24.</w:t>
        <w:tab/>
      </w:r>
      <w:r>
        <w:t>Ironclad’s findings, stated “to a reasonable degree of forensic certainty” (Ironclad Report, § 9), are as follows:</w:t>
      </w:r>
    </w:p>
    <w:p>
      <w:pPr>
        <w:spacing w:after="120" w:line="276" w:lineRule="auto"/>
        <w:ind w:left="1440" w:hanging="576"/>
        <w:jc w:val="both"/>
      </w:pPr>
      <w:r>
        <w:t>(a)</w:t>
        <w:tab/>
      </w:r>
      <w:r>
        <w:t xml:space="preserve">A SanDisk Extreme Pro USB 3.2 flash drive, serial number </w:t>
      </w:r>
      <w:r>
        <w:rPr>
          <w:b/>
        </w:rPr>
        <w:t>04023A4D7F8B9C01</w:t>
      </w:r>
      <w:r>
        <w:t>, was first connected to Dr. Mehta’s laptop on 10 April 2025 at 7:22 p.m. CDT; it had never been connected before. It was connected on twelve occasions: 10, 11, 14, 15, 16, 17, 18, 21, 22, 23, 24 and 25 April 2025 (Finding 5.1).</w:t>
      </w:r>
    </w:p>
    <w:p>
      <w:pPr>
        <w:spacing w:after="120" w:line="276" w:lineRule="auto"/>
        <w:ind w:left="1440" w:hanging="576"/>
        <w:jc w:val="both"/>
      </w:pPr>
      <w:r>
        <w:t>(b)</w:t>
        <w:tab/>
      </w:r>
      <w:r>
        <w:t xml:space="preserve">Correlating ZenithVault logs, NTFS artifacts and USB connection events, </w:t>
      </w:r>
      <w:r>
        <w:rPr>
          <w:b/>
        </w:rPr>
        <w:t>4,217 files (approximately 3,814 MB)</w:t>
      </w:r>
      <w:r>
        <w:t xml:space="preserve"> were downloaded under Dr. Mehta’s credentials and copied to the USB Device (Finding 5.2):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shd w:val="clear" w:color="auto" w:fill="D9D9D9"/>
          </w:tcPr>
          <w:p>
            <w:r>
              <w:rPr>
                <w:b/>
              </w:rPr>
            </w:r>
            <w:r>
              <w:rPr>
                <w:b/>
                <w:sz w:val="19"/>
              </w:rPr>
              <w:t>Category</w:t>
            </w:r>
          </w:p>
        </w:tc>
        <w:tc>
          <w:tcPr>
            <w:tcW w:type="dxa" w:w="2448"/>
            <w:shd w:val="clear" w:color="auto" w:fill="D9D9D9"/>
          </w:tcPr>
          <w:p>
            <w:r>
              <w:rPr>
                <w:b/>
              </w:rPr>
            </w:r>
            <w:r>
              <w:rPr>
                <w:b/>
                <w:sz w:val="19"/>
              </w:rPr>
              <w:t>ZenithVault path</w:t>
            </w:r>
          </w:p>
        </w:tc>
        <w:tc>
          <w:tcPr>
            <w:tcW w:type="dxa" w:w="864"/>
            <w:shd w:val="clear" w:color="auto" w:fill="D9D9D9"/>
          </w:tcPr>
          <w:p>
            <w:r>
              <w:rPr>
                <w:b/>
              </w:rPr>
            </w:r>
            <w:r>
              <w:rPr>
                <w:b/>
                <w:sz w:val="19"/>
              </w:rPr>
              <w:t>Files</w:t>
            </w:r>
          </w:p>
        </w:tc>
        <w:tc>
          <w:tcPr>
            <w:tcW w:type="dxa" w:w="1152"/>
            <w:shd w:val="clear" w:color="auto" w:fill="D9D9D9"/>
          </w:tcPr>
          <w:p>
            <w:r>
              <w:rPr>
                <w:b/>
              </w:rPr>
            </w:r>
            <w:r>
              <w:rPr>
                <w:b/>
                <w:sz w:val="19"/>
              </w:rPr>
              <w:t>Approx. size</w:t>
            </w:r>
          </w:p>
        </w:tc>
        <w:tc>
          <w:tcPr>
            <w:tcW w:type="dxa" w:w="1728"/>
            <w:shd w:val="clear" w:color="auto" w:fill="D9D9D9"/>
          </w:tcPr>
          <w:p>
            <w:r>
              <w:rPr>
                <w:b/>
              </w:rPr>
            </w:r>
            <w:r>
              <w:rPr>
                <w:b/>
                <w:sz w:val="19"/>
              </w:rPr>
              <w:t>File types</w:t>
            </w:r>
          </w:p>
        </w:tc>
      </w:tr>
      <w:tr>
        <w:tc>
          <w:tcPr>
            <w:tcW w:type="dxa" w:w="3312"/>
          </w:tcPr>
          <w:p>
            <w:r/>
            <w:r>
              <w:rPr>
                <w:sz w:val="19"/>
              </w:rPr>
              <w:t>Zenith adaptive-control algorithm source code (incl. embedded firmware and test scripts)</w:t>
            </w:r>
          </w:p>
        </w:tc>
        <w:tc>
          <w:tcPr>
            <w:tcW w:type="dxa" w:w="2448"/>
          </w:tcPr>
          <w:p>
            <w:r/>
            <w:r>
              <w:rPr>
                <w:sz w:val="19"/>
              </w:rPr>
              <w:t>/ZenithVault/Algo/Source/</w:t>
            </w:r>
          </w:p>
        </w:tc>
        <w:tc>
          <w:tcPr>
            <w:tcW w:type="dxa" w:w="864"/>
          </w:tcPr>
          <w:p>
            <w:r/>
            <w:r>
              <w:rPr>
                <w:sz w:val="19"/>
              </w:rPr>
              <w:t>1,847</w:t>
            </w:r>
          </w:p>
        </w:tc>
        <w:tc>
          <w:tcPr>
            <w:tcW w:type="dxa" w:w="1152"/>
          </w:tcPr>
          <w:p>
            <w:r/>
            <w:r>
              <w:rPr>
                <w:sz w:val="19"/>
              </w:rPr>
              <w:t>1.6 GB</w:t>
            </w:r>
          </w:p>
        </w:tc>
        <w:tc>
          <w:tcPr>
            <w:tcW w:type="dxa" w:w="1728"/>
          </w:tcPr>
          <w:p>
            <w:r/>
            <w:r>
              <w:rPr>
                <w:sz w:val="19"/>
              </w:rPr>
              <w:t>.c, .h, .py, .cpp, .sv</w:t>
            </w:r>
          </w:p>
        </w:tc>
      </w:tr>
      <w:tr>
        <w:tc>
          <w:tcPr>
            <w:tcW w:type="dxa" w:w="3312"/>
          </w:tcPr>
          <w:p>
            <w:r/>
            <w:r>
              <w:rPr>
                <w:sz w:val="19"/>
              </w:rPr>
              <w:t>Zenith controller-board hardware schematics</w:t>
            </w:r>
          </w:p>
        </w:tc>
        <w:tc>
          <w:tcPr>
            <w:tcW w:type="dxa" w:w="2448"/>
          </w:tcPr>
          <w:p>
            <w:r/>
            <w:r>
              <w:rPr>
                <w:sz w:val="19"/>
              </w:rPr>
              <w:t>/ZenithVault/Hardware/Schematics/</w:t>
            </w:r>
          </w:p>
        </w:tc>
        <w:tc>
          <w:tcPr>
            <w:tcW w:type="dxa" w:w="864"/>
          </w:tcPr>
          <w:p>
            <w:r/>
            <w:r>
              <w:rPr>
                <w:sz w:val="19"/>
              </w:rPr>
              <w:t>923</w:t>
            </w:r>
          </w:p>
        </w:tc>
        <w:tc>
          <w:tcPr>
            <w:tcW w:type="dxa" w:w="1152"/>
          </w:tcPr>
          <w:p>
            <w:r/>
            <w:r>
              <w:rPr>
                <w:sz w:val="19"/>
              </w:rPr>
              <w:t>1.1 GB</w:t>
            </w:r>
          </w:p>
        </w:tc>
        <w:tc>
          <w:tcPr>
            <w:tcW w:type="dxa" w:w="1728"/>
          </w:tcPr>
          <w:p>
            <w:r/>
            <w:r>
              <w:rPr>
                <w:sz w:val="19"/>
              </w:rPr>
              <w:t>.sch, .brd, .pdf, .step</w:t>
            </w:r>
          </w:p>
        </w:tc>
      </w:tr>
      <w:tr>
        <w:tc>
          <w:tcPr>
            <w:tcW w:type="dxa" w:w="3312"/>
          </w:tcPr>
          <w:p>
            <w:r/>
            <w:r>
              <w:rPr>
                <w:sz w:val="19"/>
              </w:rPr>
              <w:t>Customer requirement specifications — top 15 accounts</w:t>
            </w:r>
          </w:p>
        </w:tc>
        <w:tc>
          <w:tcPr>
            <w:tcW w:type="dxa" w:w="2448"/>
          </w:tcPr>
          <w:p>
            <w:r/>
            <w:r>
              <w:rPr>
                <w:sz w:val="19"/>
              </w:rPr>
              <w:t>/ZenithVault/Client_Specs/</w:t>
            </w:r>
          </w:p>
        </w:tc>
        <w:tc>
          <w:tcPr>
            <w:tcW w:type="dxa" w:w="864"/>
          </w:tcPr>
          <w:p>
            <w:r/>
            <w:r>
              <w:rPr>
                <w:sz w:val="19"/>
              </w:rPr>
              <w:t>412</w:t>
            </w:r>
          </w:p>
        </w:tc>
        <w:tc>
          <w:tcPr>
            <w:tcW w:type="dxa" w:w="1152"/>
          </w:tcPr>
          <w:p>
            <w:r/>
            <w:r>
              <w:rPr>
                <w:sz w:val="19"/>
              </w:rPr>
              <w:t>520 MB</w:t>
            </w:r>
          </w:p>
        </w:tc>
        <w:tc>
          <w:tcPr>
            <w:tcW w:type="dxa" w:w="1728"/>
          </w:tcPr>
          <w:p>
            <w:r/>
            <w:r>
              <w:rPr>
                <w:sz w:val="19"/>
              </w:rPr>
              <w:t>.docx, .xlsx, .pdf</w:t>
            </w:r>
          </w:p>
        </w:tc>
      </w:tr>
      <w:tr>
        <w:tc>
          <w:tcPr>
            <w:tcW w:type="dxa" w:w="3312"/>
          </w:tcPr>
          <w:p>
            <w:r/>
            <w:r>
              <w:rPr>
                <w:sz w:val="19"/>
              </w:rPr>
              <w:t>2025–2027 strategic product roadmap</w:t>
            </w:r>
          </w:p>
        </w:tc>
        <w:tc>
          <w:tcPr>
            <w:tcW w:type="dxa" w:w="2448"/>
          </w:tcPr>
          <w:p>
            <w:r/>
            <w:r>
              <w:rPr>
                <w:sz w:val="19"/>
              </w:rPr>
              <w:t>/ZenithVault/Strategy/Roadmap/</w:t>
            </w:r>
          </w:p>
        </w:tc>
        <w:tc>
          <w:tcPr>
            <w:tcW w:type="dxa" w:w="864"/>
          </w:tcPr>
          <w:p>
            <w:r/>
            <w:r>
              <w:rPr>
                <w:sz w:val="19"/>
              </w:rPr>
              <w:t>1,035</w:t>
            </w:r>
          </w:p>
        </w:tc>
        <w:tc>
          <w:tcPr>
            <w:tcW w:type="dxa" w:w="1152"/>
          </w:tcPr>
          <w:p>
            <w:r/>
            <w:r>
              <w:rPr>
                <w:sz w:val="19"/>
              </w:rPr>
              <w:t>594 MB</w:t>
            </w:r>
          </w:p>
        </w:tc>
        <w:tc>
          <w:tcPr>
            <w:tcW w:type="dxa" w:w="1728"/>
          </w:tcPr>
          <w:p>
            <w:r/>
            <w:r>
              <w:rPr>
                <w:sz w:val="19"/>
              </w:rPr>
              <w:t>.pptx, .docx, .xlsx, .pdf</w:t>
            </w:r>
          </w:p>
        </w:tc>
      </w:tr>
      <w:tr>
        <w:tc>
          <w:tcPr>
            <w:tcW w:type="dxa" w:w="3312"/>
          </w:tcPr>
          <w:p>
            <w:r/>
            <w:r>
              <w:rPr>
                <w:b/>
                <w:sz w:val="19"/>
              </w:rPr>
              <w:t>Total</w:t>
            </w:r>
          </w:p>
        </w:tc>
        <w:tc>
          <w:tcPr>
            <w:tcW w:type="dxa" w:w="2448"/>
          </w:tcPr>
          <w:p>
            <w:r/>
          </w:p>
        </w:tc>
        <w:tc>
          <w:tcPr>
            <w:tcW w:type="dxa" w:w="864"/>
          </w:tcPr>
          <w:p>
            <w:r/>
            <w:r>
              <w:rPr>
                <w:b/>
                <w:sz w:val="19"/>
              </w:rPr>
              <w:t>4,217</w:t>
            </w:r>
          </w:p>
        </w:tc>
        <w:tc>
          <w:tcPr>
            <w:tcW w:type="dxa" w:w="1152"/>
          </w:tcPr>
          <w:p>
            <w:r/>
            <w:r>
              <w:rPr>
                <w:b/>
                <w:sz w:val="19"/>
              </w:rPr>
              <w:t>~3.8 GB</w:t>
            </w:r>
          </w:p>
        </w:tc>
        <w:tc>
          <w:tcPr>
            <w:tcW w:type="dxa" w:w="1728"/>
          </w:tcPr>
          <w:p>
            <w:r/>
          </w:p>
        </w:tc>
      </w:tr>
    </w:tbl>
    <w:p>
      <w:pPr>
        <w:spacing w:after="80"/>
      </w:pPr>
    </w:p>
    <w:p>
      <w:pPr>
        <w:spacing w:after="120" w:line="276" w:lineRule="auto"/>
        <w:ind w:left="1440" w:hanging="576"/>
        <w:jc w:val="both"/>
      </w:pPr>
      <w:r>
        <w:t>(c)</w:t>
        <w:tab/>
      </w:r>
      <w:r>
        <w:t>Every one of the twelve sessions began on a weekday evening, between 6:30 p.m. and 10:15 p.m. CDT, outside normal collaboration hours (Ironclad Report, § 7 timeline; Finding 5.3).</w:t>
      </w:r>
    </w:p>
    <w:p>
      <w:pPr>
        <w:spacing w:after="120" w:line="276" w:lineRule="auto"/>
        <w:ind w:left="1440" w:hanging="576"/>
        <w:jc w:val="both"/>
      </w:pPr>
      <w:r>
        <w:t>(d)</w:t>
        <w:tab/>
      </w:r>
      <w:r>
        <w:t xml:space="preserve">Dr. Mehta’s average ZenithVault download volume during 1 January–31 March 2025 was approximately 12 files per day. During the sixteen-day window from 10 to 25 April 2025 it was approximately 264 files per day — a </w:t>
      </w:r>
      <w:r>
        <w:rPr>
          <w:b/>
        </w:rPr>
        <w:t>twenty-two-fold increase</w:t>
      </w:r>
      <w:r>
        <w:t xml:space="preserve"> (Finding 5.3). No comparable bulk transfer activity was identified before 10 April 2025 (§ 7).</w:t>
      </w:r>
    </w:p>
    <w:p>
      <w:pPr>
        <w:spacing w:after="120" w:line="276" w:lineRule="auto"/>
        <w:ind w:left="1440" w:hanging="576"/>
        <w:jc w:val="both"/>
      </w:pPr>
      <w:r>
        <w:t>(e)</w:t>
        <w:tab/>
      </w:r>
      <w:r>
        <w:t>The final session (approximately 347 files, beginning 6:55 p.m.) took place on 25 April 2025 — the same day Dr. Mehta submitted his resignation to Pinnacle’s CEO (§ 7).</w:t>
      </w:r>
    </w:p>
    <w:p>
      <w:pPr>
        <w:spacing w:after="160" w:line="276" w:lineRule="auto"/>
        <w:ind w:left="720" w:hanging="720"/>
        <w:jc w:val="both"/>
      </w:pPr>
      <w:r>
        <w:t>25.</w:t>
        <w:tab/>
      </w:r>
      <w:r>
        <w:t>Although Dr. Mehta’s CTO credentials gave him system-level access to ZenithVault, no officer of Pinnacle authorized him to copy any of these materials to a personal device (</w:t>
      </w:r>
      <w:r>
        <w:rPr>
          <w:b/>
        </w:rPr>
        <w:t>C-4</w:t>
      </w:r>
      <w:r>
        <w:t>, letter of 29 April 2025), and IPA § 2.3 prohibited it absent written authorization of the General Counsel or CIO. As Ironclad observes, the bulk transfer to a personal USB device “exceeded any reasonable interpretation of authorized use” (§ 8.1, Observation 1). The USB Device was not among the equipment Dr. Mehta surrendered on departure; its location and contents are unknown (Observation 2).</w:t>
      </w:r>
    </w:p>
    <w:p>
      <w:pPr>
        <w:pStyle w:val="Heading2"/>
      </w:pPr>
      <w:r>
        <w:t>D.  The Gmail exfiltration: 22 April 2025</w:t>
      </w:r>
    </w:p>
    <w:p>
      <w:pPr>
        <w:spacing w:after="160" w:line="276" w:lineRule="auto"/>
        <w:ind w:left="720" w:hanging="720"/>
        <w:jc w:val="both"/>
      </w:pPr>
      <w:r>
        <w:t>26.</w:t>
        <w:tab/>
      </w:r>
      <w:r>
        <w:t xml:space="preserve">On 22 April 2025 at 9:47 p.m. CDT — approximately two and a half hours after that evening’s USB session began at 7:20 p.m. — Dr. Mehta emailed fourteen files (approximately 47 MB) from rmehta@pinnacledynamics.com to </w:t>
      </w:r>
      <w:r>
        <w:rPr>
          <w:b/>
        </w:rPr>
        <w:t>rajan.mehta.private@gmail.com</w:t>
      </w:r>
      <w:r>
        <w:t>, subject “Reference Materials — Personal Backup.” Delivery succeeded (Findings 6.1–6.2). The attachments were eight core algorithm modules from /Algo/Source/Core/ (including zenith_adaptive_core_v3.2.py, zenith_ctrl_loop_main.c, zenith_kalman_filter.py and zenith_adaptive_gain.c), four algorithm design and integration specifications from /Algo/Docs/ (including zenith_algo_spec_rev7.pdf), and two test datasets from /Algo/Test/. Each is identified by SHA-256 hash in the Ironclad Report (Finding 6.2; App. B).</w:t>
      </w:r>
    </w:p>
    <w:p>
      <w:pPr>
        <w:spacing w:after="160" w:line="276" w:lineRule="auto"/>
        <w:ind w:left="720" w:hanging="720"/>
        <w:jc w:val="both"/>
      </w:pPr>
      <w:r>
        <w:t>27.</w:t>
        <w:tab/>
      </w:r>
      <w:r>
        <w:t>This is a distinct and more dangerous vector. Data in a personal cloud email account persists on third-party servers, synchronizes to any device linked to the account, and can be forwarded or shared without any audit trail visible to Pinnacle (Finding 6.3(a)–(e)). Ironclad concludes that “[p]hysical return of the USB device alone would be wholly insufficient” and that effective containment requires forensic imaging and independently verified, supervised deletion across the Gmail Account and all linked devices, together with a preservation order (Finding 6.3; § 9, Recommendation).</w:t>
      </w:r>
    </w:p>
    <w:p>
      <w:pPr>
        <w:spacing w:after="160" w:line="276" w:lineRule="auto"/>
        <w:ind w:left="720" w:hanging="720"/>
        <w:jc w:val="both"/>
      </w:pPr>
      <w:r>
        <w:t>28.</w:t>
        <w:tab/>
      </w:r>
      <w:r>
        <w:t>Dr. Mehta controls the Gmail Account: he used it on 30 April 2025 to acknowledge Pinnacle’s first demand (</w:t>
      </w:r>
      <w:r>
        <w:rPr>
          <w:b/>
        </w:rPr>
        <w:t>C-4</w:t>
      </w:r>
      <w:r>
        <w:t>).</w:t>
      </w:r>
    </w:p>
    <w:p>
      <w:pPr>
        <w:pStyle w:val="Heading2"/>
      </w:pPr>
      <w:r>
        <w:t>E.  Communications with Vortech’s CEO during the exfiltration window</w:t>
      </w:r>
    </w:p>
    <w:p>
      <w:pPr>
        <w:spacing w:after="160" w:line="276" w:lineRule="auto"/>
        <w:ind w:left="720" w:hanging="720"/>
        <w:jc w:val="both"/>
      </w:pPr>
      <w:r>
        <w:t>29.</w:t>
        <w:tab/>
      </w:r>
      <w:r>
        <w:t xml:space="preserve">The locally cached Outlook data on Dr. Mehta’s laptop shows that between 15 and 24 April 2025 he exchanged </w:t>
      </w:r>
      <w:r>
        <w:rPr>
          <w:b/>
        </w:rPr>
        <w:t>seven emails</w:t>
      </w:r>
      <w:r>
        <w:t xml:space="preserve"> with fdoyle@vortechautomation.com, an address that appears to belong to Franklin Doyle, Vortech’s CEO, under subject lines including “Follow up — conversation,” “Next steps,” and “Re: Timing and logistics” (Ironclad Report, § 8.1, Observation 4; § 9(6)). Ironclad did not review the content of these emails, and Pinnacle draws no conclusion beyond what the metadata shows: Dr. Mehta was in direct contact with the CEO of Pinnacle’s principal competitor about “next steps” and “timing and logistics” while he was copying Pinnacle’s most sensitive files to personal media, and while he still owed Pinnacle fiduciary duties as its CTO.</w:t>
      </w:r>
    </w:p>
    <w:p>
      <w:pPr>
        <w:pStyle w:val="Heading2"/>
      </w:pPr>
      <w:r>
        <w:t>F.  Resignation, demands and non-compliance</w:t>
      </w:r>
    </w:p>
    <w:p>
      <w:pPr>
        <w:spacing w:after="160" w:line="276" w:lineRule="auto"/>
        <w:ind w:left="720" w:hanging="720"/>
        <w:jc w:val="both"/>
      </w:pPr>
      <w:r>
        <w:t>30.</w:t>
        <w:tab/>
      </w:r>
      <w:r>
        <w:t>Dr. Mehta tendered his resignation on 25 April 2025, citing “personal reasons”; his employment ended on Friday, 9 May 2025 (the “Termination Date”) following the fourteen-day notice period under EA § 6(c) (</w:t>
      </w:r>
      <w:r>
        <w:rPr>
          <w:b/>
        </w:rPr>
        <w:t>C-4</w:t>
      </w:r>
      <w:r>
        <w:t xml:space="preserve">; </w:t>
      </w:r>
      <w:r>
        <w:rPr>
          <w:b/>
        </w:rPr>
        <w:t>C-8</w:t>
      </w:r>
      <w:r>
        <w:t>).</w:t>
      </w:r>
    </w:p>
    <w:p>
      <w:pPr>
        <w:spacing w:after="160" w:line="276" w:lineRule="auto"/>
        <w:ind w:left="720" w:hanging="720"/>
        <w:jc w:val="both"/>
      </w:pPr>
      <w:r>
        <w:t>31.</w:t>
        <w:tab/>
      </w:r>
      <w:r>
        <w:t xml:space="preserve">Pinnacle’s General Counsel wrote to Dr. Mehta by email and certified mail on </w:t>
      </w:r>
      <w:r>
        <w:rPr>
          <w:b/>
        </w:rPr>
        <w:t>29 April</w:t>
      </w:r>
      <w:r>
        <w:t xml:space="preserve">, </w:t>
      </w:r>
      <w:r>
        <w:rPr>
          <w:b/>
        </w:rPr>
        <w:t>2 May</w:t>
      </w:r>
      <w:r>
        <w:t xml:space="preserve"> and </w:t>
      </w:r>
      <w:r>
        <w:rPr>
          <w:b/>
        </w:rPr>
        <w:t>7 May 2025</w:t>
      </w:r>
      <w:r>
        <w:t xml:space="preserve"> (</w:t>
      </w:r>
      <w:r>
        <w:rPr>
          <w:b/>
        </w:rPr>
        <w:t>C-4</w:t>
      </w:r>
      <w:r>
        <w:t>). The letters identified the transfers and the categories of files, demanded immediate return of the USB device and all copies, a certification of non-disclosure, and identification of all devices and accounts holding Pinnacle information, and warned that Pinnacle would commence ICC emergency arbitrator proceedings. The 2 May letter set a compliance deadline of close of business on 5 May 2025; the 7 May letter required, at the latest, compliance by the contractual Return Deadline.</w:t>
      </w:r>
    </w:p>
    <w:p>
      <w:pPr>
        <w:spacing w:after="160" w:line="276" w:lineRule="auto"/>
        <w:ind w:left="720" w:hanging="720"/>
        <w:jc w:val="both"/>
      </w:pPr>
      <w:r>
        <w:t>32.</w:t>
        <w:tab/>
      </w:r>
      <w:r>
        <w:t>Dr. Mehta’s only response was an email of 30 April 2025, sent from the Gmail Account, stating that he was “aware of [his] obligations” and would “review the matter … at [his] earliest convenience” and had “no further comment at this time” (</w:t>
      </w:r>
      <w:r>
        <w:rPr>
          <w:b/>
        </w:rPr>
        <w:t>C-4</w:t>
      </w:r>
      <w:r>
        <w:t xml:space="preserve">). The 5 May deadline passed without response. The contractual Return Deadline under IPA § 4.1 — five business days after the Friday, 9 May 2025 Termination Date — expired on </w:t>
      </w:r>
      <w:r>
        <w:rPr>
          <w:b/>
        </w:rPr>
        <w:t>Friday, 16 May 2025</w:t>
      </w:r>
      <w:r>
        <w:t>. As of the date of this Application, Dr. Mehta has not returned the USB Device or any material, has not delivered the certification required by IPA § 4.3, and has not identified any device or account (</w:t>
      </w:r>
      <w:r>
        <w:rPr>
          <w:b/>
        </w:rPr>
        <w:t>C-4</w:t>
      </w:r>
      <w:r>
        <w:t>).</w:t>
      </w:r>
    </w:p>
    <w:p>
      <w:pPr>
        <w:pStyle w:val="Heading2"/>
      </w:pPr>
      <w:r>
        <w:t>G.  Vortech hires Dr. Mehta to accelerate a competing controller platform</w:t>
      </w:r>
    </w:p>
    <w:p>
      <w:pPr>
        <w:spacing w:after="160" w:line="276" w:lineRule="auto"/>
        <w:ind w:left="720" w:hanging="720"/>
        <w:jc w:val="both"/>
      </w:pPr>
      <w:r>
        <w:t>33.</w:t>
        <w:tab/>
      </w:r>
      <w:r>
        <w:t xml:space="preserve">On </w:t>
      </w:r>
      <w:r>
        <w:rPr>
          <w:b/>
        </w:rPr>
        <w:t>14 May 2025</w:t>
      </w:r>
      <w:r>
        <w:t xml:space="preserve"> — five days after the Termination Date and two days before the Return Deadline — Vortech issued a press release announcing Dr. Mehta’s appointment, “effective immediately,” as Executive Vice President — Advanced Systems, reporting directly to Mr. Doyle, to “oversee all aspects of Vortech’s advanced controller development operations” (</w:t>
      </w:r>
      <w:r>
        <w:rPr>
          <w:b/>
        </w:rPr>
        <w:t>C-5</w:t>
      </w:r>
      <w:r>
        <w:t>). The release states:</w:t>
      </w:r>
    </w:p>
    <w:p>
      <w:pPr>
        <w:spacing w:after="160"/>
        <w:ind w:left="1440" w:right="720"/>
        <w:jc w:val="both"/>
      </w:pPr>
      <w:r>
        <w:rPr>
          <w:sz w:val="22"/>
        </w:rPr>
        <w:t>“His deep expertise in next-generation industrial control systems will be instrumental as we execute on our accelerated timeline for Project Helix. … Vortech has accelerated the development timeline for Project Helix, with a targeted commercial launch in Q4 2025. The platform will feature advanced adaptive-control capabilities …” (</w:t>
      </w:r>
      <w:r>
        <w:rPr>
          <w:b/>
          <w:sz w:val="22"/>
        </w:rPr>
        <w:t>C-5</w:t>
      </w:r>
      <w:r>
        <w:rPr>
          <w:sz w:val="22"/>
        </w:rPr>
        <w:t>, press release of 14 May 2025.)</w:t>
      </w:r>
    </w:p>
    <w:p>
      <w:pPr>
        <w:spacing w:after="160" w:line="276" w:lineRule="auto"/>
        <w:ind w:left="720" w:hanging="720"/>
        <w:jc w:val="both"/>
      </w:pPr>
      <w:r>
        <w:t>34.</w:t>
        <w:tab/>
      </w:r>
      <w:r>
        <w:t>Mr. Doyle’s LinkedIn post of the same day states that Dr. Mehta “is exactly the leader we need as we accelerate Project Helix toward its Q4 2025 launch” and that “[w]ith Rajan on board, we’re positioned to deliver the most advanced adaptive controller platform the industry has ever seen” (</w:t>
      </w:r>
      <w:r>
        <w:rPr>
          <w:b/>
        </w:rPr>
        <w:t>C-5</w:t>
      </w:r>
      <w:r>
        <w:t>). Vortech describes itself as designing, manufacturing and servicing PLCs and industrial automation platforms for customers “across North America” (</w:t>
      </w:r>
      <w:r>
        <w:rPr>
          <w:b/>
        </w:rPr>
        <w:t>C-5</w:t>
      </w:r>
      <w:r>
        <w:t>).</w:t>
      </w:r>
    </w:p>
    <w:p>
      <w:pPr>
        <w:spacing w:after="160" w:line="276" w:lineRule="auto"/>
        <w:ind w:left="720" w:hanging="720"/>
        <w:jc w:val="both"/>
      </w:pPr>
      <w:r>
        <w:t>35.</w:t>
        <w:tab/>
      </w:r>
      <w:r>
        <w:t>According to Pinnacle’s CEO, Vortech’s previously communicated timeline for Helix was consistent with a launch around Q2 2026 — in line with Zenith — and the Q4 2025 target was announced in connection with Dr. Mehta’s hiring (</w:t>
      </w:r>
      <w:r>
        <w:rPr>
          <w:b/>
        </w:rPr>
        <w:t>C-8</w:t>
      </w:r>
      <w:r>
        <w:t>, § IV). A Q4 2025 Helix launch would place a competing adaptive-control controller on the market approximately six months before Zenith.</w:t>
      </w:r>
    </w:p>
    <w:p>
      <w:pPr>
        <w:pStyle w:val="Heading2"/>
      </w:pPr>
      <w:r>
        <w:t>H.  Solicitation of the Zenith engineering team: 14–15 May 2025</w:t>
      </w:r>
    </w:p>
    <w:p>
      <w:pPr>
        <w:spacing w:after="160" w:line="276" w:lineRule="auto"/>
        <w:ind w:left="720" w:hanging="720"/>
        <w:jc w:val="both"/>
      </w:pPr>
      <w:r>
        <w:t>36.</w:t>
        <w:tab/>
      </w:r>
      <w:r>
        <w:t xml:space="preserve">On </w:t>
      </w:r>
      <w:r>
        <w:rPr>
          <w:b/>
        </w:rPr>
        <w:t>14 May 2025</w:t>
      </w:r>
      <w:r>
        <w:t xml:space="preserve"> at approximately 3:45 p.m. CDT — the day of the announcement — Ms. Rachel Inman, Talent Acquisition Manager at Vortech, telephoned Dr. Lena Petrov, Pinnacle’s Principal Hardware Engineer on the Zenith team and a former direct report of Dr. Mehta, on her personal mobile phone. Ms. Inman stated that Dr. Mehta was building “a world-class engineering team” for “an exciting new controller platform” and that “Dr. Mehta recommended me and thought I would be a great addition to the team” (HR Incident Report HR-2025-0547, </w:t>
      </w:r>
      <w:r>
        <w:rPr>
          <w:b/>
        </w:rPr>
        <w:t>C-6</w:t>
      </w:r>
      <w:r>
        <w:t>).</w:t>
      </w:r>
    </w:p>
    <w:p>
      <w:pPr>
        <w:spacing w:after="160" w:line="276" w:lineRule="auto"/>
        <w:ind w:left="720" w:hanging="720"/>
        <w:jc w:val="both"/>
      </w:pPr>
      <w:r>
        <w:t>37.</w:t>
        <w:tab/>
      </w:r>
      <w:r>
        <w:t xml:space="preserve">On </w:t>
      </w:r>
      <w:r>
        <w:rPr>
          <w:b/>
        </w:rPr>
        <w:t>15 May 2025</w:t>
      </w:r>
      <w:r>
        <w:t xml:space="preserve"> at approximately 7:50 a.m. CDT, Mr. James Nakamura, Pinnacle’s Lead Software Architect on the Zenith team and also a former direct report of Dr. Mehta, received a LinkedIn message from Ms. Inman stating that Dr. Mehta was “looking to bring on top software talent for an exciting new controller platform” and that “Rajan specifically mentioned your name as someone he’d love to work with again,” offering “competitive compensation and equity” and inviting a “confidential conversation” (HR Incident Report HR-2025-0548 and its screenshot appendix, </w:t>
      </w:r>
      <w:r>
        <w:rPr>
          <w:b/>
        </w:rPr>
        <w:t>C-6</w:t>
      </w:r>
      <w:r>
        <w:t>).</w:t>
      </w:r>
    </w:p>
    <w:p>
      <w:pPr>
        <w:spacing w:after="160" w:line="276" w:lineRule="auto"/>
        <w:ind w:left="720" w:hanging="720"/>
        <w:jc w:val="both"/>
      </w:pPr>
      <w:r>
        <w:t>38.</w:t>
        <w:tab/>
      </w:r>
      <w:r>
        <w:t>Both engineers declined, reported the contacts to Pinnacle’s HR department on 15 May 2025, and confirmed that Dr. Mehta had not contacted them directly (</w:t>
      </w:r>
      <w:r>
        <w:rPr>
          <w:b/>
        </w:rPr>
        <w:t>C-6</w:t>
      </w:r>
      <w:r>
        <w:t>). Pinnacle’s finance team identifies both as “critical to on-schedule delivery” of Zenith (</w:t>
      </w:r>
      <w:r>
        <w:rPr>
          <w:b/>
        </w:rPr>
        <w:t>C-7</w:t>
      </w:r>
      <w:r>
        <w:t>, Assumption 5(c)).</w:t>
      </w:r>
    </w:p>
    <w:p>
      <w:pPr>
        <w:pStyle w:val="Heading2"/>
      </w:pPr>
      <w:r>
        <w:t>I.  The present position</w:t>
      </w:r>
    </w:p>
    <w:p>
      <w:pPr>
        <w:spacing w:after="160" w:line="276" w:lineRule="auto"/>
        <w:ind w:left="720" w:hanging="720"/>
        <w:jc w:val="both"/>
      </w:pPr>
      <w:r>
        <w:t>39.</w:t>
        <w:tab/>
      </w:r>
      <w:r>
        <w:t xml:space="preserve">As of the date of this Application: (i) the USB Device and the 4,217 files remain outside Pinnacle’s control; (ii) the fourteen emailed files remain in, or have been further propagated from, the Gmail Account; (iii) Dr. Mehta is directing Vortech’s advanced controller development for a product with a Q4 2025 launch target; (iv) Vortech is recruiting Pinnacle’s Zenith engineers by invoking Dr. Mehta’s personal recommendation; and (v) Dr. Mehta has refused to provide any assurance, accounting or certification. A consolidated chronology appears at </w:t>
      </w:r>
      <w:r>
        <w:rPr>
          <w:b/>
        </w:rPr>
        <w:t>Schedule 2</w:t>
      </w:r>
      <w:r>
        <w:t>.</w:t>
      </w:r>
    </w:p>
    <w:p>
      <w:pPr>
        <w:pStyle w:val="Heading1"/>
      </w:pPr>
      <w:r>
        <w:t>V.  THE UNDERLYING DISPUTE TO BE REFERRED TO ARBITRATION</w:t>
      </w:r>
    </w:p>
    <w:p>
      <w:pPr>
        <w:spacing w:after="160" w:line="276" w:lineRule="auto"/>
        <w:ind w:left="720" w:hanging="720"/>
        <w:jc w:val="both"/>
      </w:pPr>
      <w:r>
        <w:t>40.</w:t>
        <w:tab/>
      </w:r>
      <w:r>
        <w:t>In its Request for Arbitration, Pinnacle will assert, without limitation, the following claims against Dr. Mehta, each arising out of or relating to the Employment Agreement and/or the IP Agreement:</w:t>
      </w:r>
    </w:p>
    <w:p>
      <w:pPr>
        <w:spacing w:after="120" w:line="276" w:lineRule="auto"/>
        <w:ind w:left="1440" w:hanging="576"/>
        <w:jc w:val="both"/>
      </w:pPr>
      <w:r>
        <w:t>(a)</w:t>
        <w:tab/>
      </w:r>
      <w:r>
        <w:t>breach of the confidentiality, non-use and no-personal-copy obligations (EA § 5; IPA §§ 2.1–2.3);</w:t>
      </w:r>
    </w:p>
    <w:p>
      <w:pPr>
        <w:spacing w:after="120" w:line="276" w:lineRule="auto"/>
        <w:ind w:left="1440" w:hanging="576"/>
        <w:jc w:val="both"/>
      </w:pPr>
      <w:r>
        <w:t>(b)</w:t>
        <w:tab/>
      </w:r>
      <w:r>
        <w:t>breach of the return, destruction, certification and audit obligations (EA § 6(h); IPA §§ 4.1–4.5);</w:t>
      </w:r>
    </w:p>
    <w:p>
      <w:pPr>
        <w:spacing w:after="120" w:line="276" w:lineRule="auto"/>
        <w:ind w:left="1440" w:hanging="576"/>
        <w:jc w:val="both"/>
      </w:pPr>
      <w:r>
        <w:t>(c)</w:t>
        <w:tab/>
      </w:r>
      <w:r>
        <w:t>breach of the non-competition covenant (EA § 7(a));</w:t>
      </w:r>
    </w:p>
    <w:p>
      <w:pPr>
        <w:spacing w:after="120" w:line="276" w:lineRule="auto"/>
        <w:ind w:left="1440" w:hanging="576"/>
        <w:jc w:val="both"/>
      </w:pPr>
      <w:r>
        <w:t>(d)</w:t>
        <w:tab/>
      </w:r>
      <w:r>
        <w:t>breach and threatened breach of the employee and customer non-solicitation covenants (EA §§ 7(b)–(c); IPA §§ 5.1–5.2);</w:t>
      </w:r>
    </w:p>
    <w:p>
      <w:pPr>
        <w:spacing w:after="120" w:line="276" w:lineRule="auto"/>
        <w:ind w:left="1440" w:hanging="576"/>
        <w:jc w:val="both"/>
      </w:pPr>
      <w:r>
        <w:t>(e)</w:t>
        <w:tab/>
      </w:r>
      <w:r>
        <w:t xml:space="preserve">misappropriation of trade secrets under the Defend Trade Secrets Act of 2016, 18 U.S.C. § 1836 </w:t>
      </w:r>
      <w:r>
        <w:rPr>
          <w:i/>
        </w:rPr>
        <w:t>et seq.</w:t>
      </w:r>
      <w:r>
        <w:t xml:space="preserve"> (“DTSA”), and New York common law;</w:t>
      </w:r>
    </w:p>
    <w:p>
      <w:pPr>
        <w:spacing w:after="120" w:line="276" w:lineRule="auto"/>
        <w:ind w:left="1440" w:hanging="576"/>
        <w:jc w:val="both"/>
      </w:pPr>
      <w:r>
        <w:t>(f)</w:t>
        <w:tab/>
      </w:r>
      <w:r>
        <w:t>breach of the fiduciary duty of loyalty owed by Dr. Mehta as a corporate officer during his employment, including through the April 2025 downloads and his concurrent dealings with Vortech; and</w:t>
      </w:r>
    </w:p>
    <w:p>
      <w:pPr>
        <w:spacing w:after="120" w:line="276" w:lineRule="auto"/>
        <w:ind w:left="1440" w:hanging="576"/>
        <w:jc w:val="both"/>
      </w:pPr>
      <w:r>
        <w:t>(g)</w:t>
        <w:tab/>
      </w:r>
      <w:r>
        <w:t>declaratory relief (including tolling of the Restricted Period under EA § 7(f) and IPA § 6.3), permanent injunctive relief, damages and/or disgorgement in an amount to be quantified (presently expected materially to exceed US$5,000,000), and attorneys’ fees, expert fees and costs (EA § 12(d); IPA § 9.4).</w:t>
      </w:r>
    </w:p>
    <w:p>
      <w:pPr>
        <w:spacing w:after="160" w:line="276" w:lineRule="auto"/>
        <w:ind w:left="720" w:hanging="720"/>
        <w:jc w:val="both"/>
      </w:pPr>
      <w:r>
        <w:t>41.</w:t>
        <w:tab/>
      </w:r>
      <w:r>
        <w:t>Nothing in this Application is intended to limit the claims Pinnacle may advance in its Request for Arbitration.</w:t>
      </w:r>
    </w:p>
    <w:p>
      <w:pPr>
        <w:pStyle w:val="Heading1"/>
      </w:pPr>
      <w:r>
        <w:t>VI.  THE APPLICABLE STANDARD FOR EMERGENCY MEASURES</w:t>
      </w:r>
    </w:p>
    <w:p>
      <w:pPr>
        <w:spacing w:after="160" w:line="276" w:lineRule="auto"/>
        <w:ind w:left="720" w:hanging="720"/>
        <w:jc w:val="both"/>
      </w:pPr>
      <w:r>
        <w:t>42.</w:t>
        <w:tab/>
      </w:r>
      <w:r>
        <w:t>Article 29(1) of the Rules permits a party “that needs urgent interim or conservatory measures that cannot await the constitution of an arbitral tribunal” to apply for such measures. Article 28(1) authorizes “any interim or conservatory measure [the tribunal] deems appropriate,” and Article 6(7) of Appendix V permits the emergency arbitrator to make the Order “subject to such conditions as the emergency arbitrator thinks appropriate, including requiring the provision of appropriate security.” The parties also agreed that the arbitrator “shall have the authority to award any remedy or relief that would be available from a court,” including equitable relief (EA § 12(a); IPA § 9.1), and that emergency measures may be granted to “preserve the status quo, prevent irreparable harm, or protect or preserve the subject matter of the dispute” (EA § 12(c)).</w:t>
      </w:r>
    </w:p>
    <w:p>
      <w:pPr>
        <w:spacing w:after="160" w:line="276" w:lineRule="auto"/>
        <w:ind w:left="720" w:hanging="720"/>
        <w:jc w:val="both"/>
      </w:pPr>
      <w:r>
        <w:t>43.</w:t>
        <w:tab/>
      </w:r>
      <w:r>
        <w:t>Neither the Rules nor Appendix V prescribes a substantive test. Emergency arbitrators acting under the Rules have consistently considered, as reflected in the ICC Commission Report on Emergency Arbitrator Proceedings (2019), whether the applicant has shown: (1) prima facie jurisdiction; (2) urgency, in the sense that the measures cannot await the constitution of the tribunal; (3) a risk of irreparable or serious harm not adequately reparable by damages; (4) a reasonable possibility of success on the merits (a prima facie case), without prejudging the merits; and (5) proportionality, i.e., that the balance of convenience favours the measures.</w:t>
      </w:r>
    </w:p>
    <w:p>
      <w:pPr>
        <w:spacing w:after="160" w:line="276" w:lineRule="auto"/>
        <w:ind w:left="720" w:hanging="720"/>
        <w:jc w:val="both"/>
      </w:pPr>
      <w:r>
        <w:t>44.</w:t>
        <w:tab/>
      </w:r>
      <w:r>
        <w:t>These criteria are consistent with the law of the seat and the governing law. Under New York law, a preliminary injunction requires a likelihood of success on the merits, irreparable injury absent relief, and a balance of equities in the movant’s favour (</w:t>
      </w:r>
      <w:r>
        <w:rPr>
          <w:i/>
        </w:rPr>
        <w:t>Doe v. Axelrod</w:t>
      </w:r>
      <w:r>
        <w:t>, 73 N.Y.2d 748, 750 (1988)); and a New York court may grant provisional relief in aid of arbitration where the award “may be rendered ineffectual without such provisional relief” (N.Y. C.P.L.R. 7502(c)). The Second Circuit applies materially the same test in trade-secret and restrictive-covenant cases (</w:t>
      </w:r>
      <w:r>
        <w:rPr>
          <w:i/>
        </w:rPr>
        <w:t>Faiveley Transport Malmo AB v. Wabtec Corp.</w:t>
      </w:r>
      <w:r>
        <w:t xml:space="preserve">, 559 F.3d 110, 116 (2d Cir. 2009); </w:t>
      </w:r>
      <w:r>
        <w:rPr>
          <w:i/>
        </w:rPr>
        <w:t>Ticor Title Ins. Co. v. Cohen</w:t>
      </w:r>
      <w:r>
        <w:t>, 173 F.3d 63, 68–69 (2d Cir. 1999)). Pinnacle invokes these authorities as persuasive guidance; the Emergency Arbitrator is not bound by domestic procedural standards for court injunctions.</w:t>
      </w:r>
    </w:p>
    <w:p>
      <w:pPr>
        <w:pStyle w:val="Heading1"/>
      </w:pPr>
      <w:r>
        <w:t>VII.  THE APPLICANT SATISFIES EACH REQUIREMENT FOR EMERGENCY MEASURES</w:t>
      </w:r>
    </w:p>
    <w:p>
      <w:pPr>
        <w:pStyle w:val="Heading2"/>
      </w:pPr>
      <w:r>
        <w:t>A.  Prima facie jurisdiction</w:t>
      </w:r>
    </w:p>
    <w:p>
      <w:pPr>
        <w:spacing w:after="160" w:line="276" w:lineRule="auto"/>
        <w:ind w:left="720" w:hanging="720"/>
        <w:jc w:val="both"/>
      </w:pPr>
      <w:r>
        <w:t>45.</w:t>
        <w:tab/>
      </w:r>
      <w:r>
        <w:t>For the reasons in Section III, the Emergency Arbitrator has prima facie jurisdiction: the parties are signatories to two ICC arbitration agreements that expressly incorporate the Emergency Arbitrator Provisions, the dispute falls within their scope, and no Article 29(6) exclusion applies. Dr. Mehta has, moreover, contractually agreed “not to challenge the authority of any emergency arbitrator” (IPA § 9.3).</w:t>
      </w:r>
    </w:p>
    <w:p>
      <w:pPr>
        <w:pStyle w:val="Heading2"/>
      </w:pPr>
      <w:r>
        <w:t>B.  Urgency: the measures cannot await the constitution of the arbitral tribunal</w:t>
      </w:r>
    </w:p>
    <w:p>
      <w:pPr>
        <w:spacing w:after="160" w:line="276" w:lineRule="auto"/>
        <w:ind w:left="720" w:hanging="720"/>
        <w:jc w:val="both"/>
      </w:pPr>
      <w:r>
        <w:t>46.</w:t>
        <w:tab/>
      </w:r>
      <w:r>
        <w:t>The harm Pinnacle seeks to prevent is occurring now and will be complete long before a tribunal can act:</w:t>
      </w:r>
    </w:p>
    <w:p>
      <w:pPr>
        <w:spacing w:after="120" w:line="276" w:lineRule="auto"/>
        <w:ind w:left="1440" w:hanging="576"/>
        <w:jc w:val="both"/>
      </w:pPr>
      <w:r>
        <w:t>(a)</w:t>
        <w:tab/>
      </w:r>
      <w:r>
        <w:rPr>
          <w:b/>
        </w:rPr>
        <w:t>The data are uncontrolled and the cloud copy is propagating.</w:t>
      </w:r>
      <w:r>
        <w:t xml:space="preserve"> The USB Device and the Gmail Account are entirely outside Pinnacle’s visibility (Ironclad Report, Observations 2–3). Each day the Gmail copy persists, it may be synchronized to additional devices or forwarded without trace (Finding 6.3). Evidence of what Dr. Mehta has done with the materials — including access, forwarding and deletion logs — is equally at risk of loss.</w:t>
      </w:r>
    </w:p>
    <w:p>
      <w:pPr>
        <w:spacing w:after="120" w:line="276" w:lineRule="auto"/>
        <w:ind w:left="1440" w:hanging="576"/>
        <w:jc w:val="both"/>
      </w:pPr>
      <w:r>
        <w:t>(b)</w:t>
        <w:tab/>
      </w:r>
      <w:r>
        <w:rPr>
          <w:b/>
        </w:rPr>
        <w:t>Dr. Mehta is already leading a competitor’s controller development.</w:t>
      </w:r>
      <w:r>
        <w:t xml:space="preserve"> Since 14 May 2025 Dr. Mehta has overseen “all aspects” of Vortech’s advanced controller development, on an “accelerated timeline” for a Q4 2025 launch of an adaptive-control platform — i.e., within approximately four to seven months (</w:t>
      </w:r>
      <w:r>
        <w:rPr>
          <w:b/>
        </w:rPr>
        <w:t>C-5</w:t>
      </w:r>
      <w:r>
        <w:t>). Every week of work on Helix by the architect of Zenith, in possession of Zenith source code and schematics, increases the risk that Pinnacle’s trade secrets become irreversibly embedded in a competing product.</w:t>
      </w:r>
    </w:p>
    <w:p>
      <w:pPr>
        <w:spacing w:after="120" w:line="276" w:lineRule="auto"/>
        <w:ind w:left="1440" w:hanging="576"/>
        <w:jc w:val="both"/>
      </w:pPr>
      <w:r>
        <w:t>(c)</w:t>
        <w:tab/>
      </w:r>
      <w:r>
        <w:rPr>
          <w:b/>
        </w:rPr>
        <w:t>Solicitation is ongoing.</w:t>
      </w:r>
      <w:r>
        <w:t xml:space="preserve"> Vortech’s recruiter approached two key Zenith engineers within 24 hours of the announcement, invoking Dr. Mehta’s personal recommendation (</w:t>
      </w:r>
      <w:r>
        <w:rPr>
          <w:b/>
        </w:rPr>
        <w:t>C-6</w:t>
      </w:r>
      <w:r>
        <w:t>). There is every reason to expect further approaches to the remaining members of the Zenith team, each of whom carries Zenith know-how.</w:t>
      </w:r>
    </w:p>
    <w:p>
      <w:pPr>
        <w:spacing w:after="120" w:line="276" w:lineRule="auto"/>
        <w:ind w:left="1440" w:hanging="576"/>
        <w:jc w:val="both"/>
      </w:pPr>
      <w:r>
        <w:t>(d)</w:t>
        <w:tab/>
      </w:r>
      <w:r>
        <w:rPr>
          <w:b/>
        </w:rPr>
        <w:t>A tribunal cannot be constituted in time.</w:t>
      </w:r>
      <w:r>
        <w:t xml:space="preserve"> Pinnacle’s claims exceed US$5,000,000; under EA § 12(a) a three-member tribunal is required. The Request must be filed and notified, the Respondent has 30 days to answer and nominate (Articles 5 and 12 of the Rules), and confirmation, any challenge, and transmission of the file follow. Constitution of the tribunal will in all likelihood not occur before the second half of 2025, by which time Helix may be at or near launch.</w:t>
      </w:r>
    </w:p>
    <w:p>
      <w:pPr>
        <w:spacing w:after="160" w:line="276" w:lineRule="auto"/>
        <w:ind w:left="720" w:hanging="720"/>
        <w:jc w:val="both"/>
      </w:pPr>
      <w:r>
        <w:t>47.</w:t>
        <w:tab/>
      </w:r>
      <w:r>
        <w:t xml:space="preserve">Pinnacle has acted with diligence. It discovered the transfers on 28 April 2025, engaged forensic experts the same day, made three written demands within nine days, afforded Dr. Mehta the full contractual Return Deadline (16 May 2025), received Ironclad’s final report on 16 May 2025, retained outside counsel on 19 May 2025, and filed this Application immediately thereafter. Pinnacle’s measured approach — giving the Respondent every opportunity to comply voluntarily — cannot be held against it; the urgency arises from Dr. Mehta’s refusal and from Vortech’s 14 May announcement. </w:t>
      </w:r>
      <w:r>
        <w:rPr>
          <w:i/>
        </w:rPr>
        <w:t>Cf. Citibank, N.A. v. Citytrust</w:t>
      </w:r>
      <w:r>
        <w:t>, 756 F.2d 273, 276 (2d Cir. 1985) (unexplained delay may undercut irreparable harm; none exists here).</w:t>
      </w:r>
    </w:p>
    <w:p>
      <w:pPr>
        <w:pStyle w:val="Heading2"/>
      </w:pPr>
      <w:r>
        <w:t>C.  Pinnacle has a strong prima facie case on the merits</w:t>
      </w:r>
    </w:p>
    <w:p>
      <w:pPr>
        <w:pStyle w:val="Heading3"/>
      </w:pPr>
      <w:r>
        <w:t>1.  Breach of the confidentiality and no-personal-copy obligations (EA § 5; IPA §§ 2.1–2.3)</w:t>
      </w:r>
    </w:p>
    <w:p>
      <w:pPr>
        <w:spacing w:after="160" w:line="276" w:lineRule="auto"/>
        <w:ind w:left="720" w:hanging="720"/>
        <w:jc w:val="both"/>
      </w:pPr>
      <w:r>
        <w:t>48.</w:t>
        <w:tab/>
      </w:r>
      <w:r>
        <w:t>The Zenith Materials fall squarely within the contractual definitions of Confidential Information, which expressly include “source code, algorithms, hardware designs and schematics, … product roadmaps, customer lists, customer requirements and specifications” (EA § 1.6; IPA § 1.1(b), (c), (e), (f)). IPA § 2.3 flatly prohibits copying Confidential Information to “any personal device” or transmitting it to “any personal email address (including, without limitation, any personal Gmail … account)” absent written authorization of the General Counsel or CIO, and confirms that authorization to access materials on Company systems “does not constitute authorization to transfer, copy, or reproduce” them elsewhere. The forensic evidence establishes both prohibited acts (Findings 5.1–5.2, 6.1–6.2). No authorization was sought or given (</w:t>
      </w:r>
      <w:r>
        <w:rPr>
          <w:b/>
        </w:rPr>
        <w:t>C-4</w:t>
      </w:r>
      <w:r>
        <w:t>). The breach is established on the documents alone.</w:t>
      </w:r>
    </w:p>
    <w:p>
      <w:pPr>
        <w:pStyle w:val="Heading3"/>
      </w:pPr>
      <w:r>
        <w:t>2.  Breach of the return, certification and audit obligations (EA § 6(h); IPA § 4)</w:t>
      </w:r>
    </w:p>
    <w:p>
      <w:pPr>
        <w:spacing w:after="160" w:line="276" w:lineRule="auto"/>
        <w:ind w:left="720" w:hanging="720"/>
        <w:jc w:val="both"/>
      </w:pPr>
      <w:r>
        <w:t>49.</w:t>
        <w:tab/>
      </w:r>
      <w:r>
        <w:t>IPA § 4.1 required return of all Company Materials — including copies on personal devices and personal email accounts (IPA § 4.2(c)–(d)) — by 16 May 2025, and IPA § 4.3 required a certification under penalty of perjury identifying every device and account from which materials were deleted. The parties agreed that failure to meet the Return Deadline “shall constitute a material breach.” Dr. Mehta has done nothing. EA § 6(h) independently required return “at any time upon the Company’s request,” which Pinnacle made on 29 April 2025. Further, under IPA § 4.4 Dr. Mehta has already agreed to a forensic examination of “any personal device, personal account, or other medium” used to store Company Materials and to provide “all necessary access, passwords, credentials, and authorizations.” The forensic measures requested in Section VIII therefore do no more than give interim effect to an existing contractual right.</w:t>
      </w:r>
    </w:p>
    <w:p>
      <w:pPr>
        <w:pStyle w:val="Heading3"/>
      </w:pPr>
      <w:r>
        <w:t>3.  Trade-secret misappropriation (DTSA; New York common law)</w:t>
      </w:r>
    </w:p>
    <w:p>
      <w:pPr>
        <w:spacing w:after="160" w:line="276" w:lineRule="auto"/>
        <w:ind w:left="720" w:hanging="720"/>
        <w:jc w:val="both"/>
      </w:pPr>
      <w:r>
        <w:t>50.</w:t>
        <w:tab/>
      </w:r>
      <w:r>
        <w:t>The DTSA defines a trade secret as information that the owner has taken reasonable measures to keep secret and that derives independent economic value from not being generally known (18 U.S.C. § 1839(3)); “misappropriation” includes acquisition by “improper means” and disclosure or use in breach of a duty to maintain secrecy (§ 1839(5)–(6)). New York common law, which looks to the factors in Restatement of Torts § 757, cmt. b, is to the same effect (</w:t>
      </w:r>
      <w:r>
        <w:rPr>
          <w:i/>
        </w:rPr>
        <w:t>Ashland Mgmt. Inc. v. Janien</w:t>
      </w:r>
      <w:r>
        <w:t>, 82 N.Y.2d 395, 407 (1993)).</w:t>
      </w:r>
    </w:p>
    <w:p>
      <w:pPr>
        <w:spacing w:after="160" w:line="276" w:lineRule="auto"/>
        <w:ind w:left="720" w:hanging="720"/>
        <w:jc w:val="both"/>
      </w:pPr>
      <w:r>
        <w:t>51.</w:t>
        <w:tab/>
      </w:r>
      <w:r>
        <w:t>On a prima facie basis, each element is met. The adaptive-control source code, the controller-board schematics, the customer specifications and the forward roadmap are the paradigm of protectable technical and commercial secrets; Pinnacle invested US$37.2 million in developing the Zenith technology (</w:t>
      </w:r>
      <w:r>
        <w:rPr>
          <w:b/>
        </w:rPr>
        <w:t>C-7</w:t>
      </w:r>
      <w:r>
        <w:t>); and Pinnacle protected it through a segregated server accessible in full to only six people, comprehensive confidentiality and no-personal-copy agreements, and IT monitoring that detected the transfers (Ironclad Report, Observation 1; IPA §§ 2.1–2.3). Copying those secrets to personal media in breach of an express contractual prohibition, followed by refusal to return them and immediate employment with a competitor developing a directly competing adaptive-control controller, establishes at least a prima facie case of acquisition by improper means and of threatened use or disclosure. The DTSA expressly authorizes injunctions against “actual or threatened misappropriation” (18 U.S.C. § 1836(b)(3)(A)).</w:t>
      </w:r>
    </w:p>
    <w:p>
      <w:pPr>
        <w:spacing w:after="160" w:line="276" w:lineRule="auto"/>
        <w:ind w:left="720" w:hanging="720"/>
        <w:jc w:val="both"/>
      </w:pPr>
      <w:r>
        <w:t>52.</w:t>
        <w:tab/>
      </w:r>
      <w:r>
        <w:t>Pinnacle does not rely on any “inevitable disclosure” theory. The DTSA precludes an injunction that would “prevent a person from entering into an employment relationship” where conditions are based “merely on the information the person knows” (18 U.S.C. § 1836(b)(3)(A)(i)(I)), and New York courts treat inevitable-disclosure arguments with caution (</w:t>
      </w:r>
      <w:r>
        <w:rPr>
          <w:i/>
        </w:rPr>
        <w:t>EarthWeb, Inc. v. Schlack</w:t>
      </w:r>
      <w:r>
        <w:t xml:space="preserve">, 71 F. Supp. 2d 299, 310–11 (S.D.N.Y. 1999)). The trade-secret-based measures sought here rest on </w:t>
      </w:r>
      <w:r>
        <w:rPr>
          <w:b/>
        </w:rPr>
        <w:t>documentary evidence of actual taking</w:t>
      </w:r>
      <w:r>
        <w:t xml:space="preserve"> of identified files, not on what Dr. Mehta carries in his head. The employment-related measure (Section VIII, Measure 8) rests on Dr. Mehta’s separate contractual non-competition covenant, not on the DTSA.</w:t>
      </w:r>
    </w:p>
    <w:p>
      <w:pPr>
        <w:pStyle w:val="Heading3"/>
      </w:pPr>
      <w:r>
        <w:t>4.  Breach of the non-solicitation covenants (EA § 7(b); IPA § 5.1)</w:t>
      </w:r>
    </w:p>
    <w:p>
      <w:pPr>
        <w:spacing w:after="160" w:line="276" w:lineRule="auto"/>
        <w:ind w:left="720" w:hanging="720"/>
        <w:jc w:val="both"/>
      </w:pPr>
      <w:r>
        <w:t>53.</w:t>
        <w:tab/>
      </w:r>
      <w:r>
        <w:t>EA § 7(b)(ii) prohibits Dr. Mehta from “assist[ing], encourag[ing], or facilitat[ing] any other person or entity in soliciting [or] recruiting” Pinnacle employees, and IPA § 5.1 provides that prohibited indirect solicitation “includes … directing or requesting that any third party (including … any recruiter, placement agency, or future employer) undertake any such solicitation.” Vortech’s recruiter told both Dr. Petrov and Mr. Nakamura that Dr. Mehta had personally identified and recommended them for Vortech’s controller platform (</w:t>
      </w:r>
      <w:r>
        <w:rPr>
          <w:b/>
        </w:rPr>
        <w:t>C-6</w:t>
      </w:r>
      <w:r>
        <w:t>). Identifying Pinnacle’s key Zenith engineers by name to Vortech’s talent-acquisition function so that Vortech could approach them is precisely the indirect solicitation that both covenants prohibit. That Dr. Mehta did not personally contact the engineers is immaterial under the express contractual language.</w:t>
      </w:r>
    </w:p>
    <w:p>
      <w:pPr>
        <w:spacing w:after="160" w:line="276" w:lineRule="auto"/>
        <w:ind w:left="720" w:hanging="720"/>
        <w:jc w:val="both"/>
      </w:pPr>
      <w:r>
        <w:t>54.</w:t>
        <w:tab/>
      </w:r>
      <w:r>
        <w:t>Pinnacle acknowledges that the evidence of Dr. Mehta’s role consists of statements attributed to him by Vortech’s recruiter, recorded in contemporaneous HR reports and, for Mr. Nakamura, a preserved screenshot. That evidence is consistent, contemporaneous and corroborated by the timing; in any event, the standard at this stage is a reasonable possibility of success, and the Emergency Arbitrator is not bound by technical rules of evidence. The Respondent will have every opportunity to respond.</w:t>
      </w:r>
    </w:p>
    <w:p>
      <w:pPr>
        <w:pStyle w:val="Heading3"/>
      </w:pPr>
      <w:r>
        <w:t>5.  Threatened breach of the customer non-solicitation covenants (EA § 7(c); IPA § 5.2)</w:t>
      </w:r>
    </w:p>
    <w:p>
      <w:pPr>
        <w:spacing w:after="160" w:line="276" w:lineRule="auto"/>
        <w:ind w:left="720" w:hanging="720"/>
        <w:jc w:val="both"/>
      </w:pPr>
      <w:r>
        <w:t>55.</w:t>
        <w:tab/>
      </w:r>
      <w:r>
        <w:t>Dr. Mehta took 412 files of customer requirement specifications for Pinnacle’s fifteen largest accounts and is now leading the development of a competing product aimed at the same heavy-manufacturing customer base in North America (</w:t>
      </w:r>
      <w:r>
        <w:rPr>
          <w:b/>
        </w:rPr>
        <w:t>C-3</w:t>
      </w:r>
      <w:r>
        <w:t xml:space="preserve">; </w:t>
      </w:r>
      <w:r>
        <w:rPr>
          <w:b/>
        </w:rPr>
        <w:t>C-5</w:t>
      </w:r>
      <w:r>
        <w:t xml:space="preserve">; </w:t>
      </w:r>
      <w:r>
        <w:rPr>
          <w:b/>
        </w:rPr>
        <w:t>C-7</w:t>
      </w:r>
      <w:r>
        <w:t>, Assumption 1(c)). EA § 9(a) and IPA § 6.1 expressly extend equitable relief to “threatened breach.” Interim relief preventing solicitation of those customers, and use of their specifications, is warranted before a breach occurs rather than after the customer relationships have been diverted.</w:t>
      </w:r>
    </w:p>
    <w:p>
      <w:pPr>
        <w:pStyle w:val="Heading3"/>
      </w:pPr>
      <w:r>
        <w:t>6.  Breach of the non-competition covenant (EA § 7(a))</w:t>
      </w:r>
    </w:p>
    <w:p>
      <w:pPr>
        <w:spacing w:after="160" w:line="276" w:lineRule="auto"/>
        <w:ind w:left="720" w:hanging="720"/>
        <w:jc w:val="both"/>
      </w:pPr>
      <w:r>
        <w:t>56.</w:t>
        <w:tab/>
      </w:r>
      <w:r>
        <w:rPr>
          <w:b/>
        </w:rPr>
        <w:t>Breach.</w:t>
      </w:r>
      <w:r>
        <w:t xml:space="preserve"> Vortech “designs, manufactures, and services programmable logic controllers and industrial automation platforms” (</w:t>
      </w:r>
      <w:r>
        <w:rPr>
          <w:b/>
        </w:rPr>
        <w:t>C-5</w:t>
      </w:r>
      <w:r>
        <w:t>) and is therefore a “Competing Business” (EA § 1.5). Dr. Mehta is employed by Vortech in Texas, within the Restricted Territory, within the 24-month Restricted Period running from 9 May 2025, in a role overseeing “all aspects” of advanced controller development — duties “the same as or substantially similar to” his role as Pinnacle’s CTO and Zenith project lead (EA §§ 2(a), 7(a)(i)). The breach is apparent on the face of Vortech’s own announcement.</w:t>
      </w:r>
    </w:p>
    <w:p>
      <w:pPr>
        <w:spacing w:after="160" w:line="276" w:lineRule="auto"/>
        <w:ind w:left="720" w:hanging="720"/>
        <w:jc w:val="both"/>
      </w:pPr>
      <w:r>
        <w:t>57.</w:t>
        <w:tab/>
      </w:r>
      <w:r>
        <w:rPr>
          <w:b/>
        </w:rPr>
        <w:t>Enforceability under New York law.</w:t>
      </w:r>
      <w:r>
        <w:t xml:space="preserve"> New York enforces a post-employment restraint to the extent it (1) is no greater than required to protect a legitimate interest of the employer, (2) does not impose undue hardship on the employee, and (3) is not injurious to the public (</w:t>
      </w:r>
      <w:r>
        <w:rPr>
          <w:i/>
        </w:rPr>
        <w:t>BDO Seidman v. Hirshberg</w:t>
      </w:r>
      <w:r>
        <w:t>, 93 N.Y.2d 382, 388–89 (1999)). Protection of trade secrets and confidential customer information, and against competitive use of an employee’s unique services, are recognized legitimate interests (</w:t>
      </w:r>
      <w:r>
        <w:rPr>
          <w:i/>
        </w:rPr>
        <w:t>id.</w:t>
      </w:r>
      <w:r>
        <w:t xml:space="preserve"> at 389–92; </w:t>
      </w:r>
      <w:r>
        <w:rPr>
          <w:i/>
        </w:rPr>
        <w:t>Reed, Roberts Assocs. v. Strauman</w:t>
      </w:r>
      <w:r>
        <w:t xml:space="preserve">, 40 N.Y.2d 303, 308 (1976); </w:t>
      </w:r>
      <w:r>
        <w:rPr>
          <w:i/>
        </w:rPr>
        <w:t>Ticor Title</w:t>
      </w:r>
      <w:r>
        <w:t>, 173 F.3d at 70–72). Each factor is satisfied here on a prima facie basis:</w:t>
      </w:r>
    </w:p>
    <w:p>
      <w:pPr>
        <w:spacing w:after="120" w:line="276" w:lineRule="auto"/>
        <w:ind w:left="1440" w:hanging="576"/>
        <w:jc w:val="both"/>
      </w:pPr>
      <w:r>
        <w:t>(a)</w:t>
        <w:tab/>
      </w:r>
      <w:r>
        <w:rPr>
          <w:b/>
        </w:rPr>
        <w:t>Legitimate interest.</w:t>
      </w:r>
      <w:r>
        <w:t xml:space="preserve"> Dr. Mehta was one of six persons with full access to the Zenith crown jewels and the architect of the adaptive-control algorithm; he has in fact taken those materials (Section IV). This is the strongest form of the trade-secret interest New York protects.</w:t>
      </w:r>
    </w:p>
    <w:p>
      <w:pPr>
        <w:spacing w:after="120" w:line="276" w:lineRule="auto"/>
        <w:ind w:left="1440" w:hanging="576"/>
        <w:jc w:val="both"/>
      </w:pPr>
      <w:r>
        <w:t>(b)</w:t>
        <w:tab/>
      </w:r>
      <w:r>
        <w:rPr>
          <w:b/>
        </w:rPr>
        <w:t>Reasonable scope.</w:t>
      </w:r>
      <w:r>
        <w:t xml:space="preserve"> The covenant is confined by function — it reaches only roles involving duties substantially similar to his CTO duties or the use of Confidential Information (EA § 7(a)(i)) — and by industry (industrial automation, PLCs and robotic process automation). Its 24-month duration corresponds to the product-development cycle in this industry (Zenith itself has been in development for 28 months) and its North American territory corresponds to the market in which Pinnacle and Vortech actually compete (</w:t>
      </w:r>
      <w:r>
        <w:rPr>
          <w:b/>
        </w:rPr>
        <w:t>C-8</w:t>
      </w:r>
      <w:r>
        <w:t>, § III; EA § 7(d)(iii)).</w:t>
      </w:r>
    </w:p>
    <w:p>
      <w:pPr>
        <w:spacing w:after="120" w:line="276" w:lineRule="auto"/>
        <w:ind w:left="1440" w:hanging="576"/>
        <w:jc w:val="both"/>
      </w:pPr>
      <w:r>
        <w:t>(c)</w:t>
        <w:tab/>
      </w:r>
      <w:r>
        <w:rPr>
          <w:b/>
        </w:rPr>
        <w:t>No undue hardship.</w:t>
      </w:r>
      <w:r>
        <w:t xml:space="preserve"> Dr. Mehta, an MIT-trained electrical engineer, acknowledged that his skills extend beyond the restricted fields (EA § 7(d)(iv)), received substantial compensation in exchange for the covenant (EA §§ 4, 7(d)(vi)), and resigned voluntarily. Moreover, the interim measure Pinnacle primarily seeks is time-limited to the period before the tribunal can rule, and Pinnacle proposes an alternative narrower measure (Measure 8(b)).</w:t>
      </w:r>
    </w:p>
    <w:p>
      <w:pPr>
        <w:spacing w:after="120" w:line="276" w:lineRule="auto"/>
        <w:ind w:left="1440" w:hanging="576"/>
        <w:jc w:val="both"/>
      </w:pPr>
      <w:r>
        <w:t>(d)</w:t>
        <w:tab/>
      </w:r>
      <w:r>
        <w:rPr>
          <w:b/>
        </w:rPr>
        <w:t>No public injury.</w:t>
      </w:r>
      <w:r>
        <w:t xml:space="preserve"> Enforcing a negotiated covenant against a senior executive who has taken trade secrets serves, rather than injures, the public interest in commercial integrity.</w:t>
      </w:r>
    </w:p>
    <w:p>
      <w:pPr>
        <w:spacing w:after="160" w:line="276" w:lineRule="auto"/>
        <w:ind w:left="720" w:hanging="720"/>
        <w:jc w:val="both"/>
      </w:pPr>
      <w:r>
        <w:t>58.</w:t>
        <w:tab/>
      </w:r>
      <w:r>
        <w:t>Even if any aspect of the covenant were considered overbroad, the parties expressly authorized the arbitrator to “modify, reform, or ‘blue pencil’” it and to enforce it “to the maximum extent permitted” (EA § 7(e)); New York permits partial enforcement where, as here, the employer has not engaged in overreaching and the employee was a senior executive who had the opportunity to consult counsel (</w:t>
      </w:r>
      <w:r>
        <w:rPr>
          <w:i/>
        </w:rPr>
        <w:t>BDO Seidman</w:t>
      </w:r>
      <w:r>
        <w:t>, 93 N.Y.2d at 394–95; EA §§ 7(d)(v), 14).</w:t>
      </w:r>
    </w:p>
    <w:p>
      <w:pPr>
        <w:spacing w:after="160" w:line="276" w:lineRule="auto"/>
        <w:ind w:left="720" w:hanging="720"/>
        <w:jc w:val="both"/>
      </w:pPr>
      <w:r>
        <w:t>59.</w:t>
        <w:tab/>
      </w:r>
      <w:r>
        <w:rPr>
          <w:b/>
        </w:rPr>
        <w:t>Choice of law.</w:t>
      </w:r>
      <w:r>
        <w:t xml:space="preserve"> Pinnacle anticipates that Dr. Mehta, a Texas resident employed in Texas, may contend that Texas law governs the covenant notwithstanding the parties’ New York choice of law (EA § 12(b)). That contention would not alter the prima facie analysis. Texas likewise enforces non-competition covenants that are ancillary to an otherwise enforceable agreement — including an employer’s provision of confidential information — and reasonable as to time, geography and scope of activity (Tex. Bus. &amp; Com. Code §§ 15.50–15.52; </w:t>
      </w:r>
      <w:r>
        <w:rPr>
          <w:i/>
        </w:rPr>
        <w:t>Marsh USA Inc. v. Cook</w:t>
      </w:r>
      <w:r>
        <w:t>, 354 S.W.3d 764 (Tex. 2011)), and Texas courts must reform rather than void an overbroad covenant (§ 15.51(c)). The covenant here was given in exchange for access to Pinnacle’s most sensitive Confidential Information (EA Recitals; § 7(d)(ii)). In any event, the confidentiality, return, forensic-examination and non-solicitation measures sought do not depend on the non-competition covenant at all.</w:t>
      </w:r>
    </w:p>
    <w:p>
      <w:pPr>
        <w:pStyle w:val="Heading3"/>
      </w:pPr>
      <w:r>
        <w:t>7.  Breach of fiduciary duty</w:t>
      </w:r>
    </w:p>
    <w:p>
      <w:pPr>
        <w:spacing w:after="160" w:line="276" w:lineRule="auto"/>
        <w:ind w:left="720" w:hanging="720"/>
        <w:jc w:val="both"/>
      </w:pPr>
      <w:r>
        <w:t>60.</w:t>
        <w:tab/>
      </w:r>
      <w:r>
        <w:t>As Pinnacle’s CTO through 9 May 2025, Dr. Mehta owed Pinnacle a duty of undivided loyalty and was contractually bound to “act in the best interests of the Company at all times” (EA § 2(d)). Systematically copying Pinnacle’s core technology to personal media while corresponding with a competitor’s CEO about “next steps” and “timing and logistics” is, prima facie, a breach of that duty (</w:t>
      </w:r>
      <w:r>
        <w:rPr>
          <w:i/>
        </w:rPr>
        <w:t>cf. Phansalkar v. Andersen Weinroth &amp; Co.</w:t>
      </w:r>
      <w:r>
        <w:t>, 344 F.3d 184 (2d Cir. 2003) (faithless-servant doctrine)). This claim reinforces the prima facie case but is not necessary to any measure sought.</w:t>
      </w:r>
    </w:p>
    <w:p>
      <w:pPr>
        <w:pStyle w:val="Heading2"/>
      </w:pPr>
      <w:r>
        <w:t>D.  Pinnacle faces imminent, irreparable harm that damages cannot remedy</w:t>
      </w:r>
    </w:p>
    <w:p>
      <w:pPr>
        <w:spacing w:after="160" w:line="276" w:lineRule="auto"/>
        <w:ind w:left="720" w:hanging="720"/>
        <w:jc w:val="both"/>
      </w:pPr>
      <w:r>
        <w:t>61.</w:t>
        <w:tab/>
      </w:r>
      <w:r>
        <w:rPr>
          <w:b/>
        </w:rPr>
        <w:t>Contractual acknowledgment.</w:t>
      </w:r>
      <w:r>
        <w:t xml:space="preserve"> Dr. Mehta agreed that breach or threatened breach of EA §§ 5, 7 and 8 “would cause the Company immediate and irreparable harm … for which monetary damages alone would be an inadequate and insufficient remedy” (EA § 9(a); IPA §§ 2.2, 6.1). While not conclusive, such an acknowledgment by a sophisticated executive who had the opportunity to consult counsel is entitled to substantial weight (</w:t>
      </w:r>
      <w:r>
        <w:rPr>
          <w:i/>
        </w:rPr>
        <w:t>Ticor Title</w:t>
      </w:r>
      <w:r>
        <w:t>, 173 F.3d at 69).</w:t>
      </w:r>
    </w:p>
    <w:p>
      <w:pPr>
        <w:spacing w:after="160" w:line="276" w:lineRule="auto"/>
        <w:ind w:left="720" w:hanging="720"/>
        <w:jc w:val="both"/>
      </w:pPr>
      <w:r>
        <w:t>62.</w:t>
        <w:tab/>
      </w:r>
      <w:r>
        <w:rPr>
          <w:b/>
        </w:rPr>
        <w:t>Loss of trade secrets.</w:t>
      </w:r>
      <w:r>
        <w:t xml:space="preserve"> “A trade secret once lost is, of course, lost forever,” and its loss “cannot be measured in money damages” (</w:t>
      </w:r>
      <w:r>
        <w:rPr>
          <w:i/>
        </w:rPr>
        <w:t>FMC Corp. v. Taiwan Tainan Giant Indus. Co.</w:t>
      </w:r>
      <w:r>
        <w:t>, 730 F.2d 61, 63 (2d Cir. 1984)). Irreparable harm is established where there is a danger that a misappropriator will disseminate the secrets more widely or otherwise irreparably impair their value (</w:t>
      </w:r>
      <w:r>
        <w:rPr>
          <w:i/>
        </w:rPr>
        <w:t>Faiveley</w:t>
      </w:r>
      <w:r>
        <w:t>, 559 F.3d at 118–19). Both dangers are present: the materials sit on an unaccounted-for USB device and in a personal cloud account susceptible to untraceable forwarding (Finding 6.3), and the person holding them now directs development of a competing product for a competitor that has publicly accelerated its launch. Once Zenith source code, schematics or customer specifications are incorporated into Helix or disclosed to Vortech personnel, no award can restore their secrecy.</w:t>
      </w:r>
    </w:p>
    <w:p>
      <w:pPr>
        <w:spacing w:after="160" w:line="276" w:lineRule="auto"/>
        <w:ind w:left="720" w:hanging="720"/>
        <w:jc w:val="both"/>
      </w:pPr>
      <w:r>
        <w:t>63.</w:t>
        <w:tab/>
      </w:r>
      <w:r>
        <w:rPr>
          <w:b/>
        </w:rPr>
        <w:t>Loss of first-mover advantage, customer goodwill and key personnel.</w:t>
      </w:r>
      <w:r>
        <w:t xml:space="preserve"> Pinnacle’s Zenith projections assume an 18-month competitive lead; management estimates that a competitor reaching the market first would reduce projected Zenith revenue by 50–70% in Year 1 and 30–50% in Years 2–3 (</w:t>
      </w:r>
      <w:r>
        <w:rPr>
          <w:b/>
        </w:rPr>
        <w:t>C-7</w:t>
      </w:r>
      <w:r>
        <w:t>, Assumption 4(b)) — on management’s percentages, a loss in the range of approximately US$43–67 million of the US$120 million projected. The harm extends beyond these figures to lost market position, the confidence of Pinnacle’s top fifteen customers whose specifications were taken, and the potential loss of the engineers on whom Zenith’s schedule depends (</w:t>
      </w:r>
      <w:r>
        <w:rPr>
          <w:b/>
        </w:rPr>
        <w:t>C-7</w:t>
      </w:r>
      <w:r>
        <w:t xml:space="preserve">, Assumption 5; </w:t>
      </w:r>
      <w:r>
        <w:rPr>
          <w:b/>
        </w:rPr>
        <w:t>C-8</w:t>
      </w:r>
      <w:r>
        <w:t>, § V). These consequences are inherently difficult to quantify and to reverse once the market has moved.</w:t>
      </w:r>
    </w:p>
    <w:p>
      <w:pPr>
        <w:spacing w:after="160" w:line="276" w:lineRule="auto"/>
        <w:ind w:left="720" w:hanging="720"/>
        <w:jc w:val="both"/>
      </w:pPr>
      <w:r>
        <w:t>64.</w:t>
        <w:tab/>
      </w:r>
      <w:r>
        <w:rPr>
          <w:b/>
        </w:rPr>
        <w:t>Inadequacy of damages.</w:t>
      </w:r>
      <w:r>
        <w:t xml:space="preserve"> Pinnacle’s CEO estimates Dr. Mehta’s personal net worth at approximately US$3.5 million (</w:t>
      </w:r>
      <w:r>
        <w:rPr>
          <w:b/>
        </w:rPr>
        <w:t>C-8</w:t>
      </w:r>
      <w:r>
        <w:t>, § V) — a fraction of Pinnacle’s exposure and of its US$37.2 million investment. A damages award against Dr. Mehta could not make Pinnacle whole.</w:t>
      </w:r>
    </w:p>
    <w:p>
      <w:pPr>
        <w:pStyle w:val="Heading2"/>
      </w:pPr>
      <w:r>
        <w:t>E.  The balance of convenience and proportionality favour the measures</w:t>
      </w:r>
    </w:p>
    <w:p>
      <w:pPr>
        <w:spacing w:after="160" w:line="276" w:lineRule="auto"/>
        <w:ind w:left="720" w:hanging="720"/>
        <w:jc w:val="both"/>
      </w:pPr>
      <w:r>
        <w:t>65.</w:t>
        <w:tab/>
      </w:r>
      <w:r>
        <w:t>The measures impose minimal legitimate burden on Dr. Mehta. He has no right to retain, use or disclose Pinnacle’s files; returning and accounting for them, preserving evidence, and submitting to a neutral examination to which he already consented (IPA § 4.4) costs him nothing he is entitled to keep. The non-solicitation measures merely require him to honour covenants he gave for consideration. The forensic protocol proposed in Measure 5 protects his personal and privileged information through a neutral examiner and search-term-based review. As to the non-competition measure, any hardship is self-inflicted: Dr. Mehta accepted the Vortech role knowing of the covenant, which Pinnacle had specifically reminded him of in writing (</w:t>
      </w:r>
      <w:r>
        <w:rPr>
          <w:b/>
        </w:rPr>
        <w:t>C-4</w:t>
      </w:r>
      <w:r>
        <w:t>, letters of 29 April and 7 May 2025); and Pinnacle proposes a narrower alternative (Measure 8(b)) that would permit him to remain employed while excluding him from the work in which the risk of misuse is greatest.</w:t>
      </w:r>
    </w:p>
    <w:p>
      <w:pPr>
        <w:spacing w:after="160" w:line="276" w:lineRule="auto"/>
        <w:ind w:left="720" w:hanging="720"/>
        <w:jc w:val="both"/>
      </w:pPr>
      <w:r>
        <w:t>66.</w:t>
        <w:tab/>
      </w:r>
      <w:r>
        <w:t>By contrast, refusing the measures would expose Pinnacle to the permanent loss of its most valuable technology, the erosion of a US$37.2 million investment and a projected first-mover position, and the potential loss of key personnel — harm the Respondent’s own agreement characterizes as irreparable.</w:t>
      </w:r>
    </w:p>
    <w:p>
      <w:pPr>
        <w:pStyle w:val="Heading2"/>
      </w:pPr>
      <w:r>
        <w:t>F.  The measures do not prejudge the merits</w:t>
      </w:r>
    </w:p>
    <w:p>
      <w:pPr>
        <w:spacing w:after="160" w:line="276" w:lineRule="auto"/>
        <w:ind w:left="720" w:hanging="720"/>
        <w:jc w:val="both"/>
      </w:pPr>
      <w:r>
        <w:t>67.</w:t>
        <w:tab/>
      </w:r>
      <w:r>
        <w:t>The measures are conservatory: they preserve evidence, sequester the disputed materials with a neutral custodian rather than transferring them outright, maintain the contractual status quo ante, and are expressly subject to modification by the arbitral tribunal (Article 29(3) of the Rules; EA § 12(c); IPA § 9.2). Questions of liability, the full scope of misappropriation, damages and permanent relief are reserved for the tribunal.</w:t>
      </w:r>
    </w:p>
    <w:p>
      <w:pPr>
        <w:pStyle w:val="Heading2"/>
      </w:pPr>
      <w:r>
        <w:t>G.  Security</w:t>
      </w:r>
    </w:p>
    <w:p>
      <w:pPr>
        <w:spacing w:after="160" w:line="276" w:lineRule="auto"/>
        <w:ind w:left="720" w:hanging="720"/>
        <w:jc w:val="both"/>
      </w:pPr>
      <w:r>
        <w:t>68.</w:t>
        <w:tab/>
      </w:r>
      <w:r>
        <w:t>The parties agreed that equitable relief should be available “without the requirement of posting a bond, undertaking, or other security” unless mandatorily required (EA § 9(a)), and that any bond required should be “at the minimum amount permitted” (IPA § 6.1). Pinnacle — a company with annual revenue of approximately US$485 million — therefore requests that no security be required. Should the Emergency Arbitrator consider security appropriate under Article 6(7) of Appendix V (in particular in respect of Measure 8), Pinnacle offers an undertaking to compensate Dr. Mehta for any loss caused by the Order should the tribunal ultimately find it should not have been granted, or such modest security as the Emergency Arbitrator may fix.</w:t>
      </w:r>
    </w:p>
    <w:p>
      <w:pPr>
        <w:pStyle w:val="Heading1"/>
      </w:pPr>
      <w:r>
        <w:t>VIII.  EMERGENCY MEASURES REQUESTED</w:t>
      </w:r>
    </w:p>
    <w:p>
      <w:pPr>
        <w:spacing w:after="160" w:line="276" w:lineRule="auto"/>
        <w:ind w:left="720" w:hanging="720"/>
        <w:jc w:val="both"/>
      </w:pPr>
      <w:r>
        <w:t>69.</w:t>
        <w:tab/>
      </w:r>
      <w:r>
        <w:t>For the reasons set out above, Pinnacle respectfully requests that the Emergency Arbitrator issue an Order pursuant to Article 29 of the Rules and Article 6 of Appendix V in the following terms (the “Measures”). For purposes of the Measures, “Pinnacle Confidential Information” has the meaning of “Confidential Information” in EA § 1.6 and IPA § 1.1, and includes the Zenith Materials; “the Neutral” means an independent digital forensic examiner, unaffiliated with either party, agreed by the parties within three (3) business days of the Order or, failing agreement, designated by the Emergency Arbitrator from candidates proposed by the parties, whose fees shall be advanced by Pinnacle (consistent with IPA § 4.4) subject to the tribunal’s final allocation of costs.</w:t>
      </w:r>
    </w:p>
    <w:p>
      <w:pPr>
        <w:spacing w:after="120" w:line="276" w:lineRule="auto"/>
        <w:ind w:left="2160" w:hanging="1440"/>
        <w:jc w:val="both"/>
      </w:pPr>
      <w:r>
        <w:t>Measure 1</w:t>
        <w:tab/>
      </w:r>
      <w:r>
        <w:rPr>
          <w:b/>
        </w:rPr>
        <w:t>Preservation.</w:t>
      </w:r>
      <w:r>
        <w:t xml:space="preserve"> Dr. Mehta shall, with immediate effect, preserve and shall not delete, destroy, wipe, overwrite, alter, conceal, transfer or dispose of (a) the USB Device; (b) any other storage device, computer, tablet or mobile phone in his possession, custody or control on which any Pinnacle Confidential Information is or has been stored since 10 April 2025; (c) the Gmail Account and any other email, messaging or cloud-storage account to which any Pinnacle Confidential Information has been sent, uploaded or synchronized, including all associated access, forwarding, sharing, download and deletion logs; and (d) all communications between Dr. Mehta and any director, officer, employee or agent of Vortech from 1 January 2025 to date. Dr. Mehta shall not deactivate, close or change the recovery settings of any such account.</w:t>
      </w:r>
    </w:p>
    <w:p>
      <w:pPr>
        <w:spacing w:after="120" w:line="276" w:lineRule="auto"/>
        <w:ind w:left="2160" w:hanging="1440"/>
        <w:jc w:val="both"/>
      </w:pPr>
      <w:r>
        <w:t>Measure 2</w:t>
        <w:tab/>
      </w:r>
      <w:r>
        <w:rPr>
          <w:b/>
        </w:rPr>
        <w:t>Non-use and non-disclosure.</w:t>
      </w:r>
      <w:r>
        <w:t xml:space="preserve"> Dr. Mehta shall not, directly or indirectly, access, use, copy, disclose, transmit, publish or make available any Pinnacle Confidential Information to any person or entity, including Vortech and any of its directors, officers, employees, contractors or agents, for any purpose other than compliance with the Order.</w:t>
      </w:r>
    </w:p>
    <w:p>
      <w:pPr>
        <w:spacing w:after="120" w:line="276" w:lineRule="auto"/>
        <w:ind w:left="2160" w:hanging="1440"/>
        <w:jc w:val="both"/>
      </w:pPr>
      <w:r>
        <w:t>Measure 3</w:t>
        <w:tab/>
      </w:r>
      <w:r>
        <w:rPr>
          <w:b/>
        </w:rPr>
        <w:t>Delivery into neutral custody.</w:t>
      </w:r>
      <w:r>
        <w:t xml:space="preserve"> Within two (2) business days of the Order, Dr. Mehta shall deliver to the Neutral (a) the USB Device; (b) every other physical medium containing any of the Zenith Materials or other Pinnacle Confidential Information; and (c) all hard-copy documents containing or derived from Pinnacle Confidential Information. The Neutral shall hold all such items in secure custody, forensically image them, and make no disclosure of their contents except as provided in Measure 5 or by further order.</w:t>
      </w:r>
    </w:p>
    <w:p>
      <w:pPr>
        <w:spacing w:after="120" w:line="276" w:lineRule="auto"/>
        <w:ind w:left="2160" w:hanging="1440"/>
        <w:jc w:val="both"/>
      </w:pPr>
      <w:r>
        <w:t>Measure 4</w:t>
        <w:tab/>
      </w:r>
      <w:r>
        <w:rPr>
          <w:b/>
        </w:rPr>
        <w:t>Sworn accounting.</w:t>
      </w:r>
      <w:r>
        <w:t xml:space="preserve"> Within three (3) business days of the Order, Dr. Mehta shall serve a declaration signed under penalty of perjury (consistent with IPA § 4.3) that: (a) identifies by make, model and serial number or account name every device, storage medium, email account, cloud-storage account and messaging account on which any Pinnacle Confidential Information has been stored, received or accessed since 10 April 2025; (b) states the present location of the USB Device and of every copy of the Zenith Materials, in whole or in part; (c) identifies every person or entity (including any Vortech personnel) to whom any Pinnacle Confidential Information has been disclosed, transmitted, shown or described since 10 April 2025, with the date, manner and content of each disclosure; (d) states whether any of the fourteen files emailed to the Gmail Account on 22 April 2025 has been forwarded, downloaded, shared or uploaded, and if so to or by whom; (e) identifies any deletion, wiping or destruction of any Pinnacle Confidential Information or any relevant device or account since 10 April 2025; and (f) identifies any Pinnacle employee whose name, contact details or qualifications Dr. Mehta has provided to Vortech or any recruiter since 10 April 2025.</w:t>
      </w:r>
    </w:p>
    <w:p>
      <w:pPr>
        <w:spacing w:after="120" w:line="276" w:lineRule="auto"/>
        <w:ind w:left="2160" w:hanging="1440"/>
        <w:jc w:val="both"/>
      </w:pPr>
      <w:r>
        <w:t>Measure 5</w:t>
        <w:tab/>
      </w:r>
      <w:r>
        <w:rPr>
          <w:b/>
        </w:rPr>
        <w:t>Neutral forensic imaging and supervised remediation.</w:t>
      </w:r>
      <w:r>
        <w:t xml:space="preserve"> (a) Within five (5) business days of the Order, Dr. Mehta shall make available to the Neutral every device and account identified (or required to be identified) under Measure 4, together with the Gmail Account, and shall provide all passwords, credentials, multi-factor authentication and consents necessary for the Neutral to create forensic images or complete exports of them (as contemplated by IPA § 4.4). (b) The Neutral shall search the images and exports using the SHA-256 hash values identified in the Ironclad Report, the ZenithVault file inventory to be supplied by Pinnacle, and reasonable search terms agreed between the parties or fixed by the Emergency Arbitrator, and shall report to both parties’ counsel (on an outside-counsel’s-eyes-only basis) the existence, location, access history and onward transmission of any responsive material, without disclosing Dr. Mehta’s unrelated personal or privileged information. (c) Upon delivery of the Neutral’s report, and with the forensic images retained by the Neutral pending the final award, the Neutral shall permanently remove all Pinnacle Confidential Information from those devices and accounts (including trash, deleted-items and backup locations) and shall certify completion of the remediation to the parties and the arbitral tribunal.</w:t>
      </w:r>
    </w:p>
    <w:p>
      <w:pPr>
        <w:spacing w:after="120" w:line="276" w:lineRule="auto"/>
        <w:ind w:left="2160" w:hanging="1440"/>
        <w:jc w:val="both"/>
      </w:pPr>
      <w:r>
        <w:t>Measure 6</w:t>
        <w:tab/>
      </w:r>
      <w:r>
        <w:rPr>
          <w:b/>
        </w:rPr>
        <w:t>Non-solicitation of employees.</w:t>
      </w:r>
      <w:r>
        <w:t xml:space="preserve"> Dr. Mehta shall not, directly or indirectly (including through Vortech, any recruiter or any other third party), solicit, recruit, induce or encourage any person who is, or within the preceding six months was, an employee, contractor or consultant of Pinnacle to leave Pinnacle or to join Vortech or any other entity, and shall not identify, recommend, refer or provide information about any such person to Vortech or any recruiter for that purpose (EA § 7(b); IPA § 5.1).</w:t>
      </w:r>
    </w:p>
    <w:p>
      <w:pPr>
        <w:spacing w:after="120" w:line="276" w:lineRule="auto"/>
        <w:ind w:left="2160" w:hanging="1440"/>
        <w:jc w:val="both"/>
      </w:pPr>
      <w:r>
        <w:t>Measure 7</w:t>
        <w:tab/>
      </w:r>
      <w:r>
        <w:rPr>
          <w:b/>
        </w:rPr>
        <w:t>Non-solicitation of customers.</w:t>
      </w:r>
      <w:r>
        <w:t xml:space="preserve"> Dr. Mehta shall not, directly or indirectly, solicit, divert or attempt to divert the business of any customer or prospective customer of Pinnacle with whom he had material contact or about whom he obtained Confidential Information during the last two years of his employment — including the fifteen accounts whose specifications are contained in /ZenithVault/Client_Specs/ — for the purpose of providing competing products or services (EA § 7(c); IPA § 5.2).</w:t>
      </w:r>
    </w:p>
    <w:p>
      <w:pPr>
        <w:spacing w:after="120" w:line="276" w:lineRule="auto"/>
        <w:ind w:left="2160" w:hanging="1440"/>
        <w:jc w:val="both"/>
      </w:pPr>
      <w:r>
        <w:t>Measure 8</w:t>
        <w:tab/>
      </w:r>
      <w:r>
        <w:rPr>
          <w:b/>
        </w:rPr>
        <w:t>Non-competition.</w:t>
      </w:r>
      <w:r>
        <w:t xml:space="preserve"> (a) Dr. Mehta shall refrain from being employed by, consulting for or rendering services to Vortech or any other Competing Business (EA § 1.5) within North America in any role involving duties the same as or substantially similar to those he performed as Pinnacle’s Chief Technology Officer, or involving the use or application of Pinnacle Confidential Information (EA § 7(a)), until the arbitral tribunal rules on this measure; </w:t>
      </w:r>
      <w:r>
        <w:rPr>
          <w:b/>
        </w:rPr>
        <w:t>or, in the alternative,</w:t>
      </w:r>
      <w:r>
        <w:t xml:space="preserve"> (b) Dr. Mehta shall not, pending the arbitral tribunal’s determination, participate in any capacity in Project Helix or in the research, design, development, testing or commercialization of any adaptive-control algorithm, programmable logic controller, industrial controller hardware, firmware or related product roadmap for Vortech or any other Competing Business, and shall confirm his compliance by declaration under penalty of perjury every thirty (30) days.</w:t>
      </w:r>
    </w:p>
    <w:p>
      <w:pPr>
        <w:spacing w:after="120" w:line="276" w:lineRule="auto"/>
        <w:ind w:left="2160" w:hanging="1440"/>
        <w:jc w:val="both"/>
      </w:pPr>
      <w:r>
        <w:t>Measure 9</w:t>
        <w:tab/>
      </w:r>
      <w:r>
        <w:rPr>
          <w:b/>
        </w:rPr>
        <w:t>Certification of compliance.</w:t>
      </w:r>
      <w:r>
        <w:t xml:space="preserve"> Within seven (7) business days of the Order, Dr. Mehta shall serve a declaration under penalty of perjury confirming his compliance with Measures 1 through 8, and shall notify Pinnacle’s counsel in writing within forty-eight (48) hours of discovering any further Pinnacle Confidential Information in his possession, custody or control (IPA § 4.5).</w:t>
      </w:r>
    </w:p>
    <w:p>
      <w:pPr>
        <w:spacing w:after="120" w:line="276" w:lineRule="auto"/>
        <w:ind w:left="2160" w:hanging="1440"/>
        <w:jc w:val="both"/>
      </w:pPr>
      <w:r>
        <w:t>Measure 10</w:t>
        <w:tab/>
      </w:r>
      <w:r>
        <w:rPr>
          <w:b/>
        </w:rPr>
        <w:t>Duration.</w:t>
      </w:r>
      <w:r>
        <w:t xml:space="preserve"> The Order shall remain in effect until modified, terminated or superseded by the arbitral tribunal or by further order of the Emergency Arbitrator (Article 29(3) of the Rules; Article 6(6) and (8) of Appendix V; EA § 12(c)).</w:t>
      </w:r>
    </w:p>
    <w:p>
      <w:pPr>
        <w:spacing w:after="120" w:line="276" w:lineRule="auto"/>
        <w:ind w:left="2160" w:hanging="1440"/>
        <w:jc w:val="both"/>
      </w:pPr>
      <w:r>
        <w:t>Measure 11</w:t>
        <w:tab/>
      </w:r>
      <w:r>
        <w:rPr>
          <w:b/>
        </w:rPr>
        <w:t>Costs.</w:t>
      </w:r>
      <w:r>
        <w:t xml:space="preserve"> Pursuant to Article 7(3) of Appendix V, the costs of these emergency arbitrator proceedings, including Pinnacle’s reasonable legal fees and expert costs, shall be borne by Dr. Mehta (EA § 12(d); IPA § 9.4), or, alternatively, their allocation shall be reserved to the arbitral tribunal (Article 29(4) of the Rules).</w:t>
      </w:r>
    </w:p>
    <w:p>
      <w:pPr>
        <w:spacing w:after="120" w:line="276" w:lineRule="auto"/>
        <w:ind w:left="2160" w:hanging="1440"/>
        <w:jc w:val="both"/>
      </w:pPr>
      <w:r>
        <w:t>Measure 12</w:t>
        <w:tab/>
      </w:r>
      <w:r>
        <w:rPr>
          <w:b/>
        </w:rPr>
        <w:t>Further relief.</w:t>
      </w:r>
      <w:r>
        <w:t xml:space="preserve"> Such further or other measures as the Emergency Arbitrator considers appropriate to preserve the status quo, protect Pinnacle Confidential Information and preserve evidence.</w:t>
      </w:r>
    </w:p>
    <w:p>
      <w:pPr>
        <w:pStyle w:val="Heading1"/>
      </w:pPr>
      <w:r>
        <w:t>IX.  PROCEDURAL REQUESTS</w:t>
      </w:r>
    </w:p>
    <w:p>
      <w:pPr>
        <w:spacing w:after="160" w:line="276" w:lineRule="auto"/>
        <w:ind w:left="720" w:hanging="720"/>
        <w:jc w:val="both"/>
      </w:pPr>
      <w:r>
        <w:t>70.</w:t>
        <w:tab/>
      </w:r>
      <w:r>
        <w:t>Pinnacle respectfully requests that the Emergency Arbitrator:</w:t>
      </w:r>
    </w:p>
    <w:p>
      <w:pPr>
        <w:spacing w:after="120" w:line="276" w:lineRule="auto"/>
        <w:ind w:left="1440" w:hanging="576"/>
        <w:jc w:val="both"/>
      </w:pPr>
      <w:r>
        <w:t>(a)</w:t>
        <w:tab/>
      </w:r>
      <w:r>
        <w:t>establish an expedited procedural timetable pursuant to Article 5(1) of Appendix V, providing for a written response by the Respondent within three (3) business days and a hearing by videoconference within seven (7) days of the transmission of the file, with the Order to be issued well within the 15-day period in Article 6(4) of Appendix V;</w:t>
      </w:r>
    </w:p>
    <w:p>
      <w:pPr>
        <w:spacing w:after="120" w:line="276" w:lineRule="auto"/>
        <w:ind w:left="1440" w:hanging="576"/>
        <w:jc w:val="both"/>
      </w:pPr>
      <w:r>
        <w:t>(b)</w:t>
        <w:tab/>
      </w:r>
      <w:r>
        <w:t>pending the hearing, issue an immediate procedural direction requiring both parties to preserve all documents, devices and accounts relevant to this Application (corresponding to Measure 1), which Pinnacle submits is a procedural measure that causes the Respondent no prejudice and protects the integrity of the proceedings;</w:t>
      </w:r>
    </w:p>
    <w:p>
      <w:pPr>
        <w:spacing w:after="120" w:line="276" w:lineRule="auto"/>
        <w:ind w:left="1440" w:hanging="576"/>
        <w:jc w:val="both"/>
      </w:pPr>
      <w:r>
        <w:t>(c)</w:t>
        <w:tab/>
      </w:r>
      <w:r>
        <w:t>direct that this Application, its exhibits and the Order be treated as confidential in accordance with EA § 12(e) and IPA § 9.5, and that the Zenith file descriptions in the exhibits be accessible only to the parties’ counsel, the Emergency Arbitrator and the Secretariat; and</w:t>
      </w:r>
    </w:p>
    <w:p>
      <w:pPr>
        <w:spacing w:after="120" w:line="276" w:lineRule="auto"/>
        <w:ind w:left="1440" w:hanging="576"/>
        <w:jc w:val="both"/>
      </w:pPr>
      <w:r>
        <w:t>(d)</w:t>
        <w:tab/>
      </w:r>
      <w:r>
        <w:t>permit Pinnacle to supplement this Application with witness statements of Mr. Marcus Engel, Ms. Sandra Whitfield and Ms. Karen Liddell, and an expert declaration of Ms. Karen Stillwell (CFCE, EnCE) adopting the Ironclad Report, each of whom will be available for examination at the hearing.</w:t>
      </w:r>
    </w:p>
    <w:p>
      <w:pPr>
        <w:spacing w:after="160" w:line="276" w:lineRule="auto"/>
        <w:ind w:left="720" w:hanging="720"/>
        <w:jc w:val="both"/>
      </w:pPr>
      <w:r>
        <w:t>71.</w:t>
        <w:tab/>
      </w:r>
      <w:r>
        <w:t>Pinnacle is transmitting a copy of this Application and its exhibits to the Respondent concurrently with its filing, by email to rajan.mehta.private@gmail.com and rajan.mehta@personal.net and by overnight courier to 1815 Cedar Ridge Lane, Austin, Texas 78746, consistent with EA § 13(f) and IPA § 8.7. Pinnacle does not seek any measure without notice to the Respondent.</w:t>
      </w:r>
    </w:p>
    <w:p>
      <w:pPr>
        <w:pStyle w:val="Heading1"/>
      </w:pPr>
      <w:r>
        <w:t>X.  ADVANCE ON COSTS</w:t>
      </w:r>
    </w:p>
    <w:p>
      <w:pPr>
        <w:spacing w:after="160" w:line="276" w:lineRule="auto"/>
        <w:ind w:left="720" w:hanging="720"/>
        <w:jc w:val="both"/>
      </w:pPr>
      <w:r>
        <w:t>72.</w:t>
        <w:tab/>
      </w:r>
      <w:r>
        <w:t xml:space="preserve">In accordance with Articles 1(3)(h) and 7(1) of Appendix V, Pinnacle has paid the amount of </w:t>
      </w:r>
      <w:r>
        <w:rPr>
          <w:b/>
        </w:rPr>
        <w:t>US$40,000</w:t>
      </w:r>
      <w:r>
        <w:t xml:space="preserve">, consisting of US$10,000 for ICC administrative expenses and US$30,000 for the emergency arbitrator’s fees and expenses. Proof of payment is submitted as </w:t>
      </w:r>
      <w:r>
        <w:rPr>
          <w:b/>
        </w:rPr>
        <w:t>Exhibit C-11</w:t>
      </w:r>
      <w:r>
        <w:t>. Pinnacle will pay any increase fixed by the President under Article 7(2) of Appendix V.</w:t>
      </w:r>
    </w:p>
    <w:p>
      <w:pPr>
        <w:pStyle w:val="Heading1"/>
      </w:pPr>
      <w:r>
        <w:t>XI.  RESERVATION OF RIGHTS</w:t>
      </w:r>
    </w:p>
    <w:p>
      <w:pPr>
        <w:spacing w:after="160" w:line="276" w:lineRule="auto"/>
        <w:ind w:left="720" w:hanging="720"/>
        <w:jc w:val="both"/>
      </w:pPr>
      <w:r>
        <w:t>73.</w:t>
        <w:tab/>
      </w:r>
      <w:r>
        <w:t>Pinnacle reserves all of its rights, claims and remedies under the Employment Agreement, the IP Agreement and applicable law, including the right to amend or supplement this Application and the Measures sought; to seek further interim measures from the arbitral tribunal once constituted (Article 28 of the Rules); to seek relief from a competent judicial authority (Article 29(7) of the Rules; EA § 12(c); IPA § 9.2), including against non-parties; to enforce any Order issued in these proceedings; and to assert in the arbitration all claims described in Section V and any others. Nothing in this Application constitutes a waiver of privilege beyond the documents expressly submitted herewith.</w:t>
      </w:r>
    </w:p>
    <w:p>
      <w:pPr>
        <w:spacing w:after="160" w:line="276" w:lineRule="auto"/>
        <w:jc w:val="both"/>
      </w:pPr>
      <w:r>
        <w:t>Respectfully submitted,</w:t>
      </w:r>
    </w:p>
    <w:p>
      <w:pPr>
        <w:spacing w:after="160" w:line="276" w:lineRule="auto"/>
        <w:jc w:val="both"/>
      </w:pPr>
      <w:r>
        <w:t>[21] May 2025</w:t>
      </w:r>
    </w:p>
    <w:p>
      <w:pPr>
        <w:spacing w:after="160" w:line="276" w:lineRule="auto"/>
        <w:jc w:val="both"/>
      </w:pPr>
      <w:r>
        <w:br/>
        <w:t>______________________________</w:t>
        <w:br/>
      </w:r>
      <w:r>
        <w:rPr>
          <w:b/>
        </w:rPr>
        <w:t>HARGROVE, TILLMAN &amp; BECK LLP</w:t>
      </w:r>
      <w:r>
        <w:br/>
        <w:t>[Name of partner]</w:t>
        <w:br/>
        <w:t>[Address]</w:t>
        <w:br/>
        <w:t>[Telephone] | [Email]</w:t>
        <w:br/>
      </w:r>
      <w:r>
        <w:rPr>
          <w:i/>
        </w:rPr>
        <w:t>Counsel for the Applicant, Pinnacle Dynamics Inc.</w:t>
      </w:r>
    </w:p>
    <w:p>
      <w:r>
        <w:br w:type="page"/>
      </w:r>
    </w:p>
    <w:p>
      <w:pPr>
        <w:spacing w:after="200"/>
        <w:jc w:val="center"/>
      </w:pPr>
      <w:r>
        <w:rPr>
          <w:b/>
          <w:sz w:val="24"/>
        </w:rPr>
        <w:t>SCHEDULE 1 — INDEX OF EXHIBITS</w:t>
      </w:r>
    </w:p>
    <w:p>
      <w:pPr>
        <w:spacing w:after="160" w:line="276" w:lineRule="auto"/>
        <w:jc w:val="both"/>
      </w:pPr>
      <w:r>
        <w:rPr>
          <w:b/>
        </w:rPr>
        <w:t>Factual exhibits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D9D9D9"/>
          </w:tcPr>
          <w:p>
            <w:r>
              <w:rPr>
                <w:b/>
              </w:rPr>
            </w:r>
            <w:r>
              <w:rPr>
                <w:b/>
                <w:sz w:val="19"/>
              </w:rPr>
              <w:t>Exhibit</w:t>
            </w:r>
          </w:p>
        </w:tc>
        <w:tc>
          <w:tcPr>
            <w:tcW w:type="dxa" w:w="6624"/>
            <w:shd w:val="clear" w:color="auto" w:fill="D9D9D9"/>
          </w:tcPr>
          <w:p>
            <w:r>
              <w:rPr>
                <w:b/>
              </w:rPr>
            </w:r>
            <w:r>
              <w:rPr>
                <w:b/>
                <w:sz w:val="19"/>
              </w:rPr>
              <w:t>Description</w:t>
            </w:r>
          </w:p>
        </w:tc>
        <w:tc>
          <w:tcPr>
            <w:tcW w:type="dxa" w:w="1728"/>
            <w:shd w:val="clear" w:color="auto" w:fill="D9D9D9"/>
          </w:tcPr>
          <w:p>
            <w:r>
              <w:rPr>
                <w:b/>
              </w:rPr>
            </w:r>
            <w:r>
              <w:rPr>
                <w:b/>
                <w:sz w:val="19"/>
              </w:rPr>
              <w:t>Date</w:t>
            </w:r>
          </w:p>
        </w:tc>
      </w:tr>
      <w:tr>
        <w:tc>
          <w:tcPr>
            <w:tcW w:type="dxa" w:w="1008"/>
          </w:tcPr>
          <w:p>
            <w:r/>
            <w:r>
              <w:rPr>
                <w:sz w:val="19"/>
              </w:rPr>
              <w:t>C-1</w:t>
            </w:r>
          </w:p>
        </w:tc>
        <w:tc>
          <w:tcPr>
            <w:tcW w:type="dxa" w:w="6624"/>
          </w:tcPr>
          <w:p>
            <w:r/>
            <w:r>
              <w:rPr>
                <w:sz w:val="19"/>
              </w:rPr>
              <w:t>Employment Agreement between Pinnacle Dynamics Inc. and Dr. Rajan Mehta (incl. Exhibit A, Prior Inventions: “None”)</w:t>
            </w:r>
          </w:p>
        </w:tc>
        <w:tc>
          <w:tcPr>
            <w:tcW w:type="dxa" w:w="1728"/>
          </w:tcPr>
          <w:p>
            <w:r/>
            <w:r>
              <w:rPr>
                <w:sz w:val="19"/>
              </w:rPr>
              <w:t>1 Mar. 2018</w:t>
            </w:r>
          </w:p>
        </w:tc>
      </w:tr>
      <w:tr>
        <w:tc>
          <w:tcPr>
            <w:tcW w:type="dxa" w:w="1008"/>
          </w:tcPr>
          <w:p>
            <w:r/>
            <w:r>
              <w:rPr>
                <w:sz w:val="19"/>
              </w:rPr>
              <w:t>C-2</w:t>
            </w:r>
          </w:p>
        </w:tc>
        <w:tc>
          <w:tcPr>
            <w:tcW w:type="dxa" w:w="6624"/>
          </w:tcPr>
          <w:p>
            <w:r/>
            <w:r>
              <w:rPr>
                <w:sz w:val="19"/>
              </w:rPr>
              <w:t>Intellectual Property Assignment and Confidentiality Agreement between Pinnacle Dynamics Inc. and Dr. Rajan Mehta (incl. Exhibit A, Prior Inventions: “None”)</w:t>
            </w:r>
          </w:p>
        </w:tc>
        <w:tc>
          <w:tcPr>
            <w:tcW w:type="dxa" w:w="1728"/>
          </w:tcPr>
          <w:p>
            <w:r/>
            <w:r>
              <w:rPr>
                <w:sz w:val="19"/>
              </w:rPr>
              <w:t>1 Mar. 2018</w:t>
            </w:r>
          </w:p>
        </w:tc>
      </w:tr>
      <w:tr>
        <w:tc>
          <w:tcPr>
            <w:tcW w:type="dxa" w:w="1008"/>
          </w:tcPr>
          <w:p>
            <w:r/>
            <w:r>
              <w:rPr>
                <w:sz w:val="19"/>
              </w:rPr>
              <w:t>C-3</w:t>
            </w:r>
          </w:p>
        </w:tc>
        <w:tc>
          <w:tcPr>
            <w:tcW w:type="dxa" w:w="6624"/>
          </w:tcPr>
          <w:p>
            <w:r/>
            <w:r>
              <w:rPr>
                <w:sz w:val="19"/>
              </w:rPr>
              <w:t>Ironclad Digital Forensics LLC, Forensic Analysis Report, Ref. IDF-2025-0472 (K. Stillwell, CFCE, EnCE; T. Reeves, EnCE), with Appendices A (chain of custody) and B (file tables and SHA-256 hashes)</w:t>
            </w:r>
          </w:p>
        </w:tc>
        <w:tc>
          <w:tcPr>
            <w:tcW w:type="dxa" w:w="1728"/>
          </w:tcPr>
          <w:p>
            <w:r/>
            <w:r>
              <w:rPr>
                <w:sz w:val="19"/>
              </w:rPr>
              <w:t>16 May 2025</w:t>
            </w:r>
          </w:p>
        </w:tc>
      </w:tr>
      <w:tr>
        <w:tc>
          <w:tcPr>
            <w:tcW w:type="dxa" w:w="1008"/>
          </w:tcPr>
          <w:p>
            <w:r/>
            <w:r>
              <w:rPr>
                <w:sz w:val="19"/>
              </w:rPr>
              <w:t>C-4</w:t>
            </w:r>
          </w:p>
        </w:tc>
        <w:tc>
          <w:tcPr>
            <w:tcW w:type="dxa" w:w="6624"/>
          </w:tcPr>
          <w:p>
            <w:r/>
            <w:r>
              <w:rPr>
                <w:sz w:val="19"/>
              </w:rPr>
              <w:t>Correspondence between M. Engel (General Counsel, Pinnacle) and Dr. Mehta: demand letters of 29 Apr., 2 May and 7 May 2025; Dr. Mehta’s email of 30 Apr. 2025</w:t>
            </w:r>
          </w:p>
        </w:tc>
        <w:tc>
          <w:tcPr>
            <w:tcW w:type="dxa" w:w="1728"/>
          </w:tcPr>
          <w:p>
            <w:r/>
            <w:r>
              <w:rPr>
                <w:sz w:val="19"/>
              </w:rPr>
              <w:t>29 Apr.–7 May 2025</w:t>
            </w:r>
          </w:p>
        </w:tc>
      </w:tr>
      <w:tr>
        <w:tc>
          <w:tcPr>
            <w:tcW w:type="dxa" w:w="1008"/>
          </w:tcPr>
          <w:p>
            <w:r/>
            <w:r>
              <w:rPr>
                <w:sz w:val="19"/>
              </w:rPr>
              <w:t>C-5</w:t>
            </w:r>
          </w:p>
        </w:tc>
        <w:tc>
          <w:tcPr>
            <w:tcW w:type="dxa" w:w="6624"/>
          </w:tcPr>
          <w:p>
            <w:r/>
            <w:r>
              <w:rPr>
                <w:sz w:val="19"/>
              </w:rPr>
              <w:t>Vortech Automation Systems LLC press release, “Vortech Automation Systems Appoints Dr. Rajan Mehta as Executive Vice President — Advanced Systems”; LinkedIn post of Franklin Doyle, CEO</w:t>
            </w:r>
          </w:p>
        </w:tc>
        <w:tc>
          <w:tcPr>
            <w:tcW w:type="dxa" w:w="1728"/>
          </w:tcPr>
          <w:p>
            <w:r/>
            <w:r>
              <w:rPr>
                <w:sz w:val="19"/>
              </w:rPr>
              <w:t>14 May 2025</w:t>
            </w:r>
          </w:p>
        </w:tc>
      </w:tr>
      <w:tr>
        <w:tc>
          <w:tcPr>
            <w:tcW w:type="dxa" w:w="1008"/>
          </w:tcPr>
          <w:p>
            <w:r/>
            <w:r>
              <w:rPr>
                <w:sz w:val="19"/>
              </w:rPr>
              <w:t>C-6</w:t>
            </w:r>
          </w:p>
        </w:tc>
        <w:tc>
          <w:tcPr>
            <w:tcW w:type="dxa" w:w="6624"/>
          </w:tcPr>
          <w:p>
            <w:r/>
            <w:r>
              <w:rPr>
                <w:sz w:val="19"/>
              </w:rPr>
              <w:t>Pinnacle HR Incident Reports HR-2025-0547 (Dr. Lena Petrov) and HR-2025-0548 (James Nakamura)</w:t>
            </w:r>
          </w:p>
        </w:tc>
        <w:tc>
          <w:tcPr>
            <w:tcW w:type="dxa" w:w="1728"/>
          </w:tcPr>
          <w:p>
            <w:r/>
            <w:r>
              <w:rPr>
                <w:sz w:val="19"/>
              </w:rPr>
              <w:t>15 May 2025</w:t>
            </w:r>
          </w:p>
        </w:tc>
      </w:tr>
      <w:tr>
        <w:tc>
          <w:tcPr>
            <w:tcW w:type="dxa" w:w="1008"/>
          </w:tcPr>
          <w:p>
            <w:r/>
            <w:r>
              <w:rPr>
                <w:sz w:val="19"/>
              </w:rPr>
              <w:t>C-7</w:t>
            </w:r>
          </w:p>
        </w:tc>
        <w:tc>
          <w:tcPr>
            <w:tcW w:type="dxa" w:w="6624"/>
          </w:tcPr>
          <w:p>
            <w:r/>
            <w:r>
              <w:rPr>
                <w:sz w:val="19"/>
              </w:rPr>
              <w:t>Pinnacle Finance &amp; Strategy Division, Project Zenith Financial Summary (Investment to Date; Three-Year Revenue Projections and Assumptions) [subject to Annex, Note 2]</w:t>
            </w:r>
          </w:p>
        </w:tc>
        <w:tc>
          <w:tcPr>
            <w:tcW w:type="dxa" w:w="1728"/>
          </w:tcPr>
          <w:p>
            <w:r/>
            <w:r>
              <w:rPr>
                <w:sz w:val="19"/>
              </w:rPr>
              <w:t>17 May 2025</w:t>
            </w:r>
          </w:p>
        </w:tc>
      </w:tr>
      <w:tr>
        <w:tc>
          <w:tcPr>
            <w:tcW w:type="dxa" w:w="1008"/>
          </w:tcPr>
          <w:p>
            <w:r/>
            <w:r>
              <w:rPr>
                <w:sz w:val="19"/>
              </w:rPr>
              <w:t>C-8</w:t>
            </w:r>
          </w:p>
        </w:tc>
        <w:tc>
          <w:tcPr>
            <w:tcW w:type="dxa" w:w="6624"/>
          </w:tcPr>
          <w:p>
            <w:r/>
            <w:r>
              <w:rPr>
                <w:sz w:val="19"/>
              </w:rPr>
              <w:t>S. Whitfield (CEO), Competitive Impact Assessment [to be replaced by Witness Statement of Sandra Whitfield — see Annex, Note 1]</w:t>
            </w:r>
          </w:p>
        </w:tc>
        <w:tc>
          <w:tcPr>
            <w:tcW w:type="dxa" w:w="1728"/>
          </w:tcPr>
          <w:p>
            <w:r/>
            <w:r>
              <w:rPr>
                <w:sz w:val="19"/>
              </w:rPr>
              <w:t>17 May 2025</w:t>
            </w:r>
          </w:p>
        </w:tc>
      </w:tr>
      <w:tr>
        <w:tc>
          <w:tcPr>
            <w:tcW w:type="dxa" w:w="1008"/>
          </w:tcPr>
          <w:p>
            <w:r/>
            <w:r>
              <w:rPr>
                <w:sz w:val="19"/>
              </w:rPr>
              <w:t>C-9</w:t>
            </w:r>
          </w:p>
        </w:tc>
        <w:tc>
          <w:tcPr>
            <w:tcW w:type="dxa" w:w="6624"/>
          </w:tcPr>
          <w:p>
            <w:r/>
            <w:r>
              <w:rPr>
                <w:sz w:val="19"/>
              </w:rPr>
              <w:t>Screenshot of LinkedIn message from R. Inman to J. Nakamura (Appendix A to HR-2025-0548) [to be obtained from HR file]</w:t>
            </w:r>
          </w:p>
        </w:tc>
        <w:tc>
          <w:tcPr>
            <w:tcW w:type="dxa" w:w="1728"/>
          </w:tcPr>
          <w:p>
            <w:r/>
            <w:r>
              <w:rPr>
                <w:sz w:val="19"/>
              </w:rPr>
              <w:t>15 May 2025</w:t>
            </w:r>
          </w:p>
        </w:tc>
      </w:tr>
      <w:tr>
        <w:tc>
          <w:tcPr>
            <w:tcW w:type="dxa" w:w="1008"/>
          </w:tcPr>
          <w:p>
            <w:r/>
            <w:r>
              <w:rPr>
                <w:sz w:val="19"/>
              </w:rPr>
              <w:t>C-10</w:t>
            </w:r>
          </w:p>
        </w:tc>
        <w:tc>
          <w:tcPr>
            <w:tcW w:type="dxa" w:w="6624"/>
          </w:tcPr>
          <w:p>
            <w:r/>
            <w:r>
              <w:rPr>
                <w:sz w:val="19"/>
              </w:rPr>
              <w:t>Power of attorney in favour of Hargrove, Tillman &amp; Beck LLP [to be provided]</w:t>
            </w:r>
          </w:p>
        </w:tc>
        <w:tc>
          <w:tcPr>
            <w:tcW w:type="dxa" w:w="1728"/>
          </w:tcPr>
          <w:p>
            <w:r/>
            <w:r>
              <w:rPr>
                <w:sz w:val="19"/>
              </w:rPr>
              <w:t>[●]</w:t>
            </w:r>
          </w:p>
        </w:tc>
      </w:tr>
      <w:tr>
        <w:tc>
          <w:tcPr>
            <w:tcW w:type="dxa" w:w="1008"/>
          </w:tcPr>
          <w:p>
            <w:r/>
            <w:r>
              <w:rPr>
                <w:sz w:val="19"/>
              </w:rPr>
              <w:t>C-11</w:t>
            </w:r>
          </w:p>
        </w:tc>
        <w:tc>
          <w:tcPr>
            <w:tcW w:type="dxa" w:w="6624"/>
          </w:tcPr>
          <w:p>
            <w:r/>
            <w:r>
              <w:rPr>
                <w:sz w:val="19"/>
              </w:rPr>
              <w:t>Proof of payment of US$40,000 (Appendix V, Art. 7(1)) [to be provided]</w:t>
            </w:r>
          </w:p>
        </w:tc>
        <w:tc>
          <w:tcPr>
            <w:tcW w:type="dxa" w:w="1728"/>
          </w:tcPr>
          <w:p>
            <w:r/>
            <w:r>
              <w:rPr>
                <w:sz w:val="19"/>
              </w:rPr>
              <w:t>[●]</w:t>
            </w:r>
          </w:p>
        </w:tc>
      </w:tr>
    </w:tbl>
    <w:p>
      <w:pPr>
        <w:spacing w:after="80"/>
      </w:pPr>
    </w:p>
    <w:p>
      <w:pPr>
        <w:spacing w:after="160" w:line="276" w:lineRule="auto"/>
        <w:jc w:val="both"/>
      </w:pPr>
      <w:r>
        <w:rPr>
          <w:b/>
        </w:rPr>
        <w:t>Legal authorities</w:t>
      </w:r>
    </w:p>
    <w:tbl>
      <w:tblPr>
        <w:tblStyle w:val="TableGrid"/>
        <w:tblW w:type="auto" w:w="0"/>
        <w:jc w:val="center"/>
        <w:tblLook w:firstColumn="1" w:firstRow="1" w:lastColumn="0" w:lastRow="0" w:noHBand="0" w:noVBand="1" w:val="04A0"/>
      </w:tblPr>
      <w:tblGrid>
        <w:gridCol w:w="4680"/>
        <w:gridCol w:w="4680"/>
      </w:tblGrid>
      <w:tr>
        <w:tc>
          <w:tcPr>
            <w:tcW w:type="dxa" w:w="1152"/>
            <w:shd w:val="clear" w:color="auto" w:fill="D9D9D9"/>
          </w:tcPr>
          <w:p>
            <w:r>
              <w:rPr>
                <w:b/>
              </w:rPr>
            </w:r>
            <w:r>
              <w:rPr>
                <w:b/>
                <w:sz w:val="19"/>
              </w:rPr>
              <w:t>Exhibit</w:t>
            </w:r>
          </w:p>
        </w:tc>
        <w:tc>
          <w:tcPr>
            <w:tcW w:type="dxa" w:w="8208"/>
            <w:shd w:val="clear" w:color="auto" w:fill="D9D9D9"/>
          </w:tcPr>
          <w:p>
            <w:r>
              <w:rPr>
                <w:b/>
              </w:rPr>
            </w:r>
            <w:r>
              <w:rPr>
                <w:b/>
                <w:sz w:val="19"/>
              </w:rPr>
              <w:t>Authority</w:t>
            </w:r>
          </w:p>
        </w:tc>
      </w:tr>
      <w:tr>
        <w:tc>
          <w:tcPr>
            <w:tcW w:type="dxa" w:w="1152"/>
          </w:tcPr>
          <w:p>
            <w:r/>
            <w:r>
              <w:rPr>
                <w:sz w:val="19"/>
              </w:rPr>
              <w:t>CL-1</w:t>
            </w:r>
          </w:p>
        </w:tc>
        <w:tc>
          <w:tcPr>
            <w:tcW w:type="dxa" w:w="8208"/>
          </w:tcPr>
          <w:p>
            <w:r/>
            <w:r>
              <w:rPr>
                <w:sz w:val="19"/>
              </w:rPr>
              <w:t>ICC Rules of Arbitration (2021), incl. Articles 6, 9, 28, 29 and Appendix V (Emergency Arbitrator Rules)</w:t>
            </w:r>
          </w:p>
        </w:tc>
      </w:tr>
      <w:tr>
        <w:tc>
          <w:tcPr>
            <w:tcW w:type="dxa" w:w="1152"/>
          </w:tcPr>
          <w:p>
            <w:r/>
            <w:r>
              <w:rPr>
                <w:sz w:val="19"/>
              </w:rPr>
              <w:t>CL-2</w:t>
            </w:r>
          </w:p>
        </w:tc>
        <w:tc>
          <w:tcPr>
            <w:tcW w:type="dxa" w:w="8208"/>
          </w:tcPr>
          <w:p>
            <w:r/>
            <w:r>
              <w:rPr>
                <w:sz w:val="19"/>
              </w:rPr>
              <w:t>ICC Commission Report, Emergency Arbitrator Proceedings (2019)</w:t>
            </w:r>
          </w:p>
        </w:tc>
      </w:tr>
      <w:tr>
        <w:tc>
          <w:tcPr>
            <w:tcW w:type="dxa" w:w="1152"/>
          </w:tcPr>
          <w:p>
            <w:r/>
            <w:r>
              <w:rPr>
                <w:sz w:val="19"/>
              </w:rPr>
              <w:t>CL-3</w:t>
            </w:r>
          </w:p>
        </w:tc>
        <w:tc>
          <w:tcPr>
            <w:tcW w:type="dxa" w:w="8208"/>
          </w:tcPr>
          <w:p>
            <w:r/>
            <w:r>
              <w:rPr>
                <w:sz w:val="19"/>
              </w:rPr>
              <w:t>Defend Trade Secrets Act of 2016, 18 U.S.C. §§ 1836, 1839</w:t>
            </w:r>
          </w:p>
        </w:tc>
      </w:tr>
      <w:tr>
        <w:tc>
          <w:tcPr>
            <w:tcW w:type="dxa" w:w="1152"/>
          </w:tcPr>
          <w:p>
            <w:r/>
            <w:r>
              <w:rPr>
                <w:sz w:val="19"/>
              </w:rPr>
              <w:t>CL-4</w:t>
            </w:r>
          </w:p>
        </w:tc>
        <w:tc>
          <w:tcPr>
            <w:tcW w:type="dxa" w:w="8208"/>
          </w:tcPr>
          <w:p>
            <w:r/>
            <w:r>
              <w:rPr>
                <w:sz w:val="19"/>
              </w:rPr>
              <w:t>N.Y. C.P.L.R. 7502(c)</w:t>
            </w:r>
          </w:p>
        </w:tc>
      </w:tr>
      <w:tr>
        <w:tc>
          <w:tcPr>
            <w:tcW w:type="dxa" w:w="1152"/>
          </w:tcPr>
          <w:p>
            <w:r/>
            <w:r>
              <w:rPr>
                <w:sz w:val="19"/>
              </w:rPr>
              <w:t>CL-5</w:t>
            </w:r>
          </w:p>
        </w:tc>
        <w:tc>
          <w:tcPr>
            <w:tcW w:type="dxa" w:w="8208"/>
          </w:tcPr>
          <w:p>
            <w:r/>
            <w:r>
              <w:rPr>
                <w:i/>
                <w:sz w:val="19"/>
              </w:rPr>
              <w:t>BDO Seidman v. Hirshberg</w:t>
            </w:r>
            <w:r>
              <w:rPr>
                <w:sz w:val="19"/>
              </w:rPr>
              <w:t>, 93 N.Y.2d 382 (1999)</w:t>
            </w:r>
          </w:p>
        </w:tc>
      </w:tr>
      <w:tr>
        <w:tc>
          <w:tcPr>
            <w:tcW w:type="dxa" w:w="1152"/>
          </w:tcPr>
          <w:p>
            <w:r/>
            <w:r>
              <w:rPr>
                <w:sz w:val="19"/>
              </w:rPr>
              <w:t>CL-6</w:t>
            </w:r>
          </w:p>
        </w:tc>
        <w:tc>
          <w:tcPr>
            <w:tcW w:type="dxa" w:w="8208"/>
          </w:tcPr>
          <w:p>
            <w:r/>
            <w:r>
              <w:rPr>
                <w:i/>
                <w:sz w:val="19"/>
              </w:rPr>
              <w:t>Reed, Roberts Assocs. v. Strauman</w:t>
            </w:r>
            <w:r>
              <w:rPr>
                <w:sz w:val="19"/>
              </w:rPr>
              <w:t>, 40 N.Y.2d 303 (1976)</w:t>
            </w:r>
          </w:p>
        </w:tc>
      </w:tr>
      <w:tr>
        <w:tc>
          <w:tcPr>
            <w:tcW w:type="dxa" w:w="1152"/>
          </w:tcPr>
          <w:p>
            <w:r/>
            <w:r>
              <w:rPr>
                <w:sz w:val="19"/>
              </w:rPr>
              <w:t>CL-7</w:t>
            </w:r>
          </w:p>
        </w:tc>
        <w:tc>
          <w:tcPr>
            <w:tcW w:type="dxa" w:w="8208"/>
          </w:tcPr>
          <w:p>
            <w:r/>
            <w:r>
              <w:rPr>
                <w:i/>
                <w:sz w:val="19"/>
              </w:rPr>
              <w:t>Ashland Mgmt. Inc. v. Janien</w:t>
            </w:r>
            <w:r>
              <w:rPr>
                <w:sz w:val="19"/>
              </w:rPr>
              <w:t>, 82 N.Y.2d 395 (1993)</w:t>
            </w:r>
          </w:p>
        </w:tc>
      </w:tr>
      <w:tr>
        <w:tc>
          <w:tcPr>
            <w:tcW w:type="dxa" w:w="1152"/>
          </w:tcPr>
          <w:p>
            <w:r/>
            <w:r>
              <w:rPr>
                <w:sz w:val="19"/>
              </w:rPr>
              <w:t>CL-8</w:t>
            </w:r>
          </w:p>
        </w:tc>
        <w:tc>
          <w:tcPr>
            <w:tcW w:type="dxa" w:w="8208"/>
          </w:tcPr>
          <w:p>
            <w:r/>
            <w:r>
              <w:rPr>
                <w:i/>
                <w:sz w:val="19"/>
              </w:rPr>
              <w:t>Doe v. Axelrod</w:t>
            </w:r>
            <w:r>
              <w:rPr>
                <w:sz w:val="19"/>
              </w:rPr>
              <w:t>, 73 N.Y.2d 748 (1988)</w:t>
            </w:r>
          </w:p>
        </w:tc>
      </w:tr>
      <w:tr>
        <w:tc>
          <w:tcPr>
            <w:tcW w:type="dxa" w:w="1152"/>
          </w:tcPr>
          <w:p>
            <w:r/>
            <w:r>
              <w:rPr>
                <w:sz w:val="19"/>
              </w:rPr>
              <w:t>CL-9</w:t>
            </w:r>
          </w:p>
        </w:tc>
        <w:tc>
          <w:tcPr>
            <w:tcW w:type="dxa" w:w="8208"/>
          </w:tcPr>
          <w:p>
            <w:r/>
            <w:r>
              <w:rPr>
                <w:i/>
                <w:sz w:val="19"/>
              </w:rPr>
              <w:t>Ticor Title Ins. Co. v. Cohen</w:t>
            </w:r>
            <w:r>
              <w:rPr>
                <w:sz w:val="19"/>
              </w:rPr>
              <w:t>, 173 F.3d 63 (2d Cir. 1999)</w:t>
            </w:r>
          </w:p>
        </w:tc>
      </w:tr>
      <w:tr>
        <w:tc>
          <w:tcPr>
            <w:tcW w:type="dxa" w:w="1152"/>
          </w:tcPr>
          <w:p>
            <w:r/>
            <w:r>
              <w:rPr>
                <w:sz w:val="19"/>
              </w:rPr>
              <w:t>CL-10</w:t>
            </w:r>
          </w:p>
        </w:tc>
        <w:tc>
          <w:tcPr>
            <w:tcW w:type="dxa" w:w="8208"/>
          </w:tcPr>
          <w:p>
            <w:r/>
            <w:r>
              <w:rPr>
                <w:i/>
                <w:sz w:val="19"/>
              </w:rPr>
              <w:t>FMC Corp. v. Taiwan Tainan Giant Indus. Co.</w:t>
            </w:r>
            <w:r>
              <w:rPr>
                <w:sz w:val="19"/>
              </w:rPr>
              <w:t>, 730 F.2d 61 (2d Cir. 1984)</w:t>
            </w:r>
          </w:p>
        </w:tc>
      </w:tr>
      <w:tr>
        <w:tc>
          <w:tcPr>
            <w:tcW w:type="dxa" w:w="1152"/>
          </w:tcPr>
          <w:p>
            <w:r/>
            <w:r>
              <w:rPr>
                <w:sz w:val="19"/>
              </w:rPr>
              <w:t>CL-11</w:t>
            </w:r>
          </w:p>
        </w:tc>
        <w:tc>
          <w:tcPr>
            <w:tcW w:type="dxa" w:w="8208"/>
          </w:tcPr>
          <w:p>
            <w:r/>
            <w:r>
              <w:rPr>
                <w:i/>
                <w:sz w:val="19"/>
              </w:rPr>
              <w:t>Faiveley Transport Malmo AB v. Wabtec Corp.</w:t>
            </w:r>
            <w:r>
              <w:rPr>
                <w:sz w:val="19"/>
              </w:rPr>
              <w:t>, 559 F.3d 110 (2d Cir. 2009)</w:t>
            </w:r>
          </w:p>
        </w:tc>
      </w:tr>
      <w:tr>
        <w:tc>
          <w:tcPr>
            <w:tcW w:type="dxa" w:w="1152"/>
          </w:tcPr>
          <w:p>
            <w:r/>
            <w:r>
              <w:rPr>
                <w:sz w:val="19"/>
              </w:rPr>
              <w:t>CL-12</w:t>
            </w:r>
          </w:p>
        </w:tc>
        <w:tc>
          <w:tcPr>
            <w:tcW w:type="dxa" w:w="8208"/>
          </w:tcPr>
          <w:p>
            <w:r/>
            <w:r>
              <w:rPr>
                <w:i/>
                <w:sz w:val="19"/>
              </w:rPr>
              <w:t>EarthWeb, Inc. v. Schlack</w:t>
            </w:r>
            <w:r>
              <w:rPr>
                <w:sz w:val="19"/>
              </w:rPr>
              <w:t>, 71 F. Supp. 2d 299 (S.D.N.Y. 1999)</w:t>
            </w:r>
          </w:p>
        </w:tc>
      </w:tr>
      <w:tr>
        <w:tc>
          <w:tcPr>
            <w:tcW w:type="dxa" w:w="1152"/>
          </w:tcPr>
          <w:p>
            <w:r/>
            <w:r>
              <w:rPr>
                <w:sz w:val="19"/>
              </w:rPr>
              <w:t>CL-13</w:t>
            </w:r>
          </w:p>
        </w:tc>
        <w:tc>
          <w:tcPr>
            <w:tcW w:type="dxa" w:w="8208"/>
          </w:tcPr>
          <w:p>
            <w:r/>
            <w:r>
              <w:rPr>
                <w:i/>
                <w:sz w:val="19"/>
              </w:rPr>
              <w:t>Citibank, N.A. v. Citytrust</w:t>
            </w:r>
            <w:r>
              <w:rPr>
                <w:sz w:val="19"/>
              </w:rPr>
              <w:t>, 756 F.2d 273 (2d Cir. 1985)</w:t>
            </w:r>
          </w:p>
        </w:tc>
      </w:tr>
      <w:tr>
        <w:tc>
          <w:tcPr>
            <w:tcW w:type="dxa" w:w="1152"/>
          </w:tcPr>
          <w:p>
            <w:r/>
            <w:r>
              <w:rPr>
                <w:sz w:val="19"/>
              </w:rPr>
              <w:t>CL-14</w:t>
            </w:r>
          </w:p>
        </w:tc>
        <w:tc>
          <w:tcPr>
            <w:tcW w:type="dxa" w:w="8208"/>
          </w:tcPr>
          <w:p>
            <w:r/>
            <w:r>
              <w:rPr>
                <w:i/>
                <w:sz w:val="19"/>
              </w:rPr>
              <w:t>Phansalkar v. Andersen Weinroth &amp; Co.</w:t>
            </w:r>
            <w:r>
              <w:rPr>
                <w:sz w:val="19"/>
              </w:rPr>
              <w:t>, 344 F.3d 184 (2d Cir. 2003)</w:t>
            </w:r>
          </w:p>
        </w:tc>
      </w:tr>
      <w:tr>
        <w:tc>
          <w:tcPr>
            <w:tcW w:type="dxa" w:w="1152"/>
          </w:tcPr>
          <w:p>
            <w:r/>
            <w:r>
              <w:rPr>
                <w:sz w:val="19"/>
              </w:rPr>
              <w:t>CL-15</w:t>
            </w:r>
          </w:p>
        </w:tc>
        <w:tc>
          <w:tcPr>
            <w:tcW w:type="dxa" w:w="8208"/>
          </w:tcPr>
          <w:p>
            <w:r/>
            <w:r>
              <w:rPr>
                <w:sz w:val="19"/>
              </w:rPr>
              <w:t xml:space="preserve">Tex. Bus. &amp; Com. Code §§ 15.50–15.52; </w:t>
            </w:r>
            <w:r>
              <w:rPr>
                <w:i/>
                <w:sz w:val="19"/>
              </w:rPr>
              <w:t>Marsh USA Inc. v. Cook</w:t>
            </w:r>
            <w:r>
              <w:rPr>
                <w:sz w:val="19"/>
              </w:rPr>
              <w:t>, 354 S.W.3d 764 (Tex. 2011)</w:t>
            </w:r>
          </w:p>
        </w:tc>
      </w:tr>
    </w:tbl>
    <w:p>
      <w:pPr>
        <w:spacing w:after="80"/>
      </w:pPr>
    </w:p>
    <w:p>
      <w:r>
        <w:br w:type="page"/>
      </w:r>
    </w:p>
    <w:p>
      <w:pPr>
        <w:spacing w:after="200"/>
        <w:jc w:val="center"/>
      </w:pPr>
      <w:r>
        <w:rPr>
          <w:b/>
          <w:sz w:val="24"/>
        </w:rPr>
        <w:t>SCHEDULE 2 — CONSOLIDATED CHRONOLOGY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D9D9"/>
          </w:tcPr>
          <w:p>
            <w:r>
              <w:rPr>
                <w:b/>
              </w:rPr>
            </w:r>
            <w:r>
              <w:rPr>
                <w:b/>
                <w:sz w:val="19"/>
              </w:rPr>
              <w:t>Date (2025 unless stated)</w:t>
            </w:r>
          </w:p>
        </w:tc>
        <w:tc>
          <w:tcPr>
            <w:tcW w:type="dxa" w:w="5760"/>
            <w:shd w:val="clear" w:color="auto" w:fill="D9D9D9"/>
          </w:tcPr>
          <w:p>
            <w:r>
              <w:rPr>
                <w:b/>
              </w:rPr>
            </w:r>
            <w:r>
              <w:rPr>
                <w:b/>
                <w:sz w:val="19"/>
              </w:rPr>
              <w:t>Event</w:t>
            </w:r>
          </w:p>
        </w:tc>
        <w:tc>
          <w:tcPr>
            <w:tcW w:type="dxa" w:w="1584"/>
            <w:shd w:val="clear" w:color="auto" w:fill="D9D9D9"/>
          </w:tcPr>
          <w:p>
            <w:r>
              <w:rPr>
                <w:b/>
              </w:rPr>
            </w:r>
            <w:r>
              <w:rPr>
                <w:b/>
                <w:sz w:val="19"/>
              </w:rPr>
              <w:t>Source</w:t>
            </w:r>
          </w:p>
        </w:tc>
      </w:tr>
      <w:tr>
        <w:tc>
          <w:tcPr>
            <w:tcW w:type="dxa" w:w="2016"/>
          </w:tcPr>
          <w:p>
            <w:r/>
            <w:r>
              <w:rPr>
                <w:sz w:val="19"/>
              </w:rPr>
              <w:t>1 Mar. 2018</w:t>
            </w:r>
          </w:p>
        </w:tc>
        <w:tc>
          <w:tcPr>
            <w:tcW w:type="dxa" w:w="5760"/>
          </w:tcPr>
          <w:p>
            <w:r/>
            <w:r>
              <w:rPr>
                <w:sz w:val="19"/>
              </w:rPr>
              <w:t>Dr. Mehta joins Pinnacle as CTO; executes EA and IPA (ICC arbitration, New York seat, EA provisions incorporated)</w:t>
            </w:r>
          </w:p>
        </w:tc>
        <w:tc>
          <w:tcPr>
            <w:tcW w:type="dxa" w:w="1584"/>
          </w:tcPr>
          <w:p>
            <w:r/>
            <w:r>
              <w:rPr>
                <w:sz w:val="19"/>
              </w:rPr>
              <w:t>C-1; C-2</w:t>
            </w:r>
          </w:p>
        </w:tc>
      </w:tr>
      <w:tr>
        <w:tc>
          <w:tcPr>
            <w:tcW w:type="dxa" w:w="2016"/>
          </w:tcPr>
          <w:p>
            <w:r/>
            <w:r>
              <w:rPr>
                <w:sz w:val="19"/>
              </w:rPr>
              <w:t>Jan. 2023</w:t>
            </w:r>
          </w:p>
        </w:tc>
        <w:tc>
          <w:tcPr>
            <w:tcW w:type="dxa" w:w="5760"/>
          </w:tcPr>
          <w:p>
            <w:r/>
            <w:r>
              <w:rPr>
                <w:sz w:val="19"/>
              </w:rPr>
              <w:t>Project Zenith launched; Dr. Mehta project lead</w:t>
            </w:r>
          </w:p>
        </w:tc>
        <w:tc>
          <w:tcPr>
            <w:tcW w:type="dxa" w:w="1584"/>
          </w:tcPr>
          <w:p>
            <w:r/>
            <w:r>
              <w:rPr>
                <w:sz w:val="19"/>
              </w:rPr>
              <w:t>C-7; C-8</w:t>
            </w:r>
          </w:p>
        </w:tc>
      </w:tr>
      <w:tr>
        <w:tc>
          <w:tcPr>
            <w:tcW w:type="dxa" w:w="2016"/>
          </w:tcPr>
          <w:p>
            <w:r/>
            <w:r>
              <w:rPr>
                <w:sz w:val="19"/>
              </w:rPr>
              <w:t>Q1 2023–Q1 2025</w:t>
            </w:r>
          </w:p>
        </w:tc>
        <w:tc>
          <w:tcPr>
            <w:tcW w:type="dxa" w:w="5760"/>
          </w:tcPr>
          <w:p>
            <w:r/>
            <w:r>
              <w:rPr>
                <w:sz w:val="19"/>
              </w:rPr>
              <w:t>Cumulative Zenith investment US$37.2 million</w:t>
            </w:r>
          </w:p>
        </w:tc>
        <w:tc>
          <w:tcPr>
            <w:tcW w:type="dxa" w:w="1584"/>
          </w:tcPr>
          <w:p>
            <w:r/>
            <w:r>
              <w:rPr>
                <w:sz w:val="19"/>
              </w:rPr>
              <w:t>C-7</w:t>
            </w:r>
          </w:p>
        </w:tc>
      </w:tr>
      <w:tr>
        <w:tc>
          <w:tcPr>
            <w:tcW w:type="dxa" w:w="2016"/>
          </w:tcPr>
          <w:p>
            <w:r/>
            <w:r>
              <w:rPr>
                <w:sz w:val="19"/>
              </w:rPr>
              <w:t>1 Jan.–31 Mar.</w:t>
            </w:r>
          </w:p>
        </w:tc>
        <w:tc>
          <w:tcPr>
            <w:tcW w:type="dxa" w:w="5760"/>
          </w:tcPr>
          <w:p>
            <w:r/>
            <w:r>
              <w:rPr>
                <w:sz w:val="19"/>
              </w:rPr>
              <w:t>Baseline ZenithVault downloads approx. 12 files/day</w:t>
            </w:r>
          </w:p>
        </w:tc>
        <w:tc>
          <w:tcPr>
            <w:tcW w:type="dxa" w:w="1584"/>
          </w:tcPr>
          <w:p>
            <w:r/>
            <w:r>
              <w:rPr>
                <w:sz w:val="19"/>
              </w:rPr>
              <w:t>C-3, F5.3</w:t>
            </w:r>
          </w:p>
        </w:tc>
      </w:tr>
      <w:tr>
        <w:tc>
          <w:tcPr>
            <w:tcW w:type="dxa" w:w="2016"/>
          </w:tcPr>
          <w:p>
            <w:r/>
            <w:r>
              <w:rPr>
                <w:sz w:val="19"/>
              </w:rPr>
              <w:t>10 Apr., 7:22 p.m.</w:t>
            </w:r>
          </w:p>
        </w:tc>
        <w:tc>
          <w:tcPr>
            <w:tcW w:type="dxa" w:w="5760"/>
          </w:tcPr>
          <w:p>
            <w:r/>
            <w:r>
              <w:rPr>
                <w:sz w:val="19"/>
              </w:rPr>
              <w:t>USB Device (S/N 04023A4D7F8B9C01) first connected; approx. 310 files copied</w:t>
            </w:r>
          </w:p>
        </w:tc>
        <w:tc>
          <w:tcPr>
            <w:tcW w:type="dxa" w:w="1584"/>
          </w:tcPr>
          <w:p>
            <w:r/>
            <w:r>
              <w:rPr>
                <w:sz w:val="19"/>
              </w:rPr>
              <w:t>C-3, F5.1, §7</w:t>
            </w:r>
          </w:p>
        </w:tc>
      </w:tr>
      <w:tr>
        <w:tc>
          <w:tcPr>
            <w:tcW w:type="dxa" w:w="2016"/>
          </w:tcPr>
          <w:p>
            <w:r/>
            <w:r>
              <w:rPr>
                <w:sz w:val="19"/>
              </w:rPr>
              <w:t>11–25 Apr.</w:t>
            </w:r>
          </w:p>
        </w:tc>
        <w:tc>
          <w:tcPr>
            <w:tcW w:type="dxa" w:w="5760"/>
          </w:tcPr>
          <w:p>
            <w:r/>
            <w:r>
              <w:rPr>
                <w:sz w:val="19"/>
              </w:rPr>
              <w:t>Further USB sessions on 11, 14, 15, 16, 17, 18, 21, 22, 23, 24, 25 Apr. (all weekday evenings); 4,217 files / ~3.8 GB in total</w:t>
            </w:r>
          </w:p>
        </w:tc>
        <w:tc>
          <w:tcPr>
            <w:tcW w:type="dxa" w:w="1584"/>
          </w:tcPr>
          <w:p>
            <w:r/>
            <w:r>
              <w:rPr>
                <w:sz w:val="19"/>
              </w:rPr>
              <w:t>C-3, §7</w:t>
            </w:r>
          </w:p>
        </w:tc>
      </w:tr>
      <w:tr>
        <w:tc>
          <w:tcPr>
            <w:tcW w:type="dxa" w:w="2016"/>
          </w:tcPr>
          <w:p>
            <w:r/>
            <w:r>
              <w:rPr>
                <w:sz w:val="19"/>
              </w:rPr>
              <w:t>15–24 Apr.</w:t>
            </w:r>
          </w:p>
        </w:tc>
        <w:tc>
          <w:tcPr>
            <w:tcW w:type="dxa" w:w="5760"/>
          </w:tcPr>
          <w:p>
            <w:r/>
            <w:r>
              <w:rPr>
                <w:sz w:val="19"/>
              </w:rPr>
              <w:t>Seven emails between Dr. Mehta and fdoyle@vortechautomation.com (“Next steps”; “Re: Timing and logistics”)</w:t>
            </w:r>
          </w:p>
        </w:tc>
        <w:tc>
          <w:tcPr>
            <w:tcW w:type="dxa" w:w="1584"/>
          </w:tcPr>
          <w:p>
            <w:r/>
            <w:r>
              <w:rPr>
                <w:sz w:val="19"/>
              </w:rPr>
              <w:t>C-3, Obs. 4</w:t>
            </w:r>
          </w:p>
        </w:tc>
      </w:tr>
      <w:tr>
        <w:tc>
          <w:tcPr>
            <w:tcW w:type="dxa" w:w="2016"/>
          </w:tcPr>
          <w:p>
            <w:r/>
            <w:r>
              <w:rPr>
                <w:sz w:val="19"/>
              </w:rPr>
              <w:t>22 Apr., 9:47 p.m.</w:t>
            </w:r>
          </w:p>
        </w:tc>
        <w:tc>
          <w:tcPr>
            <w:tcW w:type="dxa" w:w="5760"/>
          </w:tcPr>
          <w:p>
            <w:r/>
            <w:r>
              <w:rPr>
                <w:sz w:val="19"/>
              </w:rPr>
              <w:t>Fourteen Zenith algorithm files emailed to rajan.mehta.private@gmail.com (“Reference Materials — Personal Backup”)</w:t>
            </w:r>
          </w:p>
        </w:tc>
        <w:tc>
          <w:tcPr>
            <w:tcW w:type="dxa" w:w="1584"/>
          </w:tcPr>
          <w:p>
            <w:r/>
            <w:r>
              <w:rPr>
                <w:sz w:val="19"/>
              </w:rPr>
              <w:t>C-3, F6.1</w:t>
            </w:r>
          </w:p>
        </w:tc>
      </w:tr>
      <w:tr>
        <w:tc>
          <w:tcPr>
            <w:tcW w:type="dxa" w:w="2016"/>
          </w:tcPr>
          <w:p>
            <w:r/>
            <w:r>
              <w:rPr>
                <w:sz w:val="19"/>
              </w:rPr>
              <w:t>25 Apr.</w:t>
            </w:r>
          </w:p>
        </w:tc>
        <w:tc>
          <w:tcPr>
            <w:tcW w:type="dxa" w:w="5760"/>
          </w:tcPr>
          <w:p>
            <w:r/>
            <w:r>
              <w:rPr>
                <w:sz w:val="19"/>
              </w:rPr>
              <w:t>Final USB session (approx. 347 files); Dr. Mehta resigns</w:t>
            </w:r>
          </w:p>
        </w:tc>
        <w:tc>
          <w:tcPr>
            <w:tcW w:type="dxa" w:w="1584"/>
          </w:tcPr>
          <w:p>
            <w:r/>
            <w:r>
              <w:rPr>
                <w:sz w:val="19"/>
              </w:rPr>
              <w:t>C-3, §7; C-4</w:t>
            </w:r>
          </w:p>
        </w:tc>
      </w:tr>
      <w:tr>
        <w:tc>
          <w:tcPr>
            <w:tcW w:type="dxa" w:w="2016"/>
          </w:tcPr>
          <w:p>
            <w:r/>
            <w:r>
              <w:rPr>
                <w:sz w:val="19"/>
              </w:rPr>
              <w:t>28 Apr.</w:t>
            </w:r>
          </w:p>
        </w:tc>
        <w:tc>
          <w:tcPr>
            <w:tcW w:type="dxa" w:w="5760"/>
          </w:tcPr>
          <w:p>
            <w:r/>
            <w:r>
              <w:rPr>
                <w:sz w:val="19"/>
              </w:rPr>
              <w:t>Departure audit detects transfers; Ironclad engaged; laptop secured</w:t>
            </w:r>
          </w:p>
        </w:tc>
        <w:tc>
          <w:tcPr>
            <w:tcW w:type="dxa" w:w="1584"/>
          </w:tcPr>
          <w:p>
            <w:r/>
            <w:r>
              <w:rPr>
                <w:sz w:val="19"/>
              </w:rPr>
              <w:t>C-3, §§2–3</w:t>
            </w:r>
          </w:p>
        </w:tc>
      </w:tr>
      <w:tr>
        <w:tc>
          <w:tcPr>
            <w:tcW w:type="dxa" w:w="2016"/>
          </w:tcPr>
          <w:p>
            <w:r/>
            <w:r>
              <w:rPr>
                <w:sz w:val="19"/>
              </w:rPr>
              <w:t>29 Apr.</w:t>
            </w:r>
          </w:p>
        </w:tc>
        <w:tc>
          <w:tcPr>
            <w:tcW w:type="dxa" w:w="5760"/>
          </w:tcPr>
          <w:p>
            <w:r/>
            <w:r>
              <w:rPr>
                <w:sz w:val="19"/>
              </w:rPr>
              <w:t>Forensic image created and hash-verified; first demand letter</w:t>
            </w:r>
          </w:p>
        </w:tc>
        <w:tc>
          <w:tcPr>
            <w:tcW w:type="dxa" w:w="1584"/>
          </w:tcPr>
          <w:p>
            <w:r/>
            <w:r>
              <w:rPr>
                <w:sz w:val="19"/>
              </w:rPr>
              <w:t>C-3, §3; C-4</w:t>
            </w:r>
          </w:p>
        </w:tc>
      </w:tr>
      <w:tr>
        <w:tc>
          <w:tcPr>
            <w:tcW w:type="dxa" w:w="2016"/>
          </w:tcPr>
          <w:p>
            <w:r/>
            <w:r>
              <w:rPr>
                <w:sz w:val="19"/>
              </w:rPr>
              <w:t>30 Apr.</w:t>
            </w:r>
          </w:p>
        </w:tc>
        <w:tc>
          <w:tcPr>
            <w:tcW w:type="dxa" w:w="5760"/>
          </w:tcPr>
          <w:p>
            <w:r/>
            <w:r>
              <w:rPr>
                <w:sz w:val="19"/>
              </w:rPr>
              <w:t>Dr. Mehta acknowledges receipt from Gmail Account; “no further comment”</w:t>
            </w:r>
          </w:p>
        </w:tc>
        <w:tc>
          <w:tcPr>
            <w:tcW w:type="dxa" w:w="1584"/>
          </w:tcPr>
          <w:p>
            <w:r/>
            <w:r>
              <w:rPr>
                <w:sz w:val="19"/>
              </w:rPr>
              <w:t>C-4</w:t>
            </w:r>
          </w:p>
        </w:tc>
      </w:tr>
      <w:tr>
        <w:tc>
          <w:tcPr>
            <w:tcW w:type="dxa" w:w="2016"/>
          </w:tcPr>
          <w:p>
            <w:r/>
            <w:r>
              <w:rPr>
                <w:sz w:val="19"/>
              </w:rPr>
              <w:t>2 May</w:t>
            </w:r>
          </w:p>
        </w:tc>
        <w:tc>
          <w:tcPr>
            <w:tcW w:type="dxa" w:w="5760"/>
          </w:tcPr>
          <w:p>
            <w:r/>
            <w:r>
              <w:rPr>
                <w:sz w:val="19"/>
              </w:rPr>
              <w:t>Second demand; compliance deadline 5 May (passes without response)</w:t>
            </w:r>
          </w:p>
        </w:tc>
        <w:tc>
          <w:tcPr>
            <w:tcW w:type="dxa" w:w="1584"/>
          </w:tcPr>
          <w:p>
            <w:r/>
            <w:r>
              <w:rPr>
                <w:sz w:val="19"/>
              </w:rPr>
              <w:t>C-4</w:t>
            </w:r>
          </w:p>
        </w:tc>
      </w:tr>
      <w:tr>
        <w:tc>
          <w:tcPr>
            <w:tcW w:type="dxa" w:w="2016"/>
          </w:tcPr>
          <w:p>
            <w:r/>
            <w:r>
              <w:rPr>
                <w:sz w:val="19"/>
              </w:rPr>
              <w:t>7 May</w:t>
            </w:r>
          </w:p>
        </w:tc>
        <w:tc>
          <w:tcPr>
            <w:tcW w:type="dxa" w:w="5760"/>
          </w:tcPr>
          <w:p>
            <w:r/>
            <w:r>
              <w:rPr>
                <w:sz w:val="19"/>
              </w:rPr>
              <w:t>Third and final demand</w:t>
            </w:r>
          </w:p>
        </w:tc>
        <w:tc>
          <w:tcPr>
            <w:tcW w:type="dxa" w:w="1584"/>
          </w:tcPr>
          <w:p>
            <w:r/>
            <w:r>
              <w:rPr>
                <w:sz w:val="19"/>
              </w:rPr>
              <w:t>C-4</w:t>
            </w:r>
          </w:p>
        </w:tc>
      </w:tr>
      <w:tr>
        <w:tc>
          <w:tcPr>
            <w:tcW w:type="dxa" w:w="2016"/>
          </w:tcPr>
          <w:p>
            <w:r/>
            <w:r>
              <w:rPr>
                <w:sz w:val="19"/>
              </w:rPr>
              <w:t>9 May (Fri.)</w:t>
            </w:r>
          </w:p>
        </w:tc>
        <w:tc>
          <w:tcPr>
            <w:tcW w:type="dxa" w:w="5760"/>
          </w:tcPr>
          <w:p>
            <w:r/>
            <w:r>
              <w:rPr>
                <w:sz w:val="19"/>
              </w:rPr>
              <w:t>Termination Date; ZenithVault credentials revoked; Restricted Period begins (to 9 May 2027, subject to tolling)</w:t>
            </w:r>
          </w:p>
        </w:tc>
        <w:tc>
          <w:tcPr>
            <w:tcW w:type="dxa" w:w="1584"/>
          </w:tcPr>
          <w:p>
            <w:r/>
            <w:r>
              <w:rPr>
                <w:sz w:val="19"/>
              </w:rPr>
              <w:t>C-3, Obs. 1; C-4</w:t>
            </w:r>
          </w:p>
        </w:tc>
      </w:tr>
      <w:tr>
        <w:tc>
          <w:tcPr>
            <w:tcW w:type="dxa" w:w="2016"/>
          </w:tcPr>
          <w:p>
            <w:r/>
            <w:r>
              <w:rPr>
                <w:sz w:val="19"/>
              </w:rPr>
              <w:t>14 May</w:t>
            </w:r>
          </w:p>
        </w:tc>
        <w:tc>
          <w:tcPr>
            <w:tcW w:type="dxa" w:w="5760"/>
          </w:tcPr>
          <w:p>
            <w:r/>
            <w:r>
              <w:rPr>
                <w:sz w:val="19"/>
              </w:rPr>
              <w:t>Vortech announces Dr. Mehta as EVP — Advanced Systems; Helix launch accelerated to Q4 2025; recruiter calls Dr. Petrov</w:t>
            </w:r>
          </w:p>
        </w:tc>
        <w:tc>
          <w:tcPr>
            <w:tcW w:type="dxa" w:w="1584"/>
          </w:tcPr>
          <w:p>
            <w:r/>
            <w:r>
              <w:rPr>
                <w:sz w:val="19"/>
              </w:rPr>
              <w:t>C-5; C-6</w:t>
            </w:r>
          </w:p>
        </w:tc>
      </w:tr>
      <w:tr>
        <w:tc>
          <w:tcPr>
            <w:tcW w:type="dxa" w:w="2016"/>
          </w:tcPr>
          <w:p>
            <w:r/>
            <w:r>
              <w:rPr>
                <w:sz w:val="19"/>
              </w:rPr>
              <w:t>15 May</w:t>
            </w:r>
          </w:p>
        </w:tc>
        <w:tc>
          <w:tcPr>
            <w:tcW w:type="dxa" w:w="5760"/>
          </w:tcPr>
          <w:p>
            <w:r/>
            <w:r>
              <w:rPr>
                <w:sz w:val="19"/>
              </w:rPr>
              <w:t>Recruiter LinkedIn message to Mr. Nakamura; both incidents reported to HR</w:t>
            </w:r>
          </w:p>
        </w:tc>
        <w:tc>
          <w:tcPr>
            <w:tcW w:type="dxa" w:w="1584"/>
          </w:tcPr>
          <w:p>
            <w:r/>
            <w:r>
              <w:rPr>
                <w:sz w:val="19"/>
              </w:rPr>
              <w:t>C-6</w:t>
            </w:r>
          </w:p>
        </w:tc>
      </w:tr>
      <w:tr>
        <w:tc>
          <w:tcPr>
            <w:tcW w:type="dxa" w:w="2016"/>
          </w:tcPr>
          <w:p>
            <w:r/>
            <w:r>
              <w:rPr>
                <w:sz w:val="19"/>
              </w:rPr>
              <w:t>16 May (Fri.)</w:t>
            </w:r>
          </w:p>
        </w:tc>
        <w:tc>
          <w:tcPr>
            <w:tcW w:type="dxa" w:w="5760"/>
          </w:tcPr>
          <w:p>
            <w:r/>
            <w:r>
              <w:rPr>
                <w:sz w:val="19"/>
              </w:rPr>
              <w:t>IPA § 4.1 Return Deadline expires without compliance; Ironclad Report finalized</w:t>
            </w:r>
          </w:p>
        </w:tc>
        <w:tc>
          <w:tcPr>
            <w:tcW w:type="dxa" w:w="1584"/>
          </w:tcPr>
          <w:p>
            <w:r/>
            <w:r>
              <w:rPr>
                <w:sz w:val="19"/>
              </w:rPr>
              <w:t>C-3; C-4</w:t>
            </w:r>
          </w:p>
        </w:tc>
      </w:tr>
      <w:tr>
        <w:tc>
          <w:tcPr>
            <w:tcW w:type="dxa" w:w="2016"/>
          </w:tcPr>
          <w:p>
            <w:r/>
            <w:r>
              <w:rPr>
                <w:sz w:val="19"/>
              </w:rPr>
              <w:t>17 May</w:t>
            </w:r>
          </w:p>
        </w:tc>
        <w:tc>
          <w:tcPr>
            <w:tcW w:type="dxa" w:w="5760"/>
          </w:tcPr>
          <w:p>
            <w:r/>
            <w:r>
              <w:rPr>
                <w:sz w:val="19"/>
              </w:rPr>
              <w:t>Finance summary and CEO competitive impact assessment prepared</w:t>
            </w:r>
          </w:p>
        </w:tc>
        <w:tc>
          <w:tcPr>
            <w:tcW w:type="dxa" w:w="1584"/>
          </w:tcPr>
          <w:p>
            <w:r/>
            <w:r>
              <w:rPr>
                <w:sz w:val="19"/>
              </w:rPr>
              <w:t>C-7; C-8</w:t>
            </w:r>
          </w:p>
        </w:tc>
      </w:tr>
      <w:tr>
        <w:tc>
          <w:tcPr>
            <w:tcW w:type="dxa" w:w="2016"/>
          </w:tcPr>
          <w:p>
            <w:r/>
            <w:r>
              <w:rPr>
                <w:sz w:val="19"/>
              </w:rPr>
              <w:t>19 May</w:t>
            </w:r>
          </w:p>
        </w:tc>
        <w:tc>
          <w:tcPr>
            <w:tcW w:type="dxa" w:w="5760"/>
          </w:tcPr>
          <w:p>
            <w:r/>
            <w:r>
              <w:rPr>
                <w:sz w:val="19"/>
              </w:rPr>
              <w:t>Outside counsel retained</w:t>
            </w:r>
          </w:p>
        </w:tc>
        <w:tc>
          <w:tcPr>
            <w:tcW w:type="dxa" w:w="1584"/>
          </w:tcPr>
          <w:p>
            <w:r/>
            <w:r>
              <w:rPr>
                <w:sz w:val="19"/>
              </w:rPr>
              <w:t>C-8</w:t>
            </w:r>
          </w:p>
        </w:tc>
      </w:tr>
      <w:tr>
        <w:tc>
          <w:tcPr>
            <w:tcW w:type="dxa" w:w="2016"/>
          </w:tcPr>
          <w:p>
            <w:r/>
            <w:r>
              <w:rPr>
                <w:sz w:val="19"/>
              </w:rPr>
              <w:t>20 May</w:t>
            </w:r>
          </w:p>
        </w:tc>
        <w:tc>
          <w:tcPr>
            <w:tcW w:type="dxa" w:w="5760"/>
          </w:tcPr>
          <w:p>
            <w:r/>
            <w:r>
              <w:rPr>
                <w:sz w:val="19"/>
              </w:rPr>
              <w:t>No return, certification or identification of devices/accounts received</w:t>
            </w:r>
          </w:p>
        </w:tc>
        <w:tc>
          <w:tcPr>
            <w:tcW w:type="dxa" w:w="1584"/>
          </w:tcPr>
          <w:p>
            <w:r/>
            <w:r>
              <w:rPr>
                <w:sz w:val="19"/>
              </w:rPr>
              <w:t>C-4</w:t>
            </w:r>
          </w:p>
        </w:tc>
      </w:tr>
      <w:tr>
        <w:tc>
          <w:tcPr>
            <w:tcW w:type="dxa" w:w="2016"/>
          </w:tcPr>
          <w:p>
            <w:r/>
            <w:r>
              <w:rPr>
                <w:sz w:val="19"/>
              </w:rPr>
              <w:t>Q4 2025</w:t>
            </w:r>
          </w:p>
        </w:tc>
        <w:tc>
          <w:tcPr>
            <w:tcW w:type="dxa" w:w="5760"/>
          </w:tcPr>
          <w:p>
            <w:r/>
            <w:r>
              <w:rPr>
                <w:sz w:val="19"/>
              </w:rPr>
              <w:t>Vortech’s targeted Helix launch</w:t>
            </w:r>
          </w:p>
        </w:tc>
        <w:tc>
          <w:tcPr>
            <w:tcW w:type="dxa" w:w="1584"/>
          </w:tcPr>
          <w:p>
            <w:r/>
            <w:r>
              <w:rPr>
                <w:sz w:val="19"/>
              </w:rPr>
              <w:t>C-5</w:t>
            </w:r>
          </w:p>
        </w:tc>
      </w:tr>
      <w:tr>
        <w:tc>
          <w:tcPr>
            <w:tcW w:type="dxa" w:w="2016"/>
          </w:tcPr>
          <w:p>
            <w:r/>
            <w:r>
              <w:rPr>
                <w:sz w:val="19"/>
              </w:rPr>
              <w:t>Q2 2026</w:t>
            </w:r>
          </w:p>
        </w:tc>
        <w:tc>
          <w:tcPr>
            <w:tcW w:type="dxa" w:w="5760"/>
          </w:tcPr>
          <w:p>
            <w:r/>
            <w:r>
              <w:rPr>
                <w:sz w:val="19"/>
              </w:rPr>
              <w:t>Planned Zenith commercial launch</w:t>
            </w:r>
          </w:p>
        </w:tc>
        <w:tc>
          <w:tcPr>
            <w:tcW w:type="dxa" w:w="1584"/>
          </w:tcPr>
          <w:p>
            <w:r/>
            <w:r>
              <w:rPr>
                <w:sz w:val="19"/>
              </w:rPr>
              <w:t>C-7</w:t>
            </w:r>
          </w:p>
        </w:tc>
      </w:tr>
    </w:tbl>
    <w:p>
      <w:pPr>
        <w:spacing w:after="80"/>
      </w:pPr>
    </w:p>
    <w:p>
      <w:pPr>
        <w:spacing w:after="200"/>
        <w:jc w:val="center"/>
      </w:pPr>
      <w:r>
        <w:rPr>
          <w:b/>
          <w:sz w:val="24"/>
        </w:rPr>
        <w:t>SCHEDULE 3 — COMPLIANCE CHECKLIST: APPENDIX V, ARTICLE 1(3)</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D9D9D9"/>
          </w:tcPr>
          <w:p>
            <w:r>
              <w:rPr>
                <w:b/>
              </w:rPr>
            </w:r>
            <w:r>
              <w:rPr>
                <w:b/>
                <w:sz w:val="19"/>
              </w:rPr>
              <w:t>Art. 1(3)</w:t>
            </w:r>
          </w:p>
        </w:tc>
        <w:tc>
          <w:tcPr>
            <w:tcW w:type="dxa" w:w="5184"/>
            <w:shd w:val="clear" w:color="auto" w:fill="D9D9D9"/>
          </w:tcPr>
          <w:p>
            <w:r>
              <w:rPr>
                <w:b/>
              </w:rPr>
            </w:r>
            <w:r>
              <w:rPr>
                <w:b/>
                <w:sz w:val="19"/>
              </w:rPr>
              <w:t>Requirement</w:t>
            </w:r>
          </w:p>
        </w:tc>
        <w:tc>
          <w:tcPr>
            <w:tcW w:type="dxa" w:w="3024"/>
            <w:shd w:val="clear" w:color="auto" w:fill="D9D9D9"/>
          </w:tcPr>
          <w:p>
            <w:r>
              <w:rPr>
                <w:b/>
              </w:rPr>
            </w:r>
            <w:r>
              <w:rPr>
                <w:b/>
                <w:sz w:val="19"/>
              </w:rPr>
              <w:t>Where addressed</w:t>
            </w:r>
          </w:p>
        </w:tc>
      </w:tr>
      <w:tr>
        <w:tc>
          <w:tcPr>
            <w:tcW w:type="dxa" w:w="1152"/>
          </w:tcPr>
          <w:p>
            <w:r/>
            <w:r>
              <w:rPr>
                <w:sz w:val="19"/>
              </w:rPr>
              <w:t>(a)</w:t>
            </w:r>
          </w:p>
        </w:tc>
        <w:tc>
          <w:tcPr>
            <w:tcW w:type="dxa" w:w="5184"/>
          </w:tcPr>
          <w:p>
            <w:r/>
            <w:r>
              <w:rPr>
                <w:sz w:val="19"/>
              </w:rPr>
              <w:t>Names, descriptions, addresses and contact details of the parties</w:t>
            </w:r>
          </w:p>
        </w:tc>
        <w:tc>
          <w:tcPr>
            <w:tcW w:type="dxa" w:w="3024"/>
          </w:tcPr>
          <w:p>
            <w:r/>
            <w:r>
              <w:rPr>
                <w:sz w:val="19"/>
              </w:rPr>
              <w:t>Section II.A–B</w:t>
            </w:r>
          </w:p>
        </w:tc>
      </w:tr>
      <w:tr>
        <w:tc>
          <w:tcPr>
            <w:tcW w:type="dxa" w:w="1152"/>
          </w:tcPr>
          <w:p>
            <w:r/>
            <w:r>
              <w:rPr>
                <w:sz w:val="19"/>
              </w:rPr>
              <w:t>(b)</w:t>
            </w:r>
          </w:p>
        </w:tc>
        <w:tc>
          <w:tcPr>
            <w:tcW w:type="dxa" w:w="5184"/>
          </w:tcPr>
          <w:p>
            <w:r/>
            <w:r>
              <w:rPr>
                <w:sz w:val="19"/>
              </w:rPr>
              <w:t>Name, address and contact details of applicant’s representatives</w:t>
            </w:r>
          </w:p>
        </w:tc>
        <w:tc>
          <w:tcPr>
            <w:tcW w:type="dxa" w:w="3024"/>
          </w:tcPr>
          <w:p>
            <w:r/>
            <w:r>
              <w:rPr>
                <w:sz w:val="19"/>
              </w:rPr>
              <w:t>Section II.A; signature block; C-10</w:t>
            </w:r>
          </w:p>
        </w:tc>
      </w:tr>
      <w:tr>
        <w:tc>
          <w:tcPr>
            <w:tcW w:type="dxa" w:w="1152"/>
          </w:tcPr>
          <w:p>
            <w:r/>
            <w:r>
              <w:rPr>
                <w:sz w:val="19"/>
              </w:rPr>
              <w:t>(c)</w:t>
            </w:r>
          </w:p>
        </w:tc>
        <w:tc>
          <w:tcPr>
            <w:tcW w:type="dxa" w:w="5184"/>
          </w:tcPr>
          <w:p>
            <w:r/>
            <w:r>
              <w:rPr>
                <w:sz w:val="19"/>
              </w:rPr>
              <w:t>Circumstances giving rise to the Application and the underlying dispute</w:t>
            </w:r>
          </w:p>
        </w:tc>
        <w:tc>
          <w:tcPr>
            <w:tcW w:type="dxa" w:w="3024"/>
          </w:tcPr>
          <w:p>
            <w:r/>
            <w:r>
              <w:rPr>
                <w:sz w:val="19"/>
              </w:rPr>
              <w:t>Sections IV and V</w:t>
            </w:r>
          </w:p>
        </w:tc>
      </w:tr>
      <w:tr>
        <w:tc>
          <w:tcPr>
            <w:tcW w:type="dxa" w:w="1152"/>
          </w:tcPr>
          <w:p>
            <w:r/>
            <w:r>
              <w:rPr>
                <w:sz w:val="19"/>
              </w:rPr>
              <w:t>(d)</w:t>
            </w:r>
          </w:p>
        </w:tc>
        <w:tc>
          <w:tcPr>
            <w:tcW w:type="dxa" w:w="5184"/>
          </w:tcPr>
          <w:p>
            <w:r/>
            <w:r>
              <w:rPr>
                <w:sz w:val="19"/>
              </w:rPr>
              <w:t>Statement of the Emergency Measures sought</w:t>
            </w:r>
          </w:p>
        </w:tc>
        <w:tc>
          <w:tcPr>
            <w:tcW w:type="dxa" w:w="3024"/>
          </w:tcPr>
          <w:p>
            <w:r/>
            <w:r>
              <w:rPr>
                <w:sz w:val="19"/>
              </w:rPr>
              <w:t>Section VIII</w:t>
            </w:r>
          </w:p>
        </w:tc>
      </w:tr>
      <w:tr>
        <w:tc>
          <w:tcPr>
            <w:tcW w:type="dxa" w:w="1152"/>
          </w:tcPr>
          <w:p>
            <w:r/>
            <w:r>
              <w:rPr>
                <w:sz w:val="19"/>
              </w:rPr>
              <w:t>(e)</w:t>
            </w:r>
          </w:p>
        </w:tc>
        <w:tc>
          <w:tcPr>
            <w:tcW w:type="dxa" w:w="5184"/>
          </w:tcPr>
          <w:p>
            <w:r/>
            <w:r>
              <w:rPr>
                <w:sz w:val="19"/>
              </w:rPr>
              <w:t>Reasons why urgent measures cannot await constitution of the tribunal</w:t>
            </w:r>
          </w:p>
        </w:tc>
        <w:tc>
          <w:tcPr>
            <w:tcW w:type="dxa" w:w="3024"/>
          </w:tcPr>
          <w:p>
            <w:r/>
            <w:r>
              <w:rPr>
                <w:sz w:val="19"/>
              </w:rPr>
              <w:t>Section VII.B (and VII generally)</w:t>
            </w:r>
          </w:p>
        </w:tc>
      </w:tr>
      <w:tr>
        <w:tc>
          <w:tcPr>
            <w:tcW w:type="dxa" w:w="1152"/>
          </w:tcPr>
          <w:p>
            <w:r/>
            <w:r>
              <w:rPr>
                <w:sz w:val="19"/>
              </w:rPr>
              <w:t>(f)</w:t>
            </w:r>
          </w:p>
        </w:tc>
        <w:tc>
          <w:tcPr>
            <w:tcW w:type="dxa" w:w="5184"/>
          </w:tcPr>
          <w:p>
            <w:r/>
            <w:r>
              <w:rPr>
                <w:sz w:val="19"/>
              </w:rPr>
              <w:t>Relevant agreements, in particular the arbitration agreement</w:t>
            </w:r>
          </w:p>
        </w:tc>
        <w:tc>
          <w:tcPr>
            <w:tcW w:type="dxa" w:w="3024"/>
          </w:tcPr>
          <w:p>
            <w:r/>
            <w:r>
              <w:rPr>
                <w:sz w:val="19"/>
              </w:rPr>
              <w:t>Section III.A; C-1; C-2</w:t>
            </w:r>
          </w:p>
        </w:tc>
      </w:tr>
      <w:tr>
        <w:tc>
          <w:tcPr>
            <w:tcW w:type="dxa" w:w="1152"/>
          </w:tcPr>
          <w:p>
            <w:r/>
            <w:r>
              <w:rPr>
                <w:sz w:val="19"/>
              </w:rPr>
              <w:t>(g)</w:t>
            </w:r>
          </w:p>
        </w:tc>
        <w:tc>
          <w:tcPr>
            <w:tcW w:type="dxa" w:w="5184"/>
          </w:tcPr>
          <w:p>
            <w:r/>
            <w:r>
              <w:rPr>
                <w:sz w:val="19"/>
              </w:rPr>
              <w:t>Agreement as to place, applicable rules of law and language</w:t>
            </w:r>
          </w:p>
        </w:tc>
        <w:tc>
          <w:tcPr>
            <w:tcW w:type="dxa" w:w="3024"/>
          </w:tcPr>
          <w:p>
            <w:r/>
            <w:r>
              <w:rPr>
                <w:sz w:val="19"/>
              </w:rPr>
              <w:t>Section III.C</w:t>
            </w:r>
          </w:p>
        </w:tc>
      </w:tr>
      <w:tr>
        <w:tc>
          <w:tcPr>
            <w:tcW w:type="dxa" w:w="1152"/>
          </w:tcPr>
          <w:p>
            <w:r/>
            <w:r>
              <w:rPr>
                <w:sz w:val="19"/>
              </w:rPr>
              <w:t>(h)</w:t>
            </w:r>
          </w:p>
        </w:tc>
        <w:tc>
          <w:tcPr>
            <w:tcW w:type="dxa" w:w="5184"/>
          </w:tcPr>
          <w:p>
            <w:r/>
            <w:r>
              <w:rPr>
                <w:sz w:val="19"/>
              </w:rPr>
              <w:t>Proof of payment under Art. 7(1) (US$40,000)</w:t>
            </w:r>
          </w:p>
        </w:tc>
        <w:tc>
          <w:tcPr>
            <w:tcW w:type="dxa" w:w="3024"/>
          </w:tcPr>
          <w:p>
            <w:r/>
            <w:r>
              <w:rPr>
                <w:sz w:val="19"/>
              </w:rPr>
              <w:t>Section X; C-11</w:t>
            </w:r>
          </w:p>
        </w:tc>
      </w:tr>
      <w:tr>
        <w:tc>
          <w:tcPr>
            <w:tcW w:type="dxa" w:w="1152"/>
          </w:tcPr>
          <w:p>
            <w:r/>
            <w:r>
              <w:rPr>
                <w:sz w:val="19"/>
              </w:rPr>
              <w:t>(i)</w:t>
            </w:r>
          </w:p>
        </w:tc>
        <w:tc>
          <w:tcPr>
            <w:tcW w:type="dxa" w:w="5184"/>
          </w:tcPr>
          <w:p>
            <w:r/>
            <w:r>
              <w:rPr>
                <w:sz w:val="19"/>
              </w:rPr>
              <w:t>Any Request for Arbitration or other prior submissions filed with the Secretariat</w:t>
            </w:r>
          </w:p>
        </w:tc>
        <w:tc>
          <w:tcPr>
            <w:tcW w:type="dxa" w:w="3024"/>
          </w:tcPr>
          <w:p>
            <w:r/>
            <w:r>
              <w:rPr>
                <w:sz w:val="19"/>
              </w:rPr>
              <w:t>Section III.D (none filed; Request to follow within 10 days per Art. 1(6))</w:t>
            </w:r>
          </w:p>
        </w:tc>
      </w:tr>
    </w:tbl>
    <w:p>
      <w:pPr>
        <w:spacing w:after="80"/>
      </w:pPr>
    </w:p>
    <w:p>
      <w:r>
        <w:br w:type="page"/>
      </w:r>
    </w:p>
    <w:p>
      <w:pPr>
        <w:spacing w:after="40"/>
        <w:jc w:val="center"/>
      </w:pPr>
      <w:r>
        <w:rPr>
          <w:b/>
          <w:sz w:val="24"/>
        </w:rPr>
        <w:t>ANNEX — COUNSEL’S INTERNAL DRAFTING NOTES</w:t>
      </w:r>
    </w:p>
    <w:p>
      <w:pPr>
        <w:spacing w:after="200"/>
        <w:jc w:val="center"/>
      </w:pPr>
      <w:r>
        <w:rPr>
          <w:b/>
          <w:sz w:val="20"/>
        </w:rPr>
        <w:t>PRIVILEGED AND CONFIDENTIAL — ATTORNEY WORK PRODUCT — REMOVE THIS ANNEX BEFORE FILING</w:t>
      </w:r>
    </w:p>
    <w:p>
      <w:pPr>
        <w:spacing w:after="160" w:line="276" w:lineRule="auto"/>
        <w:jc w:val="both"/>
      </w:pPr>
      <w:r>
        <w:t>The following points were identified on review of the source documents and must be resolved before filing or the hearing. The Application has been drafted to avoid relying on any statement listed below as unreliable.</w:t>
      </w:r>
    </w:p>
    <w:p>
      <w:pPr>
        <w:spacing w:after="160" w:line="276" w:lineRule="auto"/>
        <w:jc w:val="both"/>
      </w:pPr>
      <w:r>
        <w:rPr>
          <w:b/>
        </w:rPr>
        <w:t>1. Privilege waiver.</w:t>
      </w:r>
      <w:r>
        <w:t xml:space="preserve"> C-3 (Ironclad Report), C-6 (HR reports) and C-8 (CEO memo) are each marked attorney-client privileged / work product. Filing them will waive privilege as to those documents and risks a subject-matter waiver argument. Recommended: (a) file the Ironclad Report as an expert report supported by a declaration of Ms. Stillwell, accepting the limited waiver for this document; (b) </w:t>
      </w:r>
      <w:r>
        <w:rPr>
          <w:b/>
        </w:rPr>
        <w:t>do not file C-8</w:t>
      </w:r>
      <w:r>
        <w:t>; replace it with a witness statement of Ms. Whitfield confined to facts (role of Dr. Mehta, six-person access, Helix’s prior timeline, competitive overlap, Dr. Mehta’s estimated net worth with its basis). The memo contains advocacy that will be used against us (e.g., “existential risk,” “the most logical explanation,” loss “on the order of the full $120 million”); (c) replace C-6 with witness statements of Dr. Petrov, Mr. Nakamura and Ms. Liddell, attaching the LinkedIn screenshot (C-9) and Dr. Petrov’s phone log for the 14 May call.</w:t>
      </w:r>
    </w:p>
    <w:p>
      <w:pPr>
        <w:spacing w:after="160" w:line="276" w:lineRule="auto"/>
        <w:jc w:val="both"/>
      </w:pPr>
      <w:r>
        <w:rPr>
          <w:b/>
        </w:rPr>
        <w:t>2. Financial figures — internal inconsistencies in C-7.</w:t>
      </w:r>
      <w:r>
        <w:t xml:space="preserve"> (a) The CEO memo asserts revenue loss “on the order of the full $120 million”; C-7 Assumption 4(d) states a loss of $54–78M (remaining revenue $42–66M); but applying C-7’s own percentages (Year 1 −50–70% of $35M; Years 2–3 −30–50% of $85M) yields a loss of approx. </w:t>
      </w:r>
      <w:r>
        <w:rPr>
          <w:b/>
        </w:rPr>
        <w:t>$43–67M</w:t>
      </w:r>
      <w:r>
        <w:t xml:space="preserve"> (remaining $53–77M). The Application uses the percentage-derived range and attributes it to management. Finance must reconcile Assumption 4(d) before C-7 is filed. (b) In the Revenue Projections sheet, Years 2–3 do not reconcile units × ASP to Gross Revenue (e.g., Q2 2027: 225 units × $60.0K = $13.5M vs. $9.0M shown; implied Year 2 ≈ $61.5M vs. $42M; implied Year 3 ≈ $72.0M vs. $43M). Year 1 reconciles. Q2 2027 revenue also falls from Q1 2027 ($12.5M to $9.0M) despite higher unit volume. Respondent will use these errors to attack the projections; they must be corrected or C-7 limited to the investment sheet. (c) The investment sheet reconciles (quarterly and category totals = $37.2M) and may be relied on. (d) C-7 assumes an “18-month competitive lead” whereas the narrative is a six-month Helix head start; Ms. Whitfield should explain both.</w:t>
      </w:r>
    </w:p>
    <w:p>
      <w:pPr>
        <w:spacing w:after="160" w:line="276" w:lineRule="auto"/>
        <w:jc w:val="both"/>
      </w:pPr>
      <w:r>
        <w:rPr>
          <w:b/>
        </w:rPr>
        <w:t>3. Ironclad Report — points to correct or supplement.</w:t>
      </w:r>
      <w:r>
        <w:t xml:space="preserve"> (a) Finding 5.3 states that weekend downloads occurred during daytime hours, but the § 7 timeline shows all twelve sessions on weekdays (10 Apr. was a Thursday; no sessions on 12–13 or 19–20 Apr.). The Application states only “weekday evenings”; ask Ironclad to correct. (b) The baseline is described as the “ninety days preceding April 10” but measured 1 Jan.–31 Mar.; 1–9 Apr. is unexplained. (c) § 2.3 describes a review period to 9 May 2025, but the logs obtained run only to 28 Apr. 2025, while Dr. Mehta’s credentials remained active to 9 May. </w:t>
      </w:r>
      <w:r>
        <w:rPr>
          <w:b/>
        </w:rPr>
        <w:t>Obtain and analyze ZenithVault, VPN, email and badge logs for 28 Apr.–9 May immediately.</w:t>
      </w:r>
      <w:r>
        <w:t xml:space="preserve"> (d) Finding 6.2 says the emailed files from /Algo/Docs/ and /Algo/Test/ were among the 1,847 files from /Algo/Source/; reconcile the directory taxonomy. (e) Filenames appear with formatting artifacts in the report copy (asterisks appear in place of underscores, e.g., in the name of the file zenith_adaptive_core_v3.2.py); confirm exact filenames against the hash table. (f) The 29 Apr. letter refers to badge-access correlation that is not in the Ironclad Report; obtain the badge records or do not rely on them. (g) Ironclad did not review the content of the seven Doyle emails. These are on Pinnacle’s own system; counsel should review them now — they may be the strongest evidence of coordination (or may be innocuous) and must be assessed before the hearing. (h) Confirm the basis for attributing fdoyle@vortechautomation.com to Mr. Doyle.</w:t>
      </w:r>
    </w:p>
    <w:p>
      <w:pPr>
        <w:spacing w:after="160" w:line="276" w:lineRule="auto"/>
        <w:jc w:val="both"/>
      </w:pPr>
      <w:r>
        <w:rPr>
          <w:b/>
        </w:rPr>
        <w:t>4. Errors in Pinnacle’s demand letters (C-4) — not repeated in the Application.</w:t>
      </w:r>
      <w:r>
        <w:t xml:space="preserve"> (a) The letters cite EA § 8 as the confidentiality covenant; confidentiality is EA § 5 (§ 8 is IP assignment). (b) They describe EA § 7(b) as covering customers; customer non-solicitation is EA § 7(c). (c) The 7 May letter cites fees under § 12(c); fee-shifting is § 12(d). (d) The 7 May letter states that “eleven days” had passed since the first demand and “eight days” since the second; the correct figures are eight and five. (e) The letters and IPA § 2.6 refer to the “New York Uniform Trade Secrets Act”; New York has not enacted the UTSA — trade secrets are protected under New York common law. The Application relies on the DTSA and New York common law. Be prepared to address these points if raised; none affects the substance of the demands.</w:t>
      </w:r>
    </w:p>
    <w:p>
      <w:pPr>
        <w:spacing w:after="160" w:line="276" w:lineRule="auto"/>
        <w:jc w:val="both"/>
      </w:pPr>
      <w:r>
        <w:rPr>
          <w:b/>
        </w:rPr>
        <w:t>5. Service / notice.</w:t>
      </w:r>
      <w:r>
        <w:t xml:space="preserve"> EA § 13(f) designates rajan.mehta@personal.net as Dr. Mehta’s notice email; the demand letters were emailed only to the Gmail Account (plus certified mail). Serve the Application on both addresses and by courier, and obtain certified-mail return receipts for the three letters.</w:t>
      </w:r>
    </w:p>
    <w:p>
      <w:pPr>
        <w:spacing w:after="160" w:line="276" w:lineRule="auto"/>
        <w:jc w:val="both"/>
      </w:pPr>
      <w:r>
        <w:rPr>
          <w:b/>
        </w:rPr>
        <w:t>6. Choice of law and enforceability of the non-compete.</w:t>
      </w:r>
      <w:r>
        <w:t xml:space="preserve"> Dr. Mehta lives and worked in Texas; expect an argument that Texas law and policy override the New York clause (cf. </w:t>
      </w:r>
      <w:r>
        <w:rPr>
          <w:i/>
        </w:rPr>
        <w:t>DeSantis v. Wackenhut Corp.</w:t>
      </w:r>
      <w:r>
        <w:t xml:space="preserve">, 793 S.W.2d 670 (Tex. 1990)). Texas compliance (Tex. Bus. &amp; Com. Code § 15.50) appears achievable given the confidential-information consideration, but note § 15.51(c) (reformation; potential limits on damages and fee exposure where a covenant is found overbroad). The FTC non-compete rule does not apply (set aside in </w:t>
      </w:r>
      <w:r>
        <w:rPr>
          <w:i/>
        </w:rPr>
        <w:t>Ryan, LLC v. FTC</w:t>
      </w:r>
      <w:r>
        <w:t>, No. 3:24-cv-00986 (N.D. Tex. Aug. 20, 2024)). The non-compete measure (Measure 8(a)) is the most likely to be refused or narrowed at the emergency stage; the Application therefore leads with the confidentiality, return and forensic measures and offers Measure 8(b) as an alternative.</w:t>
      </w:r>
    </w:p>
    <w:p>
      <w:pPr>
        <w:spacing w:after="160" w:line="276" w:lineRule="auto"/>
        <w:jc w:val="both"/>
      </w:pPr>
      <w:r>
        <w:rPr>
          <w:b/>
        </w:rPr>
        <w:t>7. Limits of EA relief; parallel court relief.</w:t>
      </w:r>
      <w:r>
        <w:t xml:space="preserve"> (a) The Emergency Arbitrator cannot bind Vortech or Google (Art. 29(5)). Google cannot lawfully disclose email contents to a private party without the account holder’s consent (Stored Communications Act, 18 U.S.C. § 2702), so Measure 5 relies on Dr. Mehta’s credentials and consent (IPA § 4.4). (b) ICC EA proceedings are on notice; the Respondent will learn of the Application before any Order. Consider a simultaneous application under Art. 29(7) / EA § 12(c) to a New York court (C.P.L.R. 7502(c)) or federal court for a TRO/preservation order, and evaluate the DTSA ex parte civil seizure remedy (18 U.S.C. § 1836(b)(2)) for the USB Device. (c) Assess claims against Vortech (DTSA misappropriation, tortious interference) in court; Vortech is not bound to arbitrate. (d) A U.S. court may enforce an EA order (see </w:t>
      </w:r>
      <w:r>
        <w:rPr>
          <w:i/>
        </w:rPr>
        <w:t>Yahoo! Inc. v. Microsoft Corp.</w:t>
      </w:r>
      <w:r>
        <w:t>, 983 F. Supp. 2d 310 (S.D.N.Y. 2013), confirming an emergency arbitrator’s award under AAA rules); plan for enforcement in Texas if needed.</w:t>
      </w:r>
    </w:p>
    <w:p>
      <w:pPr>
        <w:spacing w:after="160" w:line="276" w:lineRule="auto"/>
        <w:jc w:val="both"/>
      </w:pPr>
      <w:r>
        <w:rPr>
          <w:b/>
        </w:rPr>
        <w:t>8. Request for Arbitration.</w:t>
      </w:r>
      <w:r>
        <w:t xml:space="preserve"> Must reach the Secretariat within 10 days of its receipt of the Application (App. V, Art. 1(6)), otherwise the EA proceedings will be terminated. Address: multi-contract claims under Art. 9; inconsistency between EA § 12(a) (three arbitrators above US$5M) and IPA § 9.1 (sole arbitrator unless agreed or ICC Court determines); nomination of co-arbitrator; tolling under EA § 7(f) / IPA § 6.3.</w:t>
      </w:r>
    </w:p>
    <w:p>
      <w:pPr>
        <w:spacing w:after="160" w:line="276" w:lineRule="auto"/>
        <w:jc w:val="both"/>
      </w:pPr>
      <w:r>
        <w:rPr>
          <w:b/>
        </w:rPr>
        <w:t>9. Evidence of Helix timing.</w:t>
      </w:r>
      <w:r>
        <w:t xml:space="preserve"> The statement that Helix was previously targeted around Q2 2026 rests solely on the CEO memo. Obtain public sources (earlier Vortech announcements, investor or trade-press materials) to corroborate.</w:t>
      </w:r>
    </w:p>
    <w:p>
      <w:pPr>
        <w:spacing w:after="160" w:line="276" w:lineRule="auto"/>
        <w:jc w:val="both"/>
      </w:pPr>
      <w:r>
        <w:rPr>
          <w:b/>
        </w:rPr>
        <w:t>10. Placeholders.</w:t>
      </w:r>
      <w:r>
        <w:t xml:space="preserve"> Complete: filing date; counsel details; Neutral candidates (not Ironclad); C-9 to C-11; signature. Confirm ICC fee amounts at filing. Consider whether Pinnacle should offer a cross-undertaking in damages in advance (Section VII.G).</w:t>
      </w:r>
    </w:p>
    <w:p>
      <w:pPr>
        <w:spacing w:after="160" w:line="276" w:lineRule="auto"/>
        <w:jc w:val="both"/>
      </w:pPr>
      <w:r>
        <w:rPr>
          <w:b/>
        </w:rPr>
        <w:t>11. Minor factual points.</w:t>
      </w:r>
      <w:r>
        <w:t xml:space="preserve"> HR report states Mr. Nakamura has “over six years” of service but joined in 2019 — confirm start date in his witness statement. The Ironclad Report describes Dr. Mehta as “former” CTO in its subject line although he remained employed until 9 May 2025 — immaterial but should be accurate in Ms. Stillwell’s declaration. Dr. Mehta disclosed no prior inventions (EA and IPA Exhibit A), which forecloses any claim that the Zenith algorithm is his pre-existing property.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ICC Emergency Arbitrator Proceedings — Pinnacle Dynamics Inc. v. Dr. Rajan Mehta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