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0"/>
        </w:rPr>
        <w:t>PRIVILEGED &amp; CONFIDENTIAL</w:t>
      </w:r>
    </w:p>
    <w:p>
      <w:pPr>
        <w:jc w:val="center"/>
      </w:pPr>
      <w:r>
        <w:rPr>
          <w:b/>
          <w:i w:val="0"/>
          <w:sz w:val="20"/>
        </w:rPr>
        <w:t>ATTORNEY-CLIENT COMMUNICATION / ATTORNEY WORK PRODUCT</w:t>
      </w:r>
    </w:p>
    <w:p>
      <w:pPr>
        <w:spacing w:after="0"/>
        <w:jc w:val="center"/>
      </w:pPr>
      <w:r>
        <w:rPr>
          <w:b/>
          <w:i w:val="0"/>
          <w:sz w:val="26"/>
        </w:rPr>
        <w:t>WHITFIELD &amp; CRANE LLP</w:t>
      </w:r>
    </w:p>
    <w:p>
      <w:pPr>
        <w:jc w:val="center"/>
      </w:pPr>
      <w:r>
        <w:rPr>
          <w:b w:val="0"/>
          <w:i w:val="0"/>
          <w:sz w:val="18"/>
        </w:rPr>
        <w:t>840 Third Avenue, 28th Floor, New York, NY 10022</w:t>
      </w:r>
    </w:p>
    <w:p>
      <w:pPr>
        <w:jc w:val="center"/>
      </w:pPr>
      <w:r>
        <w:rPr>
          <w:b/>
          <w:i w:val="0"/>
          <w:sz w:val="28"/>
        </w:rPr>
        <w:t>MEMORANDUM</w:t>
      </w:r>
    </w:p>
    <w:tbl>
      <w:tblPr>
        <w:tblW w:type="auto" w:w="0"/>
        <w:tblLook w:firstColumn="1" w:firstRow="1" w:lastColumn="0" w:lastRow="0" w:noHBand="0" w:noVBand="1" w:val="04A0"/>
      </w:tblPr>
      <w:tblGrid>
        <w:gridCol w:w="4680"/>
        <w:gridCol w:w="4680"/>
      </w:tblGrid>
      <w:tr>
        <w:tc>
          <w:tcPr>
            <w:tcW w:type="dxa" w:w="1440"/>
          </w:tcPr>
          <w:p>
            <w:r/>
            <w:r>
              <w:rPr>
                <w:b/>
              </w:rPr>
              <w:t>TO:</w:t>
            </w:r>
          </w:p>
        </w:tc>
        <w:tc>
          <w:tcPr>
            <w:tcW w:type="dxa" w:w="7920"/>
          </w:tcPr>
          <w:p>
            <w:r/>
            <w:r>
              <w:t>Angela R. Matsuda, General Counsel, Greenleaf Nutritionals, Inc.</w:t>
            </w:r>
          </w:p>
        </w:tc>
      </w:tr>
      <w:tr>
        <w:tc>
          <w:tcPr>
            <w:tcW w:type="dxa" w:w="1440"/>
          </w:tcPr>
          <w:p>
            <w:r/>
            <w:r>
              <w:rPr>
                <w:b/>
              </w:rPr>
              <w:t>CC:</w:t>
            </w:r>
          </w:p>
        </w:tc>
        <w:tc>
          <w:tcPr>
            <w:tcW w:type="dxa" w:w="7920"/>
          </w:tcPr>
          <w:p>
            <w:r/>
            <w:r>
              <w:t>David T. Heller, Chief Executive Officer, Greenleaf Nutritionals, Inc. (see Issue 26 before forwarding outside Greenleaf, including to Ridgeway Capital Partners)</w:t>
            </w:r>
          </w:p>
        </w:tc>
      </w:tr>
      <w:tr>
        <w:tc>
          <w:tcPr>
            <w:tcW w:type="dxa" w:w="1440"/>
          </w:tcPr>
          <w:p>
            <w:r/>
            <w:r>
              <w:rPr>
                <w:b/>
              </w:rPr>
              <w:t>FROM:</w:t>
            </w:r>
          </w:p>
        </w:tc>
        <w:tc>
          <w:tcPr>
            <w:tcW w:type="dxa" w:w="7920"/>
          </w:tcPr>
          <w:p>
            <w:r/>
            <w:r>
              <w:t>Whitfield &amp; Crane LLP (Marcus J. Elliott / Sophia Bransfield)</w:t>
            </w:r>
          </w:p>
        </w:tc>
      </w:tr>
      <w:tr>
        <w:tc>
          <w:tcPr>
            <w:tcW w:type="dxa" w:w="1440"/>
          </w:tcPr>
          <w:p>
            <w:r/>
            <w:r>
              <w:rPr>
                <w:b/>
              </w:rPr>
              <w:t>DATE:</w:t>
            </w:r>
          </w:p>
        </w:tc>
        <w:tc>
          <w:tcPr>
            <w:tcW w:type="dxa" w:w="7920"/>
          </w:tcPr>
          <w:p>
            <w:r/>
            <w:r>
              <w:t>July 10, 2025</w:t>
            </w:r>
          </w:p>
        </w:tc>
      </w:tr>
      <w:tr>
        <w:tc>
          <w:tcPr>
            <w:tcW w:type="dxa" w:w="1440"/>
          </w:tcPr>
          <w:p>
            <w:r/>
            <w:r>
              <w:rPr>
                <w:b/>
              </w:rPr>
              <w:t>RE:</w:t>
            </w:r>
          </w:p>
        </w:tc>
        <w:tc>
          <w:tcPr>
            <w:tcW w:type="dxa" w:w="7920"/>
          </w:tcPr>
          <w:p>
            <w:r/>
            <w:r>
              <w:t>Arbitration and Dispute Resolution Provisions - Exclusive Supply Agreement (PB-GN-ESA-2025-001), Quality Assurance Side Letter and IP License Agreement with Pacifica Botanics Pte. Ltd.: Severity-Rated Issues and Recommendations</w:t>
            </w:r>
          </w:p>
        </w:tc>
      </w:tr>
      <w:tr>
        <w:tc>
          <w:tcPr>
            <w:tcW w:type="dxa" w:w="1440"/>
          </w:tcPr>
          <w:p>
            <w:r/>
            <w:r>
              <w:rPr>
                <w:b/>
              </w:rPr>
              <w:t>STATUS:</w:t>
            </w:r>
          </w:p>
        </w:tc>
        <w:tc>
          <w:tcPr>
            <w:tcW w:type="dxa" w:w="7920"/>
          </w:tcPr>
          <w:p>
            <w:r/>
            <w:r>
              <w:t>For review ahead of the July 11, 2025 comment deadline set by Harmon &amp; Grey LLP; anticipated signing July 18, 2025; Target Effective Date August 1, 2025</w:t>
            </w:r>
          </w:p>
        </w:tc>
      </w:tr>
    </w:tbl>
    <w:p/>
    <w:p>
      <w:pPr>
        <w:pStyle w:val="Heading1"/>
      </w:pPr>
      <w:r>
        <w:t>I. Executive Summary</w:t>
      </w:r>
    </w:p>
    <w:p>
      <w:r>
        <w:rPr>
          <w:b/>
        </w:rPr>
        <w:t>Bottom line: the dispute resolution package should not be signed in its current form.</w:t>
      </w:r>
      <w:r>
        <w:t xml:space="preserve"> Harmon &amp; Grey describes the framework as "comprehensive, balanced, and enforceable." On our review it is none of those things. Across the three documents there are three arbitral institutions (ICC, SIAC, LCIA), two seats (Singapore and London) plus a mandatory London hearing venue, three governing laws (New York, Singapore, England and Wales), a mandatory expert-determination layer, and three precedence clauses that each claim priority over the others. Several of the provisions are the kind of drafting that invites a jurisdictional fight or a challenge at the set-aside or enforcement stage. That is the risk Pacifica itself says it set out to avoid after its 14-month enforcement fight in Korea in 2023.</w:t>
      </w:r>
    </w:p>
    <w:p>
      <w:r>
        <w:t>The package also leans in Pacifica's favor procedurally. Pacifica's most likely claims are debt claims: unpaid invoices, the 15% Shortfall Fee (SA s.4.2) and the 25% convenience-termination fee (SA s.13.4). They are documentary, they are carved out of the liability cap (SA s.11.1(d)), and they do not depend on discovery, consequential loss or a long limitation period. Greenleaf's most likely claims are the reverse. They are quality, contamination and recall claims, which depend on Pacifica's own batch records and test data, surface late (latent defects), and produce mostly what New York law calls consequential loss. Article 14 cuts off exactly those three things: discovery (s.14.5), time (s.14.9) and consequential damages (s.14.11).</w:t>
      </w:r>
    </w:p>
    <w:p>
      <w:r>
        <w:t xml:space="preserve">We identify </w:t>
      </w:r>
      <w:r>
        <w:rPr>
          <w:b/>
        </w:rPr>
        <w:t>26 issues</w:t>
      </w:r>
      <w:r>
        <w:t xml:space="preserve">: </w:t>
      </w:r>
      <w:r>
        <w:rPr>
          <w:b/>
        </w:rPr>
        <w:t>6 Critical</w:t>
      </w:r>
      <w:r>
        <w:t xml:space="preserve">, </w:t>
      </w:r>
      <w:r>
        <w:rPr>
          <w:b/>
        </w:rPr>
        <w:t>7 High</w:t>
      </w:r>
      <w:r>
        <w:t xml:space="preserve">, </w:t>
      </w:r>
      <w:r>
        <w:rPr>
          <w:b/>
        </w:rPr>
        <w:t>8 Medium</w:t>
      </w:r>
      <w:r>
        <w:t xml:space="preserve"> and </w:t>
      </w:r>
      <w:r>
        <w:rPr>
          <w:b/>
        </w:rPr>
        <w:t>5 Low</w:t>
      </w:r>
      <w:r>
        <w:t>. The Critical items, which must be fixed before signing, are:</w:t>
      </w:r>
    </w:p>
    <w:p>
      <w:pPr>
        <w:pStyle w:val="ListBullet"/>
        <w:spacing w:after="60"/>
      </w:pPr>
      <w:r>
        <w:rPr>
          <w:b/>
        </w:rPr>
        <w:t>Fragmented, uncoordinated architecture</w:t>
      </w:r>
      <w:r>
        <w:t xml:space="preserve"> (Issues 1-2). The three documents cover overlapping subject matter in a single transaction but send disputes to three institutions under three laws. They have no cross-document consolidation mechanism, and their precedence clauses go in circles. One defective batch could produce an ICC arbitration, a SIAC expert determination, a SIAC arbitration and a fight over which of them has jurisdiction.</w:t>
      </w:r>
    </w:p>
    <w:p>
      <w:pPr>
        <w:pStyle w:val="ListBullet"/>
        <w:spacing w:after="60"/>
      </w:pPr>
      <w:r>
        <w:rPr>
          <w:b/>
        </w:rPr>
        <w:t>IPLA s.9.3</w:t>
      </w:r>
      <w:r>
        <w:t xml:space="preserve"> (Issue 3). It requires IPLA claims that "also relate to" Supply Agreement obligations to be heard in a single </w:t>
      </w:r>
      <w:r>
        <w:rPr>
          <w:b/>
        </w:rPr>
        <w:t>LCIA</w:t>
      </w:r>
      <w:r>
        <w:t xml:space="preserve"> arbitration. That directly contradicts the ICC clause in SA s.14.1. In its July 3 memo, Harmon &amp; Grey confirms the intent is to pull related SA disputes into the LCIA.</w:t>
      </w:r>
    </w:p>
    <w:p>
      <w:pPr>
        <w:pStyle w:val="ListBullet"/>
        <w:spacing w:after="60"/>
      </w:pPr>
      <w:r>
        <w:rPr>
          <w:b/>
        </w:rPr>
        <w:t>No joinder or third-party mechanism</w:t>
      </w:r>
      <w:r>
        <w:t xml:space="preserve"> (Issue 4). Greenleaf's co-manufacturers are bound by purchase orders with NC law and NC state-court forum clauses, so Greenleaf would arbitrate against Pacifica abroad while litigating against the co-manufacturer in Mecklenburg County. The new encapsulation co-manufacturer (expected Q1 2026) makes this worse unless it is addressed now.</w:t>
      </w:r>
    </w:p>
    <w:p>
      <w:pPr>
        <w:pStyle w:val="ListBullet"/>
        <w:spacing w:after="60"/>
      </w:pPr>
      <w:r>
        <w:rPr>
          <w:b/>
        </w:rPr>
        <w:t>SA s.14.6 appeal on questions of law to the High Court of Singapore</w:t>
      </w:r>
      <w:r>
        <w:t xml:space="preserve"> (Issue 5). It conflicts with the "final and binding" language, with ICC Rules Art. 35(6), and (on our understanding, to be confirmed by Singapore counsel) with the Singapore International Arbitration Act, which does not provide for appeals on points of law. This is the clearest "pathological" feature in the package.</w:t>
      </w:r>
    </w:p>
    <w:p>
      <w:pPr>
        <w:pStyle w:val="ListBullet"/>
        <w:spacing w:after="60"/>
      </w:pPr>
      <w:r>
        <w:rPr>
          <w:b/>
        </w:rPr>
        <w:t>SA s.14.11 consequential damages bar</w:t>
      </w:r>
      <w:r>
        <w:t xml:space="preserve"> (Issue 6). It is framed as a limit on the tribunal's </w:t>
      </w:r>
      <w:r>
        <w:rPr>
          <w:b/>
        </w:rPr>
        <w:t>authority</w:t>
      </w:r>
      <w:r>
        <w:t xml:space="preserve"> rather than as a substantive waiver, which turns any damages dispute into a potential excess-of-mandate challenge. It has none of the carve-outs found in SA s.11.2, and it conflicts with QA s.6.6 and s.7.2. Greenleaf's management has said it would walk away rather than accept a blanket consequential damages waiver on this deal. We agree this is a Tier 1 point.</w:t>
      </w:r>
    </w:p>
    <w:p>
      <w:r>
        <w:t>The High items are the discovery bar (s.14.5), the one-year limitation period (s.14.9), the QA Side Letter's expert-determination mechanics and its reference to SIAC rules we could not verify, the illusory finality of expert determination and the undefined US$5 million escalation threshold, the Singapore-law/New York-law split (which gives "consequential" two different meanings in the same deal), the unfinalized Specifications that any expert would have to apply, and the enforcement/set-off position.</w:t>
      </w:r>
    </w:p>
    <w:p>
      <w:r>
        <w:rPr>
          <w:b/>
        </w:rPr>
        <w:t>Recommended approach.</w:t>
      </w:r>
      <w:r>
        <w:t xml:space="preserve"> Replace the three clauses with a </w:t>
      </w:r>
      <w:r>
        <w:rPr>
          <w:b/>
        </w:rPr>
        <w:t>single, identical dispute resolution clause</w:t>
      </w:r>
      <w:r>
        <w:t xml:space="preserve"> in all three Transaction Documents, or a short stand-alone Dispute Resolution Agreement incorporated into each. It should have one institution (ICC, which is Pacifica's own choice for the principal agreement), one seat, one governing law (New York), an express multi-contract, consolidation and joinder consent, an optional technical expert stage that cannot bar or delay arbitration, tribunal-managed document production under the IBA Rules, and no appeal on points of law. Remedy limitations should sit in the substantive liability article, with carve-outs that protect Greenleaf's recall, cover and lost-profit exposure. Because Mr. Heller and Mr. Park have both said Singapore is not a dealbreaker, </w:t>
      </w:r>
      <w:r>
        <w:rPr>
          <w:b/>
        </w:rPr>
        <w:t>accepting Singapore as the seat is our principal trade</w:t>
      </w:r>
      <w:r>
        <w:t>. Section VII sets out a full draft clause. Section VIII sets out the negotiating sequence.</w:t>
      </w:r>
    </w:p>
    <w:p>
      <w:r>
        <w:rPr>
          <w:b/>
        </w:rPr>
        <w:t>Answers to the specific questions in the June 30-July 1 email chain:</w:t>
      </w:r>
    </w:p>
    <w:p>
      <w:pPr>
        <w:pStyle w:val="ListBullet"/>
        <w:spacing w:after="60"/>
      </w:pPr>
      <w:r>
        <w:rPr>
          <w:b/>
        </w:rPr>
        <w:t>Does the QA Side Letter's expert determination help with the co-manufacturer problem?</w:t>
      </w:r>
      <w:r>
        <w:t xml:space="preserve"> No. As drafted it makes the problem worse. It adds another forum, it binds only Greenleaf and Pacifica, and either party can bypass it by "challenging" the determination (Issues 17-18). A restructured, optional technical-expert stage could help, because it can produce a neutral finding on whether the extract was in specification. That finding is useful in any later proceeding with a co-manufacturer (Section VII).</w:t>
      </w:r>
    </w:p>
    <w:p>
      <w:pPr>
        <w:pStyle w:val="ListBullet"/>
        <w:spacing w:after="60"/>
      </w:pPr>
      <w:r>
        <w:rPr>
          <w:b/>
        </w:rPr>
        <w:t>Is the one-year limitation period (s.14.9) enforceable under New York law?</w:t>
      </w:r>
      <w:r>
        <w:t xml:space="preserve"> Probably yes, so Greenleaf should not count on a court striking it down. New York lets parties shorten limitation periods by written agreement if the shorter period is reasonable (CPLR 201). For sales of goods, N.Y. U.C.C. § 2-725(1) allows the period to be reduced to as little as one year. The clause has to be fixed by negotiation (Issue 8).</w:t>
      </w:r>
    </w:p>
    <w:p>
      <w:pPr>
        <w:pStyle w:val="ListBullet"/>
        <w:spacing w:after="60"/>
      </w:pPr>
      <w:r>
        <w:rPr>
          <w:b/>
        </w:rPr>
        <w:t>Does a Singapore seat create U.S. enforcement wrinkles?</w:t>
      </w:r>
      <w:r>
        <w:t xml:space="preserve"> Not in itself. Singapore and the United States are both New York Convention states, and a Singapore award is enforceable in North Carolina or Delaware under Chapter 2 of the FAA (9 U.S.C. §§ 201-208). The real enforcement risks come from the clauses themselves (Issues 3, 5, 6, 7 and 9). In practice, an award in Greenleaf's favor will most likely be enforced against Pacifica's assets </w:t>
      </w:r>
      <w:r>
        <w:rPr>
          <w:b/>
        </w:rPr>
        <w:t>in Singapore</w:t>
      </w:r>
      <w:r>
        <w:t>, where a Singapore-seated award is enforced as a domestic award (Issue 24).</w:t>
      </w:r>
    </w:p>
    <w:p>
      <w:pPr>
        <w:pStyle w:val="Heading1"/>
      </w:pPr>
      <w:r>
        <w:t>II. Documents Reviewed and Scope</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3A5F"/>
          </w:tcPr>
          <w:p>
            <w:r/>
            <w:r>
              <w:rPr>
                <w:b/>
                <w:color w:val="FFFFFF"/>
                <w:sz w:val="18"/>
              </w:rPr>
              <w:t>Document</w:t>
            </w:r>
          </w:p>
        </w:tc>
        <w:tc>
          <w:tcPr>
            <w:tcW w:type="dxa" w:w="2304"/>
            <w:shd w:val="clear" w:color="auto" w:fill="1F3A5F"/>
          </w:tcPr>
          <w:p>
            <w:r/>
            <w:r>
              <w:rPr>
                <w:b/>
                <w:color w:val="FFFFFF"/>
                <w:sz w:val="18"/>
              </w:rPr>
              <w:t>Date / Status</w:t>
            </w:r>
          </w:p>
        </w:tc>
        <w:tc>
          <w:tcPr>
            <w:tcW w:type="dxa" w:w="4608"/>
            <w:shd w:val="clear" w:color="auto" w:fill="1F3A5F"/>
          </w:tcPr>
          <w:p>
            <w:r/>
            <w:r>
              <w:rPr>
                <w:b/>
                <w:color w:val="FFFFFF"/>
                <w:sz w:val="18"/>
              </w:rPr>
              <w:t>Dispute resolution provisions reviewed</w:t>
            </w:r>
          </w:p>
        </w:tc>
      </w:tr>
      <w:tr>
        <w:tc>
          <w:tcPr>
            <w:tcW w:type="dxa" w:w="2448"/>
          </w:tcPr>
          <w:p>
            <w:r>
              <w:rPr>
                <w:sz w:val="18"/>
              </w:rPr>
            </w:r>
            <w:r>
              <w:rPr>
                <w:sz w:val="18"/>
              </w:rPr>
              <w:t>Exclusive Supply Agreement ("SA"), PB-GN-ESA-2025-001</w:t>
            </w:r>
          </w:p>
        </w:tc>
        <w:tc>
          <w:tcPr>
            <w:tcW w:type="dxa" w:w="2304"/>
          </w:tcPr>
          <w:p>
            <w:r>
              <w:rPr>
                <w:sz w:val="18"/>
              </w:rPr>
            </w:r>
            <w:r>
              <w:rPr>
                <w:sz w:val="18"/>
              </w:rPr>
              <w:t>Dated as of Aug. 1, 2025; Execution Draft July 18, 2025 (H&amp;G for Supplier)</w:t>
            </w:r>
          </w:p>
        </w:tc>
        <w:tc>
          <w:tcPr>
            <w:tcW w:type="dxa" w:w="4608"/>
          </w:tcPr>
          <w:p>
            <w:r>
              <w:rPr>
                <w:sz w:val="18"/>
              </w:rPr>
            </w:r>
            <w:r>
              <w:rPr>
                <w:sz w:val="18"/>
              </w:rPr>
              <w:t>Art. 14 (ss.14.1-14.11); related: ss.1.1, 3.3, 4.2, 5.2, 7.1-7.3, 8.2, 10, 11, 13.4-13.5, 15.1, 15.5, 15.8, 15.11; Exhibits A-D; Schedule 1</w:t>
            </w:r>
          </w:p>
        </w:tc>
      </w:tr>
      <w:tr>
        <w:tc>
          <w:tcPr>
            <w:tcW w:type="dxa" w:w="2448"/>
          </w:tcPr>
          <w:p>
            <w:r>
              <w:rPr>
                <w:sz w:val="18"/>
              </w:rPr>
            </w:r>
            <w:r>
              <w:rPr>
                <w:sz w:val="18"/>
              </w:rPr>
              <w:t>Quality Assurance Side Letter ("QA Letter")</w:t>
            </w:r>
          </w:p>
        </w:tc>
        <w:tc>
          <w:tcPr>
            <w:tcW w:type="dxa" w:w="2304"/>
          </w:tcPr>
          <w:p>
            <w:r>
              <w:rPr>
                <w:sz w:val="18"/>
              </w:rPr>
            </w:r>
            <w:r>
              <w:rPr>
                <w:sz w:val="18"/>
              </w:rPr>
              <w:t>Dated as of Aug. 1, 2025; Exhibit A "to be finalized and attached prior to execution"</w:t>
            </w:r>
          </w:p>
        </w:tc>
        <w:tc>
          <w:tcPr>
            <w:tcW w:type="dxa" w:w="4608"/>
          </w:tcPr>
          <w:p>
            <w:r>
              <w:rPr>
                <w:sz w:val="18"/>
              </w:rPr>
            </w:r>
            <w:r>
              <w:rPr>
                <w:sz w:val="18"/>
              </w:rPr>
              <w:t>s.7 (ss.7.1-7.3); related: ss.1.2, 1.5, 3.4, 5.1-5.5, 6.1-6.6, 8.1-8.3, 9.3, 9.6; Exhibit A</w:t>
            </w:r>
          </w:p>
        </w:tc>
      </w:tr>
      <w:tr>
        <w:tc>
          <w:tcPr>
            <w:tcW w:type="dxa" w:w="2448"/>
          </w:tcPr>
          <w:p>
            <w:r>
              <w:rPr>
                <w:sz w:val="18"/>
              </w:rPr>
            </w:r>
            <w:r>
              <w:rPr>
                <w:sz w:val="18"/>
              </w:rPr>
              <w:t>IP License Agreement ("IPLA")</w:t>
            </w:r>
          </w:p>
        </w:tc>
        <w:tc>
          <w:tcPr>
            <w:tcW w:type="dxa" w:w="2304"/>
          </w:tcPr>
          <w:p>
            <w:r>
              <w:rPr>
                <w:sz w:val="18"/>
              </w:rPr>
            </w:r>
            <w:r>
              <w:rPr>
                <w:sz w:val="18"/>
              </w:rPr>
              <w:t>Execution Draft; Execution Date July 18, 2025; Effective Date Aug. 1, 2025</w:t>
            </w:r>
          </w:p>
        </w:tc>
        <w:tc>
          <w:tcPr>
            <w:tcW w:type="dxa" w:w="4608"/>
          </w:tcPr>
          <w:p>
            <w:r>
              <w:rPr>
                <w:sz w:val="18"/>
              </w:rPr>
            </w:r>
            <w:r>
              <w:rPr>
                <w:sz w:val="18"/>
              </w:rPr>
              <w:t>s.9 (ss.9.1-9.4); related: ss.1 (Affiliate, LCIA), 2.1-2.2, 6.3, 6.5(c), 8.3, 10.1, 10.3, 10.6</w:t>
            </w:r>
          </w:p>
        </w:tc>
      </w:tr>
      <w:tr>
        <w:tc>
          <w:tcPr>
            <w:tcW w:type="dxa" w:w="2448"/>
          </w:tcPr>
          <w:p>
            <w:r>
              <w:rPr>
                <w:sz w:val="18"/>
              </w:rPr>
            </w:r>
            <w:r>
              <w:rPr>
                <w:sz w:val="18"/>
              </w:rPr>
              <w:t>Harmon &amp; Grey LLP memorandum, "Summary of Dispute Resolution Architecture"</w:t>
            </w:r>
          </w:p>
        </w:tc>
        <w:tc>
          <w:tcPr>
            <w:tcW w:type="dxa" w:w="2304"/>
          </w:tcPr>
          <w:p>
            <w:r>
              <w:rPr>
                <w:sz w:val="18"/>
              </w:rPr>
            </w:r>
            <w:r>
              <w:rPr>
                <w:sz w:val="18"/>
              </w:rPr>
              <w:t>July 3, 2025; shared with Greenleaf and W&amp;C</w:t>
            </w:r>
          </w:p>
        </w:tc>
        <w:tc>
          <w:tcPr>
            <w:tcW w:type="dxa" w:w="4608"/>
          </w:tcPr>
          <w:p>
            <w:r>
              <w:rPr>
                <w:sz w:val="18"/>
              </w:rPr>
            </w:r>
            <w:r>
              <w:rPr>
                <w:sz w:val="18"/>
              </w:rPr>
              <w:t>Entire memorandum (rationale for each provision; Pacifica's 2023 ICC/Hong Kong/Korea enforcement experience)</w:t>
            </w:r>
          </w:p>
        </w:tc>
      </w:tr>
      <w:tr>
        <w:tc>
          <w:tcPr>
            <w:tcW w:type="dxa" w:w="2448"/>
          </w:tcPr>
          <w:p>
            <w:r>
              <w:rPr>
                <w:sz w:val="18"/>
              </w:rPr>
            </w:r>
            <w:r>
              <w:rPr>
                <w:sz w:val="18"/>
              </w:rPr>
              <w:t>Internal email chain (Matsuda / Heller / Park)</w:t>
            </w:r>
          </w:p>
        </w:tc>
        <w:tc>
          <w:tcPr>
            <w:tcW w:type="dxa" w:w="2304"/>
          </w:tcPr>
          <w:p>
            <w:r>
              <w:rPr>
                <w:sz w:val="18"/>
              </w:rPr>
            </w:r>
            <w:r>
              <w:rPr>
                <w:sz w:val="18"/>
              </w:rPr>
              <w:t>June 30 - July 1, 2025</w:t>
            </w:r>
          </w:p>
        </w:tc>
        <w:tc>
          <w:tcPr>
            <w:tcW w:type="dxa" w:w="4608"/>
          </w:tcPr>
          <w:p>
            <w:r>
              <w:rPr>
                <w:sz w:val="18"/>
              </w:rPr>
            </w:r>
            <w:r>
              <w:rPr>
                <w:sz w:val="18"/>
              </w:rPr>
              <w:t>Greenleaf's priorities: consequential damages (walk-away), joinder, cross-document consistency, U.S. enforceability, limitation period, discovery</w:t>
            </w:r>
          </w:p>
        </w:tc>
      </w:tr>
    </w:tbl>
    <w:p>
      <w:pPr>
        <w:spacing w:after="40"/>
      </w:pPr>
    </w:p>
    <w:p>
      <w:r>
        <w:rPr>
          <w:b/>
        </w:rPr>
        <w:t>Assumptions and limits.</w:t>
      </w:r>
      <w:r>
        <w:t xml:space="preserve"> We act for Greenleaf. We advise on New York and U.S. federal law. Statements about Singapore and English law, and about current institutional rules (ICC 2021, SIAC 2025, LCIA 2020), reflect our general understanding. They are flagged in the Annex for confirmation by local counsel before positions are finalized. We have not reviewed Greenleaf's co-manufacturing purchase orders, which are described in the email chain as using North Carolina law and NC state-court forum selection. This memo addresses dispute resolution and the substantive provisions that drive it. It is not a full review of the commercial terms.</w:t>
      </w:r>
    </w:p>
    <w:p>
      <w:pPr>
        <w:pStyle w:val="Heading1"/>
      </w:pPr>
      <w:r>
        <w:t>III. Severity Scale</w:t>
      </w:r>
    </w:p>
    <w:tbl>
      <w:tblPr>
        <w:tblStyle w:val="TableGrid"/>
        <w:tblW w:type="auto" w:w="0"/>
        <w:jc w:val="center"/>
        <w:tblLook w:firstColumn="1" w:firstRow="1" w:lastColumn="0" w:lastRow="0" w:noHBand="0" w:noVBand="1" w:val="04A0"/>
      </w:tblPr>
      <w:tblGrid>
        <w:gridCol w:w="3120"/>
        <w:gridCol w:w="3120"/>
        <w:gridCol w:w="3120"/>
      </w:tblGrid>
      <w:tr>
        <w:tc>
          <w:tcPr>
            <w:tcW w:type="dxa" w:w="1296"/>
            <w:shd w:val="clear" w:color="auto" w:fill="1F3A5F"/>
          </w:tcPr>
          <w:p>
            <w:r/>
            <w:r>
              <w:rPr>
                <w:b/>
                <w:color w:val="FFFFFF"/>
                <w:sz w:val="18"/>
              </w:rPr>
              <w:t>Rating</w:t>
            </w:r>
          </w:p>
        </w:tc>
        <w:tc>
          <w:tcPr>
            <w:tcW w:type="dxa" w:w="5760"/>
            <w:shd w:val="clear" w:color="auto" w:fill="1F3A5F"/>
          </w:tcPr>
          <w:p>
            <w:r/>
            <w:r>
              <w:rPr>
                <w:b/>
                <w:color w:val="FFFFFF"/>
                <w:sz w:val="18"/>
              </w:rPr>
              <w:t>Meaning</w:t>
            </w:r>
          </w:p>
        </w:tc>
        <w:tc>
          <w:tcPr>
            <w:tcW w:type="dxa" w:w="2304"/>
            <w:shd w:val="clear" w:color="auto" w:fill="1F3A5F"/>
          </w:tcPr>
          <w:p>
            <w:r/>
            <w:r>
              <w:rPr>
                <w:b/>
                <w:color w:val="FFFFFF"/>
                <w:sz w:val="18"/>
              </w:rPr>
              <w:t>Action</w:t>
            </w:r>
          </w:p>
        </w:tc>
      </w:tr>
      <w:tr>
        <w:tc>
          <w:tcPr>
            <w:tcW w:type="dxa" w:w="1296"/>
            <w:shd w:val="clear" w:color="auto" w:fill="C00000"/>
          </w:tcPr>
          <w:p>
            <w:r>
              <w:rPr>
                <w:b/>
                <w:color w:val="FFFFFF"/>
                <w:sz w:val="18"/>
              </w:rPr>
            </w:r>
            <w:r>
              <w:rPr>
                <w:b/>
                <w:color w:val="FFFFFF"/>
                <w:sz w:val="18"/>
              </w:rPr>
              <w:t>Critical</w:t>
            </w:r>
          </w:p>
        </w:tc>
        <w:tc>
          <w:tcPr>
            <w:tcW w:type="dxa" w:w="5760"/>
          </w:tcPr>
          <w:p>
            <w:r>
              <w:rPr>
                <w:sz w:val="18"/>
              </w:rPr>
            </w:r>
            <w:r>
              <w:rPr>
                <w:sz w:val="18"/>
              </w:rPr>
              <w:t>Threatens the validity or enforceability of the arbitration agreement or award, creates a real risk of parallel or conflicting proceedings, or exposes Greenleaf to material uncompensated loss on its most likely dispute scenarios.</w:t>
            </w:r>
          </w:p>
        </w:tc>
        <w:tc>
          <w:tcPr>
            <w:tcW w:type="dxa" w:w="2304"/>
          </w:tcPr>
          <w:p>
            <w:r>
              <w:rPr>
                <w:sz w:val="18"/>
              </w:rPr>
            </w:r>
            <w:r>
              <w:rPr>
                <w:sz w:val="18"/>
              </w:rPr>
              <w:t>Must be resolved before signing. Walk-away or escalation item.</w:t>
            </w:r>
          </w:p>
        </w:tc>
      </w:tr>
      <w:tr>
        <w:tc>
          <w:tcPr>
            <w:tcW w:type="dxa" w:w="1296"/>
            <w:shd w:val="clear" w:color="auto" w:fill="E36C0A"/>
          </w:tcPr>
          <w:p>
            <w:r>
              <w:rPr>
                <w:b/>
                <w:color w:val="FFFFFF"/>
                <w:sz w:val="18"/>
              </w:rPr>
            </w:r>
            <w:r>
              <w:rPr>
                <w:b/>
                <w:color w:val="FFFFFF"/>
                <w:sz w:val="18"/>
              </w:rPr>
              <w:t>High</w:t>
            </w:r>
          </w:p>
        </w:tc>
        <w:tc>
          <w:tcPr>
            <w:tcW w:type="dxa" w:w="5760"/>
          </w:tcPr>
          <w:p>
            <w:r>
              <w:rPr>
                <w:sz w:val="18"/>
              </w:rPr>
            </w:r>
            <w:r>
              <w:rPr>
                <w:sz w:val="18"/>
              </w:rPr>
              <w:t>Materially impairs Greenleaf's ability to prove or recover on its claims, or creates significant cost, delay or uncertainty.</w:t>
            </w:r>
          </w:p>
        </w:tc>
        <w:tc>
          <w:tcPr>
            <w:tcW w:type="dxa" w:w="2304"/>
          </w:tcPr>
          <w:p>
            <w:r>
              <w:rPr>
                <w:sz w:val="18"/>
              </w:rPr>
            </w:r>
            <w:r>
              <w:rPr>
                <w:sz w:val="18"/>
              </w:rPr>
              <w:t>Should be resolved before signing; fallback positions identified.</w:t>
            </w:r>
          </w:p>
        </w:tc>
      </w:tr>
      <w:tr>
        <w:tc>
          <w:tcPr>
            <w:tcW w:type="dxa" w:w="1296"/>
            <w:shd w:val="clear" w:color="auto" w:fill="FFC000"/>
          </w:tcPr>
          <w:p>
            <w:r>
              <w:rPr>
                <w:b/>
                <w:sz w:val="18"/>
              </w:rPr>
            </w:r>
            <w:r>
              <w:rPr>
                <w:b/>
                <w:sz w:val="18"/>
              </w:rPr>
              <w:t>Medium</w:t>
            </w:r>
          </w:p>
        </w:tc>
        <w:tc>
          <w:tcPr>
            <w:tcW w:type="dxa" w:w="5760"/>
          </w:tcPr>
          <w:p>
            <w:r>
              <w:rPr>
                <w:sz w:val="18"/>
              </w:rPr>
            </w:r>
            <w:r>
              <w:rPr>
                <w:sz w:val="18"/>
              </w:rPr>
              <w:t>Drafting or structural weakness with moderate procedural or cost consequences; fixable with targeted drafting.</w:t>
            </w:r>
          </w:p>
        </w:tc>
        <w:tc>
          <w:tcPr>
            <w:tcW w:type="dxa" w:w="2304"/>
          </w:tcPr>
          <w:p>
            <w:r>
              <w:rPr>
                <w:sz w:val="18"/>
              </w:rPr>
            </w:r>
            <w:r>
              <w:rPr>
                <w:sz w:val="18"/>
              </w:rPr>
              <w:t>Raise in markup; may be traded.</w:t>
            </w:r>
          </w:p>
        </w:tc>
      </w:tr>
      <w:tr>
        <w:tc>
          <w:tcPr>
            <w:tcW w:type="dxa" w:w="1296"/>
            <w:shd w:val="clear" w:color="auto" w:fill="70AD47"/>
          </w:tcPr>
          <w:p>
            <w:r>
              <w:rPr>
                <w:b/>
                <w:sz w:val="18"/>
              </w:rPr>
            </w:r>
            <w:r>
              <w:rPr>
                <w:b/>
                <w:sz w:val="18"/>
              </w:rPr>
              <w:t>Low</w:t>
            </w:r>
          </w:p>
        </w:tc>
        <w:tc>
          <w:tcPr>
            <w:tcW w:type="dxa" w:w="5760"/>
          </w:tcPr>
          <w:p>
            <w:r>
              <w:rPr>
                <w:sz w:val="18"/>
              </w:rPr>
            </w:r>
            <w:r>
              <w:rPr>
                <w:sz w:val="18"/>
              </w:rPr>
              <w:t>Clean-up, consistency or internal process point.</w:t>
            </w:r>
          </w:p>
        </w:tc>
        <w:tc>
          <w:tcPr>
            <w:tcW w:type="dxa" w:w="2304"/>
          </w:tcPr>
          <w:p>
            <w:r>
              <w:rPr>
                <w:sz w:val="18"/>
              </w:rPr>
            </w:r>
            <w:r>
              <w:rPr>
                <w:sz w:val="18"/>
              </w:rPr>
              <w:t>Fix in markup or handle internally.</w:t>
            </w:r>
          </w:p>
        </w:tc>
      </w:tr>
    </w:tbl>
    <w:p>
      <w:pPr>
        <w:spacing w:after="40"/>
      </w:pPr>
    </w:p>
    <w:p>
      <w:pPr>
        <w:pStyle w:val="Heading1"/>
      </w:pPr>
      <w:r>
        <w:t>IV. Issues Matrix</w:t>
      </w:r>
    </w:p>
    <w:p>
      <w:r>
        <w:t>Issues are listed in the order they are discussed in Section V. "Client priority" refers to the priorities set out in the June 30-July 1 email chain.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1F3A5F"/>
          </w:tcPr>
          <w:p>
            <w:r/>
            <w:r>
              <w:rPr>
                <w:b/>
                <w:color w:val="FFFFFF"/>
                <w:sz w:val="16"/>
              </w:rPr>
              <w:t>#</w:t>
            </w:r>
          </w:p>
        </w:tc>
        <w:tc>
          <w:tcPr>
            <w:tcW w:type="dxa" w:w="1800"/>
            <w:shd w:val="clear" w:color="auto" w:fill="1F3A5F"/>
          </w:tcPr>
          <w:p>
            <w:r/>
            <w:r>
              <w:rPr>
                <w:b/>
                <w:color w:val="FFFFFF"/>
                <w:sz w:val="16"/>
              </w:rPr>
              <w:t>Provision</w:t>
            </w:r>
          </w:p>
        </w:tc>
        <w:tc>
          <w:tcPr>
            <w:tcW w:type="dxa" w:w="3384"/>
            <w:shd w:val="clear" w:color="auto" w:fill="1F3A5F"/>
          </w:tcPr>
          <w:p>
            <w:r/>
            <w:r>
              <w:rPr>
                <w:b/>
                <w:color w:val="FFFFFF"/>
                <w:sz w:val="16"/>
              </w:rPr>
              <w:t>Issue</w:t>
            </w:r>
          </w:p>
        </w:tc>
        <w:tc>
          <w:tcPr>
            <w:tcW w:type="dxa" w:w="1080"/>
            <w:shd w:val="clear" w:color="auto" w:fill="1F3A5F"/>
          </w:tcPr>
          <w:p>
            <w:r/>
            <w:r>
              <w:rPr>
                <w:b/>
                <w:color w:val="FFFFFF"/>
                <w:sz w:val="16"/>
              </w:rPr>
              <w:t>Severity</w:t>
            </w:r>
          </w:p>
        </w:tc>
        <w:tc>
          <w:tcPr>
            <w:tcW w:type="dxa" w:w="2664"/>
            <w:shd w:val="clear" w:color="auto" w:fill="1F3A5F"/>
          </w:tcPr>
          <w:p>
            <w:r/>
            <w:r>
              <w:rPr>
                <w:b/>
                <w:color w:val="FFFFFF"/>
                <w:sz w:val="16"/>
              </w:rPr>
              <w:t>Core recommendation</w:t>
            </w:r>
          </w:p>
        </w:tc>
      </w:tr>
      <w:tr>
        <w:tc>
          <w:tcPr>
            <w:tcW w:type="dxa" w:w="432"/>
          </w:tcPr>
          <w:p>
            <w:r>
              <w:rPr>
                <w:sz w:val="16"/>
              </w:rPr>
            </w:r>
            <w:r>
              <w:rPr>
                <w:sz w:val="16"/>
              </w:rPr>
              <w:t>1</w:t>
            </w:r>
          </w:p>
        </w:tc>
        <w:tc>
          <w:tcPr>
            <w:tcW w:type="dxa" w:w="1800"/>
          </w:tcPr>
          <w:p>
            <w:r>
              <w:rPr>
                <w:sz w:val="16"/>
              </w:rPr>
            </w:r>
            <w:r>
              <w:rPr>
                <w:sz w:val="16"/>
              </w:rPr>
              <w:t>All three (SA Art. 14; QA s.7; IPLA s.9)</w:t>
            </w:r>
          </w:p>
        </w:tc>
        <w:tc>
          <w:tcPr>
            <w:tcW w:type="dxa" w:w="3384"/>
          </w:tcPr>
          <w:p>
            <w:r>
              <w:rPr>
                <w:sz w:val="16"/>
              </w:rPr>
            </w:r>
            <w:r>
              <w:rPr>
                <w:sz w:val="16"/>
              </w:rPr>
              <w:t>Three institutions, two seats plus a London hearing venue, three governing laws; no cross-document coordination</w:t>
            </w:r>
          </w:p>
        </w:tc>
        <w:tc>
          <w:tcPr>
            <w:tcW w:type="dxa" w:w="1080"/>
            <w:shd w:val="clear" w:color="auto" w:fill="C00000"/>
          </w:tcPr>
          <w:p>
            <w:r>
              <w:rPr>
                <w:b/>
                <w:color w:val="FFFFFF"/>
                <w:sz w:val="16"/>
              </w:rPr>
            </w:r>
            <w:r>
              <w:rPr>
                <w:b/>
                <w:color w:val="FFFFFF"/>
                <w:sz w:val="16"/>
              </w:rPr>
              <w:t>Critical</w:t>
            </w:r>
          </w:p>
        </w:tc>
        <w:tc>
          <w:tcPr>
            <w:tcW w:type="dxa" w:w="2664"/>
          </w:tcPr>
          <w:p>
            <w:r>
              <w:rPr>
                <w:sz w:val="16"/>
              </w:rPr>
            </w:r>
            <w:r>
              <w:rPr>
                <w:sz w:val="16"/>
              </w:rPr>
              <w:t>Single identical clause across all Transaction Documents (ICC; one seat; NY law); multi-contract consent</w:t>
            </w:r>
          </w:p>
        </w:tc>
      </w:tr>
      <w:tr>
        <w:tc>
          <w:tcPr>
            <w:tcW w:type="dxa" w:w="432"/>
          </w:tcPr>
          <w:p>
            <w:r>
              <w:rPr>
                <w:sz w:val="16"/>
              </w:rPr>
            </w:r>
            <w:r>
              <w:rPr>
                <w:sz w:val="16"/>
              </w:rPr>
              <w:t>2</w:t>
            </w:r>
          </w:p>
        </w:tc>
        <w:tc>
          <w:tcPr>
            <w:tcW w:type="dxa" w:w="1800"/>
          </w:tcPr>
          <w:p>
            <w:r>
              <w:rPr>
                <w:sz w:val="16"/>
              </w:rPr>
            </w:r>
            <w:r>
              <w:rPr>
                <w:sz w:val="16"/>
              </w:rPr>
              <w:t>SA ss.3.3, 15.8; QA s.8.1; IPLA s.10.3</w:t>
            </w:r>
          </w:p>
        </w:tc>
        <w:tc>
          <w:tcPr>
            <w:tcW w:type="dxa" w:w="3384"/>
          </w:tcPr>
          <w:p>
            <w:r>
              <w:rPr>
                <w:sz w:val="16"/>
              </w:rPr>
            </w:r>
            <w:r>
              <w:rPr>
                <w:sz w:val="16"/>
              </w:rPr>
              <w:t>Circular precedence clauses: each document claims priority on dispute resolution</w:t>
            </w:r>
          </w:p>
        </w:tc>
        <w:tc>
          <w:tcPr>
            <w:tcW w:type="dxa" w:w="1080"/>
            <w:shd w:val="clear" w:color="auto" w:fill="C00000"/>
          </w:tcPr>
          <w:p>
            <w:r>
              <w:rPr>
                <w:b/>
                <w:color w:val="FFFFFF"/>
                <w:sz w:val="16"/>
              </w:rPr>
            </w:r>
            <w:r>
              <w:rPr>
                <w:b/>
                <w:color w:val="FFFFFF"/>
                <w:sz w:val="16"/>
              </w:rPr>
              <w:t>Critical</w:t>
            </w:r>
          </w:p>
        </w:tc>
        <w:tc>
          <w:tcPr>
            <w:tcW w:type="dxa" w:w="2664"/>
          </w:tcPr>
          <w:p>
            <w:r>
              <w:rPr>
                <w:sz w:val="16"/>
              </w:rPr>
            </w:r>
            <w:r>
              <w:rPr>
                <w:sz w:val="16"/>
              </w:rPr>
              <w:t>One express hierarchy; the unified clause overrides all others</w:t>
            </w:r>
          </w:p>
        </w:tc>
      </w:tr>
      <w:tr>
        <w:tc>
          <w:tcPr>
            <w:tcW w:type="dxa" w:w="432"/>
          </w:tcPr>
          <w:p>
            <w:r>
              <w:rPr>
                <w:sz w:val="16"/>
              </w:rPr>
            </w:r>
            <w:r>
              <w:rPr>
                <w:sz w:val="16"/>
              </w:rPr>
              <w:t>3</w:t>
            </w:r>
          </w:p>
        </w:tc>
        <w:tc>
          <w:tcPr>
            <w:tcW w:type="dxa" w:w="1800"/>
          </w:tcPr>
          <w:p>
            <w:r>
              <w:rPr>
                <w:sz w:val="16"/>
              </w:rPr>
            </w:r>
            <w:r>
              <w:rPr>
                <w:sz w:val="16"/>
              </w:rPr>
              <w:t>IPLA s.9.3</w:t>
            </w:r>
          </w:p>
        </w:tc>
        <w:tc>
          <w:tcPr>
            <w:tcW w:type="dxa" w:w="3384"/>
          </w:tcPr>
          <w:p>
            <w:r>
              <w:rPr>
                <w:sz w:val="16"/>
              </w:rPr>
            </w:r>
            <w:r>
              <w:rPr>
                <w:sz w:val="16"/>
              </w:rPr>
              <w:t>"Joint hearing" clause pulls SA-related claims into the LCIA, contradicting SA s.14.1 (ICC)</w:t>
            </w:r>
          </w:p>
        </w:tc>
        <w:tc>
          <w:tcPr>
            <w:tcW w:type="dxa" w:w="1080"/>
            <w:shd w:val="clear" w:color="auto" w:fill="C00000"/>
          </w:tcPr>
          <w:p>
            <w:r>
              <w:rPr>
                <w:b/>
                <w:color w:val="FFFFFF"/>
                <w:sz w:val="16"/>
              </w:rPr>
            </w:r>
            <w:r>
              <w:rPr>
                <w:b/>
                <w:color w:val="FFFFFF"/>
                <w:sz w:val="16"/>
              </w:rPr>
              <w:t>Critical</w:t>
            </w:r>
          </w:p>
        </w:tc>
        <w:tc>
          <w:tcPr>
            <w:tcW w:type="dxa" w:w="2664"/>
          </w:tcPr>
          <w:p>
            <w:r>
              <w:rPr>
                <w:sz w:val="16"/>
              </w:rPr>
            </w:r>
            <w:r>
              <w:rPr>
                <w:sz w:val="16"/>
              </w:rPr>
              <w:t>Delete; replace with ICC multi-contract/consolidation consent</w:t>
            </w:r>
          </w:p>
        </w:tc>
      </w:tr>
      <w:tr>
        <w:tc>
          <w:tcPr>
            <w:tcW w:type="dxa" w:w="432"/>
          </w:tcPr>
          <w:p>
            <w:r>
              <w:rPr>
                <w:sz w:val="16"/>
              </w:rPr>
            </w:r>
            <w:r>
              <w:rPr>
                <w:sz w:val="16"/>
              </w:rPr>
              <w:t>4</w:t>
            </w:r>
          </w:p>
        </w:tc>
        <w:tc>
          <w:tcPr>
            <w:tcW w:type="dxa" w:w="1800"/>
          </w:tcPr>
          <w:p>
            <w:r>
              <w:rPr>
                <w:sz w:val="16"/>
              </w:rPr>
            </w:r>
            <w:r>
              <w:rPr>
                <w:sz w:val="16"/>
              </w:rPr>
              <w:t>All three</w:t>
            </w:r>
          </w:p>
        </w:tc>
        <w:tc>
          <w:tcPr>
            <w:tcW w:type="dxa" w:w="3384"/>
          </w:tcPr>
          <w:p>
            <w:r>
              <w:rPr>
                <w:sz w:val="16"/>
              </w:rPr>
            </w:r>
            <w:r>
              <w:rPr>
                <w:sz w:val="16"/>
              </w:rPr>
              <w:t>No joinder, consolidation or third-party mechanism; co-manufacturers under NC court forum clauses; new co-manufacturer Q1 2026 (client priority 2)</w:t>
            </w:r>
          </w:p>
        </w:tc>
        <w:tc>
          <w:tcPr>
            <w:tcW w:type="dxa" w:w="1080"/>
            <w:shd w:val="clear" w:color="auto" w:fill="C00000"/>
          </w:tcPr>
          <w:p>
            <w:r>
              <w:rPr>
                <w:b/>
                <w:color w:val="FFFFFF"/>
                <w:sz w:val="16"/>
              </w:rPr>
            </w:r>
            <w:r>
              <w:rPr>
                <w:b/>
                <w:color w:val="FFFFFF"/>
                <w:sz w:val="16"/>
              </w:rPr>
              <w:t>Critical</w:t>
            </w:r>
          </w:p>
        </w:tc>
        <w:tc>
          <w:tcPr>
            <w:tcW w:type="dxa" w:w="2664"/>
          </w:tcPr>
          <w:p>
            <w:r>
              <w:rPr>
                <w:sz w:val="16"/>
              </w:rPr>
            </w:r>
            <w:r>
              <w:rPr>
                <w:sz w:val="16"/>
              </w:rPr>
              <w:t>Consent to joinder/consolidation; Greenleaf option to litigate multi-party quality disputes in NC courts; align co-manufacturer contracts</w:t>
            </w:r>
          </w:p>
        </w:tc>
      </w:tr>
      <w:tr>
        <w:tc>
          <w:tcPr>
            <w:tcW w:type="dxa" w:w="432"/>
          </w:tcPr>
          <w:p>
            <w:r>
              <w:rPr>
                <w:sz w:val="16"/>
              </w:rPr>
            </w:r>
            <w:r>
              <w:rPr>
                <w:sz w:val="16"/>
              </w:rPr>
              <w:t>5</w:t>
            </w:r>
          </w:p>
        </w:tc>
        <w:tc>
          <w:tcPr>
            <w:tcW w:type="dxa" w:w="1800"/>
          </w:tcPr>
          <w:p>
            <w:r>
              <w:rPr>
                <w:sz w:val="16"/>
              </w:rPr>
            </w:r>
            <w:r>
              <w:rPr>
                <w:sz w:val="16"/>
              </w:rPr>
              <w:t>SA s.14.6</w:t>
            </w:r>
          </w:p>
        </w:tc>
        <w:tc>
          <w:tcPr>
            <w:tcW w:type="dxa" w:w="3384"/>
          </w:tcPr>
          <w:p>
            <w:r>
              <w:rPr>
                <w:sz w:val="16"/>
              </w:rPr>
            </w:r>
            <w:r>
              <w:rPr>
                <w:sz w:val="16"/>
              </w:rPr>
              <w:t>Appeal to the High Court of Singapore on questions of law; inconsistent with finality, ICC Art. 35(6) and (on our understanding) the Singapore IAA</w:t>
            </w:r>
          </w:p>
        </w:tc>
        <w:tc>
          <w:tcPr>
            <w:tcW w:type="dxa" w:w="1080"/>
            <w:shd w:val="clear" w:color="auto" w:fill="C00000"/>
          </w:tcPr>
          <w:p>
            <w:r>
              <w:rPr>
                <w:b/>
                <w:color w:val="FFFFFF"/>
                <w:sz w:val="16"/>
              </w:rPr>
            </w:r>
            <w:r>
              <w:rPr>
                <w:b/>
                <w:color w:val="FFFFFF"/>
                <w:sz w:val="16"/>
              </w:rPr>
              <w:t>Critical</w:t>
            </w:r>
          </w:p>
        </w:tc>
        <w:tc>
          <w:tcPr>
            <w:tcW w:type="dxa" w:w="2664"/>
          </w:tcPr>
          <w:p>
            <w:r>
              <w:rPr>
                <w:sz w:val="16"/>
              </w:rPr>
            </w:r>
            <w:r>
              <w:rPr>
                <w:sz w:val="16"/>
              </w:rPr>
              <w:t>Delete; confirm finality and waiver of recourse</w:t>
            </w:r>
          </w:p>
        </w:tc>
      </w:tr>
      <w:tr>
        <w:tc>
          <w:tcPr>
            <w:tcW w:type="dxa" w:w="432"/>
          </w:tcPr>
          <w:p>
            <w:r>
              <w:rPr>
                <w:sz w:val="16"/>
              </w:rPr>
            </w:r>
            <w:r>
              <w:rPr>
                <w:sz w:val="16"/>
              </w:rPr>
              <w:t>6</w:t>
            </w:r>
          </w:p>
        </w:tc>
        <w:tc>
          <w:tcPr>
            <w:tcW w:type="dxa" w:w="1800"/>
          </w:tcPr>
          <w:p>
            <w:r>
              <w:rPr>
                <w:sz w:val="16"/>
              </w:rPr>
            </w:r>
            <w:r>
              <w:rPr>
                <w:sz w:val="16"/>
              </w:rPr>
              <w:t>SA s.14.11 (with ss.11.1-11.2; QA ss.6.6, 7.2)</w:t>
            </w:r>
          </w:p>
        </w:tc>
        <w:tc>
          <w:tcPr>
            <w:tcW w:type="dxa" w:w="3384"/>
          </w:tcPr>
          <w:p>
            <w:r>
              <w:rPr>
                <w:sz w:val="16"/>
              </w:rPr>
            </w:r>
            <w:r>
              <w:rPr>
                <w:sz w:val="16"/>
              </w:rPr>
              <w:t>Bar on the tribunal's authority to award consequential damages; no carve-outs; inconsistent with SA s.11.2 and the QA Letter (client walk-away item)</w:t>
            </w:r>
          </w:p>
        </w:tc>
        <w:tc>
          <w:tcPr>
            <w:tcW w:type="dxa" w:w="1080"/>
            <w:shd w:val="clear" w:color="auto" w:fill="C00000"/>
          </w:tcPr>
          <w:p>
            <w:r>
              <w:rPr>
                <w:b/>
                <w:color w:val="FFFFFF"/>
                <w:sz w:val="16"/>
              </w:rPr>
            </w:r>
            <w:r>
              <w:rPr>
                <w:b/>
                <w:color w:val="FFFFFF"/>
                <w:sz w:val="16"/>
              </w:rPr>
              <w:t>Critical</w:t>
            </w:r>
          </w:p>
        </w:tc>
        <w:tc>
          <w:tcPr>
            <w:tcW w:type="dxa" w:w="2664"/>
          </w:tcPr>
          <w:p>
            <w:r>
              <w:rPr>
                <w:sz w:val="16"/>
              </w:rPr>
            </w:r>
            <w:r>
              <w:rPr>
                <w:sz w:val="16"/>
              </w:rPr>
              <w:t>Delete s.14.11; restructure s.11.2 with carve-outs for recall, cover, lost profits from supply failure, third-party claims, willful misconduct; fallback: super-cap</w:t>
            </w:r>
          </w:p>
        </w:tc>
      </w:tr>
      <w:tr>
        <w:tc>
          <w:tcPr>
            <w:tcW w:type="dxa" w:w="432"/>
          </w:tcPr>
          <w:p>
            <w:r>
              <w:rPr>
                <w:sz w:val="16"/>
              </w:rPr>
            </w:r>
            <w:r>
              <w:rPr>
                <w:sz w:val="16"/>
              </w:rPr>
              <w:t>7</w:t>
            </w:r>
          </w:p>
        </w:tc>
        <w:tc>
          <w:tcPr>
            <w:tcW w:type="dxa" w:w="1800"/>
          </w:tcPr>
          <w:p>
            <w:r>
              <w:rPr>
                <w:sz w:val="16"/>
              </w:rPr>
            </w:r>
            <w:r>
              <w:rPr>
                <w:sz w:val="16"/>
              </w:rPr>
              <w:t>SA s.14.5</w:t>
            </w:r>
          </w:p>
        </w:tc>
        <w:tc>
          <w:tcPr>
            <w:tcW w:type="dxa" w:w="3384"/>
          </w:tcPr>
          <w:p>
            <w:r>
              <w:rPr>
                <w:sz w:val="16"/>
              </w:rPr>
            </w:r>
            <w:r>
              <w:rPr>
                <w:sz w:val="16"/>
              </w:rPr>
              <w:t>Total bar on discovery; Pacifica holds the evidence for quality claims</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Tribunal-ordered production under the IBA Rules (2020); protective orders for trade secrets</w:t>
            </w:r>
          </w:p>
        </w:tc>
      </w:tr>
      <w:tr>
        <w:tc>
          <w:tcPr>
            <w:tcW w:type="dxa" w:w="432"/>
          </w:tcPr>
          <w:p>
            <w:r>
              <w:rPr>
                <w:sz w:val="16"/>
              </w:rPr>
            </w:r>
            <w:r>
              <w:rPr>
                <w:sz w:val="16"/>
              </w:rPr>
              <w:t>8</w:t>
            </w:r>
          </w:p>
        </w:tc>
        <w:tc>
          <w:tcPr>
            <w:tcW w:type="dxa" w:w="1800"/>
          </w:tcPr>
          <w:p>
            <w:r>
              <w:rPr>
                <w:sz w:val="16"/>
              </w:rPr>
            </w:r>
            <w:r>
              <w:rPr>
                <w:sz w:val="16"/>
              </w:rPr>
              <w:t>SA s.14.9</w:t>
            </w:r>
          </w:p>
        </w:tc>
        <w:tc>
          <w:tcPr>
            <w:tcW w:type="dxa" w:w="3384"/>
          </w:tcPr>
          <w:p>
            <w:r>
              <w:rPr>
                <w:sz w:val="16"/>
              </w:rPr>
            </w:r>
            <w:r>
              <w:rPr>
                <w:sz w:val="16"/>
              </w:rPr>
              <w:t>One-year limitation period; no tolling; unworkable for latent defects and indemnity</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Delete or extend (statutory period, minimum 4 years); indemnity accrual on payment; tolling during negotiation/expert stage</w:t>
            </w:r>
          </w:p>
        </w:tc>
      </w:tr>
      <w:tr>
        <w:tc>
          <w:tcPr>
            <w:tcW w:type="dxa" w:w="432"/>
          </w:tcPr>
          <w:p>
            <w:r>
              <w:rPr>
                <w:sz w:val="16"/>
              </w:rPr>
            </w:r>
            <w:r>
              <w:rPr>
                <w:sz w:val="16"/>
              </w:rPr>
              <w:t>9</w:t>
            </w:r>
          </w:p>
        </w:tc>
        <w:tc>
          <w:tcPr>
            <w:tcW w:type="dxa" w:w="1800"/>
          </w:tcPr>
          <w:p>
            <w:r>
              <w:rPr>
                <w:sz w:val="16"/>
              </w:rPr>
            </w:r>
            <w:r>
              <w:rPr>
                <w:sz w:val="16"/>
              </w:rPr>
              <w:t>SA s.14.2</w:t>
            </w:r>
          </w:p>
        </w:tc>
        <w:tc>
          <w:tcPr>
            <w:tcW w:type="dxa" w:w="3384"/>
          </w:tcPr>
          <w:p>
            <w:r>
              <w:rPr>
                <w:sz w:val="16"/>
              </w:rPr>
            </w:r>
            <w:r>
              <w:rPr>
                <w:sz w:val="16"/>
              </w:rPr>
              <w:t>Seat Singapore but "all hearings" must be in London; rigid; seat/venue confusion; no virtual hearings</w:t>
            </w:r>
          </w:p>
        </w:tc>
        <w:tc>
          <w:tcPr>
            <w:tcW w:type="dxa" w:w="1080"/>
            <w:shd w:val="clear" w:color="auto" w:fill="FFC000"/>
          </w:tcPr>
          <w:p>
            <w:r>
              <w:rPr>
                <w:b/>
                <w:sz w:val="16"/>
              </w:rPr>
            </w:r>
            <w:r>
              <w:rPr>
                <w:b/>
                <w:sz w:val="16"/>
              </w:rPr>
              <w:t>Medium</w:t>
            </w:r>
          </w:p>
        </w:tc>
        <w:tc>
          <w:tcPr>
            <w:tcW w:type="dxa" w:w="2664"/>
          </w:tcPr>
          <w:p>
            <w:r>
              <w:rPr>
                <w:sz w:val="16"/>
              </w:rPr>
            </w:r>
            <w:r>
              <w:rPr>
                <w:sz w:val="16"/>
              </w:rPr>
              <w:t>Hearings where the tribunal decides, including virtually; seat clarified</w:t>
            </w:r>
          </w:p>
        </w:tc>
      </w:tr>
      <w:tr>
        <w:tc>
          <w:tcPr>
            <w:tcW w:type="dxa" w:w="432"/>
          </w:tcPr>
          <w:p>
            <w:r>
              <w:rPr>
                <w:sz w:val="16"/>
              </w:rPr>
            </w:r>
            <w:r>
              <w:rPr>
                <w:sz w:val="16"/>
              </w:rPr>
              <w:t>10</w:t>
            </w:r>
          </w:p>
        </w:tc>
        <w:tc>
          <w:tcPr>
            <w:tcW w:type="dxa" w:w="1800"/>
          </w:tcPr>
          <w:p>
            <w:r>
              <w:rPr>
                <w:sz w:val="16"/>
              </w:rPr>
            </w:r>
            <w:r>
              <w:rPr>
                <w:sz w:val="16"/>
              </w:rPr>
              <w:t>SA s.14.3</w:t>
            </w:r>
          </w:p>
        </w:tc>
        <w:tc>
          <w:tcPr>
            <w:tcW w:type="dxa" w:w="3384"/>
          </w:tcPr>
          <w:p>
            <w:r>
              <w:rPr>
                <w:sz w:val="16"/>
              </w:rPr>
            </w:r>
            <w:r>
              <w:rPr>
                <w:sz w:val="16"/>
              </w:rPr>
              <w:t>Default sole arbitrator for a US$178M+ contract; 15-day window to request three arbitrators is ambiguous and short</w:t>
            </w:r>
          </w:p>
        </w:tc>
        <w:tc>
          <w:tcPr>
            <w:tcW w:type="dxa" w:w="1080"/>
            <w:shd w:val="clear" w:color="auto" w:fill="FFC000"/>
          </w:tcPr>
          <w:p>
            <w:r>
              <w:rPr>
                <w:b/>
                <w:sz w:val="16"/>
              </w:rPr>
            </w:r>
            <w:r>
              <w:rPr>
                <w:b/>
                <w:sz w:val="16"/>
              </w:rPr>
              <w:t>Medium</w:t>
            </w:r>
          </w:p>
        </w:tc>
        <w:tc>
          <w:tcPr>
            <w:tcW w:type="dxa" w:w="2664"/>
          </w:tcPr>
          <w:p>
            <w:r>
              <w:rPr>
                <w:sz w:val="16"/>
              </w:rPr>
            </w:r>
            <w:r>
              <w:rPr>
                <w:sz w:val="16"/>
              </w:rPr>
              <w:t>Three arbitrators above US$5M; clear nomination mechanics</w:t>
            </w:r>
          </w:p>
        </w:tc>
      </w:tr>
      <w:tr>
        <w:tc>
          <w:tcPr>
            <w:tcW w:type="dxa" w:w="432"/>
          </w:tcPr>
          <w:p>
            <w:r>
              <w:rPr>
                <w:sz w:val="16"/>
              </w:rPr>
            </w:r>
            <w:r>
              <w:rPr>
                <w:sz w:val="16"/>
              </w:rPr>
              <w:t>11</w:t>
            </w:r>
          </w:p>
        </w:tc>
        <w:tc>
          <w:tcPr>
            <w:tcW w:type="dxa" w:w="1800"/>
          </w:tcPr>
          <w:p>
            <w:r>
              <w:rPr>
                <w:sz w:val="16"/>
              </w:rPr>
            </w:r>
            <w:r>
              <w:rPr>
                <w:sz w:val="16"/>
              </w:rPr>
              <w:t>SA ss.14.4, 15.11</w:t>
            </w:r>
          </w:p>
        </w:tc>
        <w:tc>
          <w:tcPr>
            <w:tcW w:type="dxa" w:w="3384"/>
          </w:tcPr>
          <w:p>
            <w:r>
              <w:rPr>
                <w:sz w:val="16"/>
              </w:rPr>
            </w:r>
            <w:r>
              <w:rPr>
                <w:sz w:val="16"/>
              </w:rPr>
              <w:t>Gap-filler ("general principles of international commercial law"); no law of the arbitration agreement; CISG not addressed</w:t>
            </w:r>
          </w:p>
        </w:tc>
        <w:tc>
          <w:tcPr>
            <w:tcW w:type="dxa" w:w="1080"/>
            <w:shd w:val="clear" w:color="auto" w:fill="FFC000"/>
          </w:tcPr>
          <w:p>
            <w:r>
              <w:rPr>
                <w:b/>
                <w:sz w:val="16"/>
              </w:rPr>
            </w:r>
            <w:r>
              <w:rPr>
                <w:b/>
                <w:sz w:val="16"/>
              </w:rPr>
              <w:t>Medium</w:t>
            </w:r>
          </w:p>
        </w:tc>
        <w:tc>
          <w:tcPr>
            <w:tcW w:type="dxa" w:w="2664"/>
          </w:tcPr>
          <w:p>
            <w:r>
              <w:rPr>
                <w:sz w:val="16"/>
              </w:rPr>
            </w:r>
            <w:r>
              <w:rPr>
                <w:sz w:val="16"/>
              </w:rPr>
              <w:t>Delete gap-filler; express law of arbitration agreement; decide CISG expressly</w:t>
            </w:r>
          </w:p>
        </w:tc>
      </w:tr>
      <w:tr>
        <w:tc>
          <w:tcPr>
            <w:tcW w:type="dxa" w:w="432"/>
          </w:tcPr>
          <w:p>
            <w:r>
              <w:rPr>
                <w:sz w:val="16"/>
              </w:rPr>
            </w:r>
            <w:r>
              <w:rPr>
                <w:sz w:val="16"/>
              </w:rPr>
              <w:t>12</w:t>
            </w:r>
          </w:p>
        </w:tc>
        <w:tc>
          <w:tcPr>
            <w:tcW w:type="dxa" w:w="1800"/>
          </w:tcPr>
          <w:p>
            <w:r>
              <w:rPr>
                <w:sz w:val="16"/>
              </w:rPr>
            </w:r>
            <w:r>
              <w:rPr>
                <w:sz w:val="16"/>
              </w:rPr>
              <w:t>SA s.14.7</w:t>
            </w:r>
          </w:p>
        </w:tc>
        <w:tc>
          <w:tcPr>
            <w:tcW w:type="dxa" w:w="3384"/>
          </w:tcPr>
          <w:p>
            <w:r>
              <w:rPr>
                <w:sz w:val="16"/>
              </w:rPr>
            </w:r>
            <w:r>
              <w:rPr>
                <w:sz w:val="16"/>
              </w:rPr>
              <w:t>Court relief "from any court of competent jurisdiction worldwide"; not limited to interim measures</w:t>
            </w:r>
          </w:p>
        </w:tc>
        <w:tc>
          <w:tcPr>
            <w:tcW w:type="dxa" w:w="1080"/>
            <w:shd w:val="clear" w:color="auto" w:fill="FFC000"/>
          </w:tcPr>
          <w:p>
            <w:r>
              <w:rPr>
                <w:b/>
                <w:sz w:val="16"/>
              </w:rPr>
            </w:r>
            <w:r>
              <w:rPr>
                <w:b/>
                <w:sz w:val="16"/>
              </w:rPr>
              <w:t>Medium</w:t>
            </w:r>
          </w:p>
        </w:tc>
        <w:tc>
          <w:tcPr>
            <w:tcW w:type="dxa" w:w="2664"/>
          </w:tcPr>
          <w:p>
            <w:r>
              <w:rPr>
                <w:sz w:val="16"/>
              </w:rPr>
            </w:r>
            <w:r>
              <w:rPr>
                <w:sz w:val="16"/>
              </w:rPr>
              <w:t>Interim/conservatory relief only; emergency arbitrator preserved</w:t>
            </w:r>
          </w:p>
        </w:tc>
      </w:tr>
      <w:tr>
        <w:tc>
          <w:tcPr>
            <w:tcW w:type="dxa" w:w="432"/>
          </w:tcPr>
          <w:p>
            <w:r>
              <w:rPr>
                <w:sz w:val="16"/>
              </w:rPr>
            </w:r>
            <w:r>
              <w:rPr>
                <w:sz w:val="16"/>
              </w:rPr>
              <w:t>13</w:t>
            </w:r>
          </w:p>
        </w:tc>
        <w:tc>
          <w:tcPr>
            <w:tcW w:type="dxa" w:w="1800"/>
          </w:tcPr>
          <w:p>
            <w:r>
              <w:rPr>
                <w:sz w:val="16"/>
              </w:rPr>
            </w:r>
            <w:r>
              <w:rPr>
                <w:sz w:val="16"/>
              </w:rPr>
              <w:t>SA s.14.8 (vs QA s.7.1; IPLA s.9.4)</w:t>
            </w:r>
          </w:p>
        </w:tc>
        <w:tc>
          <w:tcPr>
            <w:tcW w:type="dxa" w:w="3384"/>
          </w:tcPr>
          <w:p>
            <w:r>
              <w:rPr>
                <w:sz w:val="16"/>
              </w:rPr>
            </w:r>
            <w:r>
              <w:rPr>
                <w:sz w:val="16"/>
              </w:rPr>
              <w:t>Rigid loser-pays; three different cost regimes</w:t>
            </w:r>
          </w:p>
        </w:tc>
        <w:tc>
          <w:tcPr>
            <w:tcW w:type="dxa" w:w="1080"/>
            <w:shd w:val="clear" w:color="auto" w:fill="FFC000"/>
          </w:tcPr>
          <w:p>
            <w:r>
              <w:rPr>
                <w:b/>
                <w:sz w:val="16"/>
              </w:rPr>
            </w:r>
            <w:r>
              <w:rPr>
                <w:b/>
                <w:sz w:val="16"/>
              </w:rPr>
              <w:t>Medium</w:t>
            </w:r>
          </w:p>
        </w:tc>
        <w:tc>
          <w:tcPr>
            <w:tcW w:type="dxa" w:w="2664"/>
          </w:tcPr>
          <w:p>
            <w:r>
              <w:rPr>
                <w:sz w:val="16"/>
              </w:rPr>
            </w:r>
            <w:r>
              <w:rPr>
                <w:sz w:val="16"/>
              </w:rPr>
              <w:t>Tribunal discretion; costs generally follow the event, adjusted for relative success</w:t>
            </w:r>
          </w:p>
        </w:tc>
      </w:tr>
      <w:tr>
        <w:tc>
          <w:tcPr>
            <w:tcW w:type="dxa" w:w="432"/>
          </w:tcPr>
          <w:p>
            <w:r>
              <w:rPr>
                <w:sz w:val="16"/>
              </w:rPr>
            </w:r>
            <w:r>
              <w:rPr>
                <w:sz w:val="16"/>
              </w:rPr>
              <w:t>14</w:t>
            </w:r>
          </w:p>
        </w:tc>
        <w:tc>
          <w:tcPr>
            <w:tcW w:type="dxa" w:w="1800"/>
          </w:tcPr>
          <w:p>
            <w:r>
              <w:rPr>
                <w:sz w:val="16"/>
              </w:rPr>
            </w:r>
            <w:r>
              <w:rPr>
                <w:sz w:val="16"/>
              </w:rPr>
              <w:t>SA s.14.1</w:t>
            </w:r>
          </w:p>
        </w:tc>
        <w:tc>
          <w:tcPr>
            <w:tcW w:type="dxa" w:w="3384"/>
          </w:tcPr>
          <w:p>
            <w:r>
              <w:rPr>
                <w:sz w:val="16"/>
              </w:rPr>
            </w:r>
            <w:r>
              <w:rPr>
                <w:sz w:val="16"/>
              </w:rPr>
              <w:t>Scope limited to "this Agreement"; no language; no non-contractual claims; no negotiation step</w:t>
            </w:r>
          </w:p>
        </w:tc>
        <w:tc>
          <w:tcPr>
            <w:tcW w:type="dxa" w:w="1080"/>
            <w:shd w:val="clear" w:color="auto" w:fill="FFC000"/>
          </w:tcPr>
          <w:p>
            <w:r>
              <w:rPr>
                <w:b/>
                <w:sz w:val="16"/>
              </w:rPr>
            </w:r>
            <w:r>
              <w:rPr>
                <w:b/>
                <w:sz w:val="16"/>
              </w:rPr>
              <w:t>Medium</w:t>
            </w:r>
          </w:p>
        </w:tc>
        <w:tc>
          <w:tcPr>
            <w:tcW w:type="dxa" w:w="2664"/>
          </w:tcPr>
          <w:p>
            <w:r>
              <w:rPr>
                <w:sz w:val="16"/>
              </w:rPr>
            </w:r>
            <w:r>
              <w:rPr>
                <w:sz w:val="16"/>
              </w:rPr>
              <w:t>Scope covers all Transaction Documents and non-contractual claims; English language; 30-day executive negotiation (not a condition precedent)</w:t>
            </w:r>
          </w:p>
        </w:tc>
      </w:tr>
      <w:tr>
        <w:tc>
          <w:tcPr>
            <w:tcW w:type="dxa" w:w="432"/>
          </w:tcPr>
          <w:p>
            <w:r>
              <w:rPr>
                <w:sz w:val="16"/>
              </w:rPr>
            </w:r>
            <w:r>
              <w:rPr>
                <w:sz w:val="16"/>
              </w:rPr>
              <w:t>15</w:t>
            </w:r>
          </w:p>
        </w:tc>
        <w:tc>
          <w:tcPr>
            <w:tcW w:type="dxa" w:w="1800"/>
          </w:tcPr>
          <w:p>
            <w:r>
              <w:rPr>
                <w:sz w:val="16"/>
              </w:rPr>
            </w:r>
            <w:r>
              <w:rPr>
                <w:sz w:val="16"/>
              </w:rPr>
              <w:t>SA s.14.10</w:t>
            </w:r>
          </w:p>
        </w:tc>
        <w:tc>
          <w:tcPr>
            <w:tcW w:type="dxa" w:w="3384"/>
          </w:tcPr>
          <w:p>
            <w:r>
              <w:rPr>
                <w:sz w:val="16"/>
              </w:rPr>
            </w:r>
            <w:r>
              <w:rPr>
                <w:sz w:val="16"/>
              </w:rPr>
              <w:t>Confidentiality carve-outs too narrow (Ridgeway, lenders, insurers, co-manufacturers, enforcement, FDA)</w:t>
            </w:r>
          </w:p>
        </w:tc>
        <w:tc>
          <w:tcPr>
            <w:tcW w:type="dxa" w:w="1080"/>
            <w:shd w:val="clear" w:color="auto" w:fill="70AD47"/>
          </w:tcPr>
          <w:p>
            <w:r>
              <w:rPr>
                <w:b/>
                <w:sz w:val="16"/>
              </w:rPr>
            </w:r>
            <w:r>
              <w:rPr>
                <w:b/>
                <w:sz w:val="16"/>
              </w:rPr>
              <w:t>Low</w:t>
            </w:r>
          </w:p>
        </w:tc>
        <w:tc>
          <w:tcPr>
            <w:tcW w:type="dxa" w:w="2664"/>
          </w:tcPr>
          <w:p>
            <w:r>
              <w:rPr>
                <w:sz w:val="16"/>
              </w:rPr>
            </w:r>
            <w:r>
              <w:rPr>
                <w:sz w:val="16"/>
              </w:rPr>
              <w:t>Expand carve-outs</w:t>
            </w:r>
          </w:p>
        </w:tc>
      </w:tr>
      <w:tr>
        <w:tc>
          <w:tcPr>
            <w:tcW w:type="dxa" w:w="432"/>
          </w:tcPr>
          <w:p>
            <w:r>
              <w:rPr>
                <w:sz w:val="16"/>
              </w:rPr>
            </w:r>
            <w:r>
              <w:rPr>
                <w:sz w:val="16"/>
              </w:rPr>
              <w:t>16</w:t>
            </w:r>
          </w:p>
        </w:tc>
        <w:tc>
          <w:tcPr>
            <w:tcW w:type="dxa" w:w="1800"/>
          </w:tcPr>
          <w:p>
            <w:r>
              <w:rPr>
                <w:sz w:val="16"/>
              </w:rPr>
            </w:r>
            <w:r>
              <w:rPr>
                <w:sz w:val="16"/>
              </w:rPr>
              <w:t>SA s.14.3 / ICC App. VI</w:t>
            </w:r>
          </w:p>
        </w:tc>
        <w:tc>
          <w:tcPr>
            <w:tcW w:type="dxa" w:w="3384"/>
          </w:tcPr>
          <w:p>
            <w:r>
              <w:rPr>
                <w:sz w:val="16"/>
              </w:rPr>
            </w:r>
            <w:r>
              <w:rPr>
                <w:sz w:val="16"/>
              </w:rPr>
              <w:t>ICC Expedited Procedure (claims up to US$3M) overrides the tribunal provisions</w:t>
            </w:r>
          </w:p>
        </w:tc>
        <w:tc>
          <w:tcPr>
            <w:tcW w:type="dxa" w:w="1080"/>
            <w:shd w:val="clear" w:color="auto" w:fill="70AD47"/>
          </w:tcPr>
          <w:p>
            <w:r>
              <w:rPr>
                <w:b/>
                <w:sz w:val="16"/>
              </w:rPr>
            </w:r>
            <w:r>
              <w:rPr>
                <w:b/>
                <w:sz w:val="16"/>
              </w:rPr>
              <w:t>Low</w:t>
            </w:r>
          </w:p>
        </w:tc>
        <w:tc>
          <w:tcPr>
            <w:tcW w:type="dxa" w:w="2664"/>
          </w:tcPr>
          <w:p>
            <w:r>
              <w:rPr>
                <w:sz w:val="16"/>
              </w:rPr>
            </w:r>
            <w:r>
              <w:rPr>
                <w:sz w:val="16"/>
              </w:rPr>
              <w:t>Acknowledge; decide whether to opt out</w:t>
            </w:r>
          </w:p>
        </w:tc>
      </w:tr>
      <w:tr>
        <w:tc>
          <w:tcPr>
            <w:tcW w:type="dxa" w:w="432"/>
          </w:tcPr>
          <w:p>
            <w:r>
              <w:rPr>
                <w:sz w:val="16"/>
              </w:rPr>
            </w:r>
            <w:r>
              <w:rPr>
                <w:sz w:val="16"/>
              </w:rPr>
              <w:t>17</w:t>
            </w:r>
          </w:p>
        </w:tc>
        <w:tc>
          <w:tcPr>
            <w:tcW w:type="dxa" w:w="1800"/>
          </w:tcPr>
          <w:p>
            <w:r>
              <w:rPr>
                <w:sz w:val="16"/>
              </w:rPr>
            </w:r>
            <w:r>
              <w:rPr>
                <w:sz w:val="16"/>
              </w:rPr>
              <w:t>QA s.7.1</w:t>
            </w:r>
          </w:p>
        </w:tc>
        <w:tc>
          <w:tcPr>
            <w:tcW w:type="dxa" w:w="3384"/>
          </w:tcPr>
          <w:p>
            <w:r>
              <w:rPr>
                <w:sz w:val="16"/>
              </w:rPr>
            </w:r>
            <w:r>
              <w:rPr>
                <w:sz w:val="16"/>
              </w:rPr>
              <w:t>Expert determination "administered by SIAC under its Rules for the Appointment of Experts" (rules we could not verify); no procedure, sample or document access</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Use a verified institution/rules (e.g., ICC Expert Rules); define procedure, sample retesting, document access</w:t>
            </w:r>
          </w:p>
        </w:tc>
      </w:tr>
      <w:tr>
        <w:tc>
          <w:tcPr>
            <w:tcW w:type="dxa" w:w="432"/>
          </w:tcPr>
          <w:p>
            <w:r>
              <w:rPr>
                <w:sz w:val="16"/>
              </w:rPr>
            </w:r>
            <w:r>
              <w:rPr>
                <w:sz w:val="16"/>
              </w:rPr>
              <w:t>18</w:t>
            </w:r>
          </w:p>
        </w:tc>
        <w:tc>
          <w:tcPr>
            <w:tcW w:type="dxa" w:w="1800"/>
          </w:tcPr>
          <w:p>
            <w:r>
              <w:rPr>
                <w:sz w:val="16"/>
              </w:rPr>
            </w:r>
            <w:r>
              <w:rPr>
                <w:sz w:val="16"/>
              </w:rPr>
              <w:t>QA ss.7.1-7.2, 3.4, 5.4</w:t>
            </w:r>
          </w:p>
        </w:tc>
        <w:tc>
          <w:tcPr>
            <w:tcW w:type="dxa" w:w="3384"/>
          </w:tcPr>
          <w:p>
            <w:r>
              <w:rPr>
                <w:sz w:val="16"/>
              </w:rPr>
            </w:r>
            <w:r>
              <w:rPr>
                <w:sz w:val="16"/>
              </w:rPr>
              <w:t>"Final and binding" but challengeable by either party for any reason; US$5M threshold undefined; adds cost and delay</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Optional technical stage; findings binding on technical facts only, absent manifest error; no monetary gate; tolling</w:t>
            </w:r>
          </w:p>
        </w:tc>
      </w:tr>
      <w:tr>
        <w:tc>
          <w:tcPr>
            <w:tcW w:type="dxa" w:w="432"/>
          </w:tcPr>
          <w:p>
            <w:r>
              <w:rPr>
                <w:sz w:val="16"/>
              </w:rPr>
            </w:r>
            <w:r>
              <w:rPr>
                <w:sz w:val="16"/>
              </w:rPr>
              <w:t>19</w:t>
            </w:r>
          </w:p>
        </w:tc>
        <w:tc>
          <w:tcPr>
            <w:tcW w:type="dxa" w:w="1800"/>
          </w:tcPr>
          <w:p>
            <w:r>
              <w:rPr>
                <w:sz w:val="16"/>
              </w:rPr>
            </w:r>
            <w:r>
              <w:rPr>
                <w:sz w:val="16"/>
              </w:rPr>
              <w:t>QA ss.6.3, 7.1</w:t>
            </w:r>
          </w:p>
        </w:tc>
        <w:tc>
          <w:tcPr>
            <w:tcW w:type="dxa" w:w="3384"/>
          </w:tcPr>
          <w:p>
            <w:r>
              <w:rPr>
                <w:sz w:val="16"/>
              </w:rPr>
            </w:r>
            <w:r>
              <w:rPr>
                <w:sz w:val="16"/>
              </w:rPr>
              <w:t>Technical expert decides recall cost allocation and "recall obligations" (legal/damages questions)</w:t>
            </w:r>
          </w:p>
        </w:tc>
        <w:tc>
          <w:tcPr>
            <w:tcW w:type="dxa" w:w="1080"/>
            <w:shd w:val="clear" w:color="auto" w:fill="FFC000"/>
          </w:tcPr>
          <w:p>
            <w:r>
              <w:rPr>
                <w:b/>
                <w:sz w:val="16"/>
              </w:rPr>
            </w:r>
            <w:r>
              <w:rPr>
                <w:b/>
                <w:sz w:val="16"/>
              </w:rPr>
              <w:t>Medium</w:t>
            </w:r>
          </w:p>
        </w:tc>
        <w:tc>
          <w:tcPr>
            <w:tcW w:type="dxa" w:w="2664"/>
          </w:tcPr>
          <w:p>
            <w:r>
              <w:rPr>
                <w:sz w:val="16"/>
              </w:rPr>
            </w:r>
            <w:r>
              <w:rPr>
                <w:sz w:val="16"/>
              </w:rPr>
              <w:t>Expert limited to technical questions; liability and quantum to the tribunal</w:t>
            </w:r>
          </w:p>
        </w:tc>
      </w:tr>
      <w:tr>
        <w:tc>
          <w:tcPr>
            <w:tcW w:type="dxa" w:w="432"/>
          </w:tcPr>
          <w:p>
            <w:r>
              <w:rPr>
                <w:sz w:val="16"/>
              </w:rPr>
            </w:r>
            <w:r>
              <w:rPr>
                <w:sz w:val="16"/>
              </w:rPr>
              <w:t>20</w:t>
            </w:r>
          </w:p>
        </w:tc>
        <w:tc>
          <w:tcPr>
            <w:tcW w:type="dxa" w:w="1800"/>
          </w:tcPr>
          <w:p>
            <w:r>
              <w:rPr>
                <w:sz w:val="16"/>
              </w:rPr>
            </w:r>
            <w:r>
              <w:rPr>
                <w:sz w:val="16"/>
              </w:rPr>
              <w:t>QA ss.7.2-7.3, 6.6; SA s.14.11</w:t>
            </w:r>
          </w:p>
        </w:tc>
        <w:tc>
          <w:tcPr>
            <w:tcW w:type="dxa" w:w="3384"/>
          </w:tcPr>
          <w:p>
            <w:r>
              <w:rPr>
                <w:sz w:val="16"/>
              </w:rPr>
            </w:r>
            <w:r>
              <w:rPr>
                <w:sz w:val="16"/>
              </w:rPr>
              <w:t>Singapore law for QA disputes vs NY law for the SA; "consequential" means different things; QA tribunal's "any remedy" power vs s.14.11</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NY law for all Transaction Documents; consistent remedies language</w:t>
            </w:r>
          </w:p>
        </w:tc>
      </w:tr>
      <w:tr>
        <w:tc>
          <w:tcPr>
            <w:tcW w:type="dxa" w:w="432"/>
          </w:tcPr>
          <w:p>
            <w:r>
              <w:rPr>
                <w:sz w:val="16"/>
              </w:rPr>
            </w:r>
            <w:r>
              <w:rPr>
                <w:sz w:val="16"/>
              </w:rPr>
              <w:t>21</w:t>
            </w:r>
          </w:p>
        </w:tc>
        <w:tc>
          <w:tcPr>
            <w:tcW w:type="dxa" w:w="1800"/>
          </w:tcPr>
          <w:p>
            <w:r>
              <w:rPr>
                <w:sz w:val="16"/>
              </w:rPr>
            </w:r>
            <w:r>
              <w:rPr>
                <w:sz w:val="16"/>
              </w:rPr>
              <w:t>QA s.1.2, Ex. A; SA s.1.1, Ex. B; SA s.7.2 vs QA s.5.2</w:t>
            </w:r>
          </w:p>
        </w:tc>
        <w:tc>
          <w:tcPr>
            <w:tcW w:type="dxa" w:w="3384"/>
          </w:tcPr>
          <w:p>
            <w:r>
              <w:rPr>
                <w:sz w:val="16"/>
              </w:rPr>
            </w:r>
            <w:r>
              <w:rPr>
                <w:sz w:val="16"/>
              </w:rPr>
              <w:t>Specifications not finalized; two "Specifications" and two "Defective Product" definitions; conflicting remedy elections</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Attach agreed Specifications before signing; one definition set; Greenleaf's election controls</w:t>
            </w:r>
          </w:p>
        </w:tc>
      </w:tr>
      <w:tr>
        <w:tc>
          <w:tcPr>
            <w:tcW w:type="dxa" w:w="432"/>
          </w:tcPr>
          <w:p>
            <w:r>
              <w:rPr>
                <w:sz w:val="16"/>
              </w:rPr>
            </w:r>
            <w:r>
              <w:rPr>
                <w:sz w:val="16"/>
              </w:rPr>
              <w:t>22</w:t>
            </w:r>
          </w:p>
        </w:tc>
        <w:tc>
          <w:tcPr>
            <w:tcW w:type="dxa" w:w="1800"/>
          </w:tcPr>
          <w:p>
            <w:r>
              <w:rPr>
                <w:sz w:val="16"/>
              </w:rPr>
            </w:r>
            <w:r>
              <w:rPr>
                <w:sz w:val="16"/>
              </w:rPr>
              <w:t>QA (no term/survival clause)</w:t>
            </w:r>
          </w:p>
        </w:tc>
        <w:tc>
          <w:tcPr>
            <w:tcW w:type="dxa" w:w="3384"/>
          </w:tcPr>
          <w:p>
            <w:r>
              <w:rPr>
                <w:sz w:val="16"/>
              </w:rPr>
            </w:r>
            <w:r>
              <w:rPr>
                <w:sz w:val="16"/>
              </w:rPr>
              <w:t>No express survival of s.7 or term of the QA Letter</w:t>
            </w:r>
          </w:p>
        </w:tc>
        <w:tc>
          <w:tcPr>
            <w:tcW w:type="dxa" w:w="1080"/>
            <w:shd w:val="clear" w:color="auto" w:fill="70AD47"/>
          </w:tcPr>
          <w:p>
            <w:r>
              <w:rPr>
                <w:b/>
                <w:sz w:val="16"/>
              </w:rPr>
            </w:r>
            <w:r>
              <w:rPr>
                <w:b/>
                <w:sz w:val="16"/>
              </w:rPr>
              <w:t>Low</w:t>
            </w:r>
          </w:p>
        </w:tc>
        <w:tc>
          <w:tcPr>
            <w:tcW w:type="dxa" w:w="2664"/>
          </w:tcPr>
          <w:p>
            <w:r>
              <w:rPr>
                <w:sz w:val="16"/>
              </w:rPr>
            </w:r>
            <w:r>
              <w:rPr>
                <w:sz w:val="16"/>
              </w:rPr>
              <w:t>Add survival; addressed by unified clause</w:t>
            </w:r>
          </w:p>
        </w:tc>
      </w:tr>
      <w:tr>
        <w:tc>
          <w:tcPr>
            <w:tcW w:type="dxa" w:w="432"/>
          </w:tcPr>
          <w:p>
            <w:r>
              <w:rPr>
                <w:sz w:val="16"/>
              </w:rPr>
            </w:r>
            <w:r>
              <w:rPr>
                <w:sz w:val="16"/>
              </w:rPr>
              <w:t>23</w:t>
            </w:r>
          </w:p>
        </w:tc>
        <w:tc>
          <w:tcPr>
            <w:tcW w:type="dxa" w:w="1800"/>
          </w:tcPr>
          <w:p>
            <w:r>
              <w:rPr>
                <w:sz w:val="16"/>
              </w:rPr>
            </w:r>
            <w:r>
              <w:rPr>
                <w:sz w:val="16"/>
              </w:rPr>
              <w:t>IPLA ss.9.1-9.4</w:t>
            </w:r>
          </w:p>
        </w:tc>
        <w:tc>
          <w:tcPr>
            <w:tcW w:type="dxa" w:w="3384"/>
          </w:tcPr>
          <w:p>
            <w:r>
              <w:rPr>
                <w:sz w:val="16"/>
              </w:rPr>
            </w:r>
            <w:r>
              <w:rPr>
                <w:sz w:val="16"/>
              </w:rPr>
              <w:t>LCIA/London/English law/sole arbitrator; no interim relief provision; different cost rule; law of arbitration agreement</w:t>
            </w:r>
          </w:p>
        </w:tc>
        <w:tc>
          <w:tcPr>
            <w:tcW w:type="dxa" w:w="1080"/>
            <w:shd w:val="clear" w:color="auto" w:fill="FFC000"/>
          </w:tcPr>
          <w:p>
            <w:r>
              <w:rPr>
                <w:b/>
                <w:sz w:val="16"/>
              </w:rPr>
            </w:r>
            <w:r>
              <w:rPr>
                <w:b/>
                <w:sz w:val="16"/>
              </w:rPr>
              <w:t>Medium</w:t>
            </w:r>
          </w:p>
        </w:tc>
        <w:tc>
          <w:tcPr>
            <w:tcW w:type="dxa" w:w="2664"/>
          </w:tcPr>
          <w:p>
            <w:r>
              <w:rPr>
                <w:sz w:val="16"/>
              </w:rPr>
            </w:r>
            <w:r>
              <w:rPr>
                <w:sz w:val="16"/>
              </w:rPr>
              <w:t>Fold into the unified clause; preserve court interim relief for IP and regulatory cooperation</w:t>
            </w:r>
          </w:p>
        </w:tc>
      </w:tr>
      <w:tr>
        <w:tc>
          <w:tcPr>
            <w:tcW w:type="dxa" w:w="432"/>
          </w:tcPr>
          <w:p>
            <w:r>
              <w:rPr>
                <w:sz w:val="16"/>
              </w:rPr>
            </w:r>
            <w:r>
              <w:rPr>
                <w:sz w:val="16"/>
              </w:rPr>
              <w:t>24</w:t>
            </w:r>
          </w:p>
        </w:tc>
        <w:tc>
          <w:tcPr>
            <w:tcW w:type="dxa" w:w="1800"/>
          </w:tcPr>
          <w:p>
            <w:r>
              <w:rPr>
                <w:sz w:val="16"/>
              </w:rPr>
            </w:r>
            <w:r>
              <w:rPr>
                <w:sz w:val="16"/>
              </w:rPr>
              <w:t>SA ss.5.2, 14.6; QA s.5.4</w:t>
            </w:r>
          </w:p>
        </w:tc>
        <w:tc>
          <w:tcPr>
            <w:tcW w:type="dxa" w:w="3384"/>
          </w:tcPr>
          <w:p>
            <w:r>
              <w:rPr>
                <w:sz w:val="16"/>
              </w:rPr>
            </w:r>
            <w:r>
              <w:rPr>
                <w:sz w:val="16"/>
              </w:rPr>
              <w:t>Enforcement path against Pacifica (Singapore assets); no set-off of awards; no consent to U.S. jurisdiction or process agent (client priority 1)</w:t>
            </w:r>
          </w:p>
        </w:tc>
        <w:tc>
          <w:tcPr>
            <w:tcW w:type="dxa" w:w="1080"/>
            <w:shd w:val="clear" w:color="auto" w:fill="E36C0A"/>
          </w:tcPr>
          <w:p>
            <w:r>
              <w:rPr>
                <w:b/>
                <w:color w:val="FFFFFF"/>
                <w:sz w:val="16"/>
              </w:rPr>
            </w:r>
            <w:r>
              <w:rPr>
                <w:b/>
                <w:color w:val="FFFFFF"/>
                <w:sz w:val="16"/>
              </w:rPr>
              <w:t>High</w:t>
            </w:r>
          </w:p>
        </w:tc>
        <w:tc>
          <w:tcPr>
            <w:tcW w:type="dxa" w:w="2664"/>
          </w:tcPr>
          <w:p>
            <w:r>
              <w:rPr>
                <w:sz w:val="16"/>
              </w:rPr>
            </w:r>
            <w:r>
              <w:rPr>
                <w:sz w:val="16"/>
              </w:rPr>
              <w:t>Set-off of awarded and undisputed amounts; Pacifica consent to jurisdiction and a U.S. process agent; expressly preserve the QA s.5.4 withholding right</w:t>
            </w:r>
          </w:p>
        </w:tc>
      </w:tr>
      <w:tr>
        <w:tc>
          <w:tcPr>
            <w:tcW w:type="dxa" w:w="432"/>
          </w:tcPr>
          <w:p>
            <w:r>
              <w:rPr>
                <w:sz w:val="16"/>
              </w:rPr>
            </w:r>
            <w:r>
              <w:rPr>
                <w:sz w:val="16"/>
              </w:rPr>
              <w:t>25</w:t>
            </w:r>
          </w:p>
        </w:tc>
        <w:tc>
          <w:tcPr>
            <w:tcW w:type="dxa" w:w="1800"/>
          </w:tcPr>
          <w:p>
            <w:r>
              <w:rPr>
                <w:sz w:val="16"/>
              </w:rPr>
            </w:r>
            <w:r>
              <w:rPr>
                <w:sz w:val="16"/>
              </w:rPr>
              <w:t>SA s.15.1; IPLA s.10.1</w:t>
            </w:r>
          </w:p>
        </w:tc>
        <w:tc>
          <w:tcPr>
            <w:tcW w:type="dxa" w:w="3384"/>
          </w:tcPr>
          <w:p>
            <w:r>
              <w:rPr>
                <w:sz w:val="16"/>
              </w:rPr>
            </w:r>
            <w:r>
              <w:rPr>
                <w:sz w:val="16"/>
              </w:rPr>
              <w:t>Inconsistent notice details (Pacifica counsel email; H&amp;G email); email notice requires confirmation of receipt</w:t>
            </w:r>
          </w:p>
        </w:tc>
        <w:tc>
          <w:tcPr>
            <w:tcW w:type="dxa" w:w="1080"/>
            <w:shd w:val="clear" w:color="auto" w:fill="70AD47"/>
          </w:tcPr>
          <w:p>
            <w:r>
              <w:rPr>
                <w:b/>
                <w:sz w:val="16"/>
              </w:rPr>
            </w:r>
            <w:r>
              <w:rPr>
                <w:b/>
                <w:sz w:val="16"/>
              </w:rPr>
              <w:t>Low</w:t>
            </w:r>
          </w:p>
        </w:tc>
        <w:tc>
          <w:tcPr>
            <w:tcW w:type="dxa" w:w="2664"/>
          </w:tcPr>
          <w:p>
            <w:r>
              <w:rPr>
                <w:sz w:val="16"/>
              </w:rPr>
            </w:r>
            <w:r>
              <w:rPr>
                <w:sz w:val="16"/>
              </w:rPr>
              <w:t>Conform notice blocks; service of Request for Arbitration provision</w:t>
            </w:r>
          </w:p>
        </w:tc>
      </w:tr>
      <w:tr>
        <w:tc>
          <w:tcPr>
            <w:tcW w:type="dxa" w:w="432"/>
          </w:tcPr>
          <w:p>
            <w:r>
              <w:rPr>
                <w:sz w:val="16"/>
              </w:rPr>
            </w:r>
            <w:r>
              <w:rPr>
                <w:sz w:val="16"/>
              </w:rPr>
              <w:t>26</w:t>
            </w:r>
          </w:p>
        </w:tc>
        <w:tc>
          <w:tcPr>
            <w:tcW w:type="dxa" w:w="1800"/>
          </w:tcPr>
          <w:p>
            <w:r>
              <w:rPr>
                <w:sz w:val="16"/>
              </w:rPr>
            </w:r>
            <w:r>
              <w:rPr>
                <w:sz w:val="16"/>
              </w:rPr>
              <w:t>Internal</w:t>
            </w:r>
          </w:p>
        </w:tc>
        <w:tc>
          <w:tcPr>
            <w:tcW w:type="dxa" w:w="3384"/>
          </w:tcPr>
          <w:p>
            <w:r>
              <w:rPr>
                <w:sz w:val="16"/>
              </w:rPr>
            </w:r>
            <w:r>
              <w:rPr>
                <w:sz w:val="16"/>
              </w:rPr>
              <w:t>Privilege: Ridgeway copied on legal strategy emails; H&amp;G memo is non-privileged as to Greenleaf and is usable leverage</w:t>
            </w:r>
          </w:p>
        </w:tc>
        <w:tc>
          <w:tcPr>
            <w:tcW w:type="dxa" w:w="1080"/>
            <w:shd w:val="clear" w:color="auto" w:fill="70AD47"/>
          </w:tcPr>
          <w:p>
            <w:r>
              <w:rPr>
                <w:b/>
                <w:sz w:val="16"/>
              </w:rPr>
            </w:r>
            <w:r>
              <w:rPr>
                <w:b/>
                <w:sz w:val="16"/>
              </w:rPr>
              <w:t>Low</w:t>
            </w:r>
          </w:p>
        </w:tc>
        <w:tc>
          <w:tcPr>
            <w:tcW w:type="dxa" w:w="2664"/>
          </w:tcPr>
          <w:p>
            <w:r>
              <w:rPr>
                <w:sz w:val="16"/>
              </w:rPr>
            </w:r>
            <w:r>
              <w:rPr>
                <w:sz w:val="16"/>
              </w:rPr>
              <w:t>Manage distribution; common-interest agreement if needed</w:t>
            </w:r>
          </w:p>
        </w:tc>
      </w:tr>
    </w:tbl>
    <w:p>
      <w:pPr>
        <w:spacing w:after="40"/>
      </w:pPr>
    </w:p>
    <w:p>
      <w:pPr>
        <w:pStyle w:val="Heading1"/>
      </w:pPr>
      <w:r>
        <w:t>V. Detailed Analysis</w:t>
      </w:r>
    </w:p>
    <w:p>
      <w:pPr>
        <w:pStyle w:val="Heading2"/>
      </w:pPr>
      <w:r>
        <w:t>A. Cross-Document Architecture</w:t>
      </w:r>
    </w:p>
    <w:p>
      <w:pPr>
        <w:pStyle w:val="Heading3"/>
      </w:pPr>
      <w:r>
        <w:t>Issue 1: Three institutions, three governing laws, no coordination</w:t>
      </w:r>
    </w:p>
    <w:tbl>
      <w:tblPr>
        <w:tblStyle w:val="TableGrid"/>
        <w:tblW w:type="auto" w:w="0"/>
        <w:tblLook w:firstColumn="1" w:firstRow="1" w:lastColumn="0" w:lastRow="0" w:noHBand="0" w:noVBand="1" w:val="04A0"/>
      </w:tblPr>
      <w:tblGrid>
        <w:gridCol w:w="4680"/>
        <w:gridCol w:w="4680"/>
      </w:tblGrid>
      <w:tr>
        <w:tc>
          <w:tcPr>
            <w:tcW w:type="dxa" w:w="2448"/>
            <w:shd w:val="clear" w:color="auto" w:fill="C00000"/>
          </w:tcPr>
          <w:p>
            <w:r/>
            <w:r>
              <w:rPr>
                <w:b/>
                <w:color w:val="FFFFFF"/>
                <w:sz w:val="19"/>
              </w:rPr>
              <w:t>Severity: Critical</w:t>
            </w:r>
          </w:p>
        </w:tc>
        <w:tc>
          <w:tcPr>
            <w:tcW w:type="dxa" w:w="6912"/>
          </w:tcPr>
          <w:p>
            <w:r/>
            <w:r>
              <w:rPr>
                <w:b/>
                <w:sz w:val="19"/>
              </w:rPr>
              <w:t>Provision(s): SA ss.14.1, 14.2, 14.4, 15.11; QA ss.7.1-7.3; IPLA ss.9.1-9.2</w:t>
            </w:r>
          </w:p>
        </w:tc>
      </w:tr>
      <w:tr>
        <w:tc>
          <w:tcPr>
            <w:tcW w:type="dxa" w:w="6912"/>
            <w:gridSpan w:val="2"/>
          </w:tcPr>
          <w:p>
            <w:r/>
            <w:r>
              <w:rPr>
                <w:i/>
                <w:sz w:val="18"/>
              </w:rPr>
              <w:t>SA: ICC, seat Singapore, hearings London, NY law. QA: SIAC expert determination, then SIAC arbitration, seat Singapore, Singapore law. IPLA: LCIA, seat London, English law, sole arbitrator.</w:t>
            </w:r>
          </w:p>
        </w:tc>
      </w:tr>
    </w:tbl>
    <w:p>
      <w:pPr>
        <w:spacing w:after="0"/>
      </w:pPr>
    </w:p>
    <w:p>
      <w:r>
        <w:rPr>
          <w:b/>
        </w:rPr>
        <w:t xml:space="preserve">The problem. </w:t>
      </w:r>
      <w:r>
        <w:t>The three documents are expressly one integrated transaction. The SA recitals say the QA Letter and IPLA "form part of the transaction contemplated by this Agreement". SA s.3.3 and s.8.2 incorporate them by reference. QA s.8.1 says the QA Letter "supplements and forms part of the Supply Agreement". IPLA s.2.1 says the license consideration "flows through the minimum purchase commitments" of the SA. Yet each document sends disputes to a different institution, under a different law, with different procedural rules. Harmon &amp; Grey calls this a deliberate "three-tier" design. In practice the tiers overlap on almost every realistic dispute:</w:t>
      </w:r>
    </w:p>
    <w:p>
      <w:pPr>
        <w:pStyle w:val="ListBullet"/>
        <w:spacing w:after="60"/>
      </w:pPr>
      <w:r>
        <w:rPr>
          <w:b/>
        </w:rPr>
        <w:t>A contaminated curcumin batch</w:t>
      </w:r>
      <w:r>
        <w:t xml:space="preserve"> is at once (i) a Nonconformity and rejection dispute under QA ss.3.4/5.4, which goes to SIAC expert determination; (ii) a recall cost dispute under QA s.6, which goes to SIAC expert determination and then SIAC arbitration; (iii) a breach of the SA s.9.2 warranties and an SA s.10.1 indemnity claim, which goes to ICC; and (iv) if Greenleaf relied on Pacifica's Licensed IP data in an FDA filing that is now inaccurate, an IPLA s.3.3/7.2(c) claim, which goes to LCIA (or, through IPLA s.9.3, an LCIA proceeding that also absorbs the SA claims).</w:t>
      </w:r>
    </w:p>
    <w:p>
      <w:pPr>
        <w:pStyle w:val="ListBullet"/>
        <w:spacing w:after="60"/>
      </w:pPr>
      <w:r>
        <w:rPr>
          <w:b/>
        </w:rPr>
        <w:t>Consolidation across institutions is not available.</w:t>
      </w:r>
      <w:r>
        <w:t xml:space="preserve"> ICC Rules Art. 10 consolidates only ICC arbitrations. LCIA Rules (2020) Arts. 22.1(ix)-(x) and 22A apply only to LCIA arbitrations under the same or compatible agreements. The SIAC Rules likewise apply only within SIAC. No tribunal can order an ICC, SIAC and LCIA proceeding to be heard together without fresh consent from both parties, which a respondent rarely gives once a dispute has arisen.</w:t>
      </w:r>
    </w:p>
    <w:p>
      <w:pPr>
        <w:pStyle w:val="ListBullet"/>
        <w:spacing w:after="60"/>
      </w:pPr>
      <w:r>
        <w:rPr>
          <w:b/>
        </w:rPr>
        <w:t>Inconsistent outcomes are a real risk.</w:t>
      </w:r>
      <w:r>
        <w:t xml:space="preserve"> An SIAC expert could find a batch in specification while an ICC tribunal finds the same batch defective under the SA definition (which differs: Issue 21). Each tribunal is applying different law (Issue 20) and different remedy rules (Issue 6).</w:t>
      </w:r>
    </w:p>
    <w:p>
      <w:pPr>
        <w:pStyle w:val="ListBullet"/>
        <w:spacing w:after="60"/>
      </w:pPr>
      <w:r>
        <w:rPr>
          <w:b/>
        </w:rPr>
        <w:t>Jurisdictional skirmishing comes first.</w:t>
      </w:r>
      <w:r>
        <w:t xml:space="preserve"> Each respondent will be able to argue that the claim belongs before a different body. Pacifica's own 2023 experience shows that challenges grounded in clause ambiguity can delay recovery by more than a year.</w:t>
      </w:r>
    </w:p>
    <w:p>
      <w:r>
        <w:rPr>
          <w:b/>
        </w:rPr>
        <w:t xml:space="preserve">Why it matters to Greenleaf. </w:t>
      </w:r>
      <w:r>
        <w:t>Greenleaf's most likely dispute, a quality failure that leads to a recall (Mr. Heller's email of June 30), is exactly the dispute that falls between all three documents. Fragmentation multiplies cost and gives the better-resourced or better-positioned party leverage to choose its forum. It also makes it hard to obtain one enforceable award covering all of Greenleaf's loss. Mr. Park's concern about "parallel proceedings, inconsistent results, and a lot of wasted legal spend" is well-founded.</w:t>
      </w:r>
    </w:p>
    <w:p>
      <w:r>
        <w:rPr>
          <w:b/>
        </w:rPr>
        <w:t>Recommendation.</w:t>
      </w:r>
    </w:p>
    <w:p>
      <w:pPr>
        <w:pStyle w:val="ListBullet"/>
        <w:spacing w:after="60"/>
      </w:pPr>
      <w:r>
        <w:t xml:space="preserve">Replace SA Art. 14, QA s.7 and IPLA s.9 with </w:t>
      </w:r>
      <w:r>
        <w:rPr>
          <w:b/>
        </w:rPr>
        <w:t>one identical dispute resolution clause</w:t>
      </w:r>
      <w:r>
        <w:t xml:space="preserve"> (or a stand-alone Dispute Resolution Agreement incorporated by reference into each) covering any dispute "arising out of or in connection with any Transaction Document" (draft in Section VII).</w:t>
      </w:r>
    </w:p>
    <w:p>
      <w:pPr>
        <w:pStyle w:val="ListBullet"/>
        <w:spacing w:after="60"/>
      </w:pPr>
      <w:r>
        <w:rPr>
          <w:b/>
        </w:rPr>
        <w:t>One institution: ICC.</w:t>
      </w:r>
      <w:r>
        <w:t xml:space="preserve"> It is Pacifica's own choice for the principal agreement, and it has well-developed multi-contract (Art. 9), joinder (Art. 7) and consolidation (Art. 10) provisions. The ICC Secretariat also has a case-management office in Singapore, which meets Pacifica's stated preference for Singapore-connected dispute resolution.</w:t>
      </w:r>
    </w:p>
    <w:p>
      <w:pPr>
        <w:pStyle w:val="ListBullet"/>
        <w:spacing w:after="60"/>
      </w:pPr>
      <w:r>
        <w:rPr>
          <w:b/>
        </w:rPr>
        <w:t>One seat and one governing law.</w:t>
      </w:r>
      <w:r>
        <w:t xml:space="preserve"> Our preference is New York law for all three documents (Issue 20), with the seat as the principal trade (Issue 9 / Section VIII).</w:t>
      </w:r>
    </w:p>
    <w:p>
      <w:pPr>
        <w:pStyle w:val="ListBullet"/>
        <w:spacing w:after="60"/>
      </w:pPr>
      <w:r>
        <w:t xml:space="preserve">Add an express statement that the arbitration agreements in the Transaction Documents are </w:t>
      </w:r>
      <w:r>
        <w:rPr>
          <w:b/>
        </w:rPr>
        <w:t>compatible</w:t>
      </w:r>
      <w:r>
        <w:t xml:space="preserve"> and that claims under more than one Transaction Document may be brought in a single arbitration (ICC Art. 9) or consolidated (ICC Art. 10).</w:t>
      </w:r>
    </w:p>
    <w:p>
      <w:r>
        <w:rPr>
          <w:b/>
        </w:rPr>
        <w:t xml:space="preserve">Fallback position. </w:t>
      </w:r>
      <w:r>
        <w:t>If Pacifica insists on keeping separate clauses, require at a minimum (i) the same institution and seat in all three, (ii) an express consent to consolidation and to a single tribunal for related disputes, and (iii) a rule that the first-constituted tribunal decides any overlap question with binding effect.</w:t>
      </w:r>
    </w:p>
    <w:p>
      <w:pPr>
        <w:pStyle w:val="Heading3"/>
      </w:pPr>
      <w:r>
        <w:t>Issue 2: Circular precedence clauses</w:t>
      </w:r>
    </w:p>
    <w:tbl>
      <w:tblPr>
        <w:tblStyle w:val="TableGrid"/>
        <w:tblW w:type="auto" w:w="0"/>
        <w:tblLook w:firstColumn="1" w:firstRow="1" w:lastColumn="0" w:lastRow="0" w:noHBand="0" w:noVBand="1" w:val="04A0"/>
      </w:tblPr>
      <w:tblGrid>
        <w:gridCol w:w="4680"/>
        <w:gridCol w:w="4680"/>
      </w:tblGrid>
      <w:tr>
        <w:tc>
          <w:tcPr>
            <w:tcW w:type="dxa" w:w="2448"/>
            <w:shd w:val="clear" w:color="auto" w:fill="C00000"/>
          </w:tcPr>
          <w:p>
            <w:r/>
            <w:r>
              <w:rPr>
                <w:b/>
                <w:color w:val="FFFFFF"/>
                <w:sz w:val="19"/>
              </w:rPr>
              <w:t>Severity: Critical</w:t>
            </w:r>
          </w:p>
        </w:tc>
        <w:tc>
          <w:tcPr>
            <w:tcW w:type="dxa" w:w="6912"/>
          </w:tcPr>
          <w:p>
            <w:r/>
            <w:r>
              <w:rPr>
                <w:b/>
                <w:sz w:val="19"/>
              </w:rPr>
              <w:t>Provision(s): SA ss.3.3, 15.8; QA s.8.1; IPLA s.10.3</w:t>
            </w:r>
          </w:p>
        </w:tc>
      </w:tr>
      <w:tr>
        <w:tc>
          <w:tcPr>
            <w:tcW w:type="dxa" w:w="6912"/>
            <w:gridSpan w:val="2"/>
          </w:tcPr>
          <w:p>
            <w:r/>
            <w:r>
              <w:rPr>
                <w:i/>
                <w:sz w:val="18"/>
              </w:rPr>
              <w:t>SA s.15.8: "In the event of a conflict between the terms of this Agreement and the terms of the QA Side Letter or the IPLA, this Agreement shall control." QA s.8.1: the Supply Agreement controls, "provided, however, that with respect to the subject matters specifically addressed in this Side Letter - including ... the dispute resolution mechanism set forth in Section 7 - this Side Letter shall control." IPLA s.10.3: the Supply Agreement controls "except with respect to matters specifically and exclusively addressed by this Agreement."</w:t>
            </w:r>
          </w:p>
        </w:tc>
      </w:tr>
    </w:tbl>
    <w:p>
      <w:pPr>
        <w:spacing w:after="0"/>
      </w:pPr>
    </w:p>
    <w:p>
      <w:r>
        <w:rPr>
          <w:b/>
        </w:rPr>
        <w:t xml:space="preserve">The problem. </w:t>
      </w:r>
      <w:r>
        <w:t>Harmon &amp; Grey's memo (s.IV) says SA s.15.8 "establishes a clear hierarchy" ensuring "the SA's terms take precedence." It does not. The three clauses point in different directions:</w:t>
      </w:r>
    </w:p>
    <w:p>
      <w:pPr>
        <w:pStyle w:val="ListBullet"/>
        <w:spacing w:after="60"/>
      </w:pPr>
      <w:r>
        <w:t>SA s.15.8 says the SA always controls. QA s.8.1 says the QA Letter controls on dispute resolution. The two are irreconcilable for a quality dispute that falls within both SA s.14.1 ("any dispute ... relating to this Agreement") and QA s.7.1 ("exclusively by expert determination").</w:t>
      </w:r>
    </w:p>
    <w:p>
      <w:pPr>
        <w:pStyle w:val="ListBullet"/>
        <w:spacing w:after="60"/>
      </w:pPr>
      <w:r>
        <w:t>SA s.3.3 says that on conflicts over "quality standards, testing protocols, or related matters" the SA controls "subject to Section 15.8". That is circular, because s.15.8 is the same rule.</w:t>
      </w:r>
    </w:p>
    <w:p>
      <w:pPr>
        <w:pStyle w:val="ListBullet"/>
        <w:spacing w:after="60"/>
      </w:pPr>
      <w:r>
        <w:t>IPLA s.10.3 makes the SA control except for matters "specifically and exclusively addressed" by the IPLA. Pacifica will say dispute resolution for IPLA claims, including the s.9.3 joint-hearing rule, is "specifically and exclusively addressed" by the IPLA.</w:t>
      </w:r>
    </w:p>
    <w:p>
      <w:pPr>
        <w:pStyle w:val="ListBullet"/>
        <w:spacing w:after="60"/>
      </w:pPr>
      <w:r>
        <w:t>Each document is signed at the same time and "supplements" the others. A tribunal could equally apply the later-in-time, the more specific, or the governing-document rule. The answer will probably differ depending on which tribunal is asked first.</w:t>
      </w:r>
    </w:p>
    <w:p>
      <w:r>
        <w:rPr>
          <w:b/>
        </w:rPr>
        <w:t xml:space="preserve">Why it matters to Greenleaf. </w:t>
      </w:r>
      <w:r>
        <w:t>This is the clause on which any jurisdictional objection will turn. A Greenleaf ICC claim for defective product could face an objection that it belongs exclusively to SIAC expert determination. A Greenleaf SIAC claim could face the objection that SA s.15.8 sends it to the ICC. Either objection, if it fails, can be re-run at the set-aside stage (UNCITRAL Model Law Art. 34(2)(a)(iii)) or at enforcement (New York Convention Art. V(1)(c)). That is the "pathological clause" risk the client wants eliminated.</w:t>
      </w:r>
    </w:p>
    <w:p>
      <w:r>
        <w:rPr>
          <w:b/>
        </w:rPr>
        <w:t>Recommendation.</w:t>
      </w:r>
    </w:p>
    <w:p>
      <w:pPr>
        <w:pStyle w:val="ListBullet"/>
        <w:spacing w:after="60"/>
      </w:pPr>
      <w:r>
        <w:t>Adopt a single express hierarchy in all three documents. The unified dispute resolution clause governs every dispute under any Transaction Document and prevails over any inconsistent provision in any of them. Delete QA s.8.1's dispute resolution proviso and IPLA s.9.3, and conform IPLA s.10.3.</w:t>
      </w:r>
    </w:p>
    <w:p>
      <w:pPr>
        <w:pStyle w:val="ListBullet"/>
        <w:spacing w:after="60"/>
      </w:pPr>
      <w:r>
        <w:t>Delete the circular words "subject to Section 15.8" from SA s.3.3, and state expressly which document controls each substantive topic (e.g., the QA Letter controls testing protocols and the rejection/recall mechanics; the SA controls price, volume, exclusivity and liability).</w:t>
      </w:r>
    </w:p>
    <w:p>
      <w:pPr>
        <w:pStyle w:val="Heading3"/>
      </w:pPr>
      <w:r>
        <w:t>Issue 3: IPLA s.9.3 pulls Supply Agreement disputes into the LCIA</w:t>
      </w:r>
    </w:p>
    <w:tbl>
      <w:tblPr>
        <w:tblStyle w:val="TableGrid"/>
        <w:tblW w:type="auto" w:w="0"/>
        <w:tblLook w:firstColumn="1" w:firstRow="1" w:lastColumn="0" w:lastRow="0" w:noHBand="0" w:noVBand="1" w:val="04A0"/>
      </w:tblPr>
      <w:tblGrid>
        <w:gridCol w:w="4680"/>
        <w:gridCol w:w="4680"/>
      </w:tblGrid>
      <w:tr>
        <w:tc>
          <w:tcPr>
            <w:tcW w:type="dxa" w:w="2448"/>
            <w:shd w:val="clear" w:color="auto" w:fill="C00000"/>
          </w:tcPr>
          <w:p>
            <w:r/>
            <w:r>
              <w:rPr>
                <w:b/>
                <w:color w:val="FFFFFF"/>
                <w:sz w:val="19"/>
              </w:rPr>
              <w:t>Severity: Critical</w:t>
            </w:r>
          </w:p>
        </w:tc>
        <w:tc>
          <w:tcPr>
            <w:tcW w:type="dxa" w:w="6912"/>
          </w:tcPr>
          <w:p>
            <w:r/>
            <w:r>
              <w:rPr>
                <w:b/>
                <w:sz w:val="19"/>
              </w:rPr>
              <w:t>Provision(s): IPLA s.9.3 (with IPLA s.10.3; SA ss.14.1, 15.8)</w:t>
            </w:r>
          </w:p>
        </w:tc>
      </w:tr>
      <w:tr>
        <w:tc>
          <w:tcPr>
            <w:tcW w:type="dxa" w:w="6912"/>
            <w:gridSpan w:val="2"/>
          </w:tcPr>
          <w:p>
            <w:r/>
            <w:r>
              <w:rPr>
                <w:i/>
                <w:sz w:val="18"/>
              </w:rPr>
              <w:t>"For the avoidance of doubt, claims arising under this Agreement that also relate to obligations under the Supply Agreement shall be heard jointly in a single arbitration proceeding under this Section 9."</w:t>
            </w:r>
          </w:p>
        </w:tc>
      </w:tr>
    </w:tbl>
    <w:p>
      <w:pPr>
        <w:spacing w:after="0"/>
      </w:pPr>
    </w:p>
    <w:p>
      <w:r>
        <w:rPr>
          <w:b/>
        </w:rPr>
        <w:t xml:space="preserve">The problem. </w:t>
      </w:r>
      <w:r>
        <w:t>Section 9.3 is labelled a consolidation clause. In effect it moves disputes from one forum to another. Harmon &amp; Grey's memo (s.II.C) confirms that the intended result is a "single arbitration proceeding conducted under IPLA Section 9 and administered by the LCIA". Read with SA s.14.1, it creates a direct conflict:</w:t>
      </w:r>
    </w:p>
    <w:p>
      <w:pPr>
        <w:pStyle w:val="ListBullet"/>
        <w:spacing w:after="60"/>
      </w:pPr>
      <w:r>
        <w:t>Almost every IPLA claim "relates to" SA obligations. The license is granted for products "supplied under the Supply Agreement" (definition of Authorized Purpose). Its consideration is the SA minimum purchase commitment (IPLA s.2.1). It ends automatically when the SA ends (IPLA s.6.3). Section 2.2(d) prohibits using the Licensed IP to source from other suppliers, which overlaps the SA exclusivity provisions.</w:t>
      </w:r>
    </w:p>
    <w:p>
      <w:pPr>
        <w:pStyle w:val="ListBullet"/>
        <w:spacing w:after="60"/>
      </w:pPr>
      <w:r>
        <w:t>Section 9.3 gives Pacifica the option, by starting with an IPLA claim, to pull SA claims (the Shortfall Fee, the termination fee, exclusivity) into a London-seated LCIA arbitration under English law before a sole arbitrator. That is the opposite of what SA s.14.1 provides, and it would allow forum selection after a dispute has arisen.</w:t>
      </w:r>
    </w:p>
    <w:p>
      <w:pPr>
        <w:pStyle w:val="ListBullet"/>
        <w:spacing w:after="60"/>
      </w:pPr>
      <w:r>
        <w:t>Conversely, Greenleaf could face competing ICC and LCIA proceedings on the same facts. Each tribunal would decide its own jurisdiction (competence-competence), and the parties could end up seeking anti-suit or anti-arbitration relief. Because the IPLA is seated in London and the SA in Singapore, supervisory jurisdiction is split between the English and Singapore courts.</w:t>
      </w:r>
    </w:p>
    <w:p>
      <w:pPr>
        <w:pStyle w:val="ListBullet"/>
        <w:spacing w:after="60"/>
      </w:pPr>
      <w:r>
        <w:t>The clause also does not say which law, which costs rule (IPLA s.9.4 each party bears its own costs; SA s.14.8 loser pays) or which damages rule applies to the SA claims once they are inside the LCIA proceeding.</w:t>
      </w:r>
    </w:p>
    <w:p>
      <w:r>
        <w:rPr>
          <w:b/>
        </w:rPr>
        <w:t xml:space="preserve">Why it matters to Greenleaf. </w:t>
      </w:r>
      <w:r>
        <w:t>This is the most serious drafting risk in the package. It is a clause that Pacifica can use tactically and that undermines SA Article 14 entirely. It also contradicts Harmon &amp; Grey's own stated aim of clear, single-forum post-award review.</w:t>
      </w:r>
    </w:p>
    <w:p>
      <w:r>
        <w:rPr>
          <w:b/>
        </w:rPr>
        <w:t>Recommendation.</w:t>
      </w:r>
    </w:p>
    <w:p>
      <w:pPr>
        <w:pStyle w:val="ListBullet"/>
        <w:spacing w:after="60"/>
      </w:pPr>
      <w:r>
        <w:t>Delete IPLA s.9.3.</w:t>
      </w:r>
    </w:p>
    <w:p>
      <w:pPr>
        <w:pStyle w:val="ListBullet"/>
        <w:spacing w:after="60"/>
      </w:pPr>
      <w:r>
        <w:t xml:space="preserve">Replace it with the unified clause's multi-contract and consolidation consent, so that related IPLA and SA claims are heard together </w:t>
      </w:r>
      <w:r>
        <w:rPr>
          <w:b/>
        </w:rPr>
        <w:t>in one ICC arbitration</w:t>
      </w:r>
      <w:r>
        <w:t xml:space="preserve"> under the same rules, seat and law.</w:t>
      </w:r>
    </w:p>
    <w:p>
      <w:r>
        <w:rPr>
          <w:b/>
        </w:rPr>
        <w:t xml:space="preserve">Fallback position. </w:t>
      </w:r>
      <w:r>
        <w:t>If Pacifica insists on keeping the LCIA for pure IP-misuse claims (an outcome we do not recommend), s.9.3 must be reversed so that IPLA claims connected with the SA are heard in the ICC arbitration under SA Art. 14. The IPLA should not be able to absorb SA claims.</w:t>
      </w:r>
    </w:p>
    <w:p>
      <w:pPr>
        <w:pStyle w:val="Heading3"/>
      </w:pPr>
      <w:r>
        <w:t>Issue 4: No joinder, consolidation or third-party mechanism (co-manufacturers; Ridgeway)</w:t>
      </w:r>
    </w:p>
    <w:tbl>
      <w:tblPr>
        <w:tblStyle w:val="TableGrid"/>
        <w:tblW w:type="auto" w:w="0"/>
        <w:tblLook w:firstColumn="1" w:firstRow="1" w:lastColumn="0" w:lastRow="0" w:noHBand="0" w:noVBand="1" w:val="04A0"/>
      </w:tblPr>
      <w:tblGrid>
        <w:gridCol w:w="4680"/>
        <w:gridCol w:w="4680"/>
      </w:tblGrid>
      <w:tr>
        <w:tc>
          <w:tcPr>
            <w:tcW w:type="dxa" w:w="2448"/>
            <w:shd w:val="clear" w:color="auto" w:fill="C00000"/>
          </w:tcPr>
          <w:p>
            <w:r/>
            <w:r>
              <w:rPr>
                <w:b/>
                <w:color w:val="FFFFFF"/>
                <w:sz w:val="19"/>
              </w:rPr>
              <w:t>Severity: Critical</w:t>
            </w:r>
          </w:p>
        </w:tc>
        <w:tc>
          <w:tcPr>
            <w:tcW w:type="dxa" w:w="6912"/>
          </w:tcPr>
          <w:p>
            <w:r/>
            <w:r>
              <w:rPr>
                <w:b/>
                <w:sz w:val="19"/>
              </w:rPr>
              <w:t>Provision(s): SA Art. 14; QA s.7; IPLA s.9; Greenleaf co-manufacturer purchase orders (not reviewed)</w:t>
            </w:r>
          </w:p>
        </w:tc>
      </w:tr>
      <w:tr>
        <w:tc>
          <w:tcPr>
            <w:tcW w:type="dxa" w:w="6912"/>
            <w:gridSpan w:val="2"/>
          </w:tcPr>
          <w:p>
            <w:r/>
            <w:r>
              <w:rPr>
                <w:i/>
                <w:sz w:val="18"/>
              </w:rPr>
              <w:t>None of the three clauses contains any consent to joinder of additional parties, intervention or consolidation with proceedings involving third parties. SA s.15.9 and IPLA s.10.8 exclude third-party beneficiaries.</w:t>
            </w:r>
          </w:p>
        </w:tc>
      </w:tr>
    </w:tbl>
    <w:p>
      <w:pPr>
        <w:spacing w:after="0"/>
      </w:pPr>
    </w:p>
    <w:p>
      <w:r>
        <w:rPr>
          <w:b/>
        </w:rPr>
        <w:t xml:space="preserve">The problem. </w:t>
      </w:r>
      <w:r>
        <w:t>Greenleaf's model depends on U.S. co-manufacturers for blending, encapsulation and packaging. The email chain notes that the existing co-manufacturer arrangements use purchase orders with North Carolina choice of law and forum selection for NC state courts, and that a new encapsulation co-manufacturer is expected to come online in Q1 2026.</w:t>
      </w:r>
    </w:p>
    <w:p>
      <w:pPr>
        <w:pStyle w:val="ListBullet"/>
        <w:spacing w:after="60"/>
      </w:pPr>
      <w:r>
        <w:t>In a contamination scenario (Mr. Heller's example: a bad curcumin batch processed into 500,000 capsules), Greenleaf will need to blame Pacifica's extraction process and the co-manufacturer's incoming QC at the same time. Under the current documents it would arbitrate against Pacifica (ICC, Singapore seat, London hearings, or SIAC) while suing the co-manufacturer in Mecklenburg County Superior Court. Each respondent would argue the other caused the loss. Greenleaf could lose in both forums on inconsistent findings ("empty chair" risk).</w:t>
      </w:r>
    </w:p>
    <w:p>
      <w:pPr>
        <w:pStyle w:val="ListBullet"/>
        <w:spacing w:after="60"/>
      </w:pPr>
      <w:r>
        <w:t>Under ICC Rules Art. 7, an additional party can be joined only if it is bound by an arbitration agreement, or (after the tribunal is constituted) if all parties, including the additional party, agree (Art. 7(5)). The co-manufacturers have no arbitration agreement with Pacifica and no incentive to consent. The QA expert determination binds only Greenleaf and Pacifica, so its findings would not bind a co-manufacturer.</w:t>
      </w:r>
    </w:p>
    <w:p>
      <w:pPr>
        <w:pStyle w:val="ListBullet"/>
        <w:spacing w:after="60"/>
      </w:pPr>
      <w:r>
        <w:t>Ridgeway (about 62% equity holder; an "Affiliate" of Greenleaf under the IPLA definition) has no mechanism to participate. Mr. Park describes this as a secondary concern. We agree: Ridgeway's interests are better protected through confidentiality carve-outs (Issue 15) and governance arrangements with Greenleaf than through a right to intervene.</w:t>
      </w:r>
    </w:p>
    <w:p>
      <w:r>
        <w:rPr>
          <w:b/>
        </w:rPr>
        <w:t xml:space="preserve">Why it matters to Greenleaf. </w:t>
      </w:r>
      <w:r>
        <w:t>This is client priority 2 and goes to the core of Greenleaf's most likely loss scenario. Parallel proceedings duplicate cost and evidence-gathering. They also expose Greenleaf to findings in one forum that defeat its claim in the other.</w:t>
      </w:r>
    </w:p>
    <w:p>
      <w:r>
        <w:rPr>
          <w:b/>
        </w:rPr>
        <w:t>Recommendation.</w:t>
      </w:r>
    </w:p>
    <w:p>
      <w:pPr>
        <w:pStyle w:val="ListBullet"/>
        <w:spacing w:after="60"/>
      </w:pPr>
      <w:r>
        <w:rPr>
          <w:b/>
        </w:rPr>
        <w:t>Consent to joinder and consolidation.</w:t>
      </w:r>
      <w:r>
        <w:t xml:space="preserve"> Pacifica consents, in advance, to the joinder of any Affiliate of either party and of any "Related Party" (Greenleaf's co-manufacturers, contract packagers, contract laboratories and carriers) that agrees in writing to be bound. It also consents to consolidation of an arbitration under the Transaction Documents with any arbitration between Greenleaf and a Related Party under a compatible ICC clause, before a single tribunal.</w:t>
      </w:r>
    </w:p>
    <w:p>
      <w:pPr>
        <w:pStyle w:val="ListBullet"/>
        <w:spacing w:after="60"/>
      </w:pPr>
      <w:r>
        <w:rPr>
          <w:b/>
        </w:rPr>
        <w:t>Greenleaf litigation option for multi-party quality disputes.</w:t>
      </w:r>
      <w:r>
        <w:t xml:space="preserve"> Where a claim by Greenleaf against Pacifica arises from the same facts as a claim against a Related Party that is not bound to arbitrate, Greenleaf may elect (within 30 days of the Request for Arbitration or Answer) to have that dispute decided in the state or federal courts sitting in Mecklenburg County, North Carolina (or New York County, New York), and Pacifica submits to that jurisdiction and appoints a U.S. process agent. Singapore and New York courts generally uphold asymmetric option clauses between commercial parties (e.g., Dyna-Jet Pte Ltd v Wilson Taylor Asia Pacific Pte Ltd [2017] SGCA 32), but the clause must be drafted precisely.</w:t>
      </w:r>
    </w:p>
    <w:p>
      <w:pPr>
        <w:pStyle w:val="ListBullet"/>
        <w:spacing w:after="60"/>
      </w:pPr>
      <w:r>
        <w:rPr>
          <w:b/>
        </w:rPr>
        <w:t>Evidence-sharing covenant.</w:t>
      </w:r>
      <w:r>
        <w:t xml:space="preserve"> Pacifica agrees to provide documents, retained samples (QA s.2.3) and witness cooperation in any proceeding between Greenleaf and a Related Party concerning Products, subject to confidentiality protections.</w:t>
      </w:r>
    </w:p>
    <w:p>
      <w:pPr>
        <w:pStyle w:val="ListBullet"/>
        <w:spacing w:after="60"/>
      </w:pPr>
      <w:r>
        <w:rPr>
          <w:b/>
        </w:rPr>
        <w:t>Greenleaf internal action.</w:t>
      </w:r>
      <w:r>
        <w:t xml:space="preserve"> Going forward, including for the Q1 2026 encapsulation co-manufacturer, require co-manufacturing agreements to contain an ICC arbitration clause compatible with the unified clause (same rules, seat and language) and an express consent to joinder and consolidation with arbitrations under the Pacifica Transaction Documents. Consider amending existing co-manufacturer purchase orders on renewal.</w:t>
      </w:r>
    </w:p>
    <w:p>
      <w:r>
        <w:rPr>
          <w:b/>
        </w:rPr>
        <w:t xml:space="preserve">Fallback position. </w:t>
      </w:r>
      <w:r>
        <w:t>If Pacifica refuses the litigation option, insist on (i) the advance joinder/consolidation consent; (ii) a covenant that Pacifica will not object to the tribunal sitting on the same timetable as, or coordinating with, the related court proceeding; and (iii) Pacifica's agreement to be bound by findings of the technical expert (Section VII) that are also put before the court.</w:t>
      </w:r>
    </w:p>
    <w:p>
      <w:pPr>
        <w:pStyle w:val="Heading2"/>
      </w:pPr>
      <w:r>
        <w:t>B. Supply Agreement - Article 14</w:t>
      </w:r>
    </w:p>
    <w:p>
      <w:pPr>
        <w:pStyle w:val="Heading3"/>
      </w:pPr>
      <w:r>
        <w:t>Issue 5: Appeal on questions of law to the High Court of Singapore</w:t>
      </w:r>
    </w:p>
    <w:tbl>
      <w:tblPr>
        <w:tblStyle w:val="TableGrid"/>
        <w:tblW w:type="auto" w:w="0"/>
        <w:tblLook w:firstColumn="1" w:firstRow="1" w:lastColumn="0" w:lastRow="0" w:noHBand="0" w:noVBand="1" w:val="04A0"/>
      </w:tblPr>
      <w:tblGrid>
        <w:gridCol w:w="4680"/>
        <w:gridCol w:w="4680"/>
      </w:tblGrid>
      <w:tr>
        <w:tc>
          <w:tcPr>
            <w:tcW w:type="dxa" w:w="2448"/>
            <w:shd w:val="clear" w:color="auto" w:fill="C00000"/>
          </w:tcPr>
          <w:p>
            <w:r/>
            <w:r>
              <w:rPr>
                <w:b/>
                <w:color w:val="FFFFFF"/>
                <w:sz w:val="19"/>
              </w:rPr>
              <w:t>Severity: Critical</w:t>
            </w:r>
          </w:p>
        </w:tc>
        <w:tc>
          <w:tcPr>
            <w:tcW w:type="dxa" w:w="6912"/>
          </w:tcPr>
          <w:p>
            <w:r/>
            <w:r>
              <w:rPr>
                <w:b/>
                <w:sz w:val="19"/>
              </w:rPr>
              <w:t>Provision(s): SA s.14.6</w:t>
            </w:r>
          </w:p>
        </w:tc>
      </w:tr>
      <w:tr>
        <w:tc>
          <w:tcPr>
            <w:tcW w:type="dxa" w:w="6912"/>
            <w:gridSpan w:val="2"/>
          </w:tcPr>
          <w:p>
            <w:r/>
            <w:r>
              <w:rPr>
                <w:i/>
                <w:sz w:val="18"/>
              </w:rPr>
              <w:t>"The arbitral award shall be final and binding, and judgment upon the award may be entered in any court of competent jurisdiction. Notwithstanding the foregoing, either party may appeal the award on questions of law to the High Court of Singapore."</w:t>
            </w:r>
          </w:p>
        </w:tc>
      </w:tr>
    </w:tbl>
    <w:p>
      <w:pPr>
        <w:spacing w:after="0"/>
      </w:pPr>
    </w:p>
    <w:p>
      <w:r>
        <w:rPr>
          <w:b/>
        </w:rPr>
        <w:t xml:space="preserve">The problem. </w:t>
      </w:r>
      <w:r>
        <w:t>Section 14.6 contradicts itself, conflicts with the ICC Rules and, on our understanding of Singapore law, cannot work at a Singapore seat:</w:t>
      </w:r>
    </w:p>
    <w:p>
      <w:pPr>
        <w:pStyle w:val="ListBullet"/>
        <w:spacing w:after="60"/>
      </w:pPr>
      <w:r>
        <w:rPr>
          <w:b/>
        </w:rPr>
        <w:t>Internal contradiction.</w:t>
      </w:r>
      <w:r>
        <w:t xml:space="preserve"> The award is "final and binding" and yet appealable "notwithstanding the foregoing". A losing party will argue that the award is not "binding" while an appeal is available or pending. That is a ground for refusing enforcement under New York Convention Art. V(1)(e). Even if the argument fails, it invites the kind of delay Pacifica suffered in Korea.</w:t>
      </w:r>
    </w:p>
    <w:p>
      <w:pPr>
        <w:pStyle w:val="ListBullet"/>
        <w:spacing w:after="60"/>
      </w:pPr>
      <w:r>
        <w:rPr>
          <w:b/>
        </w:rPr>
        <w:t>Conflict with the ICC Rules.</w:t>
      </w:r>
      <w:r>
        <w:t xml:space="preserve"> ICC Rules Art. 35(6) provides that the parties "shall be deemed to have waived their right to any form of recourse insofar as such waiver can validly be made". The clause both adopts the ICC Rules (s.14.1) and expressly preserves a recourse they waive.</w:t>
      </w:r>
    </w:p>
    <w:p>
      <w:pPr>
        <w:pStyle w:val="ListBullet"/>
        <w:spacing w:after="60"/>
      </w:pPr>
      <w:r>
        <w:rPr>
          <w:b/>
        </w:rPr>
        <w:t>Singapore curial law.</w:t>
      </w:r>
      <w:r>
        <w:t xml:space="preserve"> An ICC arbitration between a Singapore company and a Delaware company is an "international" arbitration governed by the International Arbitration Act 1994 (2020 Rev. Ed.) ("IAA"), which gives the Model Law force of law. Under the IAA, the award is final and binding (s.19B), and recourse is limited to setting aside on the Model Law Art. 34 grounds and IAA s.24. Our understanding is that the IAA, unlike the domestic Arbitration Act 2001 (s.49), does not provide for an appeal on a question of law, and that parties cannot create court jurisdiction by contract. The Ministry of Law publicly consulted in 2022 on introducing an opt-in appeal on questions of law for international arbitrations. </w:t>
      </w:r>
      <w:r>
        <w:rPr>
          <w:b/>
        </w:rPr>
        <w:t>Singapore counsel must confirm whether any such mechanism has been enacted</w:t>
      </w:r>
      <w:r>
        <w:t xml:space="preserve"> before Greenleaf takes a final position.</w:t>
      </w:r>
    </w:p>
    <w:p>
      <w:pPr>
        <w:pStyle w:val="ListBullet"/>
        <w:spacing w:after="60"/>
      </w:pPr>
      <w:r>
        <w:rPr>
          <w:b/>
        </w:rPr>
        <w:t>A worse alternative.</w:t>
      </w:r>
      <w:r>
        <w:t xml:space="preserve"> Pacifica could argue that s.14.6 is an agreement "that the Model Law or [Part II of the IAA] shall not apply" (IAA s.15), so that the domestic Arbitration Act (with its broader court supervision) governs. That would increase court intervention and add uncertainty about which statute governs the arbitration.</w:t>
      </w:r>
    </w:p>
    <w:p>
      <w:pPr>
        <w:pStyle w:val="ListBullet"/>
        <w:spacing w:after="60"/>
      </w:pPr>
      <w:r>
        <w:rPr>
          <w:b/>
        </w:rPr>
        <w:t>Harmon &amp; Grey's rationale does not hold up.</w:t>
      </w:r>
      <w:r>
        <w:t xml:space="preserve"> The memo says s.14.6 is "modeled on ... Section 69" of the English Arbitration Act 1996. Section 69 is English curial law. It applies only to English-seated arbitrations and is usually excluded by institutional rules. It has no application to a Singapore seat. The memo also says the appeal "channels post-award review to a single, predictable forum". It does not, because enforcement-stage challenges under the New York Convention remain available in every enforcing state regardless. And in U.S. practice, contractual expansion of judicial review is unenforceable for awards under the FAA (Hall Street Associates, L.L.C. v. Mattel, Inc., 552 U.S. 576 (2008)). That increases the risk that a U.S. court treats the clause as defective.</w:t>
      </w:r>
    </w:p>
    <w:p>
      <w:r>
        <w:rPr>
          <w:b/>
        </w:rPr>
        <w:t xml:space="preserve">Why it matters to Greenleaf. </w:t>
      </w:r>
      <w:r>
        <w:t>Section 14.6 is the clearest "pathological" feature in the package and the kind of clause that produced Pacifica's 14-month enforcement delay. An appeal right also adds a further round of litigation in Singapore, a forum where Pacifica is at home, to any award Greenleaf wins. The worst case is that the clause is held invalid and severability (SA s.15.5) is argued to infect the arbitration agreement as a whole.</w:t>
      </w:r>
    </w:p>
    <w:p>
      <w:r>
        <w:rPr>
          <w:b/>
        </w:rPr>
        <w:t>Recommendation.</w:t>
      </w:r>
    </w:p>
    <w:p>
      <w:pPr>
        <w:pStyle w:val="ListBullet"/>
        <w:spacing w:after="60"/>
      </w:pPr>
      <w:r>
        <w:t>Delete the second sentence of s.14.6.</w:t>
      </w:r>
    </w:p>
    <w:p>
      <w:pPr>
        <w:pStyle w:val="ListBullet"/>
        <w:spacing w:after="60"/>
      </w:pPr>
      <w:r>
        <w:t>Restate finality: the award is final and binding; the parties waive any right of appeal or recourse to any court on a question of law, to the extent such waiver may validly be made; judgment may be entered and enforcement sought in any court having jurisdiction, and Pacifica expressly submits to the jurisdiction of the New York, North Carolina, Delaware and Singapore courts for that purpose (Issue 24).</w:t>
      </w:r>
    </w:p>
    <w:p>
      <w:r>
        <w:rPr>
          <w:b/>
        </w:rPr>
        <w:t xml:space="preserve">Fallback position. </w:t>
      </w:r>
      <w:r>
        <w:t>There is no acceptable fallback that keeps an appeal right. If Pacifica wants a check on legal error, offer a three-member tribunal for claims above US$5 million (Issue 10) and ICC scrutiny of the draft award (ICC Rules Art. 34), which is already included.</w:t>
      </w:r>
    </w:p>
    <w:p>
      <w:pPr>
        <w:pStyle w:val="Heading3"/>
      </w:pPr>
      <w:r>
        <w:t>Issue 6: Consequential damages bar on the tribunal's authority</w:t>
      </w:r>
    </w:p>
    <w:tbl>
      <w:tblPr>
        <w:tblStyle w:val="TableGrid"/>
        <w:tblW w:type="auto" w:w="0"/>
        <w:tblLook w:firstColumn="1" w:firstRow="1" w:lastColumn="0" w:lastRow="0" w:noHBand="0" w:noVBand="1" w:val="04A0"/>
      </w:tblPr>
      <w:tblGrid>
        <w:gridCol w:w="4680"/>
        <w:gridCol w:w="4680"/>
      </w:tblGrid>
      <w:tr>
        <w:tc>
          <w:tcPr>
            <w:tcW w:type="dxa" w:w="2448"/>
            <w:shd w:val="clear" w:color="auto" w:fill="C00000"/>
          </w:tcPr>
          <w:p>
            <w:r/>
            <w:r>
              <w:rPr>
                <w:b/>
                <w:color w:val="FFFFFF"/>
                <w:sz w:val="19"/>
              </w:rPr>
              <w:t>Severity: Critical</w:t>
            </w:r>
          </w:p>
        </w:tc>
        <w:tc>
          <w:tcPr>
            <w:tcW w:type="dxa" w:w="6912"/>
          </w:tcPr>
          <w:p>
            <w:r/>
            <w:r>
              <w:rPr>
                <w:b/>
                <w:sz w:val="19"/>
              </w:rPr>
              <w:t>Provision(s): SA s.14.11 (with ss.11.1, 11.2, 10.1; QA ss.6.1, 6.6, 7.2)</w:t>
            </w:r>
          </w:p>
        </w:tc>
      </w:tr>
      <w:tr>
        <w:tc>
          <w:tcPr>
            <w:tcW w:type="dxa" w:w="6912"/>
            <w:gridSpan w:val="2"/>
          </w:tcPr>
          <w:p>
            <w:r/>
            <w:r>
              <w:rPr>
                <w:i/>
                <w:sz w:val="18"/>
              </w:rPr>
              <w:t>s.14.11: "The arbitral tribunal shall not have the authority to award punitive, exemplary, or consequential damages." s.11.2: "EXCEPT FOR INDEMNIFICATION OBLIGATIONS UNDER ARTICLE 10, NEITHER PARTY SHALL BE LIABLE ... FOR ANY INDIRECT, INCIDENTAL, SPECIAL, CONSEQUENTIAL, OR PUNITIVE DAMAGES, INCLUDING LOST PROFITS, LOST REVENUE ... COST OF PROCUREMENT OF SUBSTITUTE GOODS ... OR DAMAGE TO REPUTATION OR GOODWILL ..." QA s.6.6: nothing in s.6 limits Greenleaf's rights to consequential damages "except to the extent expressly limited by ... Article 14 of the Supply Agreement."</w:t>
            </w:r>
          </w:p>
        </w:tc>
      </w:tr>
    </w:tbl>
    <w:p>
      <w:pPr>
        <w:spacing w:after="0"/>
      </w:pPr>
    </w:p>
    <w:p>
      <w:r>
        <w:rPr>
          <w:b/>
        </w:rPr>
        <w:t xml:space="preserve">The problem. </w:t>
      </w:r>
      <w:r>
        <w:t>Greenleaf's management has said this is a walk-away item. Mr. Heller wrote: "I'd rather walk away from the deal than sign a blanket consequential damages waiver". The drafting creates four separate problems:</w:t>
      </w:r>
    </w:p>
    <w:p>
      <w:pPr>
        <w:pStyle w:val="ListBullet"/>
        <w:spacing w:after="60"/>
      </w:pPr>
      <w:r>
        <w:rPr>
          <w:b/>
        </w:rPr>
        <w:t>It limits jurisdiction, not just liability.</w:t>
      </w:r>
      <w:r>
        <w:t xml:space="preserve"> Section 14.11 removes the tribunal's "authority" rather than setting out a substantive rule of recovery. Any award that includes an item Pacifica characterises as consequential (for example, recall costs or replacement-sourcing costs) can then be attacked as outside the tribunal's mandate: Model Law Art. 34(2)(a)(iii) at the seat, and New York Convention Art. V(1)(c) at enforcement. A substantive limitation is reviewed only for error, which is not a ground of challenge. A jurisdictional limitation can be re-litigated. The drafting therefore creates exactly the post-award challenge risk Pacifica says it wants to avoid.</w:t>
      </w:r>
    </w:p>
    <w:p>
      <w:pPr>
        <w:pStyle w:val="ListBullet"/>
        <w:spacing w:after="60"/>
      </w:pPr>
      <w:r>
        <w:rPr>
          <w:b/>
        </w:rPr>
        <w:t>It conflicts with SA s.11.2.</w:t>
      </w:r>
      <w:r>
        <w:t xml:space="preserve"> Section 11.2 carves indemnification out of the consequential damages exclusion. Section 14.11 has no carve-out. A claim under SA s.10.1 for a third-party product-liability or recall loss (often consequential in character) may be recoverable under s.11.2 but beyond the tribunal's authority under s.14.11. The SA has no general order-of-precedence rule within the agreement, so the result is unclear.</w:t>
      </w:r>
    </w:p>
    <w:p>
      <w:pPr>
        <w:pStyle w:val="ListBullet"/>
        <w:spacing w:after="60"/>
      </w:pPr>
      <w:r>
        <w:rPr>
          <w:b/>
        </w:rPr>
        <w:t>It conflicts with the QA Letter.</w:t>
      </w:r>
      <w:r>
        <w:t xml:space="preserve"> QA s.7.2 gives the SIAC tribunal authority "to award any remedy or relief available under applicable law, including ... damages". QA s.6.6 preserves consequential damages "except to the extent expressly limited by ... Article 14", which implicitly concedes that s.14.11 reaches QA claims. QA s.8.1 then says the QA Letter controls on dispute resolution. The documents do not tell a tribunal which rule applies to a recall claim.</w:t>
      </w:r>
    </w:p>
    <w:p>
      <w:pPr>
        <w:pStyle w:val="ListBullet"/>
        <w:spacing w:after="60"/>
      </w:pPr>
      <w:r>
        <w:rPr>
          <w:b/>
        </w:rPr>
        <w:t>On substance, the waiver removes most of Greenleaf's real exposure.</w:t>
      </w:r>
      <w:r>
        <w:t xml:space="preserve"> Mr. Park's portfolio example (US$1.8 million direct vs more than US$14 million consequential in an FDA Class II recall) shows the pattern. Under New York law, lost profits on collateral or downstream business are typically treated as consequential and recoverable only if contemplated at contracting (Kenford Co. v. County of Erie, 67 N.Y.2d 257 (1986)). In Biotronik A.G. v. Conor Medsystems Ireland, Ltd., 22 N.Y.3d 799 (2014), the Court of Appeals held that lost resale profits under an exclusive distribution agreement can be general (direct) damages. But s.11.2 expressly names "lost profits" and "cost of procurement of substitute goods" as excluded, which removes that argument. Exclusivity (SA s.2.1) makes this worse: Greenleaf has no alternative source and pays cover costs at market. QA s.6.1 helps by labelling the listed recall costs "direct", but s.14.11 and s.11.2 invite the argument that the labelling cannot enlarge the tribunal's authority.</w:t>
      </w:r>
    </w:p>
    <w:p>
      <w:pPr>
        <w:pStyle w:val="ListBullet"/>
        <w:spacing w:after="60"/>
      </w:pPr>
      <w:r>
        <w:rPr>
          <w:b/>
        </w:rPr>
        <w:t>The waiver is not mutual in effect.</w:t>
      </w:r>
      <w:r>
        <w:t xml:space="preserve"> Harmon &amp; Grey calls the waiver "mutual". Pacifica's principal remedies (price, Shortfall Fee, termination fee) are direct debts and are also excluded from the s.11.1 cap (s.11.1(d)). Greenleaf's principal remedies are consequential. A "mutual" waiver therefore costs Pacifica almost nothing and costs Greenleaf most of its recovery.</w:t>
      </w:r>
    </w:p>
    <w:p>
      <w:r>
        <w:rPr>
          <w:b/>
        </w:rPr>
        <w:t xml:space="preserve">Why it matters to Greenleaf. </w:t>
      </w:r>
      <w:r>
        <w:t>Over a possible 13-year relationship (through July 31, 2038, per SA s.13.2) and US$178 million or more of commitments, with Greenleaf's curcumin and ashwagandha lines built around Pacifica's extracts, the waiver gives Pacifica little reason to avoid supply disruption. As Mr. Heller put it, it gives Pacifica "a free pass to disrupt our business". New York public policy would not let Pacifica rely on the exclusion for gross negligence or intentional wrongdoing (Kalisch-Jarcho, Inc. v. City of New York, 58 N.Y.2d 377 (1983); Sommer v. Federal Signal Corp., 79 N.Y.2d 540 (1992)). That is a narrow and litigation-heavy safety valve, not a substitute for negotiated carve-outs.</w:t>
      </w:r>
    </w:p>
    <w:p>
      <w:r>
        <w:rPr>
          <w:b/>
        </w:rPr>
        <w:t>Recommendation.</w:t>
      </w:r>
    </w:p>
    <w:p>
      <w:pPr>
        <w:pStyle w:val="ListBullet"/>
        <w:spacing w:after="60"/>
      </w:pPr>
      <w:r>
        <w:rPr>
          <w:b/>
        </w:rPr>
        <w:t>Delete s.14.11 in its entirety.</w:t>
      </w:r>
      <w:r>
        <w:t xml:space="preserve"> Remedy limitations belong in Article 11 as substantive terms, not as limits on the tribunal's authority. The unified clause should state that the tribunal may award any remedy available under the governing law, subject only to the substantive limitations in the Transaction Documents.</w:t>
      </w:r>
    </w:p>
    <w:p>
      <w:pPr>
        <w:pStyle w:val="ListBullet"/>
        <w:spacing w:after="60"/>
      </w:pPr>
      <w:r>
        <w:rPr>
          <w:b/>
        </w:rPr>
        <w:t>Restructure s.11.2</w:t>
      </w:r>
      <w:r>
        <w:t xml:space="preserve"> so that the exclusion does not apply to: (a) Recall costs and expenses of the kinds listed in QA s.6.1, expressly deemed direct damages; (b) cover and substitute-procurement costs and lost profits resulting from Supplier's failure to supply (including breach of exclusivity under s.2.1, or wrongful rejection of or failure to fill purchase orders under ss.4.1/6.2); (c) amounts payable to third parties (customers, retailers, consumers, regulators), including retailer chargebacks and penalties, arising from Defective Product; (d) breach of confidentiality or misuse of the other party's IP; (e) indemnification obligations under Article 10; and (f) fraud, gross negligence or willful misconduct, including intentional abandonment of supply.</w:t>
      </w:r>
    </w:p>
    <w:p>
      <w:pPr>
        <w:pStyle w:val="ListBullet"/>
        <w:spacing w:after="60"/>
      </w:pPr>
      <w:r>
        <w:t>Keep the mutual punitive and exemplary damages waiver. Mr. Park confirms that is acceptable to Ridgeway.</w:t>
      </w:r>
    </w:p>
    <w:p>
      <w:pPr>
        <w:pStyle w:val="ListBullet"/>
        <w:spacing w:after="60"/>
      </w:pPr>
      <w:r>
        <w:t>Conform QA s.6.6 (delete the reference to Article 14) and QA s.7.2.</w:t>
      </w:r>
    </w:p>
    <w:p>
      <w:r>
        <w:rPr>
          <w:b/>
        </w:rPr>
        <w:t xml:space="preserve">Fallback position. </w:t>
      </w:r>
      <w:r>
        <w:t xml:space="preserve">If Pacifica will not accept the carve-outs uncapped, replace the waiver for categories (a)-(c) with a dedicated </w:t>
      </w:r>
      <w:r>
        <w:rPr>
          <w:b/>
        </w:rPr>
        <w:t>super-cap</w:t>
      </w:r>
      <w:r>
        <w:t xml:space="preserve"> (for example, the greater of US$[•] and [2.0]x the amounts paid or payable in the preceding 12 months), outside the general s.11.1 cap. Pair it with an increase in Pacifica's product-liability and recall insurance (currently US$10 million per occurrence / US$20 million aggregate under QA s.6.5; note SA s.9.3(c) imposes the same limits on Greenleaf) to at least the super-cap amount, with Greenleaf named as additional insured. Categories (d)-(f) should remain uncapped. </w:t>
      </w:r>
      <w:r>
        <w:rPr>
          <w:b/>
        </w:rPr>
        <w:t>Escalate to Mr. Heller before accepting any position below the carve-outs for recall costs, cover costs and third-party claims.</w:t>
      </w:r>
    </w:p>
    <w:p>
      <w:pPr>
        <w:pStyle w:val="Heading3"/>
      </w:pPr>
      <w:r>
        <w:t>Issue 7: Total prohibition on discovery</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SA s.14.5</w:t>
            </w:r>
          </w:p>
        </w:tc>
      </w:tr>
      <w:tr>
        <w:tc>
          <w:tcPr>
            <w:tcW w:type="dxa" w:w="6912"/>
            <w:gridSpan w:val="2"/>
          </w:tcPr>
          <w:p>
            <w:r/>
            <w:r>
              <w:rPr>
                <w:i/>
                <w:sz w:val="18"/>
              </w:rPr>
              <w:t>"No discovery shall be permitted in the arbitration. Each party shall have the right to present documentary evidence and witness testimony at the hearing."</w:t>
            </w:r>
          </w:p>
        </w:tc>
      </w:tr>
    </w:tbl>
    <w:p>
      <w:pPr>
        <w:spacing w:after="0"/>
      </w:pPr>
    </w:p>
    <w:p>
      <w:r>
        <w:rPr>
          <w:b/>
        </w:rPr>
        <w:t xml:space="preserve">The problem. </w:t>
      </w:r>
      <w:r>
        <w:t>The evidence needed to prove a contamination or adulteration claim (batch manufacturing records, raw-material sourcing, out-of-specification investigations, laboratory data, retained samples, deviation reports and process changes) is in Pacifica's possession in Singapore. Greenleaf will have its own incoming test results and little else.</w:t>
      </w:r>
    </w:p>
    <w:p>
      <w:pPr>
        <w:pStyle w:val="ListBullet"/>
        <w:spacing w:after="60"/>
      </w:pPr>
      <w:r>
        <w:rPr>
          <w:b/>
        </w:rPr>
        <w:t>Text vs Harmon &amp; Grey's description.</w:t>
      </w:r>
      <w:r>
        <w:t xml:space="preserve"> The memo describes s.14.5 as barring only "pre-hearing discovery, disclosure, or document production of any kind ... ordered by the tribunal or requested by the parties", and says the restriction applies "solely to compelled pre-hearing production". The text is broader: "No discovery shall be permitted in the arbitration", with no time limit. It is likely to be read as removing the tribunal's power to order production at any stage. That would displace ICC Rules Art. 25(1) and (5) and the tribunal's powers under IAA s.12(1)(b) to order "discovery of documents".</w:t>
      </w:r>
    </w:p>
    <w:p>
      <w:pPr>
        <w:pStyle w:val="ListBullet"/>
        <w:spacing w:after="60"/>
      </w:pPr>
      <w:r>
        <w:rPr>
          <w:b/>
        </w:rPr>
        <w:t>Harmon &amp; Grey's appeal to the IBA Rules does not support the clause.</w:t>
      </w:r>
      <w:r>
        <w:t xml:space="preserve"> The IBA Rules on the Taking of Evidence (2020) provide for *targeted* document production (Art. 3), not for none. International practice is narrow production, not a prohibition. The memo's statement that Greenleaf shares Pacifica's "strongly held view" is not correct; Ms. Matsuda's July 1 email says the opposite.</w:t>
      </w:r>
    </w:p>
    <w:p>
      <w:pPr>
        <w:pStyle w:val="ListBullet"/>
        <w:spacing w:after="60"/>
      </w:pPr>
      <w:r>
        <w:rPr>
          <w:b/>
        </w:rPr>
        <w:t>No U.S. workaround.</w:t>
      </w:r>
      <w:r>
        <w:t xml:space="preserve"> After ZF Automotive US, Inc. v. Luxshmi Holdings, LLC, 596 U.S. 619 (2022), 28 U.S.C. § 1782 is not available to obtain discovery for a private commercial arbitration. Assistance from the Singapore court in obtaining evidence (IAA s.13) is limited and uncertain if the parties have excluded discovery by agreement.</w:t>
      </w:r>
    </w:p>
    <w:p>
      <w:pPr>
        <w:pStyle w:val="ListBullet"/>
        <w:spacing w:after="60"/>
      </w:pPr>
      <w:r>
        <w:rPr>
          <w:b/>
        </w:rPr>
        <w:t>Due process.</w:t>
      </w:r>
      <w:r>
        <w:t xml:space="preserve"> A total bar, combined with this information asymmetry, creates a risk of an award that Greenleaf cannot properly challenge on the merits. Arguments based on Model Law Art. 18 ("full opportunity of presenting his case") face a high threshold where the restriction was agreed. Greenleaf would therefore lose both the evidence and a realistic remedy for its absence. Adverse inferences are also weaker where no production order could have been made.</w:t>
      </w:r>
    </w:p>
    <w:p>
      <w:r>
        <w:rPr>
          <w:b/>
        </w:rPr>
        <w:t xml:space="preserve">Why it matters to Greenleaf. </w:t>
      </w:r>
      <w:r>
        <w:t>Without production, Greenleaf may be unable to prove causation in exactly the quality and recall disputes it considers most likely. The bar also has little effect on Pacifica's likely debt claims, which are proved on Pacifica's own invoices. Pacifica's legitimate trade-secret concern can be met with protective orders.</w:t>
      </w:r>
    </w:p>
    <w:p>
      <w:r>
        <w:rPr>
          <w:b/>
        </w:rPr>
        <w:t>Recommendation.</w:t>
      </w:r>
    </w:p>
    <w:p>
      <w:pPr>
        <w:pStyle w:val="ListBullet"/>
        <w:spacing w:after="60"/>
      </w:pPr>
      <w:r>
        <w:t>Replace s.14.5 with: the tribunal may order production of documents, guided by (but not bound by) the IBA Rules on the Taking of Evidence in International Arbitration (2020), limited to documents relevant to the case and material to its outcome. Depositions and U.S.-style interrogatories are excluded (this meets Pacifica's stated concern).</w:t>
      </w:r>
    </w:p>
    <w:p>
      <w:pPr>
        <w:pStyle w:val="ListBullet"/>
        <w:spacing w:after="60"/>
      </w:pPr>
      <w:r>
        <w:t xml:space="preserve">Identify </w:t>
      </w:r>
      <w:r>
        <w:rPr>
          <w:b/>
        </w:rPr>
        <w:t>presumptively producible categories</w:t>
      </w:r>
      <w:r>
        <w:t xml:space="preserve"> for Product disputes: batch records, COAs and underlying raw data, out-of-specification and deviation investigations, change-control records, raw-material sourcing and testing records, audit reports, and access to retained samples for independent retesting (building on QA ss.2.3, 2.5, 4.4).</w:t>
      </w:r>
    </w:p>
    <w:p>
      <w:pPr>
        <w:pStyle w:val="ListBullet"/>
        <w:spacing w:after="60"/>
      </w:pPr>
      <w:r>
        <w:t>Address trade secrets through the tribunal's protective-order powers: attorneys'- and experts'-eyes-only tiers, redaction of cost and pricing data (as already contemplated for batch records in IPLA Ex. A item 4), and confidentiality undertakings.</w:t>
      </w:r>
    </w:p>
    <w:p>
      <w:pPr>
        <w:pStyle w:val="ListBullet"/>
        <w:spacing w:after="60"/>
      </w:pPr>
      <w:r>
        <w:t>Confirm that contractual information and audit rights (QA ss.2.3, 2.5, 4.4) continue to apply during a dispute and are not limited by any procedural provision.</w:t>
      </w:r>
    </w:p>
    <w:p>
      <w:r>
        <w:rPr>
          <w:b/>
        </w:rPr>
        <w:t xml:space="preserve">Fallback position. </w:t>
      </w:r>
      <w:r>
        <w:t>At a minimum, delete s.14.5 and leave document production to the tribunal under the ICC Rules (the default position), together with an express power to order access to retained samples and batch records.</w:t>
      </w:r>
    </w:p>
    <w:p>
      <w:pPr>
        <w:pStyle w:val="Heading3"/>
      </w:pPr>
      <w:r>
        <w:t>Issue 8: One-year contractual limitation period</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SA s.14.9 (with ss.7.3, 10; QA ss.3.4, 3.5, 5.1, 5.5, 7.1)</w:t>
            </w:r>
          </w:p>
        </w:tc>
      </w:tr>
      <w:tr>
        <w:tc>
          <w:tcPr>
            <w:tcW w:type="dxa" w:w="6912"/>
            <w:gridSpan w:val="2"/>
          </w:tcPr>
          <w:p>
            <w:r/>
            <w:r>
              <w:rPr>
                <w:i/>
                <w:sz w:val="18"/>
              </w:rPr>
              <w:t>"The limitation period for commencing arbitration shall be one (1) year from the date the claiming party knew or should have known of the facts giving rise to the claim."</w:t>
            </w:r>
          </w:p>
        </w:tc>
      </w:tr>
    </w:tbl>
    <w:p>
      <w:pPr>
        <w:spacing w:after="0"/>
      </w:pPr>
    </w:p>
    <w:p>
      <w:r>
        <w:rPr>
          <w:b/>
        </w:rPr>
        <w:t xml:space="preserve">The problem. </w:t>
      </w:r>
      <w:r>
        <w:rPr>
          <w:b/>
        </w:rPr>
        <w:t>Likely enforceable under New York law.</w:t>
      </w:r>
      <w:r>
        <w:t xml:space="preserve"> CPLR 201 allows a shorter period "prescribed by written agreement", and New York courts enforce reasonable contractual limitation periods between sophisticated parties (John J. Kassner &amp; Co. v. City of New York, 46 N.Y.2d 544 (1979)). For sales of goods, N.Y. U.C.C. § 2-725(1) permits reduction "to not less than one year". Greenleaf should therefore assume the clause will be enforced and negotiate it out, rather than rely on a challenge.</w:t>
      </w:r>
    </w:p>
    <w:p>
      <w:pPr>
        <w:pStyle w:val="ListBullet"/>
        <w:spacing w:after="60"/>
      </w:pPr>
      <w:r>
        <w:rPr>
          <w:b/>
        </w:rPr>
        <w:t>It is still unworkable in this transaction:</w:t>
      </w:r>
    </w:p>
    <w:p>
      <w:pPr>
        <w:pStyle w:val="ListBullet"/>
        <w:spacing w:after="60"/>
      </w:pPr>
      <w:r>
        <w:t>Indemnity claims (SA s.10.1) for third-party product-liability or recall claims typically mature years after the underlying facts are known. New York law ordinarily treats an indemnity claim as accruing on payment (McDermott v. City of New York, 50 N.Y.2d 211 (1980)). Section 14.9's "facts giving rise to the claim" trigger may instead run from the date the contamination becomes known, which could bar the indemnity claim before the third-party claim is resolved.</w:t>
      </w:r>
    </w:p>
    <w:p>
      <w:pPr>
        <w:pStyle w:val="ListBullet"/>
        <w:spacing w:after="60"/>
      </w:pPr>
      <w:r>
        <w:t>Contractual pre-steps consume the year with no tolling. QA s.3.4 requires 15 business days of discussion, and QA s.7.1 expert determination runs 60 days from appointment (after an unspecified appointment period). The executive discussions that usually precede a commercial dispute come on top. None of this stops the clock.</w:t>
      </w:r>
    </w:p>
    <w:p>
      <w:pPr>
        <w:pStyle w:val="ListBullet"/>
        <w:spacing w:after="60"/>
      </w:pPr>
      <w:r>
        <w:t>The clause applies only to SA claims. QA claims (Singapore law; ordinarily a six-year contract limitation period) and IPLA claims (English law; ordinarily six years) carry different periods. A single defect can therefore be time-barred under one document and live under another.</w:t>
      </w:r>
    </w:p>
    <w:p>
      <w:pPr>
        <w:pStyle w:val="ListBullet"/>
        <w:spacing w:after="60"/>
      </w:pPr>
      <w:r>
        <w:t>It also interacts awkwardly with SA s.7.3 (latent-defect claims within 12 months of delivery) and QA ss.3.5/5.5 (no time bar for latent defects). Pacifica will argue that whichever of these is shortest applies.</w:t>
      </w:r>
    </w:p>
    <w:p>
      <w:pPr>
        <w:pStyle w:val="ListBullet"/>
        <w:spacing w:after="60"/>
      </w:pPr>
      <w:r>
        <w:rPr>
          <w:b/>
        </w:rPr>
        <w:t>Asymmetry.</w:t>
      </w:r>
      <w:r>
        <w:t xml:space="preserve"> Pacifica's invoice and Shortfall Fee claims are known immediately and are easy to bring within a year. Greenleaf's quality claims are the ones most likely to be caught.</w:t>
      </w:r>
    </w:p>
    <w:p>
      <w:r>
        <w:rPr>
          <w:b/>
        </w:rPr>
        <w:t xml:space="preserve">Why it matters to Greenleaf. </w:t>
      </w:r>
      <w:r>
        <w:t>Ms. Matsuda's concern is right as a commercial matter even if not as a matter of enforceability. Latent defects in botanical extracts (heavy metals, pesticide residues, adulteration) can surface through downstream testing, regulatory sampling or consumer complaints long after delivery.</w:t>
      </w:r>
    </w:p>
    <w:p>
      <w:r>
        <w:rPr>
          <w:b/>
        </w:rPr>
        <w:t>Recommendation.</w:t>
      </w:r>
    </w:p>
    <w:p>
      <w:pPr>
        <w:pStyle w:val="ListBullet"/>
        <w:spacing w:after="60"/>
      </w:pPr>
      <w:r>
        <w:t>Delete s.14.9 and rely on the statutory period under the single governing law (New York: generally six years for contract under CPLR 213(2), four years for sales of goods under U.C.C. § 2-725, and the CISG position to be confirmed: Issue 11).</w:t>
      </w:r>
    </w:p>
    <w:p>
      <w:pPr>
        <w:pStyle w:val="ListBullet"/>
        <w:spacing w:after="60"/>
      </w:pPr>
      <w:r>
        <w:t xml:space="preserve">If a contractual period is retained: not less than four years from the later of delivery and discovery for Product claims; indemnity claims may be brought until one year after the indemnified party's payment or final judgment or settlement; and the period is </w:t>
      </w:r>
      <w:r>
        <w:rPr>
          <w:b/>
        </w:rPr>
        <w:t>tolled</w:t>
      </w:r>
      <w:r>
        <w:t xml:space="preserve"> during executive negotiation, any expert determination, and any related court proceeding with a Related Party.</w:t>
      </w:r>
    </w:p>
    <w:p>
      <w:pPr>
        <w:pStyle w:val="ListBullet"/>
        <w:spacing w:after="60"/>
      </w:pPr>
      <w:r>
        <w:t>Conform SA s.7.3 (12-month latent-defect window) to the QA Letter position (QA s.5.1: 30 days from discovery of latent defects, with no outside date), or set a longer outside date (for example, the later of shelf-life expiry plus 12 months and 36 months from delivery).</w:t>
      </w:r>
    </w:p>
    <w:p>
      <w:r>
        <w:rPr>
          <w:b/>
        </w:rPr>
        <w:t xml:space="preserve">Fallback position. </w:t>
      </w:r>
      <w:r>
        <w:t>Two years from discovery, with indemnity accrual on payment and tolling, as an absolute floor.</w:t>
      </w:r>
    </w:p>
    <w:p>
      <w:pPr>
        <w:pStyle w:val="Heading3"/>
      </w:pPr>
      <w:r>
        <w:t>Issue 9: Seat in Singapore, all hearings in London</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SA s.14.2</w:t>
            </w:r>
          </w:p>
        </w:tc>
      </w:tr>
      <w:tr>
        <w:tc>
          <w:tcPr>
            <w:tcW w:type="dxa" w:w="6912"/>
            <w:gridSpan w:val="2"/>
          </w:tcPr>
          <w:p>
            <w:r/>
            <w:r>
              <w:rPr>
                <w:i/>
                <w:sz w:val="18"/>
              </w:rPr>
              <w:t>"The seat of the arbitration shall be Singapore. The venue and location of all hearings shall be London, England."</w:t>
            </w:r>
          </w:p>
        </w:tc>
      </w:tr>
    </w:tbl>
    <w:p>
      <w:pPr>
        <w:spacing w:after="0"/>
      </w:pPr>
    </w:p>
    <w:p>
      <w:r>
        <w:rPr>
          <w:b/>
        </w:rPr>
        <w:t xml:space="preserve">The problem. </w:t>
      </w:r>
      <w:r>
        <w:t>Separating seat and venue is lawful, and ICC Rules Art. 18(2) already lets the tribunal hold hearings anywhere after consulting the parties. The problems are:</w:t>
      </w:r>
    </w:p>
    <w:p>
      <w:pPr>
        <w:pStyle w:val="ListBullet"/>
        <w:spacing w:after="60"/>
      </w:pPr>
      <w:r>
        <w:rPr>
          <w:b/>
        </w:rPr>
        <w:t>Rigidity.</w:t>
      </w:r>
      <w:r>
        <w:t xml:space="preserve"> "All hearings" must be in London. That arguably excludes virtual or hybrid hearings, case management conferences held remotely, and short procedural or emergency hearings elsewhere. A party that loses could argue that a procedure departing from this agreed term was "not in accordance with the agreement of the parties" (New York Convention Art. V(1)(d)). That risk is low but avoidable.</w:t>
      </w:r>
    </w:p>
    <w:p>
      <w:pPr>
        <w:pStyle w:val="ListBullet"/>
        <w:spacing w:after="60"/>
      </w:pPr>
      <w:r>
        <w:rPr>
          <w:b/>
        </w:rPr>
        <w:t>Seat confusion.</w:t>
      </w:r>
      <w:r>
        <w:t xml:space="preserve"> English courts have treated a designated "venue" as the seat where the clause was otherwise silent (Shashoua v. Sharma [2009] EWHC 957 (Comm)). Here the seat is expressly Singapore, so the risk is lower. But the IPLA is seated in London and the SA mandates London hearings. That increases the risk of arguments that the English courts have supervisory jurisdiction, particularly in an IPLA s.9.3 joint proceeding.</w:t>
      </w:r>
    </w:p>
    <w:p>
      <w:pPr>
        <w:pStyle w:val="ListBullet"/>
        <w:spacing w:after="60"/>
      </w:pPr>
      <w:r>
        <w:rPr>
          <w:b/>
        </w:rPr>
        <w:t>Cost.</w:t>
      </w:r>
      <w:r>
        <w:t xml:space="preserve"> Harmon &amp; Grey's "equidistant" rationale is inaccurate (London is roughly 4,000 miles from Charlotte and 6,700 miles from Singapore). The real point is that both sides' witnesses must travel for every hearing, whatever its size.</w:t>
      </w:r>
    </w:p>
    <w:p>
      <w:r>
        <w:rPr>
          <w:b/>
        </w:rPr>
        <w:t xml:space="preserve">Why it matters to Greenleaf. </w:t>
      </w:r>
      <w:r>
        <w:t>This is a procedural cost and flexibility point more than a validity point. It becomes significant only alongside Issues 3 and 5.</w:t>
      </w:r>
    </w:p>
    <w:p>
      <w:r>
        <w:rPr>
          <w:b/>
        </w:rPr>
        <w:t>Recommendation.</w:t>
      </w:r>
    </w:p>
    <w:p>
      <w:pPr>
        <w:pStyle w:val="ListBullet"/>
        <w:spacing w:after="60"/>
      </w:pPr>
      <w:r>
        <w:t>Replace with: "The seat (legal place) of arbitration shall be [New York, New York / Singapore]. The tribunal may, after consulting the parties, hold hearings and meetings at any location it considers appropriate, or by video conference or other remote means, without changing the seat."</w:t>
      </w:r>
    </w:p>
    <w:p>
      <w:pPr>
        <w:pStyle w:val="ListBullet"/>
        <w:spacing w:after="60"/>
      </w:pPr>
      <w:r>
        <w:t xml:space="preserve">Seat choice: Greenleaf would prefer New York, which puts curial supervision in the U.S. federal courts under the FAA. Both Mr. Heller and Mr. Park have said Singapore is acceptable, and Singapore is a pro-arbitration, Model Law seat with very low court intervention. </w:t>
      </w:r>
      <w:r>
        <w:rPr>
          <w:b/>
        </w:rPr>
        <w:t>We recommend conceding Singapore as the seat</w:t>
      </w:r>
      <w:r>
        <w:t xml:space="preserve"> in exchange for Tier 1 items (Section VIII), provided Issue 5 is fixed. Singapore also simplifies enforcement against Pacifica's Singapore assets (Issue 24).</w:t>
      </w:r>
    </w:p>
    <w:p>
      <w:pPr>
        <w:pStyle w:val="Heading3"/>
      </w:pPr>
      <w:r>
        <w:t>Issue 10: Tribunal size and appointment mechanics</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SA s.14.3</w:t>
            </w:r>
          </w:p>
        </w:tc>
      </w:tr>
      <w:tr>
        <w:tc>
          <w:tcPr>
            <w:tcW w:type="dxa" w:w="6912"/>
            <w:gridSpan w:val="2"/>
          </w:tcPr>
          <w:p>
            <w:r/>
            <w:r>
              <w:rPr>
                <w:i/>
                <w:sz w:val="18"/>
              </w:rPr>
              <w:t>"The arbitral tribunal shall consist of one (1) arbitrator, unless either party requests a panel of three (3) arbitrators within fifteen (15) days of the Request for Arbitration ..."</w:t>
            </w:r>
          </w:p>
        </w:tc>
      </w:tr>
    </w:tbl>
    <w:p>
      <w:pPr>
        <w:spacing w:after="0"/>
      </w:pPr>
    </w:p>
    <w:p>
      <w:r>
        <w:rPr>
          <w:b/>
        </w:rPr>
        <w:t xml:space="preserve">The problem. </w:t>
      </w:r>
      <w:r>
        <w:t>A sole arbitrator is the default for a contract with US$178 million or more of commitments, a potential 13-year term and complex technical subject matter.</w:t>
      </w:r>
    </w:p>
    <w:p>
      <w:pPr>
        <w:pStyle w:val="ListBullet"/>
        <w:spacing w:after="60"/>
      </w:pPr>
      <w:r>
        <w:t>The 15-day window is ambiguous. It is unclear whether it runs from filing of the Request, notification by the Secretariat or receipt. Harmon &amp; Grey's memo says "service". It is also short: a respondent normally has 30 days to file its Answer (ICC Rules Art. 5(1)). If Greenleaf is the respondent, it must decide on tribunal size before it has formulated its defense. In practice the claimant, who has had months to prepare, controls the choice.</w:t>
      </w:r>
    </w:p>
    <w:p>
      <w:pPr>
        <w:pStyle w:val="ListBullet"/>
        <w:spacing w:after="60"/>
      </w:pPr>
      <w:r>
        <w:t>There are no nomination mechanics for the three-member option (the clause simply refers to the ICC Rules). The QA Letter (s.7.2) has a three-member tribunal with detailed timelines, and the IPLA (s.9.1) a sole arbitrator. If disputes are consolidated, three different constitution regimes collide.</w:t>
      </w:r>
    </w:p>
    <w:p>
      <w:r>
        <w:rPr>
          <w:b/>
        </w:rPr>
        <w:t xml:space="preserve">Why it matters to Greenleaf. </w:t>
      </w:r>
      <w:r>
        <w:t>Tribunal composition is the single most important determinant of outcome. Greenleaf should not be exposed to a sole arbitrator on a dispute worth tens of millions because of a 15-day trap.</w:t>
      </w:r>
    </w:p>
    <w:p>
      <w:r>
        <w:rPr>
          <w:b/>
        </w:rPr>
        <w:t>Recommendation.</w:t>
      </w:r>
    </w:p>
    <w:p>
      <w:pPr>
        <w:pStyle w:val="ListBullet"/>
        <w:spacing w:after="60"/>
      </w:pPr>
      <w:r>
        <w:t>Sole arbitrator for disputes where the aggregate amount in dispute (claims and counterclaims) does not exceed US$5 million; otherwise three arbitrators.</w:t>
      </w:r>
    </w:p>
    <w:p>
      <w:pPr>
        <w:pStyle w:val="ListBullet"/>
        <w:spacing w:after="60"/>
      </w:pPr>
      <w:r>
        <w:t>For three: each party nominates one (claimant in the Request; respondent in the Answer); the co-arbitrators jointly nominate the president within 30 days, failing which the ICC Court appoints. The president or sole arbitrator must not be a national of the United States or Singapore (ICC Rules Art. 13(5) already requires a different nationality from the parties' for a sole arbitrator or president, but stating it removes doubt).</w:t>
      </w:r>
    </w:p>
    <w:p>
      <w:pPr>
        <w:pStyle w:val="ListBullet"/>
        <w:spacing w:after="60"/>
      </w:pPr>
      <w:r>
        <w:t>Arbitrators to have experience in international sale-of-goods or supply disputes; at least the president to be a qualified New York lawyer if New York law governs.</w:t>
      </w:r>
    </w:p>
    <w:p>
      <w:pPr>
        <w:pStyle w:val="Heading3"/>
      </w:pPr>
      <w:r>
        <w:t>Issue 11: Governing law: gap-filler, law of the arbitration agreement, CISG</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SA ss.14.4, 15.11</w:t>
            </w:r>
          </w:p>
        </w:tc>
      </w:tr>
      <w:tr>
        <w:tc>
          <w:tcPr>
            <w:tcW w:type="dxa" w:w="6912"/>
            <w:gridSpan w:val="2"/>
          </w:tcPr>
          <w:p>
            <w:r/>
            <w:r>
              <w:rPr>
                <w:i/>
                <w:sz w:val="18"/>
              </w:rPr>
              <w:t>s.14.4: "The arbitrator(s) shall apply the substantive laws of the State of New York ... To the extent New York law does not address an issue, the arbitrator(s) shall apply general principles of international commercial law."</w:t>
            </w:r>
          </w:p>
        </w:tc>
      </w:tr>
    </w:tbl>
    <w:p>
      <w:pPr>
        <w:spacing w:after="0"/>
      </w:pPr>
    </w:p>
    <w:p>
      <w:r>
        <w:rPr>
          <w:b/>
        </w:rPr>
        <w:t xml:space="preserve">The problem. </w:t>
      </w:r>
      <w:r>
        <w:rPr>
          <w:b/>
        </w:rPr>
        <w:t>Gap-filler.</w:t>
      </w:r>
      <w:r>
        <w:t xml:space="preserve"> New York law does not "run out". Any legal issue has a New York answer, even if it must be reasoned by analogy. The fallback to "general principles of international commercial law" (lex mercatoria) gives the tribunal a basis to depart from New York law on points where the outcome matters (e.g., the characterisation of consequential damages, implied terms, good faith). It also gives a losing party an argument that the tribunal applied the wrong law. Section 15.11 separately chooses New York law without the gap-filler, so the two clauses already differ.</w:t>
      </w:r>
    </w:p>
    <w:p>
      <w:pPr>
        <w:pStyle w:val="ListBullet"/>
        <w:spacing w:after="60"/>
      </w:pPr>
      <w:r>
        <w:rPr>
          <w:b/>
        </w:rPr>
        <w:t>Law of the arbitration agreement is unstated.</w:t>
      </w:r>
      <w:r>
        <w:t xml:space="preserve"> For a Singapore seat, the Singapore courts generally presume that the law of the main contract (New York) governs the arbitration agreement, unless displaced (BCY v BCZ [2016] SGHC 249; Anupam Mittal v Westbridge Ventures II Investment Holdings [2023] SGCA 1). For the London-seated IPLA, English law applies either way (Enka Insaat ve Sanayi A.S. v OOO Insurance Company Chubb [2020] UKSC 38; and the Arbitration Act 2025, which introduces a default rule that the law of the seat governs the arbitration agreement absent express choice). Disputes about the scope or validity of the arbitration agreement should not depend on this analysis.</w:t>
      </w:r>
    </w:p>
    <w:p>
      <w:pPr>
        <w:pStyle w:val="ListBullet"/>
        <w:spacing w:after="60"/>
      </w:pPr>
      <w:r>
        <w:rPr>
          <w:b/>
        </w:rPr>
        <w:t>CISG.</w:t>
      </w:r>
      <w:r>
        <w:t xml:space="preserve"> The United States and Singapore are both Contracting States to the U.N. Convention on Contracts for the International Sale of Goods. The SA is a contract for the sale of goods between parties whose places of business are in different Contracting States, so the CISG applies under Art. 1(1)(a) unless excluded under Art. 6. U.S. courts generally hold that a choice of state law, even "without regard to conflict of laws principles", does not exclude the CISG unless the exclusion is express. The CISG would change key outcomes: damages (Art. 74 foreseeability rather than the U.C.C./Kenford framework), notice of non-conformity (Arts. 38-39, including the two-year cut-off), the absence of a parol evidence rule (which could let Harmon &amp; Grey's July 3 memo be used to interpret the SA), and contract formation through purchase orders.</w:t>
      </w:r>
    </w:p>
    <w:p>
      <w:r>
        <w:rPr>
          <w:b/>
        </w:rPr>
        <w:t xml:space="preserve">Why it matters to Greenleaf. </w:t>
      </w:r>
      <w:r>
        <w:t>Greenleaf's damages, latent-defect and limitation analysis assumes the U.C.C. If the CISG applies, parts of that analysis change. The parties should make an informed, express choice.</w:t>
      </w:r>
    </w:p>
    <w:p>
      <w:r>
        <w:rPr>
          <w:b/>
        </w:rPr>
        <w:t>Recommendation.</w:t>
      </w:r>
    </w:p>
    <w:p>
      <w:pPr>
        <w:pStyle w:val="ListBullet"/>
        <w:spacing w:after="60"/>
      </w:pPr>
      <w:r>
        <w:t>Delete the second sentence of s.14.4 and merge ss.14.4 and 15.11 into one governing-law clause applying to all Transaction Documents and to non-contractual claims.</w:t>
      </w:r>
    </w:p>
    <w:p>
      <w:pPr>
        <w:pStyle w:val="ListBullet"/>
        <w:spacing w:after="60"/>
      </w:pPr>
      <w:r>
        <w:t>State that the arbitration agreement is governed by New York law and the Federal Arbitration Act (or by the law of the seat, if Singapore is accepted and local counsel prefers that).</w:t>
      </w:r>
    </w:p>
    <w:p>
      <w:pPr>
        <w:pStyle w:val="ListBullet"/>
        <w:spacing w:after="60"/>
      </w:pPr>
      <w:r>
        <w:t xml:space="preserve">Decide on the CISG expressly. Our provisional recommendation is to </w:t>
      </w:r>
      <w:r>
        <w:rPr>
          <w:b/>
        </w:rPr>
        <w:t>exclude</w:t>
      </w:r>
      <w:r>
        <w:t xml:space="preserve"> it ("The United Nations Convention on Contracts for the International Sale of Goods shall not apply"), so that the U.C.C. and the damages carve-outs negotiated under Issue 6 operate as intended. We will confirm after modelling Greenleaf's principal claims under both regimes.</w:t>
      </w:r>
    </w:p>
    <w:p>
      <w:pPr>
        <w:pStyle w:val="Heading3"/>
      </w:pPr>
      <w:r>
        <w:t>Issue 12: Court relief "from any court of competent jurisdiction worldwide"</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SA s.14.7</w:t>
            </w:r>
          </w:p>
        </w:tc>
      </w:tr>
      <w:tr>
        <w:tc>
          <w:tcPr>
            <w:tcW w:type="dxa" w:w="6912"/>
            <w:gridSpan w:val="2"/>
          </w:tcPr>
          <w:p>
            <w:r/>
            <w:r>
              <w:rPr>
                <w:i/>
                <w:sz w:val="18"/>
              </w:rPr>
              <w:t>"Nothing in this Article shall prevent either party from seeking injunctive or other equitable relief from any court of competent jurisdiction worldwide."</w:t>
            </w:r>
          </w:p>
        </w:tc>
      </w:tr>
    </w:tbl>
    <w:p>
      <w:pPr>
        <w:spacing w:after="0"/>
      </w:pPr>
    </w:p>
    <w:p>
      <w:r>
        <w:rPr>
          <w:b/>
        </w:rPr>
        <w:t xml:space="preserve">The problem. </w:t>
      </w:r>
      <w:r>
        <w:t>The carve-out is not limited to interim or conservatory relief, or to relief in aid of arbitration. "Equitable relief" includes final remedies such as specific performance, declarations and permanent injunctions. Either party could therefore try to litigate parts of the merits in a court of its choosing. That undercuts the arbitration agreement and creates parallel-proceedings risk.</w:t>
      </w:r>
    </w:p>
    <w:p>
      <w:pPr>
        <w:pStyle w:val="ListBullet"/>
        <w:spacing w:after="60"/>
      </w:pPr>
      <w:r>
        <w:t>Pacifica is the more likely user. It could seek injunctions in Singapore over alleged misuse of Licensed IP (SA s.8.2 incorporates the IPLA), confidentiality or exclusivity, and SA s.14.7 is broader than anything in the IPLA.</w:t>
      </w:r>
    </w:p>
    <w:p>
      <w:pPr>
        <w:pStyle w:val="ListBullet"/>
        <w:spacing w:after="60"/>
      </w:pPr>
      <w:r>
        <w:t>The clause does not mention the ICC Emergency Arbitrator Provisions (ICC Rules Art. 29 and Appendix V). These apply by default to post-2012 agreements and are useful to Greenleaf (for example, to compel continued supply during a dispute).</w:t>
      </w:r>
    </w:p>
    <w:p>
      <w:r>
        <w:rPr>
          <w:b/>
        </w:rPr>
        <w:t xml:space="preserve">Why it matters to Greenleaf. </w:t>
      </w:r>
      <w:r>
        <w:t>Greenleaf's most important interim remedy, an order compelling continued supply under an exclusive agreement, is equally available from an emergency arbitrator or a court in aid of arbitration. Greenleaf gains nothing from a worldwide merits carve-out and is exposed by it.</w:t>
      </w:r>
    </w:p>
    <w:p>
      <w:r>
        <w:rPr>
          <w:b/>
        </w:rPr>
        <w:t>Recommendation.</w:t>
      </w:r>
    </w:p>
    <w:p>
      <w:pPr>
        <w:pStyle w:val="ListBullet"/>
        <w:spacing w:after="60"/>
      </w:pPr>
      <w:r>
        <w:t>Limit to "interim or conservatory measures in aid of arbitration" from the courts of the seat or of any jurisdiction where the relevant assets, conduct or Products are located. State that such an application is not a waiver of the arbitration agreement and that the merits remain for the tribunal.</w:t>
      </w:r>
    </w:p>
    <w:p>
      <w:pPr>
        <w:pStyle w:val="ListBullet"/>
        <w:spacing w:after="60"/>
      </w:pPr>
      <w:r>
        <w:t>Preserve the ICC Emergency Arbitrator Provisions expressly, and add an express power for the tribunal and emergency arbitrator to order continued supply and the preservation of samples and records.</w:t>
      </w:r>
    </w:p>
    <w:p>
      <w:pPr>
        <w:pStyle w:val="Heading3"/>
      </w:pPr>
      <w:r>
        <w:t>Issue 13: Rigid loser-pays costs rule; three different cost regimes</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SA s.14.8; QA s.7.1; IPLA s.9.4</w:t>
            </w:r>
          </w:p>
        </w:tc>
      </w:tr>
      <w:tr>
        <w:tc>
          <w:tcPr>
            <w:tcW w:type="dxa" w:w="6912"/>
            <w:gridSpan w:val="2"/>
          </w:tcPr>
          <w:p>
            <w:r/>
            <w:r>
              <w:rPr>
                <w:i/>
                <w:sz w:val="18"/>
              </w:rPr>
              <w:t>SA: "The losing party shall bear all costs of the arbitration, including the reasonable attorneys' fees of the prevailing party." QA s.7.1: each party bears its own costs; expert and SIAC fees shared equally. IPLA s.9.4: each party bears its own costs, arbitrator/LCIA costs shared equally, "unless the arbitral tribunal determines otherwise".</w:t>
            </w:r>
          </w:p>
        </w:tc>
      </w:tr>
    </w:tbl>
    <w:p>
      <w:pPr>
        <w:spacing w:after="0"/>
      </w:pPr>
    </w:p>
    <w:p>
      <w:r>
        <w:rPr>
          <w:b/>
        </w:rPr>
        <w:t xml:space="preserve">The problem. </w:t>
      </w:r>
      <w:r>
        <w:t>"Losing party" is undefined. Most commercial arbitrations produce mixed results (claim partly upheld, counterclaim partly upheld), and a binary rule invites a satellite dispute about who "lost". It also removes the tribunal's discretion under ICC Rules Art. 38(5) to take account of conduct (for example, obstructive document behaviour, which is especially relevant if production rights are limited).</w:t>
      </w:r>
    </w:p>
    <w:p>
      <w:pPr>
        <w:pStyle w:val="ListBullet"/>
        <w:spacing w:after="60"/>
      </w:pPr>
      <w:r>
        <w:t>Loser-pays deters a smaller claimant from bringing legitimate but uncertain quality claims against a party with greater access to the evidence.</w:t>
      </w:r>
    </w:p>
    <w:p>
      <w:pPr>
        <w:pStyle w:val="ListBullet"/>
        <w:spacing w:after="60"/>
      </w:pPr>
      <w:r>
        <w:t>With three regimes, a consolidated or overlapping dispute has no single costs rule.</w:t>
      </w:r>
    </w:p>
    <w:p>
      <w:r>
        <w:rPr>
          <w:b/>
        </w:rPr>
        <w:t xml:space="preserve">Why it matters to Greenleaf. </w:t>
      </w:r>
      <w:r>
        <w:t>Greenleaf is not opposed to cost-shifting in principle, and it supports settlement. The objection is to a mechanical rule that ignores relative success and conduct.</w:t>
      </w:r>
    </w:p>
    <w:p>
      <w:r>
        <w:rPr>
          <w:b/>
        </w:rPr>
        <w:t>Recommendation.</w:t>
      </w:r>
    </w:p>
    <w:p>
      <w:pPr>
        <w:pStyle w:val="ListBullet"/>
        <w:spacing w:after="60"/>
      </w:pPr>
      <w:r>
        <w:t>Single rule in the unified clause: the tribunal allocates costs (including reasonable legal fees) at its discretion, generally in proportion to relative success and taking into account the parties' conduct, including cooperation in document production and any unreasonable refusal of a settlement offer.</w:t>
      </w:r>
    </w:p>
    <w:p>
      <w:pPr>
        <w:pStyle w:val="Heading3"/>
      </w:pPr>
      <w:r>
        <w:t>Issue 14: Scope of the clause and missing standard terms</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SA s.14.1</w:t>
            </w:r>
          </w:p>
        </w:tc>
      </w:tr>
      <w:tr>
        <w:tc>
          <w:tcPr>
            <w:tcW w:type="dxa" w:w="6912"/>
            <w:gridSpan w:val="2"/>
          </w:tcPr>
          <w:p>
            <w:r/>
            <w:r>
              <w:rPr>
                <w:i/>
                <w:sz w:val="18"/>
              </w:rPr>
              <w:t>"Any dispute, controversy, or claim arising out of or relating to this Agreement shall be finally resolved by arbitration administered by the International Chamber of Commerce under its Rules of Arbitration."</w:t>
            </w:r>
          </w:p>
        </w:tc>
      </w:tr>
    </w:tbl>
    <w:p>
      <w:pPr>
        <w:spacing w:after="0"/>
      </w:pPr>
    </w:p>
    <w:p>
      <w:r>
        <w:rPr>
          <w:b/>
        </w:rPr>
        <w:t xml:space="preserve">The problem. </w:t>
      </w:r>
      <w:r>
        <w:t>The scope covers only "this Agreement". It does not mention the other Transaction Documents, the purchase orders issued under Exhibit D, or non-contractual claims (misrepresentation, tort, statutory claims), and it does not say expressly that it covers existence, validity and termination. Compare IPLA s.9.1, which does.</w:t>
      </w:r>
    </w:p>
    <w:p>
      <w:pPr>
        <w:pStyle w:val="ListBullet"/>
        <w:spacing w:after="60"/>
      </w:pPr>
      <w:r>
        <w:t>No language of arbitration is specified (the ICC tribunal would decide under Art. 20). This is low-risk given the English-language documents, but it should be stated.</w:t>
      </w:r>
    </w:p>
    <w:p>
      <w:pPr>
        <w:pStyle w:val="ListBullet"/>
        <w:spacing w:after="60"/>
      </w:pPr>
      <w:r>
        <w:t>There is no negotiation or mediation step. That is acceptable, and preferable to a poorly drafted mandatory pre-condition, which itself generates jurisdiction and admissibility fights. A short, non-mandatory executive negotiation step tolls the limitation period and encourages early settlement.</w:t>
      </w:r>
    </w:p>
    <w:p>
      <w:pPr>
        <w:pStyle w:val="ListBullet"/>
        <w:spacing w:after="60"/>
      </w:pPr>
      <w:r>
        <w:t>The ICC Rules version is the version "in effect at the time of the commencement" (SA s.1.1). That is standard and acceptable.</w:t>
      </w:r>
    </w:p>
    <w:p>
      <w:r>
        <w:rPr>
          <w:b/>
        </w:rPr>
        <w:t xml:space="preserve">Why it matters to Greenleaf. </w:t>
      </w:r>
      <w:r>
        <w:t>Gaps in scope are where jurisdictional objections start (Issues 1-3).</w:t>
      </w:r>
    </w:p>
    <w:p>
      <w:r>
        <w:rPr>
          <w:b/>
        </w:rPr>
        <w:t>Recommendation.</w:t>
      </w:r>
    </w:p>
    <w:p>
      <w:pPr>
        <w:pStyle w:val="ListBullet"/>
        <w:spacing w:after="60"/>
      </w:pPr>
      <w:r>
        <w:t>Scope: "any dispute, controversy or claim arising out of or in connection with any Transaction Document or any purchase order issued thereunder, including any question regarding existence, validity, interpretation, performance, breach or termination, and any non-contractual claim".</w:t>
      </w:r>
    </w:p>
    <w:p>
      <w:pPr>
        <w:pStyle w:val="ListBullet"/>
        <w:spacing w:after="60"/>
      </w:pPr>
      <w:r>
        <w:t>Language: English.</w:t>
      </w:r>
    </w:p>
    <w:p>
      <w:pPr>
        <w:pStyle w:val="ListBullet"/>
        <w:spacing w:after="60"/>
      </w:pPr>
      <w:r>
        <w:t>Optional 30-day senior-executive negotiation, not a condition precedent to arbitration or to interim relief; limitation tolled during negotiation.</w:t>
      </w:r>
    </w:p>
    <w:p>
      <w:pPr>
        <w:pStyle w:val="Heading3"/>
      </w:pPr>
      <w:r>
        <w:t>Issue 15: Confidentiality of proceedings: carve-outs too narrow</w:t>
      </w:r>
    </w:p>
    <w:tbl>
      <w:tblPr>
        <w:tblStyle w:val="TableGrid"/>
        <w:tblW w:type="auto" w:w="0"/>
        <w:tblLook w:firstColumn="1" w:firstRow="1" w:lastColumn="0" w:lastRow="0" w:noHBand="0" w:noVBand="1" w:val="04A0"/>
      </w:tblPr>
      <w:tblGrid>
        <w:gridCol w:w="4680"/>
        <w:gridCol w:w="4680"/>
      </w:tblGrid>
      <w:tr>
        <w:tc>
          <w:tcPr>
            <w:tcW w:type="dxa" w:w="2448"/>
            <w:shd w:val="clear" w:color="auto" w:fill="70AD47"/>
          </w:tcPr>
          <w:p>
            <w:r/>
            <w:r>
              <w:rPr>
                <w:b/>
                <w:sz w:val="19"/>
              </w:rPr>
              <w:t>Severity: Low</w:t>
            </w:r>
          </w:p>
        </w:tc>
        <w:tc>
          <w:tcPr>
            <w:tcW w:type="dxa" w:w="6912"/>
          </w:tcPr>
          <w:p>
            <w:r/>
            <w:r>
              <w:rPr>
                <w:b/>
                <w:sz w:val="19"/>
              </w:rPr>
              <w:t>Provision(s): SA s.14.10</w:t>
            </w:r>
          </w:p>
        </w:tc>
      </w:tr>
      <w:tr>
        <w:tc>
          <w:tcPr>
            <w:tcW w:type="dxa" w:w="6912"/>
            <w:gridSpan w:val="2"/>
          </w:tcPr>
          <w:p>
            <w:r/>
            <w:r>
              <w:rPr>
                <w:i/>
                <w:sz w:val="18"/>
              </w:rPr>
              <w:t>"All arbitration proceedings and related documents shall be confidential, provided that either party may disclose information as required by applicable law or regulation."</w:t>
            </w:r>
          </w:p>
        </w:tc>
      </w:tr>
    </w:tbl>
    <w:p>
      <w:pPr>
        <w:spacing w:after="0"/>
      </w:pPr>
    </w:p>
    <w:p>
      <w:r>
        <w:rPr>
          <w:b/>
        </w:rPr>
        <w:t xml:space="preserve">The problem. </w:t>
      </w:r>
      <w:r>
        <w:t>The ICC Rules do not impose general confidentiality (Art. 22(3) lets the tribunal make confidentiality orders), so an express clause is useful. But the only carve-out is disclosure "required by applicable law or regulation". That would not cover disclosure to Ridgeway (Greenleaf's controlling equity holder) or to lenders, insurers, auditors, prospective acquirers, co-manufacturers or Related Parties in joined or parallel proceedings. It would also not cover court proceedings to enforce or challenge an award, or FDA or other regulatory interactions that are voluntary rather than "required".</w:t>
      </w:r>
    </w:p>
    <w:p>
      <w:pPr>
        <w:pStyle w:val="ListBullet"/>
        <w:spacing w:after="60"/>
      </w:pPr>
      <w:r>
        <w:t>QA s.7 and IPLA s.9 have no confidentiality provision (the LCIA Rules Art. 30 provide default confidentiality; SIAC Rules provide their own), so the regimes differ again.</w:t>
      </w:r>
    </w:p>
    <w:p>
      <w:r>
        <w:rPr>
          <w:b/>
        </w:rPr>
        <w:t xml:space="preserve">Why it matters to Greenleaf. </w:t>
      </w:r>
      <w:r>
        <w:t>Greenleaf needs to be able to report to Ridgeway and its insurers, and to use evidence and awards in related proceedings with co-manufacturers.</w:t>
      </w:r>
    </w:p>
    <w:p>
      <w:r>
        <w:rPr>
          <w:b/>
        </w:rPr>
        <w:t>Recommendation.</w:t>
      </w:r>
    </w:p>
    <w:p>
      <w:pPr>
        <w:pStyle w:val="ListBullet"/>
        <w:spacing w:after="60"/>
      </w:pPr>
      <w:r>
        <w:t>Expand the carve-outs to: Affiliates (including Ridgeway), financing sources, insurers, auditors, professional advisers, bona fide prospective acquirers (under NDA); Related Parties in joined or related proceedings; proceedings to enforce, recognize or challenge an award or to seek interim relief; and disclosures to regulators (FDA, Health Canada, COFEPRIS) in connection with product safety or recall.</w:t>
      </w:r>
    </w:p>
    <w:p>
      <w:pPr>
        <w:pStyle w:val="Heading3"/>
      </w:pPr>
      <w:r>
        <w:t>Issue 16: ICC Expedited Procedure interaction</w:t>
      </w:r>
    </w:p>
    <w:tbl>
      <w:tblPr>
        <w:tblStyle w:val="TableGrid"/>
        <w:tblW w:type="auto" w:w="0"/>
        <w:tblLook w:firstColumn="1" w:firstRow="1" w:lastColumn="0" w:lastRow="0" w:noHBand="0" w:noVBand="1" w:val="04A0"/>
      </w:tblPr>
      <w:tblGrid>
        <w:gridCol w:w="4680"/>
        <w:gridCol w:w="4680"/>
      </w:tblGrid>
      <w:tr>
        <w:tc>
          <w:tcPr>
            <w:tcW w:type="dxa" w:w="2448"/>
            <w:shd w:val="clear" w:color="auto" w:fill="70AD47"/>
          </w:tcPr>
          <w:p>
            <w:r/>
            <w:r>
              <w:rPr>
                <w:b/>
                <w:sz w:val="19"/>
              </w:rPr>
              <w:t>Severity: Low</w:t>
            </w:r>
          </w:p>
        </w:tc>
        <w:tc>
          <w:tcPr>
            <w:tcW w:type="dxa" w:w="6912"/>
          </w:tcPr>
          <w:p>
            <w:r/>
            <w:r>
              <w:rPr>
                <w:b/>
                <w:sz w:val="19"/>
              </w:rPr>
              <w:t>Provision(s): SA s.14.3; ICC Rules Art. 30 and Appendix VI</w:t>
            </w:r>
          </w:p>
        </w:tc>
      </w:tr>
      <w:tr>
        <w:tc>
          <w:tcPr>
            <w:tcW w:type="dxa" w:w="6912"/>
            <w:gridSpan w:val="2"/>
          </w:tcPr>
          <w:p>
            <w:r/>
            <w:r>
              <w:rPr>
                <w:i/>
                <w:sz w:val="18"/>
              </w:rPr>
              <w:t>For arbitration agreements concluded after January 1, 2021, the ICC Expedited Procedure Provisions apply automatically where the amount in dispute does not exceed US$3 million, unless the parties opt out.</w:t>
            </w:r>
          </w:p>
        </w:tc>
      </w:tr>
    </w:tbl>
    <w:p>
      <w:pPr>
        <w:spacing w:after="0"/>
      </w:pPr>
    </w:p>
    <w:p>
      <w:r>
        <w:rPr>
          <w:b/>
        </w:rPr>
        <w:t xml:space="preserve">The problem. </w:t>
      </w:r>
      <w:r>
        <w:t>Under the Expedited Procedure, the ICC Court may appoint a sole arbitrator notwithstanding any contrary provision of the arbitration agreement (Appendix VI, Art. 2(1)). The tribunal may also decide the case on documents alone. This is generally efficient for smaller rejected-shipment disputes, but the parties should make the choice knowingly, particularly if they adopt the three-arbitrator threshold under Issue 10.</w:t>
      </w:r>
    </w:p>
    <w:p>
      <w:r>
        <w:rPr>
          <w:b/>
        </w:rPr>
        <w:t xml:space="preserve">Why it matters to Greenleaf. </w:t>
      </w:r>
      <w:r>
        <w:t>Smaller quality disputes (a single rejected Batch) are likely to fall below US$3 million. The Expedited Procedure is a reasonable fit for them.</w:t>
      </w:r>
    </w:p>
    <w:p>
      <w:r>
        <w:rPr>
          <w:b/>
        </w:rPr>
        <w:t>Recommendation.</w:t>
      </w:r>
    </w:p>
    <w:p>
      <w:pPr>
        <w:pStyle w:val="ListBullet"/>
        <w:spacing w:after="60"/>
      </w:pPr>
      <w:r>
        <w:t>Keep the Expedited Procedure (no opt-out) but specify that it applies only to disputes up to US$3 million, consistent with the US$5 million three-arbitrator threshold. Note in the clause that the tribunal may still order document production in expedited cases.</w:t>
      </w:r>
    </w:p>
    <w:p>
      <w:pPr>
        <w:pStyle w:val="Heading2"/>
      </w:pPr>
      <w:r>
        <w:t>C. Quality Assurance Side Letter - Section 7</w:t>
      </w:r>
    </w:p>
    <w:p>
      <w:pPr>
        <w:pStyle w:val="Heading3"/>
      </w:pPr>
      <w:r>
        <w:t>Issue 17: Expert determination: unverified institutional reference and no procedure</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QA s.7.1 (with ss.1.7, 3.4, 5.4, 6.3)</w:t>
            </w:r>
          </w:p>
        </w:tc>
      </w:tr>
      <w:tr>
        <w:tc>
          <w:tcPr>
            <w:tcW w:type="dxa" w:w="6912"/>
            <w:gridSpan w:val="2"/>
          </w:tcPr>
          <w:p>
            <w:r/>
            <w:r>
              <w:rPr>
                <w:i/>
                <w:sz w:val="18"/>
              </w:rPr>
              <w:t>"Any dispute arising under this Side Letter relating to product quality, Nonconformity, testing methodology, Specifications compliance, or recall obligations shall be resolved exclusively by expert determination administered by the Singapore International Arbitration Centre ('SIAC') under its Rules for the Appointment of Experts then in effect."</w:t>
            </w:r>
          </w:p>
        </w:tc>
      </w:tr>
    </w:tbl>
    <w:p>
      <w:pPr>
        <w:spacing w:after="0"/>
      </w:pPr>
    </w:p>
    <w:p>
      <w:r>
        <w:rPr>
          <w:b/>
        </w:rPr>
        <w:t xml:space="preserve">The problem. </w:t>
      </w:r>
      <w:r>
        <w:rPr>
          <w:b/>
        </w:rPr>
        <w:t>Institutional reference.</w:t>
      </w:r>
      <w:r>
        <w:t xml:space="preserve"> We have not been able to verify that SIAC publishes rules under the title "Rules for the Appointment of Experts", or that it administers expert determinations as such. SIAC's core published rules are its Arbitration Rules (most recently the SIAC Rules 2025) and its investment arbitration rules. Expert-determination rules are offered by other bodies, for example the ICC's Rules for the Administration of Expert Proceedings. A reference to non-existent rules or an institution that will not act is a classic pathological feature (compare the 2023 Korean challenge). At best it delays the process while the parties argue about appointment. </w:t>
      </w:r>
      <w:r>
        <w:rPr>
          <w:b/>
        </w:rPr>
        <w:t>This must be confirmed with SIAC and Singapore counsel before signing.</w:t>
      </w:r>
    </w:p>
    <w:p>
      <w:pPr>
        <w:pStyle w:val="ListBullet"/>
        <w:spacing w:after="60"/>
      </w:pPr>
      <w:r>
        <w:rPr>
          <w:b/>
        </w:rPr>
        <w:t>"Exclusively".</w:t>
      </w:r>
      <w:r>
        <w:t xml:space="preserve"> The word makes expert determination the only route for a broad class of disputes. Pacifica can use it as a jurisdictional objection to any ICC or SIAC arbitration that touches quality (and most Greenleaf claims do).</w:t>
      </w:r>
    </w:p>
    <w:p>
      <w:pPr>
        <w:pStyle w:val="ListBullet"/>
        <w:spacing w:after="60"/>
      </w:pPr>
      <w:r>
        <w:rPr>
          <w:b/>
        </w:rPr>
        <w:t>No procedure.</w:t>
      </w:r>
      <w:r>
        <w:t xml:space="preserve"> The clause does not say how the Expert is appointed or in what time, what submissions are made, whether there is a hearing, or whether the Expert can require Pacifica to produce batch records and raw data, order independent retesting of retained samples (QA s.2.3), or appoint a laboratory. It also does not say whether the Expert gives reasons or how the parties' own test results are weighed. The 60-day period runs from "appointment", which has no deadline of its own.</w:t>
      </w:r>
    </w:p>
    <w:p>
      <w:pPr>
        <w:pStyle w:val="ListBullet"/>
        <w:spacing w:after="60"/>
      </w:pPr>
      <w:r>
        <w:rPr>
          <w:b/>
        </w:rPr>
        <w:t>Independence.</w:t>
      </w:r>
      <w:r>
        <w:t xml:space="preserve"> The "no current or prior relationship" test is helpful, but the clause does not address the realistic risk that the qualified expert pool for Singapore-administered appointments sits close to Singapore industry. Nationality or location criteria should be considered.</w:t>
      </w:r>
    </w:p>
    <w:p>
      <w:r>
        <w:rPr>
          <w:b/>
        </w:rPr>
        <w:t xml:space="preserve">Why it matters to Greenleaf. </w:t>
      </w:r>
      <w:r>
        <w:t>Quality disputes are Greenleaf's most likely disputes. An expert stage that cannot start cleanly, cannot see Pacifica's records and has no deadline for appointment favors the party holding the product and the data.</w:t>
      </w:r>
    </w:p>
    <w:p>
      <w:r>
        <w:rPr>
          <w:b/>
        </w:rPr>
        <w:t>Recommendation.</w:t>
      </w:r>
    </w:p>
    <w:p>
      <w:pPr>
        <w:pStyle w:val="ListBullet"/>
        <w:spacing w:after="60"/>
      </w:pPr>
      <w:r>
        <w:t xml:space="preserve">Convert expert determination to an </w:t>
      </w:r>
      <w:r>
        <w:rPr>
          <w:b/>
        </w:rPr>
        <w:t>optional</w:t>
      </w:r>
      <w:r>
        <w:t xml:space="preserve"> technical stage (either party may refer a "Technical Question"), administered under verified rules (we suggest the ICC Rules for the Administration of Expert Proceedings, consistent with an ICC unified clause). Include a default appointing authority if the named institution declines to act.</w:t>
      </w:r>
    </w:p>
    <w:p>
      <w:pPr>
        <w:pStyle w:val="ListBullet"/>
        <w:spacing w:after="60"/>
      </w:pPr>
      <w:r>
        <w:t>Specify: appointment within 15 business days; written submissions and one reply each; Expert's power to require production of batch records, COAs and raw data and to direct independent retesting of retained samples at an ISO 17025 laboratory agreed by the parties or chosen by the Expert; reasoned written determination within 45 days of appointment; costs to follow the outcome at the Expert's discretion.</w:t>
      </w:r>
    </w:p>
    <w:p>
      <w:pPr>
        <w:pStyle w:val="ListBullet"/>
        <w:spacing w:after="60"/>
      </w:pPr>
      <w:r>
        <w:t>Expert to be independent of both parties, their Affiliates, counsel and laboratories, with no material connection to the botanical extract supply chain of either party in the prior five years.</w:t>
      </w:r>
    </w:p>
    <w:p>
      <w:pPr>
        <w:pStyle w:val="Heading3"/>
      </w:pPr>
      <w:r>
        <w:t>Issue 18: Illusory finality; undefined US$5 million threshold; added layer</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QA ss.7.1-7.2 (with ss.3.4, 5.4)</w:t>
            </w:r>
          </w:p>
        </w:tc>
      </w:tr>
      <w:tr>
        <w:tc>
          <w:tcPr>
            <w:tcW w:type="dxa" w:w="6912"/>
            <w:gridSpan w:val="2"/>
          </w:tcPr>
          <w:p>
            <w:r/>
            <w:r>
              <w:rPr>
                <w:i/>
                <w:sz w:val="18"/>
              </w:rPr>
              <w:t>s.7.1: "The Expert's determination shall be final and binding on the Parties, subject to Section 7.2." s.7.2: "If the dispute involves an amount in excess of Five Million United States Dollars ($5,000,000), or if the expert determination rendered pursuant to Section 7.1 is challenged by either Party, the dispute shall be escalated to binding arbitration administered by [SIAC] ..."</w:t>
            </w:r>
          </w:p>
        </w:tc>
      </w:tr>
    </w:tbl>
    <w:p>
      <w:pPr>
        <w:spacing w:after="0"/>
      </w:pPr>
    </w:p>
    <w:p>
      <w:r>
        <w:rPr>
          <w:b/>
        </w:rPr>
        <w:t xml:space="preserve">The problem. </w:t>
      </w:r>
      <w:r>
        <w:rPr>
          <w:b/>
        </w:rPr>
        <w:t>Finality is illusory.</w:t>
      </w:r>
      <w:r>
        <w:t xml:space="preserve"> Either party may "challenge" the determination, with no time limit, no grounds and no standard of review, and the dispute then goes to a three-member SIAC tribunal. The losing party will always challenge. The expert stage therefore adds 3-4 months and a further set of fees without producing a binding result. The only outcome that is effectively final is one the loser chooses to accept.</w:t>
      </w:r>
    </w:p>
    <w:p>
      <w:pPr>
        <w:pStyle w:val="ListBullet"/>
        <w:spacing w:after="60"/>
      </w:pPr>
      <w:r>
        <w:rPr>
          <w:b/>
        </w:rPr>
        <w:t>The US$5 million threshold is undefined.</w:t>
      </w:r>
      <w:r>
        <w:t xml:space="preserve"> The clause does not say whether the threshold is measured by the amount claimed, the amount of the Batch, the total recall cost, or the aggregate of related claims, or at what time (when the dispute is notified, when the expert is appointed, or as the claim grows). It also does not say who decides whether the threshold is met, or whether a dispute over US$5 million skips expert determination or goes through it first. Recall costs that start small and grow (the Ridgeway example went from US$1.8 million direct to more than US$14 million) will move across the threshold mid-process.</w:t>
      </w:r>
    </w:p>
    <w:p>
      <w:pPr>
        <w:pStyle w:val="ListBullet"/>
        <w:spacing w:after="60"/>
      </w:pPr>
      <w:r>
        <w:rPr>
          <w:b/>
        </w:rPr>
        <w:t>An expert determination is not an arbitral award.</w:t>
      </w:r>
      <w:r>
        <w:t xml:space="preserve"> It is enforceable only as a contract and not under the New York Convention. If Pacifica does not comply with a determination in Greenleaf's favor, Greenleaf must start a further proceeding to enforce it.</w:t>
      </w:r>
    </w:p>
    <w:p>
      <w:pPr>
        <w:pStyle w:val="ListBullet"/>
        <w:spacing w:after="60"/>
      </w:pPr>
      <w:r>
        <w:rPr>
          <w:b/>
        </w:rPr>
        <w:t>Answering Mr. Heller's question:</w:t>
      </w:r>
      <w:r>
        <w:t xml:space="preserve"> as drafted, the expert stage makes the multi-party problem worse, not better. It adds a third forum that cannot bind the co-manufacturer and that either party can bypass.</w:t>
      </w:r>
    </w:p>
    <w:p>
      <w:r>
        <w:rPr>
          <w:b/>
        </w:rPr>
        <w:t xml:space="preserve">Why it matters to Greenleaf. </w:t>
      </w:r>
      <w:r>
        <w:t>The QA Letter's "two-step" mechanism is presented as efficient. In practice it is a three-step process (discussion, expert determination, SIAC arbitration) that sits beside a separate ICC process, with a threshold that invites argument at every step.</w:t>
      </w:r>
    </w:p>
    <w:p>
      <w:r>
        <w:rPr>
          <w:b/>
        </w:rPr>
        <w:t>Recommendation.</w:t>
      </w:r>
    </w:p>
    <w:p>
      <w:pPr>
        <w:pStyle w:val="ListBullet"/>
        <w:spacing w:after="60"/>
      </w:pPr>
      <w:r>
        <w:t xml:space="preserve">Restructure (see Section VII): the Expert decides </w:t>
      </w:r>
      <w:r>
        <w:rPr>
          <w:b/>
        </w:rPr>
        <w:t>technical questions only</w:t>
      </w:r>
      <w:r>
        <w:t xml:space="preserve"> (conformity to Specifications, testing methodology, root cause as a technical matter). The determination is binding on the parties and on any tribunal as to those technical findings unless a party starts arbitration challenging it within 30 days on grounds of manifest error, fraud, partiality or material procedural irregularity. Liability, causation in law, remedies and quantum stay with the ICC tribunal under the unified clause.</w:t>
      </w:r>
    </w:p>
    <w:p>
      <w:pPr>
        <w:pStyle w:val="ListBullet"/>
        <w:spacing w:after="60"/>
      </w:pPr>
      <w:r>
        <w:t>Delete the US$5 million gate. Either party may go straight to arbitration at any time, and the tribunal may refer a technical question to an Expert or appoint its own (ICC Rules Art. 25(4)).</w:t>
      </w:r>
    </w:p>
    <w:p>
      <w:pPr>
        <w:pStyle w:val="ListBullet"/>
        <w:spacing w:after="60"/>
      </w:pPr>
      <w:r>
        <w:t>Expert determination does not bar interim relief, and the limitation period is tolled while it is pending.</w:t>
      </w:r>
    </w:p>
    <w:p>
      <w:pPr>
        <w:pStyle w:val="ListBullet"/>
        <w:spacing w:after="60"/>
      </w:pPr>
      <w:r>
        <w:t>Preserve QA s.5.4: pending resolution, Greenleaf does not pay for the disputed Batch (Issue 24).</w:t>
      </w:r>
    </w:p>
    <w:p>
      <w:pPr>
        <w:pStyle w:val="Heading3"/>
      </w:pPr>
      <w:r>
        <w:t>Issue 19: Technical expert deciding recall cost allocation and legal questions</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QA ss.6.3, 7.1</w:t>
            </w:r>
          </w:p>
        </w:tc>
      </w:tr>
      <w:tr>
        <w:tc>
          <w:tcPr>
            <w:tcW w:type="dxa" w:w="6912"/>
            <w:gridSpan w:val="2"/>
          </w:tcPr>
          <w:p>
            <w:r/>
            <w:r>
              <w:rPr>
                <w:i/>
                <w:sz w:val="18"/>
              </w:rPr>
              <w:t>s.6.3: in a Recall with combined causes, costs are allocated "in proportion to their respective contributions ... as determined in accordance with Section 7." s.7.1 extends expert determination to "recall obligations".</w:t>
            </w:r>
          </w:p>
        </w:tc>
      </w:tr>
    </w:tbl>
    <w:p>
      <w:pPr>
        <w:spacing w:after="0"/>
      </w:pPr>
    </w:p>
    <w:p>
      <w:r>
        <w:rPr>
          <w:b/>
        </w:rPr>
        <w:t xml:space="preserve">The problem. </w:t>
      </w:r>
      <w:r>
        <w:t>Allocating Recall costs requires findings on causation in law, contribution, contractual interpretation (QA s.6.1 vs SA s.10, s.11) and quantum. Those are legal and damages questions, not questions of analytical chemistry. A technical expert is not equipped to decide them and has no procedure for doing so. Combined with the US$5 million gate, every material Recall will end up in arbitration in any event, after the expert stage.</w:t>
      </w:r>
    </w:p>
    <w:p>
      <w:r>
        <w:rPr>
          <w:b/>
        </w:rPr>
        <w:t xml:space="preserve">Why it matters to Greenleaf. </w:t>
      </w:r>
      <w:r>
        <w:t>Recall cost recovery is Greenleaf's largest single exposure. It should be decided by a tribunal with full powers and the evidence, not by a 60-day technical procedure.</w:t>
      </w:r>
    </w:p>
    <w:p>
      <w:r>
        <w:rPr>
          <w:b/>
        </w:rPr>
        <w:t>Recommendation.</w:t>
      </w:r>
    </w:p>
    <w:p>
      <w:pPr>
        <w:pStyle w:val="ListBullet"/>
        <w:spacing w:after="60"/>
      </w:pPr>
      <w:r>
        <w:t>Limit the Expert to technical root-cause findings (for example, whether the contamination originated in the extract as delivered, and the relative technical contribution of Supplier and Greenleaf/co-manufacturer processes). Allocation and quantum go to the tribunal, which is bound by the technical findings as in Issue 18.</w:t>
      </w:r>
    </w:p>
    <w:p>
      <w:pPr>
        <w:pStyle w:val="Heading3"/>
      </w:pPr>
      <w:r>
        <w:t>Issue 20: Singapore law for QA disputes; inconsistent remedies</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QA ss.7.2, 7.3, 1.11, 6.6, 8.1; SA ss.14.4, 14.11, 15.11</w:t>
            </w:r>
          </w:p>
        </w:tc>
      </w:tr>
      <w:tr>
        <w:tc>
          <w:tcPr>
            <w:tcW w:type="dxa" w:w="6912"/>
            <w:gridSpan w:val="2"/>
          </w:tcPr>
          <w:p>
            <w:r/>
            <w:r>
              <w:rPr>
                <w:i/>
                <w:sz w:val="18"/>
              </w:rPr>
              <w:t>QA s.7.3: "The governing law for disputes under this Side Letter shall be the laws of the Republic of Singapore." QA s.7.2: the tribunal may "award any remedy or relief available under applicable law, including injunctive relief, specific performance, and damages."</w:t>
            </w:r>
          </w:p>
        </w:tc>
      </w:tr>
    </w:tbl>
    <w:p>
      <w:pPr>
        <w:spacing w:after="0"/>
      </w:pPr>
    </w:p>
    <w:p>
      <w:r>
        <w:rPr>
          <w:b/>
        </w:rPr>
        <w:t xml:space="preserve">The problem. </w:t>
      </w:r>
      <w:r>
        <w:t>The QA Letter "supplements and forms part of the Supply Agreement" (s.8.1) and borrows its defined terms from the SA (s.1.11), but its disputes are governed by Singapore law. The same obligations (for example, the s.9.2 warranties as applied through the QA testing regime) can therefore be construed under two different legal systems.</w:t>
      </w:r>
    </w:p>
    <w:p>
      <w:pPr>
        <w:pStyle w:val="ListBullet"/>
        <w:spacing w:after="60"/>
      </w:pPr>
      <w:r>
        <w:rPr>
          <w:b/>
        </w:rPr>
        <w:t>"Consequential" means different things.</w:t>
      </w:r>
      <w:r>
        <w:t xml:space="preserve"> Under Singapore law (as under English law), "consequential" or "indirect" loss is generally read as loss within the second limb of Hadley v Baxendale, meaning loss arising from special circumstances. Lost profits that flow naturally from the breach can be direct. Under New York law, lost profits on downstream sales are frequently consequential (Kenford). The same waiver language in SA s.11.2/14.11 could therefore exclude Greenleaf's lost profits in an ICC arbitration under New York law but not in a SIAC arbitration under Singapore law (if the waiver applies there at all), or the reverse. </w:t>
      </w:r>
      <w:r>
        <w:rPr>
          <w:b/>
        </w:rPr>
        <w:t>Singapore counsel to confirm.</w:t>
      </w:r>
    </w:p>
    <w:p>
      <w:pPr>
        <w:pStyle w:val="ListBullet"/>
        <w:spacing w:after="60"/>
      </w:pPr>
      <w:r>
        <w:t>QA s.7.2's "any remedy" power conflicts with SA s.14.11's denial of authority (Issue 6). QA s.8.1 says the QA Letter controls on dispute resolution, and SA s.15.8 says the SA controls.</w:t>
      </w:r>
    </w:p>
    <w:p>
      <w:pPr>
        <w:pStyle w:val="ListBullet"/>
        <w:spacing w:after="60"/>
      </w:pPr>
      <w:r>
        <w:t>The section heading says the law governs "disputes", not the QA Letter itself. This leaves open whether Singapore law governs the QA Letter's validity and interpretation outside a dispute, and whether Singapore law governs the arbitration agreement in s.7.2.</w:t>
      </w:r>
    </w:p>
    <w:p>
      <w:r>
        <w:rPr>
          <w:b/>
        </w:rPr>
        <w:t xml:space="preserve">Why it matters to Greenleaf. </w:t>
      </w:r>
      <w:r>
        <w:t>Two governing laws for one supply relationship mean Greenleaf cannot reliably predict its recovery in a quality or recall dispute. That is the most important dispute scenario.</w:t>
      </w:r>
    </w:p>
    <w:p>
      <w:r>
        <w:rPr>
          <w:b/>
        </w:rPr>
        <w:t>Recommendation.</w:t>
      </w:r>
    </w:p>
    <w:p>
      <w:pPr>
        <w:pStyle w:val="ListBullet"/>
        <w:spacing w:after="60"/>
      </w:pPr>
      <w:r>
        <w:t>One governing law, New York, for all Transaction Documents, including the QA Letter (delete QA s.7.3).</w:t>
      </w:r>
    </w:p>
    <w:p>
      <w:pPr>
        <w:pStyle w:val="ListBullet"/>
        <w:spacing w:after="60"/>
      </w:pPr>
      <w:r>
        <w:t>Delete QA s.7.2's free-standing remedies power. Remedies are governed by the unified clause and the substantive liability provisions (as restructured under Issue 6).</w:t>
      </w:r>
    </w:p>
    <w:p>
      <w:pPr>
        <w:pStyle w:val="ListBullet"/>
        <w:spacing w:after="60"/>
      </w:pPr>
      <w:r>
        <w:t>If Pacifica insists on Singapore law for the QA Letter, the definition of excluded damages must be harmonised by express drafting (listing included and excluded heads of loss), so that the characterisation does not depend on the governing law.</w:t>
      </w:r>
    </w:p>
    <w:p>
      <w:pPr>
        <w:pStyle w:val="Heading3"/>
      </w:pPr>
      <w:r>
        <w:t>Issue 21: Unfinalized Specifications; competing definitions and remedy elections</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QA s.1.2, s.1.5, Ex. A; SA s.1.1 ("Specifications", "Defective Product"), s.3.2, Ex. B; SA s.7.2 vs QA s.5.2; SA s.7.3 vs QA s.5.1</w:t>
            </w:r>
          </w:p>
        </w:tc>
      </w:tr>
      <w:tr>
        <w:tc>
          <w:tcPr>
            <w:tcW w:type="dxa" w:w="6912"/>
            <w:gridSpan w:val="2"/>
          </w:tcPr>
          <w:p>
            <w:r/>
            <w:r>
              <w:rPr>
                <w:i/>
                <w:sz w:val="18"/>
              </w:rPr>
              <w:t>QA Ex. A: "[To be finalized and attached prior to execution]". SA Ex. B: "[Technical specifications document to be attached as a separate annex agreed by the Parties' quality teams prior to the first purchase order.]"</w:t>
            </w:r>
          </w:p>
        </w:tc>
      </w:tr>
    </w:tbl>
    <w:p>
      <w:pPr>
        <w:spacing w:after="0"/>
      </w:pPr>
    </w:p>
    <w:p>
      <w:r>
        <w:rPr>
          <w:b/>
        </w:rPr>
        <w:t xml:space="preserve">The problem. </w:t>
      </w:r>
      <w:r>
        <w:t>Any expert or tribunal deciding a quality dispute must apply "the Specifications". There are two definitions: SA s.1.1 (Exhibit B to the SA) and QA s.1.2 (Exhibit A to the QA Letter). Neither exhibit is attached. The SA contemplates finalization only "prior to the first purchase order", which could be after signing. Until then there is no objective standard to apply, and the first dispute may be about what the Specifications are.</w:t>
      </w:r>
    </w:p>
    <w:p>
      <w:pPr>
        <w:pStyle w:val="ListBullet"/>
        <w:spacing w:after="60"/>
      </w:pPr>
      <w:r>
        <w:t>"Defective Product" is also defined twice. SA s.1.1 refers to regulatory requirements "in the Exclusivity Territory at the time of delivery". QA s.1.5 is broader: cGMP, FDA requirements and the laws of every jurisdiction where Greenleaf sells finished products.</w:t>
      </w:r>
    </w:p>
    <w:p>
      <w:pPr>
        <w:pStyle w:val="ListBullet"/>
        <w:spacing w:after="60"/>
      </w:pPr>
      <w:r>
        <w:t>Remedy elections conflict. SA s.7.2 gives Supplier the choice of replacement or refund. QA s.5.2 gives Greenleaf the election. Latent-defect windows also conflict: SA s.7.3 (12 months from delivery) and QA s.5.1 (30 days from discovery, with no outside date).</w:t>
      </w:r>
    </w:p>
    <w:p>
      <w:pPr>
        <w:pStyle w:val="ListBullet"/>
        <w:spacing w:after="60"/>
      </w:pPr>
      <w:r>
        <w:t>SA s.9.2(a) measures conformity "at the time of delivery to the carrier" (CIP, risk passing at origin under SA s.6.1), whereas QA testing occurs on receipt. That affects which party bears transit-related degradation.</w:t>
      </w:r>
    </w:p>
    <w:p>
      <w:r>
        <w:rPr>
          <w:b/>
        </w:rPr>
        <w:t xml:space="preserve">Why it matters to Greenleaf. </w:t>
      </w:r>
      <w:r>
        <w:t>These are substantive points, but they decide the outcome of the disputes the dispute resolution clauses are meant to resolve. They also give each side a reason to choose the forum whose document contains the better definition.</w:t>
      </w:r>
    </w:p>
    <w:p>
      <w:r>
        <w:rPr>
          <w:b/>
        </w:rPr>
        <w:t>Recommendation.</w:t>
      </w:r>
    </w:p>
    <w:p>
      <w:pPr>
        <w:pStyle w:val="ListBullet"/>
        <w:spacing w:after="60"/>
      </w:pPr>
      <w:r>
        <w:t xml:space="preserve">Make finalization of both exhibits (or a single agreed Specifications annex referenced in both documents) a </w:t>
      </w:r>
      <w:r>
        <w:rPr>
          <w:b/>
        </w:rPr>
        <w:t>condition to signing</w:t>
      </w:r>
      <w:r>
        <w:t>.</w:t>
      </w:r>
    </w:p>
    <w:p>
      <w:pPr>
        <w:pStyle w:val="ListBullet"/>
        <w:spacing w:after="60"/>
      </w:pPr>
      <w:r>
        <w:t>Use one set of definitions in the SA, applied by the QA Letter. Greenleaf's QA s.1.5 definition of Defective Product and its QA s.5.2 election should prevail. Conform SA ss.7.2 and 7.3.</w:t>
      </w:r>
    </w:p>
    <w:p>
      <w:pPr>
        <w:pStyle w:val="Heading3"/>
      </w:pPr>
      <w:r>
        <w:t>Issue 22: No survival or term provision for QA Section 7</w:t>
      </w:r>
    </w:p>
    <w:tbl>
      <w:tblPr>
        <w:tblStyle w:val="TableGrid"/>
        <w:tblW w:type="auto" w:w="0"/>
        <w:tblLook w:firstColumn="1" w:firstRow="1" w:lastColumn="0" w:lastRow="0" w:noHBand="0" w:noVBand="1" w:val="04A0"/>
      </w:tblPr>
      <w:tblGrid>
        <w:gridCol w:w="4680"/>
        <w:gridCol w:w="4680"/>
      </w:tblGrid>
      <w:tr>
        <w:tc>
          <w:tcPr>
            <w:tcW w:type="dxa" w:w="2448"/>
            <w:shd w:val="clear" w:color="auto" w:fill="70AD47"/>
          </w:tcPr>
          <w:p>
            <w:r/>
            <w:r>
              <w:rPr>
                <w:b/>
                <w:sz w:val="19"/>
              </w:rPr>
              <w:t>Severity: Low</w:t>
            </w:r>
          </w:p>
        </w:tc>
        <w:tc>
          <w:tcPr>
            <w:tcW w:type="dxa" w:w="6912"/>
          </w:tcPr>
          <w:p>
            <w:r/>
            <w:r>
              <w:rPr>
                <w:b/>
                <w:sz w:val="19"/>
              </w:rPr>
              <w:t>Provision(s): QA (no term or survival clause); compare SA s.13.5, IPLA s.6.5(c)</w:t>
            </w:r>
          </w:p>
        </w:tc>
      </w:tr>
      <w:tr>
        <w:tc>
          <w:tcPr>
            <w:tcW w:type="dxa" w:w="6912"/>
            <w:gridSpan w:val="2"/>
          </w:tcPr>
          <w:p>
            <w:r/>
            <w:r>
              <w:rPr>
                <w:i/>
                <w:sz w:val="18"/>
              </w:rPr>
              <w:t>The SA expressly preserves Article 14 after termination (s.13.5) and the IPLA preserves s.9 (s.6.5(c)). The QA Letter has no term, termination or survival provision.</w:t>
            </w:r>
          </w:p>
        </w:tc>
      </w:tr>
    </w:tbl>
    <w:p>
      <w:pPr>
        <w:spacing w:after="0"/>
      </w:pPr>
    </w:p>
    <w:p>
      <w:r>
        <w:rPr>
          <w:b/>
        </w:rPr>
        <w:t xml:space="preserve">The problem. </w:t>
      </w:r>
      <w:r>
        <w:t>Recall and latent-defect disputes may arise after the SA ends. An argument that QA s.7 lapsed with the SA (because the QA Letter "forms part of" the SA) is weak, but avoidable.</w:t>
      </w:r>
    </w:p>
    <w:p>
      <w:r>
        <w:rPr>
          <w:b/>
        </w:rPr>
        <w:t xml:space="preserve">Why it matters to Greenleaf. </w:t>
      </w:r>
      <w:r>
        <w:t>Post-termination Recall disputes are foreseeable given 24-month shelf life (SA Ex. B).</w:t>
      </w:r>
    </w:p>
    <w:p>
      <w:r>
        <w:rPr>
          <w:b/>
        </w:rPr>
        <w:t>Recommendation.</w:t>
      </w:r>
    </w:p>
    <w:p>
      <w:pPr>
        <w:pStyle w:val="ListBullet"/>
        <w:spacing w:after="60"/>
      </w:pPr>
      <w:r>
        <w:t>Addressed automatically by the unified clause. Otherwise add express survival of QA ss.2.3, 5, 6 and 7.</w:t>
      </w:r>
    </w:p>
    <w:p>
      <w:pPr>
        <w:pStyle w:val="Heading2"/>
      </w:pPr>
      <w:r>
        <w:t>D. IP License Agreement - Section 9</w:t>
      </w:r>
    </w:p>
    <w:p>
      <w:pPr>
        <w:pStyle w:val="Heading3"/>
      </w:pPr>
      <w:r>
        <w:t>Issue 23: LCIA, London seat, English law, sole arbitrator; interim relief and cost rule</w:t>
      </w:r>
    </w:p>
    <w:tbl>
      <w:tblPr>
        <w:tblStyle w:val="TableGrid"/>
        <w:tblW w:type="auto" w:w="0"/>
        <w:tblLook w:firstColumn="1" w:firstRow="1" w:lastColumn="0" w:lastRow="0" w:noHBand="0" w:noVBand="1" w:val="04A0"/>
      </w:tblPr>
      <w:tblGrid>
        <w:gridCol w:w="4680"/>
        <w:gridCol w:w="4680"/>
      </w:tblGrid>
      <w:tr>
        <w:tc>
          <w:tcPr>
            <w:tcW w:type="dxa" w:w="2448"/>
            <w:shd w:val="clear" w:color="auto" w:fill="FFC000"/>
          </w:tcPr>
          <w:p>
            <w:r/>
            <w:r>
              <w:rPr>
                <w:b/>
                <w:sz w:val="19"/>
              </w:rPr>
              <w:t>Severity: Medium</w:t>
            </w:r>
          </w:p>
        </w:tc>
        <w:tc>
          <w:tcPr>
            <w:tcW w:type="dxa" w:w="6912"/>
          </w:tcPr>
          <w:p>
            <w:r/>
            <w:r>
              <w:rPr>
                <w:b/>
                <w:sz w:val="19"/>
              </w:rPr>
              <w:t>Provision(s): IPLA ss.9.1, 9.2, 9.4 (and see Issue 3 on s.9.3)</w:t>
            </w:r>
          </w:p>
        </w:tc>
      </w:tr>
      <w:tr>
        <w:tc>
          <w:tcPr>
            <w:tcW w:type="dxa" w:w="6912"/>
            <w:gridSpan w:val="2"/>
          </w:tcPr>
          <w:p>
            <w:r/>
            <w:r>
              <w:rPr>
                <w:i/>
                <w:sz w:val="18"/>
              </w:rPr>
              <w:t>s.9.1: arbitration under the LCIA Rules, seat London, one arbitrator, English language; s.9.2: English law; s.9.4: each party bears its own costs, unless the tribunal determines otherwise.</w:t>
            </w:r>
          </w:p>
        </w:tc>
      </w:tr>
    </w:tbl>
    <w:p>
      <w:pPr>
        <w:spacing w:after="0"/>
      </w:pPr>
    </w:p>
    <w:p>
      <w:r>
        <w:rPr>
          <w:b/>
        </w:rPr>
        <w:t xml:space="preserve">The problem. </w:t>
      </w:r>
      <w:r>
        <w:t>Apart from s.9.3 (Issue 3), s.9.1 is a well-formed LCIA clause and includes the existence/validity/termination language the SA lacks. The problems are about fit with the rest of the package:</w:t>
      </w:r>
    </w:p>
    <w:p>
      <w:pPr>
        <w:pStyle w:val="ListBullet"/>
        <w:spacing w:after="60"/>
      </w:pPr>
      <w:r>
        <w:rPr>
          <w:b/>
        </w:rPr>
        <w:t>English law</w:t>
      </w:r>
      <w:r>
        <w:t xml:space="preserve"> for a one-way, royalty-free, FDA-only data license that is commercially inseparable from a New York-law supply agreement. Harmon &amp; Grey describes the IPLA as a "cross-licensing" of IP rights and "proprietary formulations". It is in fact a limited, non-exclusive, one-way license of regulatory data (IPLA s.2.1).</w:t>
      </w:r>
    </w:p>
    <w:p>
      <w:pPr>
        <w:pStyle w:val="ListBullet"/>
        <w:spacing w:after="60"/>
      </w:pPr>
      <w:r>
        <w:rPr>
          <w:b/>
        </w:rPr>
        <w:t>No interim relief provision.</w:t>
      </w:r>
      <w:r>
        <w:t xml:space="preserve"> Under the LCIA Rules (Art. 25.3), once the tribunal is formed, a party may apply to a court for interim measures only with the tribunal's authorisation or in exceptional cases. Greenleaf's most likely urgent IPLA need is an order compelling Pacifica to deliver updated Licensed IP (s.3.2) or to cooperate with FDA inquiries within the 15-business-day window (s.4.1), so that FDA filings are not jeopardised. That is time-critical, and the clause does not address it. Pacifica's likely urgent need is to restrain misuse of its data (s.2.2), and SA s.14.7 may already give it a worldwide court route (Issue 12).</w:t>
      </w:r>
    </w:p>
    <w:p>
      <w:pPr>
        <w:pStyle w:val="ListBullet"/>
        <w:spacing w:after="60"/>
      </w:pPr>
      <w:r>
        <w:rPr>
          <w:b/>
        </w:rPr>
        <w:t>Different cost rule</w:t>
      </w:r>
      <w:r>
        <w:t xml:space="preserve"> from the SA (Issue 13).</w:t>
      </w:r>
    </w:p>
    <w:p>
      <w:pPr>
        <w:pStyle w:val="ListBullet"/>
        <w:spacing w:after="60"/>
      </w:pPr>
      <w:r>
        <w:rPr>
          <w:b/>
        </w:rPr>
        <w:t>Sole arbitrator</w:t>
      </w:r>
      <w:r>
        <w:t xml:space="preserve"> regardless of value (Issue 10).</w:t>
      </w:r>
    </w:p>
    <w:p>
      <w:pPr>
        <w:pStyle w:val="ListBullet"/>
        <w:spacing w:after="60"/>
      </w:pPr>
      <w:r>
        <w:t>IPLA s.6.5(b) gives Greenleaf a valuable post-termination right to reference data already in FDA filings. Disputes about it will arise after termination and should be in the same forum as SA termination disputes.</w:t>
      </w:r>
    </w:p>
    <w:p>
      <w:r>
        <w:rPr>
          <w:b/>
        </w:rPr>
        <w:t xml:space="preserve">Why it matters to Greenleaf. </w:t>
      </w:r>
      <w:r>
        <w:t>IPLA disputes will usually be entangled with supply or regulatory events (process changes that make filings inaccurate, termination of the SA). Splitting them into a London/English-law forum serves no Greenleaf interest.</w:t>
      </w:r>
    </w:p>
    <w:p>
      <w:r>
        <w:rPr>
          <w:b/>
        </w:rPr>
        <w:t>Recommendation.</w:t>
      </w:r>
    </w:p>
    <w:p>
      <w:pPr>
        <w:pStyle w:val="ListBullet"/>
        <w:spacing w:after="60"/>
      </w:pPr>
      <w:r>
        <w:t>Fold the IPLA into the unified clause (ICC; same seat; New York law), keeping the existence/validity/termination scope language.</w:t>
      </w:r>
    </w:p>
    <w:p>
      <w:pPr>
        <w:pStyle w:val="ListBullet"/>
        <w:spacing w:after="60"/>
      </w:pPr>
      <w:r>
        <w:t>Add express interim relief rights (emergency arbitrator and court) covering delivery of Licensed IP updates and regulatory cooperation, as well as protection of confidential information.</w:t>
      </w:r>
    </w:p>
    <w:p>
      <w:pPr>
        <w:pStyle w:val="ListBullet"/>
        <w:spacing w:after="60"/>
      </w:pPr>
      <w:r>
        <w:t>If English law is retained for the IPLA's IP-specific terms, move dispute resolution into the unified clause and govern the arbitration agreement by the same law as the other Transaction Documents.</w:t>
      </w:r>
    </w:p>
    <w:p>
      <w:pPr>
        <w:pStyle w:val="Heading2"/>
      </w:pPr>
      <w:r>
        <w:t>E. Enforcement and Related Provisions</w:t>
      </w:r>
    </w:p>
    <w:p>
      <w:pPr>
        <w:pStyle w:val="Heading3"/>
      </w:pPr>
      <w:r>
        <w:t>Issue 24: Enforcement path, set-off and consent to jurisdiction</w:t>
      </w:r>
    </w:p>
    <w:tbl>
      <w:tblPr>
        <w:tblStyle w:val="TableGrid"/>
        <w:tblW w:type="auto" w:w="0"/>
        <w:tblLook w:firstColumn="1" w:firstRow="1" w:lastColumn="0" w:lastRow="0" w:noHBand="0" w:noVBand="1" w:val="04A0"/>
      </w:tblPr>
      <w:tblGrid>
        <w:gridCol w:w="4680"/>
        <w:gridCol w:w="4680"/>
      </w:tblGrid>
      <w:tr>
        <w:tc>
          <w:tcPr>
            <w:tcW w:type="dxa" w:w="2448"/>
            <w:shd w:val="clear" w:color="auto" w:fill="E36C0A"/>
          </w:tcPr>
          <w:p>
            <w:r/>
            <w:r>
              <w:rPr>
                <w:b/>
                <w:color w:val="FFFFFF"/>
                <w:sz w:val="19"/>
              </w:rPr>
              <w:t>Severity: High</w:t>
            </w:r>
          </w:p>
        </w:tc>
        <w:tc>
          <w:tcPr>
            <w:tcW w:type="dxa" w:w="6912"/>
          </w:tcPr>
          <w:p>
            <w:r/>
            <w:r>
              <w:rPr>
                <w:b/>
                <w:sz w:val="19"/>
              </w:rPr>
              <w:t>Provision(s): SA ss.5.2, 14.6; QA s.5.4; SA s.15.1</w:t>
            </w:r>
          </w:p>
        </w:tc>
      </w:tr>
      <w:tr>
        <w:tc>
          <w:tcPr>
            <w:tcW w:type="dxa" w:w="6912"/>
            <w:gridSpan w:val="2"/>
          </w:tcPr>
          <w:p>
            <w:r/>
            <w:r>
              <w:rPr>
                <w:i/>
                <w:sz w:val="18"/>
              </w:rPr>
              <w:t>SA s.5.2: "Buyer shall not have any right of set-off against amounts owed under this Agreement." QA s.5.4: "Pending resolution of the dispute, Greenleaf shall not be required to pay for the disputed Batch ..."</w:t>
            </w:r>
          </w:p>
        </w:tc>
      </w:tr>
    </w:tbl>
    <w:p>
      <w:pPr>
        <w:spacing w:after="0"/>
      </w:pPr>
    </w:p>
    <w:p>
      <w:r>
        <w:rPr>
          <w:b/>
        </w:rPr>
        <w:t xml:space="preserve">The problem. </w:t>
      </w:r>
      <w:r>
        <w:rPr>
          <w:b/>
        </w:rPr>
        <w:t>Where Greenleaf will actually enforce.</w:t>
      </w:r>
      <w:r>
        <w:t xml:space="preserve"> Ms. Matsuda's email frames enforceability around North Carolina and Delaware. Those are the courts where </w:t>
      </w:r>
      <w:r>
        <w:rPr>
          <w:b/>
        </w:rPr>
        <w:t>Pacifica</w:t>
      </w:r>
      <w:r>
        <w:t xml:space="preserve"> would enforce an award </w:t>
      </w:r>
      <w:r>
        <w:rPr>
          <w:b/>
        </w:rPr>
        <w:t>against Greenleaf</w:t>
      </w:r>
      <w:r>
        <w:t xml:space="preserve">. An award in Greenleaf's favor will most likely have to be enforced against Pacifica's assets in </w:t>
      </w:r>
      <w:r>
        <w:rPr>
          <w:b/>
        </w:rPr>
        <w:t>Singapore</w:t>
      </w:r>
      <w:r>
        <w:t xml:space="preserve"> (its registered office and both Schedule 1 facilities are there), unless Pacifica holds U.S. receivables, inventory or accounts. With a Singapore seat, a Greenleaf award is enforced in Singapore as a domestic international award with leave of court (IAA s.19), which is generally fast. That is one reason a Singapore seat is acceptable. With a New York seat, enforcement in Singapore would be under the New York Convention (IAA Part III), which is also reliable.</w:t>
      </w:r>
    </w:p>
    <w:p>
      <w:pPr>
        <w:pStyle w:val="ListBullet"/>
        <w:spacing w:after="60"/>
      </w:pPr>
      <w:r>
        <w:rPr>
          <w:b/>
        </w:rPr>
        <w:t>U.S. enforcement mechanics.</w:t>
      </w:r>
      <w:r>
        <w:t xml:space="preserve"> Confirmation of a foreign award under 9 U.S.C. § 207 is available within three years. Several U.S. courts require personal jurisdiction over the award debtor, or its property in the forum (e.g., Frontera Resources Azerbaijan Corp. v. State Oil Co. of Azerbaijan Republic, 582 F.3d 393 (2d Cir. 2009)). Pacifica has no stated U.S. presence. A consent to jurisdiction and a U.S. process agent remove the issue.</w:t>
      </w:r>
    </w:p>
    <w:p>
      <w:pPr>
        <w:pStyle w:val="ListBullet"/>
        <w:spacing w:after="60"/>
      </w:pPr>
      <w:r>
        <w:rPr>
          <w:b/>
        </w:rPr>
        <w:t>No set-off.</w:t>
      </w:r>
      <w:r>
        <w:t xml:space="preserve"> SA s.5.2 bars set-off "against amounts owed under this Agreement". Read literally, Greenleaf must keep paying invoices while holding an unpaid award or a binding expert determination in its favor, and then pursue collection in Singapore. QA s.5.4 lets Greenleaf withhold payment for a disputed Batch, but it conflicts with SA s.5.2, and the precedence clauses (Issue 2) do not clearly resolve the conflict.</w:t>
      </w:r>
    </w:p>
    <w:p>
      <w:pPr>
        <w:pStyle w:val="ListBullet"/>
        <w:spacing w:after="60"/>
      </w:pPr>
      <w:r>
        <w:rPr>
          <w:b/>
        </w:rPr>
        <w:t>The clauses themselves are the main enforcement risk.</w:t>
      </w:r>
      <w:r>
        <w:t xml:space="preserve"> The features most likely to support an enforcement challenge are s.14.6 (appeal; Issue 5), s.14.11 (authority; Issue 6), s.14.2 ("all hearings" in London; Issue 9), the fragmented jurisdiction (Issues 1-3) and inconsistent notice details (Issue 25).</w:t>
      </w:r>
    </w:p>
    <w:p>
      <w:r>
        <w:rPr>
          <w:b/>
        </w:rPr>
        <w:t xml:space="preserve">Why it matters to Greenleaf. </w:t>
      </w:r>
      <w:r>
        <w:t>Client priority 1 is to avoid a repeat of Pacifica's 14-month enforcement delay. Contractual self-help (set-off) and pre-agreed jurisdiction are the most effective protections against that.</w:t>
      </w:r>
    </w:p>
    <w:p>
      <w:r>
        <w:rPr>
          <w:b/>
        </w:rPr>
        <w:t>Recommendation.</w:t>
      </w:r>
    </w:p>
    <w:p>
      <w:pPr>
        <w:pStyle w:val="ListBullet"/>
        <w:spacing w:after="60"/>
      </w:pPr>
      <w:r>
        <w:t>Amend SA s.5.2: Greenleaf may set off (i) amounts awarded in its favor by a final arbitral award or binding expert determination, (ii) undisputed credits and refunds under QA s.5.2 and SA s.7.2, and (iii) Recall costs payable by Pacifica under QA s.6.1 that are not disputed in good faith within 30 days of invoice. Expressly preserve the QA s.5.4 withholding right.</w:t>
      </w:r>
    </w:p>
    <w:p>
      <w:pPr>
        <w:pStyle w:val="ListBullet"/>
        <w:spacing w:after="60"/>
      </w:pPr>
      <w:r>
        <w:t>Pacifica irrevocably submits to the jurisdiction of the state and federal courts of New York, North Carolina and Delaware, and of the Singapore courts, for recognition and enforcement of any award and for interim relief in aid of arbitration. It waives any objection to venue or forum non conveniens, and appoints a U.S. agent for service of process for the Term plus [four] years.</w:t>
      </w:r>
    </w:p>
    <w:p>
      <w:pPr>
        <w:pStyle w:val="ListBullet"/>
        <w:spacing w:after="60"/>
      </w:pPr>
      <w:r>
        <w:t>Consider requiring a parent or bank guarantee, or a standby letter of credit, supporting Pacifica's Recall and indemnity obligations, sized to the super-cap if one is agreed (Issue 6).</w:t>
      </w:r>
    </w:p>
    <w:p>
      <w:pPr>
        <w:pStyle w:val="Heading3"/>
      </w:pPr>
      <w:r>
        <w:t>Issue 25: Inconsistent notice details; service of the Request for Arbitration</w:t>
      </w:r>
    </w:p>
    <w:tbl>
      <w:tblPr>
        <w:tblStyle w:val="TableGrid"/>
        <w:tblW w:type="auto" w:w="0"/>
        <w:tblLook w:firstColumn="1" w:firstRow="1" w:lastColumn="0" w:lastRow="0" w:noHBand="0" w:noVBand="1" w:val="04A0"/>
      </w:tblPr>
      <w:tblGrid>
        <w:gridCol w:w="4680"/>
        <w:gridCol w:w="4680"/>
      </w:tblGrid>
      <w:tr>
        <w:tc>
          <w:tcPr>
            <w:tcW w:type="dxa" w:w="2448"/>
            <w:shd w:val="clear" w:color="auto" w:fill="70AD47"/>
          </w:tcPr>
          <w:p>
            <w:r/>
            <w:r>
              <w:rPr>
                <w:b/>
                <w:sz w:val="19"/>
              </w:rPr>
              <w:t>Severity: Low</w:t>
            </w:r>
          </w:p>
        </w:tc>
        <w:tc>
          <w:tcPr>
            <w:tcW w:type="dxa" w:w="6912"/>
          </w:tcPr>
          <w:p>
            <w:r/>
            <w:r>
              <w:rPr>
                <w:b/>
                <w:sz w:val="19"/>
              </w:rPr>
              <w:t>Provision(s): SA s.15.1; IPLA s.10.1; QA s.8.3; H&amp;G memo signature block</w:t>
            </w:r>
          </w:p>
        </w:tc>
      </w:tr>
      <w:tr>
        <w:tc>
          <w:tcPr>
            <w:tcW w:type="dxa" w:w="6912"/>
            <w:gridSpan w:val="2"/>
          </w:tcPr>
          <w:p>
            <w:r/>
            <w:r>
              <w:rPr>
                <w:i/>
                <w:sz w:val="18"/>
              </w:rPr>
              <w:t>SA s.15.1 lists Pacifica's in-house counsel email as p.venkatesh@pacificabotanics.com.sg; IPLA s.10.1 lists pvenkatesh@pacificabotanics.com.sg. The IPLA lists Harmon &amp; Grey as dloh@harmonandgrey.com.sg; the H&amp;G memo lists darren.loh@harmongreyllp.com. The SA notice block has no copy to W&amp;C or Harmon &amp; Grey; the IPLA does.</w:t>
            </w:r>
          </w:p>
        </w:tc>
      </w:tr>
    </w:tbl>
    <w:p>
      <w:pPr>
        <w:spacing w:after="0"/>
      </w:pPr>
    </w:p>
    <w:p>
      <w:r>
        <w:rPr>
          <w:b/>
        </w:rPr>
        <w:t xml:space="preserve">The problem. </w:t>
      </w:r>
      <w:r>
        <w:t>Proper notice of the arbitration is a New York Convention defense (Art. V(1)(b)). Inconsistent addresses, and email notice that is effective only "with written confirmation of receipt", give a respondent a basis to say it was not properly notified. The risk is low, but it is exactly the kind of technical point used to delay enforcement.</w:t>
      </w:r>
    </w:p>
    <w:p>
      <w:r>
        <w:rPr>
          <w:b/>
        </w:rPr>
        <w:t xml:space="preserve">Why it matters to Greenleaf. </w:t>
      </w:r>
      <w:r>
        <w:t>This is easy to fix and removes a technical enforcement defense.</w:t>
      </w:r>
    </w:p>
    <w:p>
      <w:r>
        <w:rPr>
          <w:b/>
        </w:rPr>
        <w:t>Recommendation.</w:t>
      </w:r>
    </w:p>
    <w:p>
      <w:pPr>
        <w:pStyle w:val="ListBullet"/>
        <w:spacing w:after="60"/>
      </w:pPr>
      <w:r>
        <w:t>Conform the notice blocks across all three documents (confirm the correct email addresses with Pacifica). Add copies to counsel in the SA. Provide that a Request for Arbitration is validly served by courier to the registered address and by email to the listed addresses, whether or not receipt is confirmed, and also on the U.S. process agent.</w:t>
      </w:r>
    </w:p>
    <w:p>
      <w:pPr>
        <w:pStyle w:val="Heading3"/>
      </w:pPr>
      <w:r>
        <w:t>Issue 26: Privilege and use of the Harmon &amp; Grey memorandum</w:t>
      </w:r>
    </w:p>
    <w:tbl>
      <w:tblPr>
        <w:tblStyle w:val="TableGrid"/>
        <w:tblW w:type="auto" w:w="0"/>
        <w:tblLook w:firstColumn="1" w:firstRow="1" w:lastColumn="0" w:lastRow="0" w:noHBand="0" w:noVBand="1" w:val="04A0"/>
      </w:tblPr>
      <w:tblGrid>
        <w:gridCol w:w="4680"/>
        <w:gridCol w:w="4680"/>
      </w:tblGrid>
      <w:tr>
        <w:tc>
          <w:tcPr>
            <w:tcW w:type="dxa" w:w="2448"/>
            <w:shd w:val="clear" w:color="auto" w:fill="70AD47"/>
          </w:tcPr>
          <w:p>
            <w:r/>
            <w:r>
              <w:rPr>
                <w:b/>
                <w:sz w:val="19"/>
              </w:rPr>
              <w:t>Severity: Low</w:t>
            </w:r>
          </w:p>
        </w:tc>
        <w:tc>
          <w:tcPr>
            <w:tcW w:type="dxa" w:w="6912"/>
          </w:tcPr>
          <w:p>
            <w:r/>
            <w:r>
              <w:rPr>
                <w:b/>
                <w:sz w:val="19"/>
              </w:rPr>
              <w:t>Provision(s): Internal email chain (Ridgeway copied); H&amp;G memo distribution notice</w:t>
            </w:r>
          </w:p>
        </w:tc>
      </w:tr>
      <w:tr>
        <w:tc>
          <w:tcPr>
            <w:tcW w:type="dxa" w:w="6912"/>
            <w:gridSpan w:val="2"/>
          </w:tcPr>
          <w:p>
            <w:r/>
            <w:r>
              <w:rPr>
                <w:i/>
                <w:sz w:val="18"/>
              </w:rPr>
              <w:t>Mr. Park (Ridgeway) is a direct participant in the June 30-July 1 email chain on legal strategy. The H&amp;G memo was shared with Greenleaf and W&amp;C "for purposes of facilitating commercial negotiation".</w:t>
            </w:r>
          </w:p>
        </w:tc>
      </w:tr>
    </w:tbl>
    <w:p>
      <w:pPr>
        <w:spacing w:after="0"/>
      </w:pPr>
    </w:p>
    <w:p>
      <w:r>
        <w:rPr>
          <w:b/>
        </w:rPr>
        <w:t xml:space="preserve">The problem. </w:t>
      </w:r>
      <w:r>
        <w:rPr>
          <w:b/>
        </w:rPr>
        <w:t>Ridgeway.</w:t>
      </w:r>
      <w:r>
        <w:t xml:space="preserve"> Ridgeway is a separate entity and not our client. New York applies the common-interest doctrine narrowly, generally requiring pending or reasonably anticipated litigation (Ambac Assurance Corp. v. Countrywide Home Loans, Inc., 27 N.Y.3d 616 (2016)). Communications in which Greenleaf's legal advice and negotiating limits are shared with Ridgeway may therefore not be privileged, including the statement that the consequential damages point is a walk-away item.</w:t>
      </w:r>
    </w:p>
    <w:p>
      <w:pPr>
        <w:pStyle w:val="ListBullet"/>
        <w:spacing w:after="60"/>
      </w:pPr>
      <w:r>
        <w:rPr>
          <w:b/>
        </w:rPr>
        <w:t>H&amp;G memo.</w:t>
      </w:r>
      <w:r>
        <w:t xml:space="preserve"> The memo is not privileged as between Pacifica and Greenleaf. It is a written record of Pacifica's stated intentions: for example, that IPLA s.9.3 is meant to send SA disputes to the LCIA, that the drafting aims to minimise post-award challenge, and that Harmon &amp; Grey is "willing to consider reasonable adjustments". Under New York law the SA s.15.8 integration clause would generally exclude it as an aid to interpretation of an unambiguous contract. If the CISG applies (Issue 11), it may be admissible. Either way, it is useful negotiating leverage: the memo's own stated objective supports most of our proposed changes. (We note Ms. Matsuda's July 1 email refers to the memo before its July 3 date; please confirm whether an earlier version was circulated.)</w:t>
      </w:r>
    </w:p>
    <w:p>
      <w:r>
        <w:rPr>
          <w:b/>
        </w:rPr>
        <w:t xml:space="preserve">Why it matters to Greenleaf. </w:t>
      </w:r>
      <w:r>
        <w:t>This affects how candidly Greenleaf's negotiating limits can be documented, and it supports our negotiating approach.</w:t>
      </w:r>
    </w:p>
    <w:p>
      <w:r>
        <w:rPr>
          <w:b/>
        </w:rPr>
        <w:t>Recommendation.</w:t>
      </w:r>
    </w:p>
    <w:p>
      <w:pPr>
        <w:pStyle w:val="ListBullet"/>
        <w:spacing w:after="60"/>
      </w:pPr>
      <w:r>
        <w:t>Limit circulation of this memo and of negotiating limits to Greenleaf personnel. Provide Ridgeway with a separate business-level summary, or put a common-interest agreement in place before sharing legal advice.</w:t>
      </w:r>
    </w:p>
    <w:p>
      <w:pPr>
        <w:pStyle w:val="ListBullet"/>
        <w:spacing w:after="60"/>
      </w:pPr>
      <w:r>
        <w:t>Use the H&amp;G memo's stated objectives in the response to Harmon &amp; Grey (Section VI).</w:t>
      </w:r>
    </w:p>
    <w:p>
      <w:pPr>
        <w:pStyle w:val="Heading1"/>
      </w:pPr>
      <w:r>
        <w:t>VI. Response to the Harmon &amp; Grey Memorandum (July 3, 2025)</w:t>
      </w:r>
    </w:p>
    <w:p>
      <w:r>
        <w:t>Several of the memo's characterisations are inaccurate or incomplete. Greenleaf should not accept them as the agreed basis for negotiation. Our suggested responses follow.</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3A5F"/>
          </w:tcPr>
          <w:p>
            <w:r/>
            <w:r>
              <w:rPr>
                <w:b/>
                <w:color w:val="FFFFFF"/>
                <w:sz w:val="18"/>
              </w:rPr>
              <w:t>H&amp;G position</w:t>
            </w:r>
          </w:p>
        </w:tc>
        <w:tc>
          <w:tcPr>
            <w:tcW w:type="dxa" w:w="5616"/>
            <w:shd w:val="clear" w:color="auto" w:fill="1F3A5F"/>
          </w:tcPr>
          <w:p>
            <w:r/>
            <w:r>
              <w:rPr>
                <w:b/>
                <w:color w:val="FFFFFF"/>
                <w:sz w:val="18"/>
              </w:rPr>
              <w:t>Our assessment / suggested response</w:t>
            </w:r>
          </w:p>
        </w:tc>
      </w:tr>
      <w:tr>
        <w:tc>
          <w:tcPr>
            <w:tcW w:type="dxa" w:w="3744"/>
          </w:tcPr>
          <w:p>
            <w:r>
              <w:rPr>
                <w:sz w:val="18"/>
              </w:rPr>
            </w:r>
            <w:r>
              <w:rPr>
                <w:sz w:val="18"/>
              </w:rPr>
              <w:t>The framework is "comprehensive, balanced, and enforceable"; drafted to minimise post-award challenge given Pacifica's 2023 Korea experience (ss.V-VI).</w:t>
            </w:r>
          </w:p>
        </w:tc>
        <w:tc>
          <w:tcPr>
            <w:tcW w:type="dxa" w:w="5616"/>
          </w:tcPr>
          <w:p>
            <w:r>
              <w:rPr>
                <w:sz w:val="18"/>
              </w:rPr>
            </w:r>
            <w:r>
              <w:rPr>
                <w:sz w:val="18"/>
              </w:rPr>
              <w:t>We share the objective. But the package contains the features most likely to produce such a challenge: an appeal right inconsistent with the seat (Issue 5), a jurisdictional damages limit (Issue 6), a forum-shifting clause (Issue 3), circular precedence (Issue 2), and an unverified expert-rules reference (Issue 17). Use Pacifica's own objective as the reason for change.</w:t>
            </w:r>
          </w:p>
        </w:tc>
      </w:tr>
      <w:tr>
        <w:tc>
          <w:tcPr>
            <w:tcW w:type="dxa" w:w="3744"/>
          </w:tcPr>
          <w:p>
            <w:r>
              <w:rPr>
                <w:sz w:val="18"/>
              </w:rPr>
            </w:r>
            <w:r>
              <w:rPr>
                <w:sz w:val="18"/>
              </w:rPr>
              <w:t>SA s.15.8 "establishes a clear hierarchy" (s.IV).</w:t>
            </w:r>
          </w:p>
        </w:tc>
        <w:tc>
          <w:tcPr>
            <w:tcW w:type="dxa" w:w="5616"/>
          </w:tcPr>
          <w:p>
            <w:r>
              <w:rPr>
                <w:sz w:val="18"/>
              </w:rPr>
            </w:r>
            <w:r>
              <w:rPr>
                <w:sz w:val="18"/>
              </w:rPr>
              <w:t>QA s.8.1 and IPLA s.10.3 each create an exception in favor of their own dispute resolution provisions. There is no clear hierarchy (Issue 2).</w:t>
            </w:r>
          </w:p>
        </w:tc>
      </w:tr>
      <w:tr>
        <w:tc>
          <w:tcPr>
            <w:tcW w:type="dxa" w:w="3744"/>
          </w:tcPr>
          <w:p>
            <w:r>
              <w:rPr>
                <w:sz w:val="18"/>
              </w:rPr>
            </w:r>
            <w:r>
              <w:rPr>
                <w:sz w:val="18"/>
              </w:rPr>
              <w:t>IPLA s.9.3 is "a practical efficiency measure" producing a single LCIA proceeding (s.II.C).</w:t>
            </w:r>
          </w:p>
        </w:tc>
        <w:tc>
          <w:tcPr>
            <w:tcW w:type="dxa" w:w="5616"/>
          </w:tcPr>
          <w:p>
            <w:r>
              <w:rPr>
                <w:sz w:val="18"/>
              </w:rPr>
            </w:r>
            <w:r>
              <w:rPr>
                <w:sz w:val="18"/>
              </w:rPr>
              <w:t>It moves SA disputes to the LCIA, contrary to SA s.14.1. It is efficient only if it points to a single institution for all disputes, which should be the ICC (Issue 3).</w:t>
            </w:r>
          </w:p>
        </w:tc>
      </w:tr>
      <w:tr>
        <w:tc>
          <w:tcPr>
            <w:tcW w:type="dxa" w:w="3744"/>
          </w:tcPr>
          <w:p>
            <w:r>
              <w:rPr>
                <w:sz w:val="18"/>
              </w:rPr>
            </w:r>
            <w:r>
              <w:rPr>
                <w:sz w:val="18"/>
              </w:rPr>
              <w:t>Section 14.6 is "modeled on ... Section 69" of the English Arbitration Act 1996 and channels review to one forum (s.III.B).</w:t>
            </w:r>
          </w:p>
        </w:tc>
        <w:tc>
          <w:tcPr>
            <w:tcW w:type="dxa" w:w="5616"/>
          </w:tcPr>
          <w:p>
            <w:r>
              <w:rPr>
                <w:sz w:val="18"/>
              </w:rPr>
            </w:r>
            <w:r>
              <w:rPr>
                <w:sz w:val="18"/>
              </w:rPr>
              <w:t>Section 69 is English curial law and has no application to a Singapore seat. Our understanding is that the IAA has no appeal on law (local counsel to confirm). New York Convention defenses remain available everywhere. Delete (Issue 5).</w:t>
            </w:r>
          </w:p>
        </w:tc>
      </w:tr>
      <w:tr>
        <w:tc>
          <w:tcPr>
            <w:tcW w:type="dxa" w:w="3744"/>
          </w:tcPr>
          <w:p>
            <w:r>
              <w:rPr>
                <w:sz w:val="18"/>
              </w:rPr>
            </w:r>
            <w:r>
              <w:rPr>
                <w:sz w:val="18"/>
              </w:rPr>
              <w:t>Section 14.5 bars only "pre-hearing" compelled production; Greenleaf shares Pacifica's "strongly held view" (s.III.C).</w:t>
            </w:r>
          </w:p>
        </w:tc>
        <w:tc>
          <w:tcPr>
            <w:tcW w:type="dxa" w:w="5616"/>
          </w:tcPr>
          <w:p>
            <w:r>
              <w:rPr>
                <w:sz w:val="18"/>
              </w:rPr>
            </w:r>
            <w:r>
              <w:rPr>
                <w:sz w:val="18"/>
              </w:rPr>
              <w:t>The text bars "discovery" without limit. Greenleaf does not share that view. The IBA Rules support targeted production, not none. Trade secrets can be protected by protective orders (Issue 7).</w:t>
            </w:r>
          </w:p>
        </w:tc>
      </w:tr>
      <w:tr>
        <w:tc>
          <w:tcPr>
            <w:tcW w:type="dxa" w:w="3744"/>
          </w:tcPr>
          <w:p>
            <w:r>
              <w:rPr>
                <w:sz w:val="18"/>
              </w:rPr>
            </w:r>
            <w:r>
              <w:rPr>
                <w:sz w:val="18"/>
              </w:rPr>
              <w:t>Section 14.11 is a "standard" "mutual" waiver (s.III.D).</w:t>
            </w:r>
          </w:p>
        </w:tc>
        <w:tc>
          <w:tcPr>
            <w:tcW w:type="dxa" w:w="5616"/>
          </w:tcPr>
          <w:p>
            <w:r>
              <w:rPr>
                <w:sz w:val="18"/>
              </w:rPr>
            </w:r>
            <w:r>
              <w:rPr>
                <w:sz w:val="18"/>
              </w:rPr>
              <w:t>It is a limit on the tribunal's authority, not a standard substantive waiver. It is inconsistent with SA s.11.2 and QA ss.6.6/7.2, and it is asymmetric in effect (Issue 6). Greenleaf will not sign a blanket consequential damages waiver.</w:t>
            </w:r>
          </w:p>
        </w:tc>
      </w:tr>
      <w:tr>
        <w:tc>
          <w:tcPr>
            <w:tcW w:type="dxa" w:w="3744"/>
          </w:tcPr>
          <w:p>
            <w:r>
              <w:rPr>
                <w:sz w:val="18"/>
              </w:rPr>
            </w:r>
            <w:r>
              <w:rPr>
                <w:sz w:val="18"/>
              </w:rPr>
              <w:t>A one-year limitation period prevents stale claims (s.III.E).</w:t>
            </w:r>
          </w:p>
        </w:tc>
        <w:tc>
          <w:tcPr>
            <w:tcW w:type="dxa" w:w="5616"/>
          </w:tcPr>
          <w:p>
            <w:r>
              <w:rPr>
                <w:sz w:val="18"/>
              </w:rPr>
            </w:r>
            <w:r>
              <w:rPr>
                <w:sz w:val="18"/>
              </w:rPr>
              <w:t>It bars latent-defect and indemnity claims before they mature, with no tolling during the QA Letter's own mandatory steps (Issue 8).</w:t>
            </w:r>
          </w:p>
        </w:tc>
      </w:tr>
      <w:tr>
        <w:tc>
          <w:tcPr>
            <w:tcW w:type="dxa" w:w="3744"/>
          </w:tcPr>
          <w:p>
            <w:r>
              <w:rPr>
                <w:sz w:val="18"/>
              </w:rPr>
            </w:r>
            <w:r>
              <w:rPr>
                <w:sz w:val="18"/>
              </w:rPr>
              <w:t>London is "approximately equidistant" between Charlotte and Singapore (s.III.A).</w:t>
            </w:r>
          </w:p>
        </w:tc>
        <w:tc>
          <w:tcPr>
            <w:tcW w:type="dxa" w:w="5616"/>
          </w:tcPr>
          <w:p>
            <w:r>
              <w:rPr>
                <w:sz w:val="18"/>
              </w:rPr>
            </w:r>
            <w:r>
              <w:rPr>
                <w:sz w:val="18"/>
              </w:rPr>
              <w:t>It is not (roughly 4,000 vs 6,700 miles). In any event, a mandatory hearing venue is unnecessary given ICC Rules Art. 18(2) (Issue 9).</w:t>
            </w:r>
          </w:p>
        </w:tc>
      </w:tr>
      <w:tr>
        <w:tc>
          <w:tcPr>
            <w:tcW w:type="dxa" w:w="3744"/>
          </w:tcPr>
          <w:p>
            <w:r>
              <w:rPr>
                <w:sz w:val="18"/>
              </w:rPr>
            </w:r>
            <w:r>
              <w:rPr>
                <w:sz w:val="18"/>
              </w:rPr>
              <w:t>Sole arbitrator with an option to request three within 15 days of "service" of the Request (s.II.A).</w:t>
            </w:r>
          </w:p>
        </w:tc>
        <w:tc>
          <w:tcPr>
            <w:tcW w:type="dxa" w:w="5616"/>
          </w:tcPr>
          <w:p>
            <w:r>
              <w:rPr>
                <w:sz w:val="18"/>
              </w:rPr>
            </w:r>
            <w:r>
              <w:rPr>
                <w:sz w:val="18"/>
              </w:rPr>
              <w:t>The text says 15 days "of the Request", which is ambiguous and shorter than the 30-day Answer period. A three-member tribunal should apply above US$5 million (Issue 10).</w:t>
            </w:r>
          </w:p>
        </w:tc>
      </w:tr>
      <w:tr>
        <w:tc>
          <w:tcPr>
            <w:tcW w:type="dxa" w:w="3744"/>
          </w:tcPr>
          <w:p>
            <w:r>
              <w:rPr>
                <w:sz w:val="18"/>
              </w:rPr>
            </w:r>
            <w:r>
              <w:rPr>
                <w:sz w:val="18"/>
              </w:rPr>
              <w:t>The IPLA concerns "cross-licensing" of IP rights and "proprietary formulations" (s.II.C).</w:t>
            </w:r>
          </w:p>
        </w:tc>
        <w:tc>
          <w:tcPr>
            <w:tcW w:type="dxa" w:w="5616"/>
          </w:tcPr>
          <w:p>
            <w:r>
              <w:rPr>
                <w:sz w:val="18"/>
              </w:rPr>
            </w:r>
            <w:r>
              <w:rPr>
                <w:sz w:val="18"/>
              </w:rPr>
              <w:t>The IPLA is a one-way, non-exclusive, royalty-free license of regulatory data for FDA filings (IPLA s.2.1). It does not justify a separate institution and law (Issue 23).</w:t>
            </w:r>
          </w:p>
        </w:tc>
      </w:tr>
      <w:tr>
        <w:tc>
          <w:tcPr>
            <w:tcW w:type="dxa" w:w="3744"/>
          </w:tcPr>
          <w:p>
            <w:r>
              <w:rPr>
                <w:sz w:val="18"/>
              </w:rPr>
            </w:r>
            <w:r>
              <w:rPr>
                <w:sz w:val="18"/>
              </w:rPr>
              <w:t>Expert determination under SIAC's "Rules for the Appointment of Experts" is streamlined and cost-effective (s.II.B).</w:t>
            </w:r>
          </w:p>
        </w:tc>
        <w:tc>
          <w:tcPr>
            <w:tcW w:type="dxa" w:w="5616"/>
          </w:tcPr>
          <w:p>
            <w:r>
              <w:rPr>
                <w:sz w:val="18"/>
              </w:rPr>
            </w:r>
            <w:r>
              <w:rPr>
                <w:sz w:val="18"/>
              </w:rPr>
              <w:t>We could not verify that these rules exist. Either party can challenge the determination, and the US$5 million gate is undefined. As drafted it is an added layer, not a streamlined one (Issues 17-18).</w:t>
            </w:r>
          </w:p>
        </w:tc>
      </w:tr>
      <w:tr>
        <w:tc>
          <w:tcPr>
            <w:tcW w:type="dxa" w:w="3744"/>
          </w:tcPr>
          <w:p>
            <w:r>
              <w:rPr>
                <w:sz w:val="18"/>
              </w:rPr>
            </w:r>
            <w:r>
              <w:rPr>
                <w:sz w:val="18"/>
              </w:rPr>
              <w:t>Willing to consider "reasonable adjustments"; core architecture reflects Pacifica's preference for Singapore-connected dispute resolution (s.VI).</w:t>
            </w:r>
          </w:p>
        </w:tc>
        <w:tc>
          <w:tcPr>
            <w:tcW w:type="dxa" w:w="5616"/>
          </w:tcPr>
          <w:p>
            <w:r>
              <w:rPr>
                <w:sz w:val="18"/>
              </w:rPr>
            </w:r>
            <w:r>
              <w:rPr>
                <w:sz w:val="18"/>
              </w:rPr>
              <w:t>Our proposal keeps Singapore as the seat and keeps the ICC, Pacifica's choice of institution for the principal agreement (Section VIII).</w:t>
            </w:r>
          </w:p>
        </w:tc>
      </w:tr>
    </w:tbl>
    <w:p>
      <w:pPr>
        <w:spacing w:after="40"/>
      </w:pPr>
    </w:p>
    <w:p>
      <w:pPr>
        <w:pStyle w:val="Heading1"/>
      </w:pPr>
      <w:r>
        <w:t>VII. Recommended Architecture and Proposed Clause</w:t>
      </w:r>
    </w:p>
    <w:p>
      <w:r>
        <w:t xml:space="preserve">We recommend that the following clause be inserted </w:t>
      </w:r>
      <w:r>
        <w:rPr>
          <w:b/>
        </w:rPr>
        <w:t>verbatim</w:t>
      </w:r>
      <w:r>
        <w:t xml:space="preserve"> as Article 14 of the SA, Section 7 of the QA Letter and Section 9 of the IPLA, or adopted as a stand-alone Dispute Resolution Agreement among the parties and incorporated by reference into each. Bracketed items are open points. Conforming changes are listed after the clause.</w:t>
      </w:r>
    </w:p>
    <w:p>
      <w:pPr>
        <w:spacing w:after="80"/>
        <w:ind w:left="432"/>
      </w:pPr>
      <w:r>
        <w:rPr>
          <w:b/>
          <w:sz w:val="19"/>
        </w:rPr>
        <w:t xml:space="preserve">1. Definitions. </w:t>
      </w:r>
      <w:r>
        <w:rPr>
          <w:sz w:val="19"/>
        </w:rPr>
        <w:t>"Dispute" means any dispute, controversy or claim arising out of or in connection with any Transaction Document or any purchase order issued under any of them, including any question regarding their existence, validity, interpretation, performance, breach or termination, and any non-contractual claim relating to any of them. "Transaction Documents" means the Supply Agreement, the QA Side Letter and the IP License Agreement. "Related Party" means any Affiliate of a Party and any co-manufacturer, contract packager, contract laboratory or carrier engaged by Buyer in relation to Products.</w:t>
      </w:r>
    </w:p>
    <w:p>
      <w:pPr>
        <w:spacing w:after="80"/>
        <w:ind w:left="432"/>
      </w:pPr>
      <w:r>
        <w:rPr>
          <w:b/>
          <w:sz w:val="19"/>
        </w:rPr>
        <w:t xml:space="preserve">2. Executive negotiation. </w:t>
      </w:r>
      <w:r>
        <w:rPr>
          <w:sz w:val="19"/>
        </w:rPr>
        <w:t>Either Party may refer a Dispute to senior executives by written notice. The executives shall meet (in person or remotely) within 15 Business Days. This step is not a condition precedent to arbitration, expert determination or interim relief. Any limitation period is tolled for 30 days from the notice.</w:t>
      </w:r>
    </w:p>
    <w:p>
      <w:pPr>
        <w:spacing w:after="80"/>
        <w:ind w:left="432"/>
      </w:pPr>
      <w:r>
        <w:rPr>
          <w:b/>
          <w:sz w:val="19"/>
        </w:rPr>
        <w:t xml:space="preserve">3. Arbitration. </w:t>
      </w:r>
      <w:r>
        <w:rPr>
          <w:sz w:val="19"/>
        </w:rPr>
        <w:t>Any Dispute shall be finally resolved by arbitration under the Rules of Arbitration of the International Chamber of Commerce in force on the date of commencement (the "ICC Rules"). The seat of arbitration shall be [Singapore][New York, New York]. The language shall be English. The tribunal may hold hearings and meetings at any location, or remotely, without changing the seat.</w:t>
      </w:r>
    </w:p>
    <w:p>
      <w:pPr>
        <w:spacing w:after="80"/>
        <w:ind w:left="432"/>
      </w:pPr>
      <w:r>
        <w:rPr>
          <w:b/>
          <w:sz w:val="19"/>
        </w:rPr>
        <w:t xml:space="preserve">4. Tribunal. </w:t>
      </w:r>
      <w:r>
        <w:rPr>
          <w:sz w:val="19"/>
        </w:rPr>
        <w:t>Where the aggregate amount in dispute (claims and counterclaims) does not exceed US$5,000,000, a sole arbitrator; otherwise three arbitrators. For three arbitrators, the claimant nominates one in the Request and the respondent nominates one in the Answer; the two co-arbitrators jointly nominate the president within 30 days of the second confirmation, failing which the ICC Court appoints. The sole arbitrator or president shall not be a national of the United States or Singapore. The ICC Expedited Procedure Provisions apply to Disputes not exceeding US$3,000,000.</w:t>
      </w:r>
    </w:p>
    <w:p>
      <w:pPr>
        <w:spacing w:after="80"/>
        <w:ind w:left="432"/>
      </w:pPr>
      <w:r>
        <w:rPr>
          <w:b/>
          <w:sz w:val="19"/>
        </w:rPr>
        <w:t xml:space="preserve">5. Multi-contract, consolidation and joinder. </w:t>
      </w:r>
      <w:r>
        <w:rPr>
          <w:sz w:val="19"/>
        </w:rPr>
        <w:t>The Parties agree that the arbitration agreements in the Transaction Documents are identical and compatible. Claims arising under more than one Transaction Document may be made in a single arbitration (ICC Rules Art. 9), and any arbitrations under them may be consolidated (ICC Rules Art. 10). Each Party consents to (a) the joinder of any Related Party that agrees in writing to be bound by this clause, and (b) consolidation of any arbitration under this clause with any arbitration between Buyer and a Related Party under an arbitration agreement providing for ICC arbitration with the same seat, before a single tribunal.</w:t>
      </w:r>
    </w:p>
    <w:p>
      <w:pPr>
        <w:spacing w:after="80"/>
        <w:ind w:left="432"/>
      </w:pPr>
      <w:r>
        <w:rPr>
          <w:b/>
          <w:sz w:val="19"/>
        </w:rPr>
        <w:t xml:space="preserve">6. Multi-party court option. </w:t>
      </w:r>
      <w:r>
        <w:rPr>
          <w:sz w:val="19"/>
        </w:rPr>
        <w:t>If a Dispute between Buyer and Supplier arises out of substantially the same facts as a claim by or against a Related Party that is not bound to arbitrate under paragraph 5, Buyer may, by written notice given no later than 30 days after the Request for Arbitration or the Answer (as applicable), elect that the Dispute be resolved by the state or federal courts located in [Mecklenburg County, North Carolina][New York County, New York]. Supplier irrevocably submits to the exclusive jurisdiction of those courts for that purpose.</w:t>
      </w:r>
    </w:p>
    <w:p>
      <w:pPr>
        <w:spacing w:after="80"/>
        <w:ind w:left="432"/>
      </w:pPr>
      <w:r>
        <w:rPr>
          <w:b/>
          <w:sz w:val="19"/>
        </w:rPr>
        <w:t xml:space="preserve">7. Technical Expert. </w:t>
      </w:r>
      <w:r>
        <w:rPr>
          <w:sz w:val="19"/>
        </w:rPr>
        <w:t>Either Party may refer a Technical Question (conformity of Product to the Specifications, testing methodology, or technical root cause of a Nonconformity or Recall) to an independent Expert under the ICC Rules for the Administration of Expert Proceedings. The Expert shall be appointed within 15 Business Days, may require production of batch records, certificates of analysis, raw data and retained samples, may direct independent retesting at an ISO 17025-accredited laboratory, and shall render a reasoned determination within 45 days of appointment. The Expert decides technical questions only and has no authority over liability in law, remedies or quantum. The determination binds the Parties and any tribunal on the Technical Question unless, within 30 days, a Party commences arbitration contesting it for manifest error, fraud, partiality or material procedural irregularity. A reference to the Expert does not prevent either Party from commencing arbitration or seeking interim relief, and limitation periods are tolled while it is pending.</w:t>
      </w:r>
    </w:p>
    <w:p>
      <w:pPr>
        <w:spacing w:after="80"/>
        <w:ind w:left="432"/>
      </w:pPr>
      <w:r>
        <w:rPr>
          <w:b/>
          <w:sz w:val="19"/>
        </w:rPr>
        <w:t xml:space="preserve">8. Evidence. </w:t>
      </w:r>
      <w:r>
        <w:rPr>
          <w:sz w:val="19"/>
        </w:rPr>
        <w:t>The tribunal may order the production of documents and the inspection and testing of Products and retained samples, guided by the IBA Rules on the Taking of Evidence in International Arbitration (2020). Depositions and interrogatories shall not be permitted. The tribunal shall make appropriate orders to protect trade secrets, including access restricted to outside counsel and independent experts.</w:t>
      </w:r>
    </w:p>
    <w:p>
      <w:pPr>
        <w:spacing w:after="80"/>
        <w:ind w:left="432"/>
      </w:pPr>
      <w:r>
        <w:rPr>
          <w:b/>
          <w:sz w:val="19"/>
        </w:rPr>
        <w:t xml:space="preserve">9. Interim relief. </w:t>
      </w:r>
      <w:r>
        <w:rPr>
          <w:sz w:val="19"/>
        </w:rPr>
        <w:t>The ICC Emergency Arbitrator Provisions apply. The tribunal and any emergency arbitrator may order interim measures, including continued supply under the Supply Agreement, delivery of Licensed IP updates and regulatory cooperation, and preservation of Products, samples and records. Either Party may seek interim or conservatory measures in aid of arbitration from the courts of the seat or of any jurisdiction where relevant assets, conduct or Products are located, and doing so is not a waiver of this clause.</w:t>
      </w:r>
    </w:p>
    <w:p>
      <w:pPr>
        <w:spacing w:after="80"/>
        <w:ind w:left="432"/>
      </w:pPr>
      <w:r>
        <w:rPr>
          <w:b/>
          <w:sz w:val="19"/>
        </w:rPr>
        <w:t xml:space="preserve">10. Remedies. </w:t>
      </w:r>
      <w:r>
        <w:rPr>
          <w:sz w:val="19"/>
        </w:rPr>
        <w:t>The tribunal may award any remedy or relief available under the governing law, subject only to the substantive limitations of liability expressly set out in the Supply Agreement [Article 11, as amended].</w:t>
      </w:r>
    </w:p>
    <w:p>
      <w:pPr>
        <w:spacing w:after="80"/>
        <w:ind w:left="432"/>
      </w:pPr>
      <w:r>
        <w:rPr>
          <w:b/>
          <w:sz w:val="19"/>
        </w:rPr>
        <w:t xml:space="preserve">11. Costs. </w:t>
      </w:r>
      <w:r>
        <w:rPr>
          <w:sz w:val="19"/>
        </w:rPr>
        <w:t>The tribunal shall allocate the costs of the arbitration, including reasonable legal fees and expenses, at its discretion, generally in proportion to the Parties' relative success and having regard to their conduct.</w:t>
      </w:r>
    </w:p>
    <w:p>
      <w:pPr>
        <w:spacing w:after="80"/>
        <w:ind w:left="432"/>
      </w:pPr>
      <w:r>
        <w:rPr>
          <w:b/>
          <w:sz w:val="19"/>
        </w:rPr>
        <w:t xml:space="preserve">12. Confidentiality. </w:t>
      </w:r>
      <w:r>
        <w:rPr>
          <w:sz w:val="19"/>
        </w:rPr>
        <w:t>The arbitration, and all submissions, evidence and awards, are confidential, except for disclosure (a) required by law, regulation or stock exchange rule; (b) to Affiliates (including Ridgeway Capital Partners and its affiliated funds), financing sources, insurers, auditors, professional advisers and bona fide prospective acquirers, under confidentiality obligations; (c) to a Related Party in connection with a related proceeding; (d) in proceedings to enforce, recognize or challenge an award or to obtain interim relief; and (e) to a Governmental Authority in connection with product safety or a Recall.</w:t>
      </w:r>
    </w:p>
    <w:p>
      <w:pPr>
        <w:spacing w:after="80"/>
        <w:ind w:left="432"/>
      </w:pPr>
      <w:r>
        <w:rPr>
          <w:b/>
          <w:sz w:val="19"/>
        </w:rPr>
        <w:t xml:space="preserve">13. Finality and enforcement. </w:t>
      </w:r>
      <w:r>
        <w:rPr>
          <w:sz w:val="19"/>
        </w:rPr>
        <w:t>Any award is final and binding. To the extent permitted by law, the Parties waive any right of appeal or recourse to any court, including on a question of law, other than an application to set aside under the law of the seat. Judgment on the award may be entered in any court having jurisdiction. Each Party irrevocably submits to the jurisdiction of the state and federal courts of New York, North Carolina and Delaware, and of the courts of Singapore, for proceedings to recognize or enforce an award or for interim relief, waives any objection to venue or forum non conveniens, and Supplier appoints [•] as its agent for service of process in the United States.</w:t>
      </w:r>
    </w:p>
    <w:p>
      <w:pPr>
        <w:spacing w:after="80"/>
        <w:ind w:left="432"/>
      </w:pPr>
      <w:r>
        <w:rPr>
          <w:b/>
          <w:sz w:val="19"/>
        </w:rPr>
        <w:t xml:space="preserve">14. Law of the arbitration agreement. </w:t>
      </w:r>
      <w:r>
        <w:rPr>
          <w:sz w:val="19"/>
        </w:rPr>
        <w:t>This clause is governed by [the laws of the State of New York and the Federal Arbitration Act][the law of the seat].</w:t>
      </w:r>
    </w:p>
    <w:p>
      <w:pPr>
        <w:spacing w:after="80"/>
        <w:ind w:left="432"/>
      </w:pPr>
      <w:r>
        <w:rPr>
          <w:b/>
          <w:sz w:val="19"/>
        </w:rPr>
        <w:t xml:space="preserve">15. Limitation. </w:t>
      </w:r>
      <w:r>
        <w:rPr>
          <w:sz w:val="19"/>
        </w:rPr>
        <w:t>[No contractual limitation period; statutory periods under the governing law apply.] [Fallback: any claim must be commenced within four years after the later of delivery and the date the claimant knew or should have known of the facts giving rise to it; indemnity claims may be brought up to one year after payment or a final judgment or settlement of the underlying claim; periods are tolled as set out above.]</w:t>
      </w:r>
    </w:p>
    <w:p>
      <w:pPr>
        <w:spacing w:after="80"/>
        <w:ind w:left="432"/>
      </w:pPr>
      <w:r>
        <w:rPr>
          <w:b/>
          <w:sz w:val="19"/>
        </w:rPr>
        <w:t xml:space="preserve">16. Precedence. </w:t>
      </w:r>
      <w:r>
        <w:rPr>
          <w:sz w:val="19"/>
        </w:rPr>
        <w:t>This clause governs every Dispute and prevails over any inconsistent provision of any Transaction Document.</w:t>
      </w:r>
    </w:p>
    <w:p>
      <w:r>
        <w:rPr>
          <w:b/>
        </w:rPr>
        <w:t>Conforming changes:</w:t>
      </w:r>
    </w:p>
    <w:p>
      <w:pPr>
        <w:pStyle w:val="ListBullet"/>
        <w:spacing w:after="60"/>
      </w:pPr>
      <w:r>
        <w:t>SA: delete ss.14.1-14.11 and replace them with the unified clause; merge s.14.4 into s.15.11 (New York law for all Transaction Documents; CISG excluded [subject to confirmation]); amend s.11.2 (carve-outs, Issue 6); amend s.5.2 (set-off, Issue 24); delete "subject to Section 15.8" from s.3.3; amend s.15.8 (express topic-by-topic hierarchy); conform s.7.2/7.3 to QA ss.5.1-5.2; update s.13.5 survival reference.</w:t>
      </w:r>
    </w:p>
    <w:p>
      <w:pPr>
        <w:pStyle w:val="ListBullet"/>
        <w:spacing w:after="60"/>
      </w:pPr>
      <w:r>
        <w:t>QA Letter: replace s.7 with the unified clause (by reference); delete s.7.3; conform s.6.3 (allocation by tribunal, informed by Expert technical findings) and s.6.6 (delete reference to Article 14); amend the s.8.1 proviso; add survival; attach Exhibit A before signing.</w:t>
      </w:r>
    </w:p>
    <w:p>
      <w:pPr>
        <w:pStyle w:val="ListBullet"/>
        <w:spacing w:after="60"/>
      </w:pPr>
      <w:r>
        <w:t>IPLA: replace s.9 with the unified clause; delete s.9.3; amend s.9.2 (New York law, or English law confined to IP-specific terms); conform s.10.3; conform s.10.1 notice details.</w:t>
      </w:r>
    </w:p>
    <w:p>
      <w:pPr>
        <w:pStyle w:val="ListBullet"/>
        <w:spacing w:after="60"/>
      </w:pPr>
      <w:r>
        <w:t>All: conform notice blocks; identical definitions of Specifications and Defective Product.</w:t>
      </w:r>
    </w:p>
    <w:p>
      <w:pPr>
        <w:pStyle w:val="Heading1"/>
      </w:pPr>
      <w:r>
        <w:t>VIII. Negotiation Strategy</w:t>
      </w:r>
    </w:p>
    <w:p>
      <w:r>
        <w:t xml:space="preserve">Harmon &amp; Grey has asked for comments by July 11, ahead of signing on July 18. We suggest presenting the proposal as a </w:t>
      </w:r>
      <w:r>
        <w:rPr>
          <w:b/>
        </w:rPr>
        <w:t>package</w:t>
      </w:r>
      <w:r>
        <w:t>: a unified ICC clause that keeps Pacifica's Singapore seat, justified by the H&amp;G memo's own stated aim of avoiding pathological clauses and enforcement delay. Below are our recommended tiers.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3A5F"/>
          </w:tcPr>
          <w:p>
            <w:r/>
            <w:r>
              <w:rPr>
                <w:b/>
                <w:color w:val="FFFFFF"/>
                <w:sz w:val="18"/>
              </w:rPr>
              <w:t>Tier</w:t>
            </w:r>
          </w:p>
        </w:tc>
        <w:tc>
          <w:tcPr>
            <w:tcW w:type="dxa" w:w="4752"/>
            <w:shd w:val="clear" w:color="auto" w:fill="1F3A5F"/>
          </w:tcPr>
          <w:p>
            <w:r/>
            <w:r>
              <w:rPr>
                <w:b/>
                <w:color w:val="FFFFFF"/>
                <w:sz w:val="18"/>
              </w:rPr>
              <w:t>Items</w:t>
            </w:r>
          </w:p>
        </w:tc>
        <w:tc>
          <w:tcPr>
            <w:tcW w:type="dxa" w:w="2592"/>
            <w:shd w:val="clear" w:color="auto" w:fill="1F3A5F"/>
          </w:tcPr>
          <w:p>
            <w:r/>
            <w:r>
              <w:rPr>
                <w:b/>
                <w:color w:val="FFFFFF"/>
                <w:sz w:val="18"/>
              </w:rPr>
              <w:t>Position</w:t>
            </w:r>
          </w:p>
        </w:tc>
      </w:tr>
      <w:tr>
        <w:tc>
          <w:tcPr>
            <w:tcW w:type="dxa" w:w="2016"/>
          </w:tcPr>
          <w:p>
            <w:r>
              <w:rPr>
                <w:sz w:val="18"/>
              </w:rPr>
            </w:r>
            <w:r>
              <w:rPr>
                <w:sz w:val="18"/>
              </w:rPr>
              <w:t>Tier 1 - Must have (walk-away / escalate to CEO)</w:t>
            </w:r>
          </w:p>
        </w:tc>
        <w:tc>
          <w:tcPr>
            <w:tcW w:type="dxa" w:w="4752"/>
          </w:tcPr>
          <w:p>
            <w:r>
              <w:rPr>
                <w:sz w:val="18"/>
              </w:rPr>
            </w:r>
            <w:r>
              <w:rPr>
                <w:sz w:val="18"/>
              </w:rPr>
              <w:t>Issue 6 (consequential damages: delete s.14.11; carve-outs for recall, cover/lost profits from supply failure, third-party claims, willful misconduct); Issue 5 (delete appeal); Issues 1-3 (single unified clause; delete IPLA s.9.3; one hierarchy)</w:t>
            </w:r>
          </w:p>
        </w:tc>
        <w:tc>
          <w:tcPr>
            <w:tcW w:type="dxa" w:w="2592"/>
          </w:tcPr>
          <w:p>
            <w:r>
              <w:rPr>
                <w:sz w:val="18"/>
              </w:rPr>
            </w:r>
            <w:r>
              <w:rPr>
                <w:sz w:val="18"/>
              </w:rPr>
              <w:t>No signing without these. Fallback on Issue 6 only: super-cap with insurance support for recall/cover/third-party categories, after CEO sign-off.</w:t>
            </w:r>
          </w:p>
        </w:tc>
      </w:tr>
      <w:tr>
        <w:tc>
          <w:tcPr>
            <w:tcW w:type="dxa" w:w="2016"/>
          </w:tcPr>
          <w:p>
            <w:r>
              <w:rPr>
                <w:sz w:val="18"/>
              </w:rPr>
            </w:r>
            <w:r>
              <w:rPr>
                <w:sz w:val="18"/>
              </w:rPr>
              <w:t>Tier 2 - Strongly required</w:t>
            </w:r>
          </w:p>
        </w:tc>
        <w:tc>
          <w:tcPr>
            <w:tcW w:type="dxa" w:w="4752"/>
          </w:tcPr>
          <w:p>
            <w:r>
              <w:rPr>
                <w:sz w:val="18"/>
              </w:rPr>
            </w:r>
            <w:r>
              <w:rPr>
                <w:sz w:val="18"/>
              </w:rPr>
              <w:t>Issue 4 (joinder/consolidation consent; NC court option); Issue 7 (document production); Issue 8 (limitation); Issues 17-18 (expert stage restructured); Issue 20 (single governing law); Issue 21 (Specifications attached); Issue 24 (set-off; consent to jurisdiction; process agent)</w:t>
            </w:r>
          </w:p>
        </w:tc>
        <w:tc>
          <w:tcPr>
            <w:tcW w:type="dxa" w:w="2592"/>
          </w:tcPr>
          <w:p>
            <w:r>
              <w:rPr>
                <w:sz w:val="18"/>
              </w:rPr>
            </w:r>
            <w:r>
              <w:rPr>
                <w:sz w:val="18"/>
              </w:rPr>
              <w:t>Pursue in full. Acceptable fallbacks are identified in each Issue (e.g., joinder consent without the court option; two-year floor with tolling; IBA-guided production without presumptive categories).</w:t>
            </w:r>
          </w:p>
        </w:tc>
      </w:tr>
      <w:tr>
        <w:tc>
          <w:tcPr>
            <w:tcW w:type="dxa" w:w="2016"/>
          </w:tcPr>
          <w:p>
            <w:r>
              <w:rPr>
                <w:sz w:val="18"/>
              </w:rPr>
            </w:r>
            <w:r>
              <w:rPr>
                <w:sz w:val="18"/>
              </w:rPr>
              <w:t>Tier 3 - Tradeable</w:t>
            </w:r>
          </w:p>
        </w:tc>
        <w:tc>
          <w:tcPr>
            <w:tcW w:type="dxa" w:w="4752"/>
          </w:tcPr>
          <w:p>
            <w:r>
              <w:rPr>
                <w:sz w:val="18"/>
              </w:rPr>
            </w:r>
            <w:r>
              <w:rPr>
                <w:sz w:val="18"/>
              </w:rPr>
              <w:t>Seat (Singapore accepted); Issue 9 (hearing location); Issue 10 (three-arbitrator threshold level); Issue 13 (costs); Issue 14 (negotiation step); Issue 15 (confidentiality carve-outs); Issue 16 (Expedited Procedure); Issue 23 (English law for IP-specific IPLA terms); Issue 25</w:t>
            </w:r>
          </w:p>
        </w:tc>
        <w:tc>
          <w:tcPr>
            <w:tcW w:type="dxa" w:w="2592"/>
          </w:tcPr>
          <w:p>
            <w:r>
              <w:rPr>
                <w:sz w:val="18"/>
              </w:rPr>
            </w:r>
            <w:r>
              <w:rPr>
                <w:sz w:val="18"/>
              </w:rPr>
              <w:t>Concede selectively to secure Tier 1 and 2. Lead with conceding Singapore as the seat and the ICC as the single institution.</w:t>
            </w:r>
          </w:p>
        </w:tc>
      </w:tr>
    </w:tbl>
    <w:p>
      <w:pPr>
        <w:spacing w:after="40"/>
      </w:pPr>
    </w:p>
    <w:p>
      <w:r>
        <w:rPr>
          <w:b/>
        </w:rPr>
        <w:t>Anticipated Pacifica responses:</w:t>
      </w:r>
    </w:p>
    <w:p>
      <w:pPr>
        <w:pStyle w:val="ListBullet"/>
        <w:spacing w:after="60"/>
      </w:pPr>
      <w:r>
        <w:rPr>
          <w:b/>
        </w:rPr>
        <w:t>"Each agreement needs its specialist forum."</w:t>
      </w:r>
      <w:r>
        <w:t xml:space="preserve"> Specialist technical input is preserved through the Technical Expert stage. Specialist institutions are not needed: the ICC handles supply, quality and IP disputes routinely, and Pacifica chose the ICC for the principal agreement.</w:t>
      </w:r>
    </w:p>
    <w:p>
      <w:pPr>
        <w:pStyle w:val="ListBullet"/>
        <w:spacing w:after="60"/>
      </w:pPr>
      <w:r>
        <w:rPr>
          <w:b/>
        </w:rPr>
        <w:t>"Discovery will expose our trade secrets."</w:t>
      </w:r>
      <w:r>
        <w:t xml:space="preserve"> Offer IBA-guided production with attorneys'- and experts'-eyes-only tiers and no depositions. Pacifica already accepts audit and sample access under QA ss.2.3 and 4.4.</w:t>
      </w:r>
    </w:p>
    <w:p>
      <w:pPr>
        <w:pStyle w:val="ListBullet"/>
        <w:spacing w:after="60"/>
      </w:pPr>
      <w:r>
        <w:rPr>
          <w:b/>
        </w:rPr>
        <w:t>"A consequential damages waiver is market."</w:t>
      </w:r>
      <w:r>
        <w:t xml:space="preserve"> Mutual exclusions in supply agreements routinely carve out recall costs, cover costs, third-party claims, confidentiality and willful misconduct. An exclusive arrangement with no alternative source justifies those carve-outs. Pacifica's own claims are unaffected because they are direct and already outside the cap.</w:t>
      </w:r>
    </w:p>
    <w:p>
      <w:pPr>
        <w:pStyle w:val="ListBullet"/>
        <w:spacing w:after="60"/>
      </w:pPr>
      <w:r>
        <w:rPr>
          <w:b/>
        </w:rPr>
        <w:t>"We need the appeal right after Korea."</w:t>
      </w:r>
      <w:r>
        <w:t xml:space="preserve"> The Korean delay came from an enforcement-stage challenge, and an appeal right adds a further stage rather than removing one. Clear drafting is the protection.</w:t>
      </w:r>
    </w:p>
    <w:p>
      <w:pPr>
        <w:pStyle w:val="ListBullet"/>
        <w:spacing w:after="60"/>
      </w:pPr>
      <w:r>
        <w:rPr>
          <w:b/>
        </w:rPr>
        <w:t>"Joinder of co-manufacturers is Greenleaf's problem."</w:t>
      </w:r>
      <w:r>
        <w:t xml:space="preserve"> Pacifica benefits from a single proceeding too, because it avoids being blamed in a forum where it is absent and later facing a contribution claim. The option is triggered only by genuinely multi-party disputes.</w:t>
      </w:r>
    </w:p>
    <w:p>
      <w:pPr>
        <w:pStyle w:val="Heading1"/>
      </w:pPr>
      <w:r>
        <w:t>IX. Recommended Next Steps</w:t>
      </w:r>
    </w:p>
    <w:p>
      <w:pPr>
        <w:pStyle w:val="ListBullet"/>
        <w:spacing w:after="60"/>
      </w:pPr>
      <w:r>
        <w:rPr>
          <w:b/>
        </w:rPr>
        <w:t>By July 11:</w:t>
      </w:r>
      <w:r>
        <w:t xml:space="preserve"> send Harmon &amp; Grey a short cover note with an issues list (Tier 1 and Tier 2) and the unified clause in Section VII. Reserve full markups of the SA, QA Letter and IPLA to follow. Request confirmation that SA Ex. B and QA Ex. A will be agreed and attached before signing.</w:t>
      </w:r>
    </w:p>
    <w:p>
      <w:pPr>
        <w:pStyle w:val="ListBullet"/>
        <w:spacing w:after="60"/>
      </w:pPr>
      <w:r>
        <w:rPr>
          <w:b/>
        </w:rPr>
        <w:t>Local counsel:</w:t>
      </w:r>
      <w:r>
        <w:t xml:space="preserve"> instruct Singapore counsel to confirm the Annex points (IAA appeal on questions of law; SIAC expert rules; meaning of "consequential" under Singapore law; law of the arbitration agreement). Confirm the English-law points if the IPLA keeps English law.</w:t>
      </w:r>
    </w:p>
    <w:p>
      <w:pPr>
        <w:pStyle w:val="ListBullet"/>
        <w:spacing w:after="60"/>
      </w:pPr>
      <w:r>
        <w:rPr>
          <w:b/>
        </w:rPr>
        <w:t>Greenleaf internal:</w:t>
      </w:r>
      <w:r>
        <w:t xml:space="preserve"> (i) confirm the CEO's authority and limits on the Issue 6 fallback; (ii) obtain current co-manufacturer purchase orders and the term sheet for the Q1 2026 encapsulation co-manufacturer so that compatible ICC and joinder terms can be included; (iii) coordinate with Greenleaf's insurance broker on recall and contamination coverage and on the additional-insured position under QA s.6.5; (iv) manage Ridgeway distribution (Issue 26).</w:t>
      </w:r>
    </w:p>
    <w:p>
      <w:pPr>
        <w:pStyle w:val="ListBullet"/>
        <w:spacing w:after="60"/>
      </w:pPr>
      <w:r>
        <w:rPr>
          <w:b/>
        </w:rPr>
        <w:t>CISG decision:</w:t>
      </w:r>
      <w:r>
        <w:t xml:space="preserve"> W&amp;C to model Greenleaf's principal claim scenarios (rejection, latent defect, recall, supply failure) under the U.C.C. and the CISG before the exclusion is finalized.</w:t>
      </w:r>
    </w:p>
    <w:p>
      <w:pPr>
        <w:pStyle w:val="ListBullet"/>
        <w:spacing w:after="60"/>
      </w:pPr>
      <w:r>
        <w:rPr>
          <w:b/>
        </w:rPr>
        <w:t>Timetable risk:</w:t>
      </w:r>
      <w:r>
        <w:t xml:space="preserve"> if Tier 1 items are not agreed by July 16, recommend deferring signing rather than signing with a side agreement to fix later. The dispute resolution provisions would then govern any dispute about the side agreement itself.</w:t>
      </w:r>
    </w:p>
    <w:p>
      <w:pPr>
        <w:pStyle w:val="Heading1"/>
      </w:pPr>
      <w:r>
        <w:t>Annex - Points Requiring Local-Law or Institutional Confirmation</w:t>
      </w:r>
    </w:p>
    <w:tbl>
      <w:tblPr>
        <w:tblStyle w:val="TableGrid"/>
        <w:tblW w:type="auto" w:w="0"/>
        <w:jc w:val="center"/>
        <w:tblLook w:firstColumn="1" w:firstRow="1" w:lastColumn="0" w:lastRow="0" w:noHBand="0" w:noVBand="1" w:val="04A0"/>
      </w:tblPr>
      <w:tblGrid>
        <w:gridCol w:w="3120"/>
        <w:gridCol w:w="3120"/>
        <w:gridCol w:w="3120"/>
      </w:tblGrid>
      <w:tr>
        <w:tc>
          <w:tcPr>
            <w:tcW w:type="dxa" w:w="432"/>
            <w:shd w:val="clear" w:color="auto" w:fill="1F3A5F"/>
          </w:tcPr>
          <w:p>
            <w:r/>
            <w:r>
              <w:rPr>
                <w:b/>
                <w:color w:val="FFFFFF"/>
                <w:sz w:val="18"/>
              </w:rPr>
              <w:t>#</w:t>
            </w:r>
          </w:p>
        </w:tc>
        <w:tc>
          <w:tcPr>
            <w:tcW w:type="dxa" w:w="6912"/>
            <w:shd w:val="clear" w:color="auto" w:fill="1F3A5F"/>
          </w:tcPr>
          <w:p>
            <w:r/>
            <w:r>
              <w:rPr>
                <w:b/>
                <w:color w:val="FFFFFF"/>
                <w:sz w:val="18"/>
              </w:rPr>
              <w:t>Point</w:t>
            </w:r>
          </w:p>
        </w:tc>
        <w:tc>
          <w:tcPr>
            <w:tcW w:type="dxa" w:w="2016"/>
            <w:shd w:val="clear" w:color="auto" w:fill="1F3A5F"/>
          </w:tcPr>
          <w:p>
            <w:r/>
            <w:r>
              <w:rPr>
                <w:b/>
                <w:color w:val="FFFFFF"/>
                <w:sz w:val="18"/>
              </w:rPr>
              <w:t>Relevance</w:t>
            </w:r>
          </w:p>
        </w:tc>
      </w:tr>
      <w:tr>
        <w:tc>
          <w:tcPr>
            <w:tcW w:type="dxa" w:w="432"/>
          </w:tcPr>
          <w:p>
            <w:r>
              <w:rPr>
                <w:sz w:val="18"/>
              </w:rPr>
            </w:r>
            <w:r>
              <w:rPr>
                <w:sz w:val="18"/>
              </w:rPr>
              <w:t>1</w:t>
            </w:r>
          </w:p>
        </w:tc>
        <w:tc>
          <w:tcPr>
            <w:tcW w:type="dxa" w:w="6912"/>
          </w:tcPr>
          <w:p>
            <w:r>
              <w:rPr>
                <w:sz w:val="18"/>
              </w:rPr>
            </w:r>
            <w:r>
              <w:rPr>
                <w:sz w:val="18"/>
              </w:rPr>
              <w:t>Whether the Singapore IAA (2020 Rev. Ed.), as amended, now permits an agreed appeal to the court on a question of law in an international arbitration (following the Ministry of Law's 2022 consultation), and how the Singapore courts would treat SA s.14.6 (including under IAA s.15).</w:t>
            </w:r>
          </w:p>
        </w:tc>
        <w:tc>
          <w:tcPr>
            <w:tcW w:type="dxa" w:w="2016"/>
          </w:tcPr>
          <w:p>
            <w:r>
              <w:rPr>
                <w:sz w:val="18"/>
              </w:rPr>
            </w:r>
            <w:r>
              <w:rPr>
                <w:sz w:val="18"/>
              </w:rPr>
              <w:t>Issue 5</w:t>
            </w:r>
          </w:p>
        </w:tc>
      </w:tr>
      <w:tr>
        <w:tc>
          <w:tcPr>
            <w:tcW w:type="dxa" w:w="432"/>
          </w:tcPr>
          <w:p>
            <w:r>
              <w:rPr>
                <w:sz w:val="18"/>
              </w:rPr>
            </w:r>
            <w:r>
              <w:rPr>
                <w:sz w:val="18"/>
              </w:rPr>
              <w:t>2</w:t>
            </w:r>
          </w:p>
        </w:tc>
        <w:tc>
          <w:tcPr>
            <w:tcW w:type="dxa" w:w="6912"/>
          </w:tcPr>
          <w:p>
            <w:r>
              <w:rPr>
                <w:sz w:val="18"/>
              </w:rPr>
            </w:r>
            <w:r>
              <w:rPr>
                <w:sz w:val="18"/>
              </w:rPr>
              <w:t>Whether SIAC publishes "Rules for the Appointment of Experts" or otherwise administers expert determination, and on what terms.</w:t>
            </w:r>
          </w:p>
        </w:tc>
        <w:tc>
          <w:tcPr>
            <w:tcW w:type="dxa" w:w="2016"/>
          </w:tcPr>
          <w:p>
            <w:r>
              <w:rPr>
                <w:sz w:val="18"/>
              </w:rPr>
            </w:r>
            <w:r>
              <w:rPr>
                <w:sz w:val="18"/>
              </w:rPr>
              <w:t>Issue 17</w:t>
            </w:r>
          </w:p>
        </w:tc>
      </w:tr>
      <w:tr>
        <w:tc>
          <w:tcPr>
            <w:tcW w:type="dxa" w:w="432"/>
          </w:tcPr>
          <w:p>
            <w:r>
              <w:rPr>
                <w:sz w:val="18"/>
              </w:rPr>
            </w:r>
            <w:r>
              <w:rPr>
                <w:sz w:val="18"/>
              </w:rPr>
              <w:t>3</w:t>
            </w:r>
          </w:p>
        </w:tc>
        <w:tc>
          <w:tcPr>
            <w:tcW w:type="dxa" w:w="6912"/>
          </w:tcPr>
          <w:p>
            <w:r>
              <w:rPr>
                <w:sz w:val="18"/>
              </w:rPr>
            </w:r>
            <w:r>
              <w:rPr>
                <w:sz w:val="18"/>
              </w:rPr>
              <w:t>Meaning of "consequential"/"indirect" loss under Singapore law (and English law), applied to lost profits, cover and recall costs, compared with New York law.</w:t>
            </w:r>
          </w:p>
        </w:tc>
        <w:tc>
          <w:tcPr>
            <w:tcW w:type="dxa" w:w="2016"/>
          </w:tcPr>
          <w:p>
            <w:r>
              <w:rPr>
                <w:sz w:val="18"/>
              </w:rPr>
            </w:r>
            <w:r>
              <w:rPr>
                <w:sz w:val="18"/>
              </w:rPr>
              <w:t>Issues 6, 20</w:t>
            </w:r>
          </w:p>
        </w:tc>
      </w:tr>
      <w:tr>
        <w:tc>
          <w:tcPr>
            <w:tcW w:type="dxa" w:w="432"/>
          </w:tcPr>
          <w:p>
            <w:r>
              <w:rPr>
                <w:sz w:val="18"/>
              </w:rPr>
            </w:r>
            <w:r>
              <w:rPr>
                <w:sz w:val="18"/>
              </w:rPr>
              <w:t>4</w:t>
            </w:r>
          </w:p>
        </w:tc>
        <w:tc>
          <w:tcPr>
            <w:tcW w:type="dxa" w:w="6912"/>
          </w:tcPr>
          <w:p>
            <w:r>
              <w:rPr>
                <w:sz w:val="18"/>
              </w:rPr>
            </w:r>
            <w:r>
              <w:rPr>
                <w:sz w:val="18"/>
              </w:rPr>
              <w:t>Law governing the arbitration agreement under Singapore law (BCY v BCZ; Anupam Mittal) and under English law (Enka; Arbitration Act 2025), given the current clauses.</w:t>
            </w:r>
          </w:p>
        </w:tc>
        <w:tc>
          <w:tcPr>
            <w:tcW w:type="dxa" w:w="2016"/>
          </w:tcPr>
          <w:p>
            <w:r>
              <w:rPr>
                <w:sz w:val="18"/>
              </w:rPr>
            </w:r>
            <w:r>
              <w:rPr>
                <w:sz w:val="18"/>
              </w:rPr>
              <w:t>Issue 11, 23</w:t>
            </w:r>
          </w:p>
        </w:tc>
      </w:tr>
      <w:tr>
        <w:tc>
          <w:tcPr>
            <w:tcW w:type="dxa" w:w="432"/>
          </w:tcPr>
          <w:p>
            <w:r>
              <w:rPr>
                <w:sz w:val="18"/>
              </w:rPr>
            </w:r>
            <w:r>
              <w:rPr>
                <w:sz w:val="18"/>
              </w:rPr>
              <w:t>5</w:t>
            </w:r>
          </w:p>
        </w:tc>
        <w:tc>
          <w:tcPr>
            <w:tcW w:type="dxa" w:w="6912"/>
          </w:tcPr>
          <w:p>
            <w:r>
              <w:rPr>
                <w:sz w:val="18"/>
              </w:rPr>
            </w:r>
            <w:r>
              <w:rPr>
                <w:sz w:val="18"/>
              </w:rPr>
              <w:t>Current versions of the ICC (2021), SIAC (2025) and LCIA (2020) Rules on joinder, consolidation, expedited procedure and court applications for interim relief.</w:t>
            </w:r>
          </w:p>
        </w:tc>
        <w:tc>
          <w:tcPr>
            <w:tcW w:type="dxa" w:w="2016"/>
          </w:tcPr>
          <w:p>
            <w:r>
              <w:rPr>
                <w:sz w:val="18"/>
              </w:rPr>
            </w:r>
            <w:r>
              <w:rPr>
                <w:sz w:val="18"/>
              </w:rPr>
              <w:t>Issues 1, 4, 16, 23</w:t>
            </w:r>
          </w:p>
        </w:tc>
      </w:tr>
      <w:tr>
        <w:tc>
          <w:tcPr>
            <w:tcW w:type="dxa" w:w="432"/>
          </w:tcPr>
          <w:p>
            <w:r>
              <w:rPr>
                <w:sz w:val="18"/>
              </w:rPr>
            </w:r>
            <w:r>
              <w:rPr>
                <w:sz w:val="18"/>
              </w:rPr>
              <w:t>6</w:t>
            </w:r>
          </w:p>
        </w:tc>
        <w:tc>
          <w:tcPr>
            <w:tcW w:type="dxa" w:w="6912"/>
          </w:tcPr>
          <w:p>
            <w:r>
              <w:rPr>
                <w:sz w:val="18"/>
              </w:rPr>
            </w:r>
            <w:r>
              <w:rPr>
                <w:sz w:val="18"/>
              </w:rPr>
              <w:t>Enforceability in Singapore of an asymmetric (Buyer-only) court option in a multi-party scenario.</w:t>
            </w:r>
          </w:p>
        </w:tc>
        <w:tc>
          <w:tcPr>
            <w:tcW w:type="dxa" w:w="2016"/>
          </w:tcPr>
          <w:p>
            <w:r>
              <w:rPr>
                <w:sz w:val="18"/>
              </w:rPr>
            </w:r>
            <w:r>
              <w:rPr>
                <w:sz w:val="18"/>
              </w:rPr>
              <w:t>Issue 4</w:t>
            </w:r>
          </w:p>
        </w:tc>
      </w:tr>
      <w:tr>
        <w:tc>
          <w:tcPr>
            <w:tcW w:type="dxa" w:w="432"/>
          </w:tcPr>
          <w:p>
            <w:r>
              <w:rPr>
                <w:sz w:val="18"/>
              </w:rPr>
            </w:r>
            <w:r>
              <w:rPr>
                <w:sz w:val="18"/>
              </w:rPr>
              <w:t>7</w:t>
            </w:r>
          </w:p>
        </w:tc>
        <w:tc>
          <w:tcPr>
            <w:tcW w:type="dxa" w:w="6912"/>
          </w:tcPr>
          <w:p>
            <w:r>
              <w:rPr>
                <w:sz w:val="18"/>
              </w:rPr>
            </w:r>
            <w:r>
              <w:rPr>
                <w:sz w:val="18"/>
              </w:rPr>
              <w:t>Application of the CISG and the effect of an express exclusion; interaction with the U.C.C. § 2-725 limitation framework.</w:t>
            </w:r>
          </w:p>
        </w:tc>
        <w:tc>
          <w:tcPr>
            <w:tcW w:type="dxa" w:w="2016"/>
          </w:tcPr>
          <w:p>
            <w:r>
              <w:rPr>
                <w:sz w:val="18"/>
              </w:rPr>
            </w:r>
            <w:r>
              <w:rPr>
                <w:sz w:val="18"/>
              </w:rPr>
              <w:t>Issues 8, 11</w:t>
            </w:r>
          </w:p>
        </w:tc>
      </w:tr>
    </w:tbl>
    <w:p>
      <w:pPr>
        <w:spacing w:after="40"/>
      </w:pPr>
    </w:p>
    <w:p/>
    <w:p>
      <w:r>
        <w:rPr>
          <w:b w:val="0"/>
          <w:i/>
          <w:sz w:val="18"/>
        </w:rPr>
        <w:t>*This memorandum is provided to Greenleaf Nutritionals, Inc. for the purpose of legal advice in connection with the negotiation of the Pacifica Transaction Documents. It is based on the execution drafts and correspondence identified in Section II. It should not be forwarded outside Greenleaf (including to Ridgeway Capital Partners) without first considering Issue 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Privileged &amp; Confidential - Attorney-Client Communication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