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7"/>
        </w:rPr>
        <w:t>PRIVILEGED &amp; CONFIDENTIAL — ATTORNEY WORK PRODUCT — PREPARED IN CONNECTION WITH SETTLEMENT NEGOTIATIONS (FRE 408)</w:t>
      </w:r>
    </w:p>
    <w:p>
      <w:pPr>
        <w:spacing w:after="40"/>
        <w:jc w:val="center"/>
      </w:pPr>
      <w:r>
        <w:rPr>
          <w:b/>
          <w:i w:val="0"/>
          <w:sz w:val="26"/>
        </w:rPr>
        <w:t>WHITFIELD &amp; CRANE LLP</w:t>
      </w:r>
    </w:p>
    <w:p>
      <w:pPr>
        <w:spacing w:after="40"/>
        <w:jc w:val="center"/>
      </w:pPr>
      <w:r>
        <w:rPr>
          <w:b/>
          <w:i w:val="0"/>
          <w:sz w:val="32"/>
        </w:rPr>
        <w:t>PLAN DEVIATION REPORT</w:t>
      </w:r>
    </w:p>
    <w:p>
      <w:pPr>
        <w:spacing w:after="40"/>
        <w:jc w:val="center"/>
      </w:pPr>
      <w:r>
        <w:rPr>
          <w:b w:val="0"/>
          <w:i w:val="0"/>
          <w:sz w:val="24"/>
        </w:rPr>
        <w:t>Committee Redline of the Debtor’s Second Amended Plan of Reorganization</w:t>
      </w:r>
    </w:p>
    <w:p>
      <w:pPr>
        <w:spacing w:after="200"/>
        <w:jc w:val="center"/>
      </w:pPr>
      <w:r>
        <w:rPr>
          <w:b w:val="0"/>
          <w:i/>
          <w:sz w:val="21"/>
        </w:rPr>
        <w:t>In re Cascadia Timber Holdings, Inc., Case No. 25-30412-MLE (Bankr. D. Or.) (Eriksson, J.)</w:t>
      </w:r>
    </w:p>
    <w:tbl>
      <w:tblPr>
        <w:tblStyle w:val="TableGrid"/>
        <w:tblW w:type="auto" w:w="0"/>
        <w:jc w:val="center"/>
        <w:tblLayout w:type="fixed"/>
        <w:tblLook w:firstColumn="1" w:firstRow="1" w:lastColumn="0" w:lastRow="0" w:noHBand="0" w:noVBand="1" w:val="04A0"/>
      </w:tblPr>
      <w:tblGrid>
        <w:gridCol w:w="1872"/>
        <w:gridCol w:w="7776"/>
      </w:tblGrid>
      <w:tr>
        <w:tc>
          <w:tcPr>
            <w:tcW w:type="dxa" w:w="1872"/>
          </w:tcPr>
          <w:p>
            <w:pPr>
              <w:spacing w:after="20"/>
            </w:pPr>
            <w:r/>
            <w:r>
              <w:rPr>
                <w:b/>
                <w:i w:val="0"/>
                <w:sz w:val="18"/>
              </w:rPr>
              <w:t>To</w:t>
            </w:r>
          </w:p>
        </w:tc>
        <w:tc>
          <w:tcPr>
            <w:tcW w:type="dxa" w:w="7776"/>
          </w:tcPr>
          <w:p>
            <w:pPr>
              <w:spacing w:after="20"/>
            </w:pPr>
            <w:r/>
            <w:r>
              <w:rPr>
                <w:b w:val="0"/>
                <w:i w:val="0"/>
                <w:sz w:val="18"/>
              </w:rPr>
              <w:t>Sandra K. Morrow, Partner (Debtor’s restructuring counsel)</w:t>
            </w:r>
          </w:p>
        </w:tc>
      </w:tr>
      <w:tr>
        <w:tc>
          <w:tcPr>
            <w:tcW w:type="dxa" w:w="1872"/>
          </w:tcPr>
          <w:p>
            <w:pPr>
              <w:spacing w:after="20"/>
            </w:pPr>
            <w:r/>
            <w:r>
              <w:rPr>
                <w:b/>
                <w:i w:val="0"/>
                <w:sz w:val="18"/>
              </w:rPr>
              <w:t>Cc</w:t>
            </w:r>
          </w:p>
        </w:tc>
        <w:tc>
          <w:tcPr>
            <w:tcW w:type="dxa" w:w="7776"/>
          </w:tcPr>
          <w:p>
            <w:pPr>
              <w:spacing w:after="20"/>
            </w:pPr>
            <w:r/>
            <w:r>
              <w:rPr>
                <w:b w:val="0"/>
                <w:i w:val="0"/>
                <w:sz w:val="18"/>
              </w:rPr>
              <w:t>Rachel Fontaine, Managing Director, Pinecrest Advisory Group, LLC (financial advisor) — Sections VI and X only, at your discretion</w:t>
            </w:r>
          </w:p>
        </w:tc>
      </w:tr>
      <w:tr>
        <w:tc>
          <w:tcPr>
            <w:tcW w:type="dxa" w:w="1872"/>
          </w:tcPr>
          <w:p>
            <w:pPr>
              <w:spacing w:after="20"/>
            </w:pPr>
            <w:r/>
            <w:r>
              <w:rPr>
                <w:b/>
                <w:i w:val="0"/>
                <w:sz w:val="18"/>
              </w:rPr>
              <w:t>From</w:t>
            </w:r>
          </w:p>
        </w:tc>
        <w:tc>
          <w:tcPr>
            <w:tcW w:type="dxa" w:w="7776"/>
          </w:tcPr>
          <w:p>
            <w:pPr>
              <w:spacing w:after="20"/>
            </w:pPr>
            <w:r/>
            <w:r>
              <w:rPr>
                <w:b w:val="0"/>
                <w:i w:val="0"/>
                <w:sz w:val="18"/>
              </w:rPr>
              <w:t>Whitfield &amp; Crane restructuring team</w:t>
            </w:r>
          </w:p>
        </w:tc>
      </w:tr>
      <w:tr>
        <w:tc>
          <w:tcPr>
            <w:tcW w:type="dxa" w:w="1872"/>
          </w:tcPr>
          <w:p>
            <w:pPr>
              <w:spacing w:after="20"/>
            </w:pPr>
            <w:r/>
            <w:r>
              <w:rPr>
                <w:b/>
                <w:i w:val="0"/>
                <w:sz w:val="18"/>
              </w:rPr>
              <w:t>Re</w:t>
            </w:r>
          </w:p>
        </w:tc>
        <w:tc>
          <w:tcPr>
            <w:tcW w:type="dxa" w:w="7776"/>
          </w:tcPr>
          <w:p>
            <w:pPr>
              <w:spacing w:after="20"/>
            </w:pPr>
            <w:r/>
            <w:r>
              <w:rPr>
                <w:b w:val="0"/>
                <w:i w:val="0"/>
                <w:sz w:val="18"/>
              </w:rPr>
              <w:t>Comparison of the Official Committee of Unsecured Creditors’ redline (transmitted May 19, 2025 by David Hwan Chen, Ridgeline Strauss LLP) against the Debtor’s Second Amended Plan filed April 28, 2025; recommended responses for the May 26 position-paper exchange and May 28 meet-and-confer</w:t>
            </w:r>
          </w:p>
        </w:tc>
      </w:tr>
      <w:tr>
        <w:tc>
          <w:tcPr>
            <w:tcW w:type="dxa" w:w="1872"/>
          </w:tcPr>
          <w:p>
            <w:pPr>
              <w:spacing w:after="20"/>
            </w:pPr>
            <w:r/>
            <w:r>
              <w:rPr>
                <w:b/>
                <w:i w:val="0"/>
                <w:sz w:val="18"/>
              </w:rPr>
              <w:t>Key dates</w:t>
            </w:r>
          </w:p>
        </w:tc>
        <w:tc>
          <w:tcPr>
            <w:tcW w:type="dxa" w:w="7776"/>
          </w:tcPr>
          <w:p>
            <w:pPr>
              <w:spacing w:after="20"/>
            </w:pPr>
            <w:r/>
            <w:r>
              <w:rPr>
                <w:b w:val="0"/>
                <w:i w:val="0"/>
                <w:sz w:val="18"/>
              </w:rPr>
              <w:t>May 26, 2025 position papers (proposed by Committee) • May 28, 2025 meet-and-confer • June 12, 2025 Disclosure Statement hearing • July 24, 2025 Confirmation Hearing (tentative) • August 15, 2025 estimated Effective Date</w:t>
            </w:r>
          </w:p>
        </w:tc>
      </w:tr>
      <w:tr>
        <w:tc>
          <w:tcPr>
            <w:tcW w:type="dxa" w:w="1872"/>
          </w:tcPr>
          <w:p>
            <w:pPr>
              <w:spacing w:after="20"/>
            </w:pPr>
            <w:r/>
            <w:r>
              <w:rPr>
                <w:b/>
                <w:i w:val="0"/>
                <w:sz w:val="18"/>
              </w:rPr>
              <w:t>Documents reviewed</w:t>
            </w:r>
          </w:p>
        </w:tc>
        <w:tc>
          <w:tcPr>
            <w:tcW w:type="dxa" w:w="7776"/>
          </w:tcPr>
          <w:p>
            <w:pPr>
              <w:spacing w:after="20"/>
            </w:pPr>
            <w:r/>
            <w:r>
              <w:rPr>
                <w:b w:val="0"/>
                <w:i w:val="0"/>
                <w:sz w:val="18"/>
              </w:rPr>
              <w:t>(1) Debtor’s Proposed Second Amended Plan of Reorganization (filed Apr. 28, 2025) (the “Filed Plan”); (2) Committee redlined plan (committee-redlined-plan.docx) (the “Redline”); (3) Clearview Valuation Services summary valuation report dated Apr. 25, 2025 (“Clearview”); (4) D. Chen transmittal email dated May 19, 2025 (the “Transmittal”); (5) Disclosure Statement excerpts (filed Apr. 28, 2025) (the “DS”)</w:t>
            </w:r>
          </w:p>
        </w:tc>
      </w:tr>
    </w:tbl>
    <w:p>
      <w:pPr>
        <w:spacing w:after="40"/>
      </w:pPr>
    </w:p>
    <w:p>
      <w:pPr>
        <w:pStyle w:val="Heading1"/>
      </w:pPr>
      <w:r>
        <w:t>I. Executive Summary</w:t>
      </w:r>
    </w:p>
    <w:p>
      <w:pPr>
        <w:spacing w:after="120"/>
      </w:pPr>
      <w:r>
        <w:rPr>
          <w:b/>
          <w:i w:val="0"/>
        </w:rPr>
        <w:t>Bottom line.</w:t>
      </w:r>
      <w:r>
        <w:rPr>
          <w:b w:val="0"/>
          <w:i w:val="0"/>
        </w:rPr>
        <w:t xml:space="preserve"> The Committee’s markup should not be negotiated line-by-line from the Committee’s own change log. The Transmittal presents the markup as roughly 47 changes, “many” of them cosmetic, with three non-negotiable items. Our comparison shows that (i) the Redline was not prepared against the Filed Plan; its unmarked base text differs from the Filed Plan in at least 18 untracked respects, several of them substantive; (ii) by the Committee’s own change log, 28 of the 47 logged changes are substantive or semi-substantive; (iii) the Committee’s economics cannot be funded under the Debtor’s own projections; and (iv) several changes the Transmittal does not mention or describes inaccurately would, if accepted, put Timberline’s support, First Meridian’s consent and the Debtor’s path to confirmation at risk. The review also turned up problems in the Debtor’s own filed papers that the Committee will use at the June 12 hearing and that we should fix first (Section VIII).</w:t>
      </w:r>
    </w:p>
    <w:p>
      <w:pPr>
        <w:spacing w:after="40"/>
      </w:pPr>
      <w:r>
        <w:rPr>
          <w:b/>
          <w:i w:val="0"/>
        </w:rPr>
        <w:t>Key findings</w:t>
      </w:r>
    </w:p>
    <w:p>
      <w:pPr>
        <w:pStyle w:val="ListNumber"/>
        <w:spacing w:after="60"/>
      </w:pPr>
      <w:r>
        <w:rPr>
          <w:b/>
          <w:i w:val="0"/>
        </w:rPr>
        <w:t>The Redline is built on a different base document.</w:t>
      </w:r>
      <w:r>
        <w:rPr>
          <w:b w:val="0"/>
          <w:i w:val="0"/>
        </w:rPr>
        <w:t xml:space="preserve"> The Filed Plan uses a seven-class structure, Article X releases and Section 5.8 retention bonuses. The Redline uses five classes, Article VIII releases and Section 6.6 retention bonuses. Its untracked base text changes the Petition Date (Jan. 6 vs. Mar. 3, 2025), the DIP terms, the Effective Date mechanics, the conditions precedent and the entire Exhibit C contract schedule. Most consequential: the untracked “Released Parties” definition omits First Meridian and Timberline altogether, and the untracked classification makes First Meridian’s class unimpaired and deemed to accept. Accepting the tracked changes alone would silently import all of these differences (Section III).</w:t>
      </w:r>
    </w:p>
    <w:p>
      <w:pPr>
        <w:pStyle w:val="ListNumber"/>
        <w:spacing w:after="60"/>
      </w:pPr>
      <w:r>
        <w:rPr>
          <w:b/>
          <w:i w:val="0"/>
        </w:rPr>
        <w:t>The Committee’s cash ask is infeasible on the Debtor’s own numbers.</w:t>
      </w:r>
      <w:r>
        <w:rPr>
          <w:b w:val="0"/>
          <w:i w:val="0"/>
        </w:rPr>
        <w:t xml:space="preserve"> A $28.0M pool with 75% ($21.0M) paid on the Effective Date raises Effective Date cash needs from $62.85M to $74.50M, against projected cash at emergence of $68.0M. That is a </w:t>
      </w:r>
      <w:r>
        <w:rPr>
          <w:b/>
          <w:i w:val="0"/>
        </w:rPr>
        <w:t>$6.50M shortfall</w:t>
      </w:r>
      <w:r>
        <w:rPr>
          <w:b w:val="0"/>
          <w:i w:val="0"/>
        </w:rPr>
        <w:t>, before the unbudgeted items discussed in Section VI. Year-1 liquidity would also be negative: about ($5.57M) after the $7.0M deferred payment and $0.37M of interest. The Redline’s own Section 6.2 still recites the Debtor’s $62.85M table and the $9.35M first installment, which hides the shortfall.</w:t>
      </w:r>
    </w:p>
    <w:p>
      <w:pPr>
        <w:pStyle w:val="ListNumber"/>
        <w:spacing w:after="60"/>
      </w:pPr>
      <w:r>
        <w:rPr>
          <w:b/>
          <w:i w:val="0"/>
        </w:rPr>
        <w:t>The 41.07% equity “correction” is not mere arithmetic, but the Debtor’s 55% figure is exposed.</w:t>
      </w:r>
      <w:r>
        <w:rPr>
          <w:b w:val="0"/>
          <w:i w:val="0"/>
        </w:rPr>
        <w:t xml:space="preserve"> At the Clearview midpoint, 55% of $146.1M of residual equity value is $80.36M of equity issued for $60.0M of converted claim. Timberline’s total recovery is then $115.36M on a $95.0M claim (121%), and 103%–134% across the Clearview range. Meanwhile the junior unsecured class receives 10%. This is a real fair-and-equitable risk under § 1129(b)(2)(B). Separately, both versions leave the remaining 45%/58.93% “held” as unissued shares. That likely leaves Timberline owning 100% of the issued shares either way, so the Committee’s change does not achieve what it claims to achieve. Clearview’s stated weighting also yields a $405.0M blended midpoint, not $407.5M (Section VI.E).</w:t>
      </w:r>
    </w:p>
    <w:p>
      <w:pPr>
        <w:pStyle w:val="ListNumber"/>
        <w:spacing w:after="60"/>
      </w:pPr>
      <w:r>
        <w:rPr>
          <w:b/>
          <w:i w:val="0"/>
        </w:rPr>
        <w:t>The Dividend Recap package goes well beyond what the Transmittal describes.</w:t>
      </w:r>
      <w:r>
        <w:rPr>
          <w:b w:val="0"/>
          <w:i w:val="0"/>
        </w:rPr>
        <w:t xml:space="preserve"> The Transmittal describes a release carve-out and a disclosure condition. The Redline also: (a) sends all Avoidance Actions, expressly including fraudulent-transfer claims and therefore the Dividend Recap claims, together with all Retained Actions, to a Committee-selected trustee; (b) dedicates 100% of net Avoidance Action proceeds to unsecured creditors; (c) makes Effective Date occurrence depend on a court-approved supplemental disclosure statement that only the Committee can waive; and (d) creates exceptions to the discharge and the injunction. Its factual premise is also contradicted by the DS: Timberline bought the $95M notes, and the roughly $88M dividend went to existing equity holders. In addition, § 548’s two-year look-back expired in September 2023, so any claim would have to proceed under § 544(b) and state law.</w:t>
      </w:r>
    </w:p>
    <w:p>
      <w:pPr>
        <w:pStyle w:val="ListNumber"/>
        <w:spacing w:after="60"/>
      </w:pPr>
      <w:r>
        <w:rPr>
          <w:b/>
          <w:i w:val="0"/>
        </w:rPr>
        <w:t>Non-consensual third-party releases are a concession we should make, on our terms.</w:t>
      </w:r>
      <w:r>
        <w:rPr>
          <w:b w:val="0"/>
          <w:i w:val="0"/>
        </w:rPr>
        <w:t xml:space="preserve"> After Harrington v. Purdue Pharma L.P., 144 S. Ct. 2071 (2024), the Filed Plan’s Section 10.4(c), which is headed “Non-Consensual,” cannot be defended as drafted. The mechanism is in substance an opt-out, so it can be recast as a consensual release (opt-out, or opt-in for maximum safety) at limited cost. Filed Plan Section 10.4(d) states that “the Debtor and the Committee” concluded the Dividend Recap releases were appropriate. That statement is now plainly inaccurate and must come out.</w:t>
      </w:r>
    </w:p>
    <w:p>
      <w:pPr>
        <w:pStyle w:val="ListNumber"/>
        <w:spacing w:after="60"/>
      </w:pPr>
      <w:r>
        <w:rPr>
          <w:b/>
          <w:i w:val="0"/>
        </w:rPr>
        <w:t>Several “cosmetic” and “conforming” changes are substantive.</w:t>
      </w:r>
      <w:r>
        <w:rPr>
          <w:b w:val="0"/>
          <w:i w:val="0"/>
        </w:rPr>
        <w:t xml:space="preserve"> Examples: the Effective Date definition drops the Amended Credit Agreement and Litigation Trust conditions; the discharge proviso could be read to preserve third-party claims against the Debtor; proposed Section 11.9 would have the Debtor “acknowledge” that the retention program is value retained by holders junior to unsecured creditors; and the Committee would hold a veto in Section 9.2. Of the four Exhibit C “corrections,” two fix misspellings that do not appear in the filed Exhibit C, one changes the date of the $22M Olympic Forest agreement in a way that contradicts the Filed Plan, and one changes a contract value that the Transmittal never mentions.</w:t>
      </w:r>
    </w:p>
    <w:p>
      <w:pPr>
        <w:pStyle w:val="ListNumber"/>
        <w:spacing w:after="60"/>
      </w:pPr>
      <w:r>
        <w:rPr>
          <w:b/>
          <w:i w:val="0"/>
        </w:rPr>
        <w:t>The Committee has conflicts the Debtor can raise.</w:t>
      </w:r>
      <w:r>
        <w:rPr>
          <w:b w:val="0"/>
          <w:i w:val="0"/>
        </w:rPr>
        <w:t xml:space="preserve"> Committee members are trade vendors and lessors. They are therefore plausible defendants in the roughly $9.5M of preference claims (about 15 counterparties) that the Committee wants to control and keep for unsecured creditors. One member, Deschutes Equipment Leasing, is a counterparty to an assumed lease. The Committee justifies its contract-rejection standard by reference to protecting Committee members as counterparties.</w:t>
      </w:r>
    </w:p>
    <w:p>
      <w:pPr>
        <w:spacing w:after="120"/>
      </w:pPr>
      <w:r>
        <w:rPr>
          <w:b/>
          <w:i w:val="0"/>
        </w:rPr>
        <w:t>Recommended posture (detail in Section IX).</w:t>
      </w:r>
      <w:r>
        <w:rPr>
          <w:b w:val="0"/>
          <w:i w:val="0"/>
        </w:rPr>
        <w:t xml:space="preserve"> (1) Before May 26, insist that the Committee re-run its markup as a true compare against the Filed Plan (Dkt. No. 387). (2) Concede two things in principle, subject to Timberline and First Meridian: the non-consensual release, and expanded Dividend Recap disclosure. The expanded disclosure would go into the DS before June 12, not into a post-confirmation condition precedent. (3) Counter on economics within the cash constraint. For example, the Committee’s $28.0M headline can be met only by stretching payments over two years and/or using non-cash currency (a share of net preference proceeds, or GUC equity/warrants carved from the residual equity). Effective Date cash should be held at roughly $9.35M–$11.0M. (4) Reject outright: the 9.1(g) condition precedent and the 9.2 veto; Section 11.9; the “material net burden” rejection standard; and the discharge and injunction provisos as drafted. (5) Resolve the 55% equity issue with Timberline and Clearview before the meet-and-confer, rather than conceding the 41.07% figure as a “correction.”</w:t>
      </w:r>
    </w:p>
    <w:p>
      <w:pPr>
        <w:pStyle w:val="Heading1"/>
      </w:pPr>
      <w:r>
        <w:t>II. Scope and Method</w:t>
      </w:r>
    </w:p>
    <w:p>
      <w:pPr>
        <w:spacing w:after="120"/>
      </w:pPr>
      <w:r>
        <w:rPr>
          <w:b w:val="0"/>
          <w:i w:val="0"/>
        </w:rPr>
        <w:t>We read each source document in full. We then compared the Redline to the Filed Plan in two ways:</w:t>
      </w:r>
    </w:p>
    <w:p>
      <w:pPr>
        <w:pStyle w:val="ListBullet"/>
        <w:spacing w:after="60"/>
      </w:pPr>
      <w:r>
        <w:rPr>
          <w:b/>
          <w:i w:val="0"/>
        </w:rPr>
        <w:t>Tracked-change layer.</w:t>
      </w:r>
      <w:r>
        <w:rPr>
          <w:b w:val="0"/>
          <w:i w:val="0"/>
        </w:rPr>
        <w:t xml:space="preserve"> We extracted every insertion and strikethrough from the Redline (68 insertion elements in the document XML, which the Committee groups into 47 logged changes) and the 38 margin comments. Each was mapped to the corresponding Filed Plan provision.</w:t>
      </w:r>
    </w:p>
    <w:p>
      <w:pPr>
        <w:pStyle w:val="ListBullet"/>
        <w:spacing w:after="60"/>
      </w:pPr>
      <w:r>
        <w:rPr>
          <w:b/>
          <w:i w:val="0"/>
        </w:rPr>
        <w:t>Untracked base-text layer.</w:t>
      </w:r>
      <w:r>
        <w:rPr>
          <w:b w:val="0"/>
          <w:i w:val="0"/>
        </w:rPr>
        <w:t xml:space="preserve"> We compared the Redline’s unmarked text, section by section, against the Filed Plan. The purpose was to identify differences the Committee did not flag, since those differences would become operative if the tracked changes were simply accepted.</w:t>
      </w:r>
    </w:p>
    <w:p>
      <w:pPr>
        <w:spacing w:after="120"/>
      </w:pPr>
      <w:r>
        <w:rPr>
          <w:b w:val="0"/>
          <w:i w:val="0"/>
        </w:rPr>
        <w:t>We tested the economic changes against Clearview’s waterfall and the Debtor’s sources-and-uses and Exhibit B projections, and we checked the Transmittal’s characterizations against the Redline. All dollar figures are in millions unless noted. Legal authorities are cited at a general level for internal planning and should be cite-checked before use in any filing or position paper. Where the documents conflict, we say so rather than choose between them.</w:t>
      </w:r>
    </w:p>
    <w:p>
      <w:pPr>
        <w:pStyle w:val="Heading1"/>
      </w:pPr>
      <w:r>
        <w:t>III. Threshold Finding: The Redline Is Not a Markup of the Filed Plan</w:t>
      </w:r>
    </w:p>
    <w:p>
      <w:pPr>
        <w:spacing w:after="120"/>
      </w:pPr>
      <w:r>
        <w:rPr>
          <w:b w:val="0"/>
          <w:i w:val="0"/>
        </w:rPr>
        <w:t>The Redline states that it reflects proposed modifications “to the Second Amended Plan of Reorganization filed by the Debtor on April 28, 2025 (Dkt. No. 387).” Its unmarked text, however, departs from the Filed Plan in structure, numbering, dates and substance. The Transmittal’s own section references (e.g., “Section 5.3(b)” for equity, “Section 6.4” for retention bonuses, “Article IX” for releases) match neither the Filed Plan nor the Redline. This indicates that the Committee worked from a different draft. Filed Plan Section 6.4 concerns unclaimed distributions, and Article IX concerns conditions precedent.</w:t>
      </w:r>
    </w:p>
    <w:p>
      <w:pPr>
        <w:spacing w:after="120"/>
      </w:pPr>
      <w:r>
        <w:rPr>
          <w:b w:val="0"/>
          <w:i w:val="0"/>
        </w:rPr>
        <w:t>The practical risk is this. If the Debtor “accepts” agreed tracked changes in the Committee’s file, every untracked difference below becomes part of the operative plan text without having been negotiated. The table lists the material untracked deviations we identified.</w:t>
      </w:r>
    </w:p>
    <w:tbl>
      <w:tblPr>
        <w:tblStyle w:val="TableGrid"/>
        <w:tblW w:type="auto" w:w="0"/>
        <w:jc w:val="center"/>
        <w:tblLayout w:type="fixed"/>
        <w:tblLook w:firstColumn="1" w:firstRow="1" w:lastColumn="0" w:lastRow="0" w:noHBand="0" w:noVBand="1" w:val="04A0"/>
      </w:tblPr>
      <w:tblGrid>
        <w:gridCol w:w="576"/>
        <w:gridCol w:w="1368"/>
        <w:gridCol w:w="2304"/>
        <w:gridCol w:w="2304"/>
        <w:gridCol w:w="3240"/>
      </w:tblGrid>
      <w:tr>
        <w:tc>
          <w:tcPr>
            <w:tcW w:type="dxa" w:w="576"/>
            <w:shd w:val="clear" w:color="auto" w:fill="D9E2F3"/>
          </w:tcPr>
          <w:p>
            <w:pPr>
              <w:spacing w:after="20"/>
            </w:pPr>
            <w:r/>
            <w:r>
              <w:rPr>
                <w:b/>
                <w:i w:val="0"/>
                <w:sz w:val="15"/>
              </w:rPr>
              <w:t>#</w:t>
            </w:r>
          </w:p>
        </w:tc>
        <w:tc>
          <w:tcPr>
            <w:tcW w:type="dxa" w:w="1368"/>
            <w:shd w:val="clear" w:color="auto" w:fill="D9E2F3"/>
          </w:tcPr>
          <w:p>
            <w:pPr>
              <w:spacing w:after="20"/>
            </w:pPr>
            <w:r/>
            <w:r>
              <w:rPr>
                <w:b/>
                <w:i w:val="0"/>
                <w:sz w:val="15"/>
              </w:rPr>
              <w:t>Topic</w:t>
            </w:r>
          </w:p>
        </w:tc>
        <w:tc>
          <w:tcPr>
            <w:tcW w:type="dxa" w:w="2304"/>
            <w:shd w:val="clear" w:color="auto" w:fill="D9E2F3"/>
          </w:tcPr>
          <w:p>
            <w:pPr>
              <w:spacing w:after="20"/>
            </w:pPr>
            <w:r/>
            <w:r>
              <w:rPr>
                <w:b/>
                <w:i w:val="0"/>
                <w:sz w:val="15"/>
              </w:rPr>
              <w:t>Filed Plan (Apr. 28, 2025)</w:t>
            </w:r>
          </w:p>
        </w:tc>
        <w:tc>
          <w:tcPr>
            <w:tcW w:type="dxa" w:w="2304"/>
            <w:shd w:val="clear" w:color="auto" w:fill="D9E2F3"/>
          </w:tcPr>
          <w:p>
            <w:pPr>
              <w:spacing w:after="20"/>
            </w:pPr>
            <w:r/>
            <w:r>
              <w:rPr>
                <w:b/>
                <w:i w:val="0"/>
                <w:sz w:val="15"/>
              </w:rPr>
              <w:t>Redline base text (untracked)</w:t>
            </w:r>
          </w:p>
        </w:tc>
        <w:tc>
          <w:tcPr>
            <w:tcW w:type="dxa" w:w="3240"/>
            <w:shd w:val="clear" w:color="auto" w:fill="D9E2F3"/>
          </w:tcPr>
          <w:p>
            <w:pPr>
              <w:spacing w:after="20"/>
            </w:pPr>
            <w:r/>
            <w:r>
              <w:rPr>
                <w:b/>
                <w:i w:val="0"/>
                <w:sz w:val="15"/>
              </w:rPr>
              <w:t>Why it matters / recommended action</w:t>
            </w:r>
          </w:p>
        </w:tc>
      </w:tr>
      <w:tr>
        <w:tc>
          <w:tcPr>
            <w:tcW w:type="dxa" w:w="576"/>
          </w:tcPr>
          <w:p>
            <w:pPr>
              <w:spacing w:after="20"/>
            </w:pPr>
            <w:r/>
            <w:r>
              <w:rPr>
                <w:b w:val="0"/>
                <w:i w:val="0"/>
                <w:sz w:val="15"/>
              </w:rPr>
              <w:t>U-1</w:t>
            </w:r>
          </w:p>
        </w:tc>
        <w:tc>
          <w:tcPr>
            <w:tcW w:type="dxa" w:w="1368"/>
          </w:tcPr>
          <w:p>
            <w:pPr>
              <w:spacing w:after="20"/>
            </w:pPr>
            <w:r/>
            <w:r>
              <w:rPr>
                <w:b w:val="0"/>
                <w:i w:val="0"/>
                <w:sz w:val="15"/>
              </w:rPr>
              <w:t>Petition Date; Committee appointment</w:t>
            </w:r>
          </w:p>
        </w:tc>
        <w:tc>
          <w:tcPr>
            <w:tcW w:type="dxa" w:w="2304"/>
          </w:tcPr>
          <w:p>
            <w:pPr>
              <w:spacing w:after="20"/>
            </w:pPr>
            <w:r/>
            <w:r>
              <w:rPr>
                <w:b w:val="0"/>
                <w:i w:val="0"/>
                <w:sz w:val="15"/>
              </w:rPr>
              <w:t>Petition Date Mar. 3, 2025; Committee appointed Mar. 17, 2025 (Plan § 1.1; DS §§ 3.4–3.5).</w:t>
            </w:r>
          </w:p>
        </w:tc>
        <w:tc>
          <w:tcPr>
            <w:tcW w:type="dxa" w:w="2304"/>
          </w:tcPr>
          <w:p>
            <w:pPr>
              <w:spacing w:after="20"/>
            </w:pPr>
            <w:r/>
            <w:r>
              <w:rPr>
                <w:b w:val="0"/>
                <w:i w:val="0"/>
                <w:sz w:val="15"/>
              </w:rPr>
              <w:t>Petition Date Jan. 6, 2025; Committee appointed Jan. 24, 2025.</w:t>
            </w:r>
          </w:p>
        </w:tc>
        <w:tc>
          <w:tcPr>
            <w:tcW w:type="dxa" w:w="3240"/>
          </w:tcPr>
          <w:p>
            <w:pPr>
              <w:spacing w:after="20"/>
            </w:pPr>
            <w:r/>
            <w:r>
              <w:rPr>
                <w:b w:val="0"/>
                <w:i w:val="0"/>
                <w:sz w:val="15"/>
              </w:rPr>
              <w:t xml:space="preserve">Shifts the 90-day preference window (Oct. 8, 2024–Jan. 6, 2025 instead of Dec. 3, 2024–Mar. 3, 2025), which changes which of the ~$9.5M of identified preferences exist. It also turns the Feb. 15, 2025 board approval of the retention program into a post-petition act. </w:t>
            </w:r>
            <w:r>
              <w:rPr>
                <w:b/>
                <w:i w:val="0"/>
                <w:sz w:val="15"/>
              </w:rPr>
              <w:t>Reject; conform to the record.</w:t>
            </w:r>
          </w:p>
        </w:tc>
      </w:tr>
      <w:tr>
        <w:tc>
          <w:tcPr>
            <w:tcW w:type="dxa" w:w="576"/>
          </w:tcPr>
          <w:p>
            <w:pPr>
              <w:spacing w:after="20"/>
            </w:pPr>
            <w:r/>
            <w:r>
              <w:rPr>
                <w:b w:val="0"/>
                <w:i w:val="0"/>
                <w:sz w:val="15"/>
              </w:rPr>
              <w:t>U-2</w:t>
            </w:r>
          </w:p>
        </w:tc>
        <w:tc>
          <w:tcPr>
            <w:tcW w:type="dxa" w:w="1368"/>
          </w:tcPr>
          <w:p>
            <w:pPr>
              <w:spacing w:after="20"/>
            </w:pPr>
            <w:r/>
            <w:r>
              <w:rPr>
                <w:b w:val="0"/>
                <w:i w:val="0"/>
                <w:sz w:val="15"/>
              </w:rPr>
              <w:t>DIP Facility</w:t>
            </w:r>
          </w:p>
        </w:tc>
        <w:tc>
          <w:tcPr>
            <w:tcW w:type="dxa" w:w="2304"/>
          </w:tcPr>
          <w:p>
            <w:pPr>
              <w:spacing w:after="20"/>
            </w:pPr>
            <w:r/>
            <w:r>
              <w:rPr>
                <w:b w:val="0"/>
                <w:i w:val="0"/>
                <w:sz w:val="15"/>
              </w:rPr>
              <w:t>Approved by order entered Mar. 21, 2025 (Plan § 1.1). DS § 3.5: up to $40M; interim Mar. 12, final Apr. 2, 2025.</w:t>
            </w:r>
          </w:p>
        </w:tc>
        <w:tc>
          <w:tcPr>
            <w:tcW w:type="dxa" w:w="2304"/>
          </w:tcPr>
          <w:p>
            <w:pPr>
              <w:spacing w:after="20"/>
            </w:pPr>
            <w:r/>
            <w:r>
              <w:rPr>
                <w:b w:val="0"/>
                <w:i w:val="0"/>
                <w:sz w:val="15"/>
              </w:rPr>
              <w:t>Agreement dated Jan. 15, 2025; $25M; interim/final orders Jan. 16 and Feb. 10, 2025.</w:t>
            </w:r>
          </w:p>
        </w:tc>
        <w:tc>
          <w:tcPr>
            <w:tcW w:type="dxa" w:w="3240"/>
          </w:tcPr>
          <w:p>
            <w:pPr>
              <w:spacing w:after="20"/>
            </w:pPr>
            <w:r/>
            <w:r>
              <w:rPr>
                <w:b w:val="0"/>
                <w:i w:val="0"/>
                <w:sz w:val="15"/>
              </w:rPr>
              <w:t xml:space="preserve">Wrong facility amount and orders. Repayment and roll-up mechanics are tied to the DIP order. </w:t>
            </w:r>
            <w:r>
              <w:rPr>
                <w:b/>
                <w:i w:val="0"/>
                <w:sz w:val="15"/>
              </w:rPr>
              <w:t>Reject.</w:t>
            </w:r>
            <w:r>
              <w:rPr>
                <w:b w:val="0"/>
                <w:i w:val="0"/>
                <w:sz w:val="15"/>
              </w:rPr>
              <w:t xml:space="preserve"> (Note: the Plan and DS are also inconsistent with each other; see Section VIII.)</w:t>
            </w:r>
          </w:p>
        </w:tc>
      </w:tr>
      <w:tr>
        <w:tc>
          <w:tcPr>
            <w:tcW w:type="dxa" w:w="576"/>
          </w:tcPr>
          <w:p>
            <w:pPr>
              <w:spacing w:after="20"/>
            </w:pPr>
            <w:r/>
            <w:r>
              <w:rPr>
                <w:b w:val="0"/>
                <w:i w:val="0"/>
                <w:sz w:val="15"/>
              </w:rPr>
              <w:t>U-3</w:t>
            </w:r>
          </w:p>
        </w:tc>
        <w:tc>
          <w:tcPr>
            <w:tcW w:type="dxa" w:w="1368"/>
          </w:tcPr>
          <w:p>
            <w:pPr>
              <w:spacing w:after="20"/>
            </w:pPr>
            <w:r/>
            <w:r>
              <w:rPr>
                <w:b w:val="0"/>
                <w:i w:val="0"/>
                <w:sz w:val="15"/>
              </w:rPr>
              <w:t>Senior credit facility</w:t>
            </w:r>
          </w:p>
        </w:tc>
        <w:tc>
          <w:tcPr>
            <w:tcW w:type="dxa" w:w="2304"/>
          </w:tcPr>
          <w:p>
            <w:pPr>
              <w:spacing w:after="20"/>
            </w:pPr>
            <w:r/>
            <w:r>
              <w:rPr>
                <w:b w:val="0"/>
                <w:i w:val="0"/>
                <w:sz w:val="15"/>
              </w:rPr>
              <w:t>Credit Agreement dated Mar. 28, 2018; $275M facility; maturity June 2028.</w:t>
            </w:r>
          </w:p>
        </w:tc>
        <w:tc>
          <w:tcPr>
            <w:tcW w:type="dxa" w:w="2304"/>
          </w:tcPr>
          <w:p>
            <w:pPr>
              <w:spacing w:after="20"/>
            </w:pPr>
            <w:r/>
            <w:r>
              <w:rPr>
                <w:b w:val="0"/>
                <w:i w:val="0"/>
                <w:sz w:val="15"/>
              </w:rPr>
              <w:t>Senior Secured Credit Agreement dated June 15, 2018; maturity June 15, 2028.</w:t>
            </w:r>
          </w:p>
        </w:tc>
        <w:tc>
          <w:tcPr>
            <w:tcW w:type="dxa" w:w="3240"/>
          </w:tcPr>
          <w:p>
            <w:pPr>
              <w:spacing w:after="20"/>
            </w:pPr>
            <w:r/>
            <w:r>
              <w:rPr>
                <w:b w:val="0"/>
                <w:i w:val="0"/>
                <w:sz w:val="15"/>
              </w:rPr>
              <w:t xml:space="preserve">Wrong agreement date. The reinstatement and Amended Credit Agreement terms depend on correct identification of the facility. </w:t>
            </w:r>
            <w:r>
              <w:rPr>
                <w:b/>
                <w:i w:val="0"/>
                <w:sz w:val="15"/>
              </w:rPr>
              <w:t>Reject.</w:t>
            </w:r>
          </w:p>
        </w:tc>
      </w:tr>
      <w:tr>
        <w:tc>
          <w:tcPr>
            <w:tcW w:type="dxa" w:w="576"/>
          </w:tcPr>
          <w:p>
            <w:pPr>
              <w:spacing w:after="20"/>
            </w:pPr>
            <w:r/>
            <w:r>
              <w:rPr>
                <w:b w:val="0"/>
                <w:i w:val="0"/>
                <w:sz w:val="15"/>
              </w:rPr>
              <w:t>U-4</w:t>
            </w:r>
          </w:p>
        </w:tc>
        <w:tc>
          <w:tcPr>
            <w:tcW w:type="dxa" w:w="1368"/>
          </w:tcPr>
          <w:p>
            <w:pPr>
              <w:spacing w:after="20"/>
            </w:pPr>
            <w:r/>
            <w:r>
              <w:rPr>
                <w:b w:val="0"/>
                <w:i w:val="0"/>
                <w:sz w:val="15"/>
              </w:rPr>
              <w:t>Classification</w:t>
            </w:r>
          </w:p>
        </w:tc>
        <w:tc>
          <w:tcPr>
            <w:tcW w:type="dxa" w:w="2304"/>
          </w:tcPr>
          <w:p>
            <w:pPr>
              <w:spacing w:after="20"/>
            </w:pPr>
            <w:r/>
            <w:r>
              <w:rPr>
                <w:b w:val="0"/>
                <w:i w:val="0"/>
                <w:sz w:val="15"/>
              </w:rPr>
              <w:t xml:space="preserve">Seven classes: Cl. 1 Priority Non-Tax (unimpaired); </w:t>
            </w:r>
            <w:r>
              <w:rPr>
                <w:b/>
                <w:i w:val="0"/>
                <w:sz w:val="15"/>
              </w:rPr>
              <w:t>Cl. 2 First Meridian (impaired, votes)</w:t>
            </w:r>
            <w:r>
              <w:rPr>
                <w:b w:val="0"/>
                <w:i w:val="0"/>
                <w:sz w:val="15"/>
              </w:rPr>
              <w:t>; Cl. 3 Timberline; Cl. 4 GUCs; Cl. 5 Intercompany; Cl. 6 Equity; Cl. 7 § 510(b).</w:t>
            </w:r>
          </w:p>
        </w:tc>
        <w:tc>
          <w:tcPr>
            <w:tcW w:type="dxa" w:w="2304"/>
          </w:tcPr>
          <w:p>
            <w:pPr>
              <w:spacing w:after="20"/>
            </w:pPr>
            <w:r/>
            <w:r>
              <w:rPr>
                <w:b w:val="0"/>
                <w:i w:val="0"/>
                <w:sz w:val="15"/>
              </w:rPr>
              <w:t xml:space="preserve">Five classes: </w:t>
            </w:r>
            <w:r>
              <w:rPr>
                <w:b/>
                <w:i w:val="0"/>
                <w:sz w:val="15"/>
              </w:rPr>
              <w:t>Cl. 1 First Meridian “Unimpaired … conclusively presumed to have accepted”</w:t>
            </w:r>
            <w:r>
              <w:rPr>
                <w:b w:val="0"/>
                <w:i w:val="0"/>
                <w:sz w:val="15"/>
              </w:rPr>
              <w:t>; Cl. 2 Timberline; Cl. 3 GUCs; Cl. 4 Intercompany; Cl. 5 Equity. Priority non-tax claims become unclassified. No § 510(b) class.</w:t>
            </w:r>
          </w:p>
        </w:tc>
        <w:tc>
          <w:tcPr>
            <w:tcW w:type="dxa" w:w="3240"/>
          </w:tcPr>
          <w:p>
            <w:pPr>
              <w:spacing w:after="20"/>
            </w:pPr>
            <w:r/>
            <w:r>
              <w:rPr>
                <w:b w:val="0"/>
                <w:i w:val="0"/>
                <w:sz w:val="15"/>
              </w:rPr>
              <w:t xml:space="preserve">First Meridian’s maturity is extended and its rate reduced, so its legal rights are altered and it is impaired under § 1124. It cannot be “unimpaired.” Making it a deemed-accepting class removes it as a potential impaired accepting class under § 1129(a)(10). Timberline would then be the only possible accepting impaired class if GUCs reject, and the Committee’s comments are already laying groundwork to call Timberline an insider (see V.B, VII.4). § 510(b) claims would be left unaddressed. </w:t>
            </w:r>
            <w:r>
              <w:rPr>
                <w:b/>
                <w:i w:val="0"/>
                <w:sz w:val="15"/>
              </w:rPr>
              <w:t>Reject; retain the Filed Plan structure.</w:t>
            </w:r>
          </w:p>
        </w:tc>
      </w:tr>
      <w:tr>
        <w:tc>
          <w:tcPr>
            <w:tcW w:type="dxa" w:w="576"/>
          </w:tcPr>
          <w:p>
            <w:pPr>
              <w:spacing w:after="20"/>
            </w:pPr>
            <w:r/>
            <w:r>
              <w:rPr>
                <w:b w:val="0"/>
                <w:i w:val="0"/>
                <w:sz w:val="15"/>
              </w:rPr>
              <w:t>U-5</w:t>
            </w:r>
          </w:p>
        </w:tc>
        <w:tc>
          <w:tcPr>
            <w:tcW w:type="dxa" w:w="1368"/>
          </w:tcPr>
          <w:p>
            <w:pPr>
              <w:spacing w:after="20"/>
            </w:pPr>
            <w:r/>
            <w:r>
              <w:rPr>
                <w:b w:val="0"/>
                <w:i w:val="0"/>
                <w:sz w:val="15"/>
              </w:rPr>
              <w:t>“Released Parties”</w:t>
            </w:r>
          </w:p>
        </w:tc>
        <w:tc>
          <w:tcPr>
            <w:tcW w:type="dxa" w:w="2304"/>
          </w:tcPr>
          <w:p>
            <w:pPr>
              <w:spacing w:after="20"/>
            </w:pPr>
            <w:r/>
            <w:r>
              <w:rPr>
                <w:b w:val="0"/>
                <w:i w:val="0"/>
                <w:sz w:val="15"/>
              </w:rPr>
              <w:t>§ 10.4(a) includes First Meridian (as lender, agent and DIP lender), Timberline (as noteholder and Plan Sponsor), and their affiliates and professionals.</w:t>
            </w:r>
          </w:p>
        </w:tc>
        <w:tc>
          <w:tcPr>
            <w:tcW w:type="dxa" w:w="2304"/>
          </w:tcPr>
          <w:p>
            <w:pPr>
              <w:spacing w:after="20"/>
            </w:pPr>
            <w:r/>
            <w:r>
              <w:rPr>
                <w:b w:val="0"/>
                <w:i w:val="0"/>
                <w:sz w:val="15"/>
              </w:rPr>
              <w:t xml:space="preserve">Definition lists only the Debtor, the Reorganized Debtor, the Committee and its members, D&amp;Os and professionals. </w:t>
            </w:r>
            <w:r>
              <w:rPr>
                <w:b/>
                <w:i w:val="0"/>
                <w:sz w:val="15"/>
              </w:rPr>
              <w:t>First Meridian and Timberline are omitted entirely.</w:t>
            </w:r>
            <w:r>
              <w:rPr>
                <w:b w:val="0"/>
                <w:i w:val="0"/>
                <w:sz w:val="15"/>
              </w:rPr>
              <w:t xml:space="preserve"> The tracked Timberline carve-out is then layered on top.</w:t>
            </w:r>
          </w:p>
        </w:tc>
        <w:tc>
          <w:tcPr>
            <w:tcW w:type="dxa" w:w="3240"/>
          </w:tcPr>
          <w:p>
            <w:pPr>
              <w:spacing w:after="20"/>
            </w:pPr>
            <w:r/>
            <w:r>
              <w:rPr>
                <w:b w:val="0"/>
                <w:i w:val="0"/>
                <w:sz w:val="15"/>
              </w:rPr>
              <w:t xml:space="preserve">This is the most consequential untracked change. If accepted, neither plan-support party would receive any release, not merely a Dividend Recap carve-out. Timberline’s support is expressly conditioned on its treatment (Plan § 4.3; DS “Timberline Support Risk”). </w:t>
            </w:r>
            <w:r>
              <w:rPr>
                <w:b/>
                <w:i w:val="0"/>
                <w:sz w:val="15"/>
              </w:rPr>
              <w:t>Reject; negotiate any carve-out against the Filed Plan definition.</w:t>
            </w:r>
          </w:p>
        </w:tc>
      </w:tr>
      <w:tr>
        <w:tc>
          <w:tcPr>
            <w:tcW w:type="dxa" w:w="576"/>
          </w:tcPr>
          <w:p>
            <w:pPr>
              <w:spacing w:after="20"/>
            </w:pPr>
            <w:r/>
            <w:r>
              <w:rPr>
                <w:b w:val="0"/>
                <w:i w:val="0"/>
                <w:sz w:val="15"/>
              </w:rPr>
              <w:t>U-6</w:t>
            </w:r>
          </w:p>
        </w:tc>
        <w:tc>
          <w:tcPr>
            <w:tcW w:type="dxa" w:w="1368"/>
          </w:tcPr>
          <w:p>
            <w:pPr>
              <w:spacing w:after="20"/>
            </w:pPr>
            <w:r/>
            <w:r>
              <w:rPr>
                <w:b w:val="0"/>
                <w:i w:val="0"/>
                <w:sz w:val="15"/>
              </w:rPr>
              <w:t>Debtor release carve-outs</w:t>
            </w:r>
          </w:p>
        </w:tc>
        <w:tc>
          <w:tcPr>
            <w:tcW w:type="dxa" w:w="2304"/>
          </w:tcPr>
          <w:p>
            <w:pPr>
              <w:spacing w:after="20"/>
            </w:pPr>
            <w:r/>
            <w:r>
              <w:rPr>
                <w:b w:val="0"/>
                <w:i w:val="0"/>
                <w:sz w:val="15"/>
              </w:rPr>
              <w:t>§ 10.5 preserves (a) enforcement of the Plan and (b) Avoidance Actions preserved for the Litigation Trust (limited to preferences against non-Released Parties). § 10.4(d) expressly covers Dividend Recap claims.</w:t>
            </w:r>
          </w:p>
        </w:tc>
        <w:tc>
          <w:tcPr>
            <w:tcW w:type="dxa" w:w="2304"/>
          </w:tcPr>
          <w:p>
            <w:pPr>
              <w:spacing w:after="20"/>
            </w:pPr>
            <w:r/>
            <w:r>
              <w:rPr>
                <w:b w:val="0"/>
                <w:i w:val="0"/>
                <w:sz w:val="15"/>
              </w:rPr>
              <w:t>§ 8.1 Debtor release has no carve-out for preserved Avoidance Actions or Plan enforcement. The express Dividend Recap coverage is gone.</w:t>
            </w:r>
          </w:p>
        </w:tc>
        <w:tc>
          <w:tcPr>
            <w:tcW w:type="dxa" w:w="3240"/>
          </w:tcPr>
          <w:p>
            <w:pPr>
              <w:spacing w:after="20"/>
            </w:pPr>
            <w:r/>
            <w:r>
              <w:rPr>
                <w:b w:val="0"/>
                <w:i w:val="0"/>
                <w:sz w:val="15"/>
              </w:rPr>
              <w:t xml:space="preserve">The Debtor release could be read to release the very preference claims the Committee wants to monetize, including claims against Committee members, who are Released Parties in their Committee capacity. </w:t>
            </w:r>
            <w:r>
              <w:rPr>
                <w:b/>
                <w:i w:val="0"/>
                <w:sz w:val="15"/>
              </w:rPr>
              <w:t>Retain the Filed Plan carve-outs.</w:t>
            </w:r>
          </w:p>
        </w:tc>
      </w:tr>
      <w:tr>
        <w:tc>
          <w:tcPr>
            <w:tcW w:type="dxa" w:w="576"/>
          </w:tcPr>
          <w:p>
            <w:pPr>
              <w:spacing w:after="20"/>
            </w:pPr>
            <w:r/>
            <w:r>
              <w:rPr>
                <w:b w:val="0"/>
                <w:i w:val="0"/>
                <w:sz w:val="15"/>
              </w:rPr>
              <w:t>U-7</w:t>
            </w:r>
          </w:p>
        </w:tc>
        <w:tc>
          <w:tcPr>
            <w:tcW w:type="dxa" w:w="1368"/>
          </w:tcPr>
          <w:p>
            <w:pPr>
              <w:spacing w:after="20"/>
            </w:pPr>
            <w:r/>
            <w:r>
              <w:rPr>
                <w:b w:val="0"/>
                <w:i w:val="0"/>
                <w:sz w:val="15"/>
              </w:rPr>
              <w:t>Retention bonuses</w:t>
            </w:r>
          </w:p>
        </w:tc>
        <w:tc>
          <w:tcPr>
            <w:tcW w:type="dxa" w:w="2304"/>
          </w:tcPr>
          <w:p>
            <w:pPr>
              <w:spacing w:after="20"/>
            </w:pPr>
            <w:r/>
            <w:r>
              <w:rPr>
                <w:b w:val="0"/>
                <w:i w:val="0"/>
                <w:sz w:val="15"/>
              </w:rPr>
              <w:t>§ 5.8: $3.4M program for 12 senior employees, approved pre-petition, assumed by the Reorganized Debtor and paid per its original terms.</w:t>
            </w:r>
          </w:p>
        </w:tc>
        <w:tc>
          <w:tcPr>
            <w:tcW w:type="dxa" w:w="2304"/>
          </w:tcPr>
          <w:p>
            <w:pPr>
              <w:spacing w:after="20"/>
            </w:pPr>
            <w:r/>
            <w:r>
              <w:rPr>
                <w:b w:val="0"/>
                <w:i w:val="0"/>
                <w:sz w:val="15"/>
              </w:rPr>
              <w:t>§ 2.1(d): treated as Allowed Administrative Claims. § 6.6: approved by the board Feb. 15, 2025; paid $1.7M on the Effective Date and $1.7M six months later. (Both then struck.)</w:t>
            </w:r>
          </w:p>
        </w:tc>
        <w:tc>
          <w:tcPr>
            <w:tcW w:type="dxa" w:w="3240"/>
          </w:tcPr>
          <w:p>
            <w:pPr>
              <w:spacing w:after="20"/>
            </w:pPr>
            <w:r/>
            <w:r>
              <w:rPr>
                <w:b w:val="0"/>
                <w:i w:val="0"/>
                <w:sz w:val="15"/>
              </w:rPr>
              <w:t>The Committee struck a provision that is not in the Filed Plan. Its § 503(c) and administrative-priority framing depends on the untracked recharacterization. Respond to the Filed Plan § 5.8 (see V.A-7).</w:t>
            </w:r>
          </w:p>
        </w:tc>
      </w:tr>
      <w:tr>
        <w:tc>
          <w:tcPr>
            <w:tcW w:type="dxa" w:w="576"/>
          </w:tcPr>
          <w:p>
            <w:pPr>
              <w:spacing w:after="20"/>
            </w:pPr>
            <w:r/>
            <w:r>
              <w:rPr>
                <w:b w:val="0"/>
                <w:i w:val="0"/>
                <w:sz w:val="15"/>
              </w:rPr>
              <w:t>U-8</w:t>
            </w:r>
          </w:p>
        </w:tc>
        <w:tc>
          <w:tcPr>
            <w:tcW w:type="dxa" w:w="1368"/>
          </w:tcPr>
          <w:p>
            <w:pPr>
              <w:spacing w:after="20"/>
            </w:pPr>
            <w:r/>
            <w:r>
              <w:rPr>
                <w:b w:val="0"/>
                <w:i w:val="0"/>
                <w:sz w:val="15"/>
              </w:rPr>
              <w:t>Litigation Trust; Avoidance Actions</w:t>
            </w:r>
          </w:p>
        </w:tc>
        <w:tc>
          <w:tcPr>
            <w:tcW w:type="dxa" w:w="2304"/>
          </w:tcPr>
          <w:p>
            <w:pPr>
              <w:spacing w:after="20"/>
            </w:pPr>
            <w:r/>
            <w:r>
              <w:rPr>
                <w:b w:val="0"/>
                <w:i w:val="0"/>
                <w:sz w:val="15"/>
              </w:rPr>
              <w:t>§ 5.9: trust pursues Avoidance Actions (§§ 544–553) for the benefit of the Reorganized Debtor; trustee appointed by the Reorganized Debtor with Committee consent; net proceeds retained by the Reorganized Debtor. § 5.10: other causes of action retained by the Reorganized Debtor.</w:t>
            </w:r>
          </w:p>
        </w:tc>
        <w:tc>
          <w:tcPr>
            <w:tcW w:type="dxa" w:w="2304"/>
          </w:tcPr>
          <w:p>
            <w:pPr>
              <w:spacing w:after="20"/>
            </w:pPr>
            <w:r/>
            <w:r>
              <w:rPr>
                <w:b w:val="0"/>
                <w:i w:val="0"/>
                <w:sz w:val="15"/>
              </w:rPr>
              <w:t xml:space="preserve">§ 6.7(b): </w:t>
            </w:r>
            <w:r>
              <w:rPr>
                <w:b/>
                <w:i w:val="0"/>
                <w:sz w:val="15"/>
              </w:rPr>
              <w:t>all Avoidance Actions and all “Retained Actions”</w:t>
            </w:r>
            <w:r>
              <w:rPr>
                <w:b w:val="0"/>
                <w:i w:val="0"/>
                <w:sz w:val="15"/>
              </w:rPr>
              <w:t xml:space="preserve"> (every other estate claim) vest in the trust, and the trustee has “exclusive authority.” “Avoidance Actions” is expanded to §§ 502, 510, 541–543, 551, 552 and common law. The “Retained Actions” definition says such claims vest in the Reorganized Debtor, which contradicts § 6.7(b).</w:t>
            </w:r>
          </w:p>
        </w:tc>
        <w:tc>
          <w:tcPr>
            <w:tcW w:type="dxa" w:w="3240"/>
          </w:tcPr>
          <w:p>
            <w:pPr>
              <w:spacing w:after="20"/>
            </w:pPr>
            <w:r/>
            <w:r>
              <w:rPr>
                <w:b w:val="0"/>
                <w:i w:val="0"/>
                <w:sz w:val="15"/>
              </w:rPr>
              <w:t xml:space="preserve">Strips the Reorganized Debtor of its ordinary commercial claims and defenses and gives them to a Committee-selected trustee. Bringing §§ 502(d) and 510 within the definition gives the trust leverage over claims allowance and subordination. </w:t>
            </w:r>
            <w:r>
              <w:rPr>
                <w:b/>
                <w:i w:val="0"/>
                <w:sz w:val="15"/>
              </w:rPr>
              <w:t>Reject; retain Filed Plan §§ 5.9–5.10 and negotiate only the proceeds allocation.</w:t>
            </w:r>
          </w:p>
        </w:tc>
      </w:tr>
      <w:tr>
        <w:tc>
          <w:tcPr>
            <w:tcW w:type="dxa" w:w="576"/>
          </w:tcPr>
          <w:p>
            <w:pPr>
              <w:spacing w:after="20"/>
            </w:pPr>
            <w:r/>
            <w:r>
              <w:rPr>
                <w:b w:val="0"/>
                <w:i w:val="0"/>
                <w:sz w:val="15"/>
              </w:rPr>
              <w:t>U-9</w:t>
            </w:r>
          </w:p>
        </w:tc>
        <w:tc>
          <w:tcPr>
            <w:tcW w:type="dxa" w:w="1368"/>
          </w:tcPr>
          <w:p>
            <w:pPr>
              <w:spacing w:after="20"/>
            </w:pPr>
            <w:r/>
            <w:r>
              <w:rPr>
                <w:b w:val="0"/>
                <w:i w:val="0"/>
                <w:sz w:val="15"/>
              </w:rPr>
              <w:t>Effective Date; conditions</w:t>
            </w:r>
          </w:p>
        </w:tc>
        <w:tc>
          <w:tcPr>
            <w:tcW w:type="dxa" w:w="2304"/>
          </w:tcPr>
          <w:p>
            <w:pPr>
              <w:spacing w:after="20"/>
            </w:pPr>
            <w:r/>
            <w:r>
              <w:rPr>
                <w:b w:val="0"/>
                <w:i w:val="0"/>
                <w:sz w:val="15"/>
              </w:rPr>
              <w:t>ED = 30 days after the Confirmation Order becomes a Final Order (est. Aug. 15, 2025). § 9.1 confirmation conditions include a Confirmation Order acceptable to the Debtor, First Meridian and Timberline. § 9.2 ED conditions include an executed Amended Credit Agreement, adopted Governance Documents, and an established Litigation Trust with a trustee appointed.</w:t>
            </w:r>
          </w:p>
        </w:tc>
        <w:tc>
          <w:tcPr>
            <w:tcW w:type="dxa" w:w="2304"/>
          </w:tcPr>
          <w:p>
            <w:pPr>
              <w:spacing w:after="20"/>
            </w:pPr>
            <w:r/>
            <w:r>
              <w:rPr>
                <w:b w:val="0"/>
                <w:i w:val="0"/>
                <w:sz w:val="15"/>
              </w:rPr>
              <w:t>ED = first Business Day on which conditions are satisfied. No confirmation conditions. ED conditions omit the Amended Credit Agreement, Governance Documents and Litigation Trust conditions.</w:t>
            </w:r>
          </w:p>
        </w:tc>
        <w:tc>
          <w:tcPr>
            <w:tcW w:type="dxa" w:w="3240"/>
          </w:tcPr>
          <w:p>
            <w:pPr>
              <w:spacing w:after="20"/>
            </w:pPr>
            <w:r/>
            <w:r>
              <w:rPr>
                <w:b w:val="0"/>
                <w:i w:val="0"/>
                <w:sz w:val="15"/>
              </w:rPr>
              <w:t xml:space="preserve">Removes First Meridian’s and Timberline’s consent rights over the Confirmation Order and the lender-documentation condition. Both parties will object. </w:t>
            </w:r>
            <w:r>
              <w:rPr>
                <w:b/>
                <w:i w:val="0"/>
                <w:sz w:val="15"/>
              </w:rPr>
              <w:t>Reject.</w:t>
            </w:r>
          </w:p>
        </w:tc>
      </w:tr>
      <w:tr>
        <w:tc>
          <w:tcPr>
            <w:tcW w:type="dxa" w:w="576"/>
          </w:tcPr>
          <w:p>
            <w:pPr>
              <w:spacing w:after="20"/>
            </w:pPr>
            <w:r/>
            <w:r>
              <w:rPr>
                <w:b w:val="0"/>
                <w:i w:val="0"/>
                <w:sz w:val="15"/>
              </w:rPr>
              <w:t>U-10</w:t>
            </w:r>
          </w:p>
        </w:tc>
        <w:tc>
          <w:tcPr>
            <w:tcW w:type="dxa" w:w="1368"/>
          </w:tcPr>
          <w:p>
            <w:pPr>
              <w:spacing w:after="20"/>
            </w:pPr>
            <w:r/>
            <w:r>
              <w:rPr>
                <w:b w:val="0"/>
                <w:i w:val="0"/>
                <w:sz w:val="15"/>
              </w:rPr>
              <w:t>Non-occurrence of ED</w:t>
            </w:r>
          </w:p>
        </w:tc>
        <w:tc>
          <w:tcPr>
            <w:tcW w:type="dxa" w:w="2304"/>
          </w:tcPr>
          <w:p>
            <w:pPr>
              <w:spacing w:after="20"/>
            </w:pPr>
            <w:r/>
            <w:r>
              <w:rPr>
                <w:b w:val="0"/>
                <w:i w:val="0"/>
                <w:sz w:val="15"/>
              </w:rPr>
              <w:t>Confirmation Order vacated only “upon motion by the Debtor” (§ 9.4).</w:t>
            </w:r>
          </w:p>
        </w:tc>
        <w:tc>
          <w:tcPr>
            <w:tcW w:type="dxa" w:w="2304"/>
          </w:tcPr>
          <w:p>
            <w:pPr>
              <w:spacing w:after="20"/>
            </w:pPr>
            <w:r/>
            <w:r>
              <w:rPr>
                <w:b w:val="0"/>
                <w:i w:val="0"/>
                <w:sz w:val="15"/>
              </w:rPr>
              <w:t>“Upon motion by any party in interest” (§ 9.3).</w:t>
            </w:r>
          </w:p>
        </w:tc>
        <w:tc>
          <w:tcPr>
            <w:tcW w:type="dxa" w:w="3240"/>
          </w:tcPr>
          <w:p>
            <w:pPr>
              <w:spacing w:after="20"/>
            </w:pPr>
            <w:r/>
            <w:r>
              <w:rPr>
                <w:b w:val="0"/>
                <w:i w:val="0"/>
                <w:sz w:val="15"/>
              </w:rPr>
              <w:t xml:space="preserve">Combined with the new 9.1(g) condition and the Committee veto in 9.2, this would let the Committee withhold waiver and then move to vacate confirmation after 120 days. </w:t>
            </w:r>
            <w:r>
              <w:rPr>
                <w:b/>
                <w:i w:val="0"/>
                <w:sz w:val="15"/>
              </w:rPr>
              <w:t>Reject.</w:t>
            </w:r>
          </w:p>
        </w:tc>
      </w:tr>
      <w:tr>
        <w:tc>
          <w:tcPr>
            <w:tcW w:type="dxa" w:w="576"/>
          </w:tcPr>
          <w:p>
            <w:pPr>
              <w:spacing w:after="20"/>
            </w:pPr>
            <w:r/>
            <w:r>
              <w:rPr>
                <w:b w:val="0"/>
                <w:i w:val="0"/>
                <w:sz w:val="15"/>
              </w:rPr>
              <w:t>U-11</w:t>
            </w:r>
          </w:p>
        </w:tc>
        <w:tc>
          <w:tcPr>
            <w:tcW w:type="dxa" w:w="1368"/>
          </w:tcPr>
          <w:p>
            <w:pPr>
              <w:spacing w:after="20"/>
            </w:pPr>
            <w:r/>
            <w:r>
              <w:rPr>
                <w:b w:val="0"/>
                <w:i w:val="0"/>
                <w:sz w:val="15"/>
              </w:rPr>
              <w:t>Plan Supplement timing</w:t>
            </w:r>
          </w:p>
        </w:tc>
        <w:tc>
          <w:tcPr>
            <w:tcW w:type="dxa" w:w="2304"/>
          </w:tcPr>
          <w:p>
            <w:pPr>
              <w:spacing w:after="20"/>
            </w:pPr>
            <w:r/>
            <w:r>
              <w:rPr>
                <w:b w:val="0"/>
                <w:i w:val="0"/>
                <w:sz w:val="15"/>
              </w:rPr>
              <w:t>No later than 14 days before the Confirmation Hearing (§ 13.5). (DS § 6.3 says 10 days; see Section VIII.)</w:t>
            </w:r>
          </w:p>
        </w:tc>
        <w:tc>
          <w:tcPr>
            <w:tcW w:type="dxa" w:w="2304"/>
          </w:tcPr>
          <w:p>
            <w:pPr>
              <w:spacing w:after="20"/>
            </w:pPr>
            <w:r/>
            <w:r>
              <w:rPr>
                <w:b w:val="0"/>
                <w:i w:val="0"/>
                <w:sz w:val="15"/>
              </w:rPr>
              <w:t>No later than 7 days before the Voting Deadline.</w:t>
            </w:r>
          </w:p>
        </w:tc>
        <w:tc>
          <w:tcPr>
            <w:tcW w:type="dxa" w:w="3240"/>
          </w:tcPr>
          <w:p>
            <w:pPr>
              <w:spacing w:after="20"/>
            </w:pPr>
            <w:r/>
            <w:r>
              <w:rPr>
                <w:b w:val="0"/>
                <w:i w:val="0"/>
                <w:sz w:val="15"/>
              </w:rPr>
              <w:t xml:space="preserve">Changes the solicitation timetable. </w:t>
            </w:r>
            <w:r>
              <w:rPr>
                <w:b/>
                <w:i w:val="0"/>
                <w:sz w:val="15"/>
              </w:rPr>
              <w:t>Conform to the Disclosure Statement Order.</w:t>
            </w:r>
          </w:p>
        </w:tc>
      </w:tr>
      <w:tr>
        <w:tc>
          <w:tcPr>
            <w:tcW w:type="dxa" w:w="576"/>
          </w:tcPr>
          <w:p>
            <w:pPr>
              <w:spacing w:after="20"/>
            </w:pPr>
            <w:r/>
            <w:r>
              <w:rPr>
                <w:b w:val="0"/>
                <w:i w:val="0"/>
                <w:sz w:val="15"/>
              </w:rPr>
              <w:t>U-12</w:t>
            </w:r>
          </w:p>
        </w:tc>
        <w:tc>
          <w:tcPr>
            <w:tcW w:type="dxa" w:w="1368"/>
          </w:tcPr>
          <w:p>
            <w:pPr>
              <w:spacing w:after="20"/>
            </w:pPr>
            <w:r/>
            <w:r>
              <w:rPr>
                <w:b w:val="0"/>
                <w:i w:val="0"/>
                <w:sz w:val="15"/>
              </w:rPr>
              <w:t>Executory contracts</w:t>
            </w:r>
          </w:p>
        </w:tc>
        <w:tc>
          <w:tcPr>
            <w:tcW w:type="dxa" w:w="2304"/>
          </w:tcPr>
          <w:p>
            <w:pPr>
              <w:spacing w:after="20"/>
            </w:pPr>
            <w:r/>
            <w:r>
              <w:rPr>
                <w:b w:val="0"/>
                <w:i w:val="0"/>
                <w:sz w:val="15"/>
              </w:rPr>
              <w:t>Assumption subject to court approval; cure notice at least 21 days before the Confirmation Hearing; unlisted contracts deemed assumed (§§ 8.1, 8.3, 8.5).</w:t>
            </w:r>
          </w:p>
        </w:tc>
        <w:tc>
          <w:tcPr>
            <w:tcW w:type="dxa" w:w="2304"/>
          </w:tcPr>
          <w:p>
            <w:pPr>
              <w:spacing w:after="20"/>
            </w:pPr>
            <w:r/>
            <w:r>
              <w:rPr>
                <w:b w:val="0"/>
                <w:i w:val="0"/>
                <w:sz w:val="15"/>
              </w:rPr>
              <w:t>Assumption effective “without the need for any … order”; no cure-notice procedure; no deemed-assumption clause.</w:t>
            </w:r>
          </w:p>
        </w:tc>
        <w:tc>
          <w:tcPr>
            <w:tcW w:type="dxa" w:w="3240"/>
          </w:tcPr>
          <w:p>
            <w:pPr>
              <w:spacing w:after="20"/>
            </w:pPr>
            <w:r/>
            <w:r>
              <w:rPr>
                <w:b w:val="0"/>
                <w:i w:val="0"/>
                <w:sz w:val="15"/>
              </w:rPr>
              <w:t xml:space="preserve">Due-process and § 365(b) problems. Contracts left off the schedule would have no treatment. </w:t>
            </w:r>
            <w:r>
              <w:rPr>
                <w:b/>
                <w:i w:val="0"/>
                <w:sz w:val="15"/>
              </w:rPr>
              <w:t>Reject.</w:t>
            </w:r>
          </w:p>
        </w:tc>
      </w:tr>
      <w:tr>
        <w:tc>
          <w:tcPr>
            <w:tcW w:type="dxa" w:w="576"/>
          </w:tcPr>
          <w:p>
            <w:pPr>
              <w:spacing w:after="20"/>
            </w:pPr>
            <w:r/>
            <w:r>
              <w:rPr>
                <w:b w:val="0"/>
                <w:i w:val="0"/>
                <w:sz w:val="15"/>
              </w:rPr>
              <w:t>U-13</w:t>
            </w:r>
          </w:p>
        </w:tc>
        <w:tc>
          <w:tcPr>
            <w:tcW w:type="dxa" w:w="1368"/>
          </w:tcPr>
          <w:p>
            <w:pPr>
              <w:spacing w:after="20"/>
            </w:pPr>
            <w:r/>
            <w:r>
              <w:rPr>
                <w:b w:val="0"/>
                <w:i w:val="0"/>
                <w:sz w:val="15"/>
              </w:rPr>
              <w:t>Exhibit C</w:t>
            </w:r>
          </w:p>
        </w:tc>
        <w:tc>
          <w:tcPr>
            <w:tcW w:type="dxa" w:w="2304"/>
          </w:tcPr>
          <w:p>
            <w:pPr>
              <w:spacing w:after="20"/>
            </w:pPr>
            <w:r/>
            <w:r>
              <w:rPr>
                <w:b w:val="0"/>
                <w:i w:val="0"/>
                <w:sz w:val="15"/>
              </w:rPr>
              <w:t>12 assumed contracts and 6 rejected contracts (e.g., Willamette Valley Power, Pacific NW Rail, Greenleaf, Deschutes Equipment Leasing lease, Northshore, Timberpoint).</w:t>
            </w:r>
          </w:p>
        </w:tc>
        <w:tc>
          <w:tcPr>
            <w:tcW w:type="dxa" w:w="2304"/>
          </w:tcPr>
          <w:p>
            <w:pPr>
              <w:spacing w:after="20"/>
            </w:pPr>
            <w:r/>
            <w:r>
              <w:rPr>
                <w:b w:val="0"/>
                <w:i w:val="0"/>
                <w:sz w:val="15"/>
              </w:rPr>
              <w:t>A different schedule of 7 assumed and 5 rejected contracts (e.g., Cascade Range Logistics, Douglas Fir Land Management, Redmond Equipment Leasing, Deschutes River Environmental). Only Olympic and PacWest appear in both.</w:t>
            </w:r>
          </w:p>
        </w:tc>
        <w:tc>
          <w:tcPr>
            <w:tcW w:type="dxa" w:w="3240"/>
          </w:tcPr>
          <w:p>
            <w:pPr>
              <w:spacing w:after="20"/>
            </w:pPr>
            <w:r/>
            <w:r>
              <w:rPr>
                <w:b w:val="0"/>
                <w:i w:val="0"/>
                <w:sz w:val="15"/>
              </w:rPr>
              <w:t xml:space="preserve">Every other counterparty on the Debtor’s schedule loses its treatment. The lease of Committee member Deschutes Equipment Leasing ($210K cure) disappears. </w:t>
            </w:r>
            <w:r>
              <w:rPr>
                <w:b/>
                <w:i w:val="0"/>
                <w:sz w:val="15"/>
              </w:rPr>
              <w:t>Reject; the Committee must mark the filed Exhibit C.</w:t>
            </w:r>
          </w:p>
        </w:tc>
      </w:tr>
      <w:tr>
        <w:tc>
          <w:tcPr>
            <w:tcW w:type="dxa" w:w="576"/>
          </w:tcPr>
          <w:p>
            <w:pPr>
              <w:spacing w:after="20"/>
            </w:pPr>
            <w:r/>
            <w:r>
              <w:rPr>
                <w:b w:val="0"/>
                <w:i w:val="0"/>
                <w:sz w:val="15"/>
              </w:rPr>
              <w:t>U-14</w:t>
            </w:r>
          </w:p>
        </w:tc>
        <w:tc>
          <w:tcPr>
            <w:tcW w:type="dxa" w:w="1368"/>
          </w:tcPr>
          <w:p>
            <w:pPr>
              <w:spacing w:after="20"/>
            </w:pPr>
            <w:r/>
            <w:r>
              <w:rPr>
                <w:b w:val="0"/>
                <w:i w:val="0"/>
                <w:sz w:val="15"/>
              </w:rPr>
              <w:t>Omitted operative provisions</w:t>
            </w:r>
          </w:p>
        </w:tc>
        <w:tc>
          <w:tcPr>
            <w:tcW w:type="dxa" w:w="2304"/>
          </w:tcPr>
          <w:p>
            <w:pPr>
              <w:spacing w:after="20"/>
            </w:pPr>
            <w:r/>
            <w:r>
              <w:rPr>
                <w:b w:val="0"/>
                <w:i w:val="0"/>
                <w:sz w:val="15"/>
              </w:rPr>
              <w:t>Arts. VI–VII (distributions, disputed-claims reserve, setoff, unclaimed property); § 5.5 cancellation; § 5.6 credit amendment; § 5.10 preservation of claims; § 5.11 § 1146 transfer-tax exemption; §§ 11.6–11.7 modification/revocation; § 13.4 Committee dissolution.</w:t>
            </w:r>
          </w:p>
        </w:tc>
        <w:tc>
          <w:tcPr>
            <w:tcW w:type="dxa" w:w="2304"/>
          </w:tcPr>
          <w:p>
            <w:pPr>
              <w:spacing w:after="20"/>
            </w:pPr>
            <w:r/>
            <w:r>
              <w:rPr>
                <w:b w:val="0"/>
                <w:i w:val="0"/>
                <w:sz w:val="15"/>
              </w:rPr>
              <w:t>Not present.</w:t>
            </w:r>
          </w:p>
        </w:tc>
        <w:tc>
          <w:tcPr>
            <w:tcW w:type="dxa" w:w="3240"/>
          </w:tcPr>
          <w:p>
            <w:pPr>
              <w:spacing w:after="20"/>
            </w:pPr>
            <w:r/>
            <w:r>
              <w:rPr>
                <w:b w:val="0"/>
                <w:i w:val="0"/>
                <w:sz w:val="15"/>
              </w:rPr>
              <w:t xml:space="preserve">Without these, the plan has no distribution mechanics or § 1146 exemption, and the </w:t>
            </w:r>
            <w:r>
              <w:rPr>
                <w:b/>
                <w:i w:val="0"/>
                <w:sz w:val="15"/>
              </w:rPr>
              <w:t>Committee never dissolves</w:t>
            </w:r>
            <w:r>
              <w:rPr>
                <w:b w:val="0"/>
                <w:i w:val="0"/>
                <w:sz w:val="15"/>
              </w:rPr>
              <w:t xml:space="preserve">. That matters because the Redline also gives the Committee board-designation rights. </w:t>
            </w:r>
            <w:r>
              <w:rPr>
                <w:b/>
                <w:i w:val="0"/>
                <w:sz w:val="15"/>
              </w:rPr>
              <w:t>Reject.</w:t>
            </w:r>
          </w:p>
        </w:tc>
      </w:tr>
      <w:tr>
        <w:tc>
          <w:tcPr>
            <w:tcW w:type="dxa" w:w="576"/>
          </w:tcPr>
          <w:p>
            <w:pPr>
              <w:spacing w:after="20"/>
            </w:pPr>
            <w:r/>
            <w:r>
              <w:rPr>
                <w:b w:val="0"/>
                <w:i w:val="0"/>
                <w:sz w:val="15"/>
              </w:rPr>
              <w:t>U-15</w:t>
            </w:r>
          </w:p>
        </w:tc>
        <w:tc>
          <w:tcPr>
            <w:tcW w:type="dxa" w:w="1368"/>
          </w:tcPr>
          <w:p>
            <w:pPr>
              <w:spacing w:after="20"/>
            </w:pPr>
            <w:r/>
            <w:r>
              <w:rPr>
                <w:b w:val="0"/>
                <w:i w:val="0"/>
                <w:sz w:val="15"/>
              </w:rPr>
              <w:t>New untracked obligations</w:t>
            </w:r>
          </w:p>
        </w:tc>
        <w:tc>
          <w:tcPr>
            <w:tcW w:type="dxa" w:w="2304"/>
          </w:tcPr>
          <w:p>
            <w:pPr>
              <w:spacing w:after="20"/>
            </w:pPr>
            <w:r/>
            <w:r>
              <w:rPr>
                <w:b w:val="0"/>
                <w:i w:val="0"/>
                <w:sz w:val="15"/>
              </w:rPr>
              <w:t>None.</w:t>
            </w:r>
          </w:p>
        </w:tc>
        <w:tc>
          <w:tcPr>
            <w:tcW w:type="dxa" w:w="2304"/>
          </w:tcPr>
          <w:p>
            <w:pPr>
              <w:spacing w:after="20"/>
            </w:pPr>
            <w:r/>
            <w:r>
              <w:rPr>
                <w:b w:val="0"/>
                <w:i w:val="0"/>
                <w:sz w:val="15"/>
              </w:rPr>
              <w:t>§ 11.6: quarterly operating reports to the Court and U.S. Trustee for two years after the ED. § 4.3: cap at face amount. § 4.2: recital that Timberline’s equity is “valued at approximately $60,000,000.”</w:t>
            </w:r>
          </w:p>
        </w:tc>
        <w:tc>
          <w:tcPr>
            <w:tcW w:type="dxa" w:w="3240"/>
          </w:tcPr>
          <w:p>
            <w:pPr>
              <w:spacing w:after="20"/>
            </w:pPr>
            <w:r/>
            <w:r>
              <w:rPr>
                <w:b w:val="0"/>
                <w:i w:val="0"/>
                <w:sz w:val="15"/>
              </w:rPr>
              <w:t xml:space="preserve">The reporting covenant is an untracked post-emergence burden. The § 4.2 recital would lock in the Committee’s valuation position. </w:t>
            </w:r>
            <w:r>
              <w:rPr>
                <w:b/>
                <w:i w:val="0"/>
                <w:sz w:val="15"/>
              </w:rPr>
              <w:t>Reject (the face-amount cap is acceptable).</w:t>
            </w:r>
          </w:p>
        </w:tc>
      </w:tr>
      <w:tr>
        <w:tc>
          <w:tcPr>
            <w:tcW w:type="dxa" w:w="576"/>
          </w:tcPr>
          <w:p>
            <w:pPr>
              <w:spacing w:after="20"/>
            </w:pPr>
            <w:r/>
            <w:r>
              <w:rPr>
                <w:b w:val="0"/>
                <w:i w:val="0"/>
                <w:sz w:val="15"/>
              </w:rPr>
              <w:t>U-16</w:t>
            </w:r>
          </w:p>
        </w:tc>
        <w:tc>
          <w:tcPr>
            <w:tcW w:type="dxa" w:w="1368"/>
          </w:tcPr>
          <w:p>
            <w:pPr>
              <w:spacing w:after="20"/>
            </w:pPr>
            <w:r/>
            <w:r>
              <w:rPr>
                <w:b w:val="0"/>
                <w:i w:val="0"/>
                <w:sz w:val="15"/>
              </w:rPr>
              <w:t>Exhibits A and B</w:t>
            </w:r>
          </w:p>
        </w:tc>
        <w:tc>
          <w:tcPr>
            <w:tcW w:type="dxa" w:w="2304"/>
          </w:tcPr>
          <w:p>
            <w:pPr>
              <w:spacing w:after="20"/>
            </w:pPr>
            <w:r/>
            <w:r>
              <w:rPr>
                <w:b w:val="0"/>
                <w:i w:val="0"/>
                <w:sz w:val="15"/>
              </w:rPr>
              <w:t>Ex. A liquidation values $276M–$334M; GUC recovery 3%–5%. Ex. B Year 1 revenue $395M, EBITDA $55.3M, FCF $8.3M; debt service $25.3M.</w:t>
            </w:r>
          </w:p>
        </w:tc>
        <w:tc>
          <w:tcPr>
            <w:tcW w:type="dxa" w:w="2304"/>
          </w:tcPr>
          <w:p>
            <w:pPr>
              <w:spacing w:after="20"/>
            </w:pPr>
            <w:r/>
            <w:r>
              <w:rPr>
                <w:b w:val="0"/>
                <w:i w:val="0"/>
                <w:sz w:val="15"/>
              </w:rPr>
              <w:t>Ex. A $310M–$347M; GUC recovery ~2%–5%. Ex. B Year 1 revenue $312M, EBITDA $52M, FCF $6M; debt service $28M.</w:t>
            </w:r>
          </w:p>
        </w:tc>
        <w:tc>
          <w:tcPr>
            <w:tcW w:type="dxa" w:w="3240"/>
          </w:tcPr>
          <w:p>
            <w:pPr>
              <w:spacing w:after="20"/>
            </w:pPr>
            <w:r/>
            <w:r>
              <w:rPr>
                <w:b w:val="0"/>
                <w:i w:val="0"/>
                <w:sz w:val="15"/>
              </w:rPr>
              <w:t xml:space="preserve">Different evidentiary exhibits under the Debtor’s name. On the Redline’s own Ex. B, the Committee’s Year-1 payment is even less fundable. </w:t>
            </w:r>
            <w:r>
              <w:rPr>
                <w:b/>
                <w:i w:val="0"/>
                <w:sz w:val="15"/>
              </w:rPr>
              <w:t>Reject.</w:t>
            </w:r>
          </w:p>
        </w:tc>
      </w:tr>
      <w:tr>
        <w:tc>
          <w:tcPr>
            <w:tcW w:type="dxa" w:w="576"/>
          </w:tcPr>
          <w:p>
            <w:pPr>
              <w:spacing w:after="20"/>
            </w:pPr>
            <w:r/>
            <w:r>
              <w:rPr>
                <w:b w:val="0"/>
                <w:i w:val="0"/>
                <w:sz w:val="15"/>
              </w:rPr>
              <w:t>U-17</w:t>
            </w:r>
          </w:p>
        </w:tc>
        <w:tc>
          <w:tcPr>
            <w:tcW w:type="dxa" w:w="1368"/>
          </w:tcPr>
          <w:p>
            <w:pPr>
              <w:spacing w:after="20"/>
            </w:pPr>
            <w:r/>
            <w:r>
              <w:rPr>
                <w:b w:val="0"/>
                <w:i w:val="0"/>
                <w:sz w:val="15"/>
              </w:rPr>
              <w:t>Execution and notice blocks</w:t>
            </w:r>
          </w:p>
        </w:tc>
        <w:tc>
          <w:tcPr>
            <w:tcW w:type="dxa" w:w="2304"/>
          </w:tcPr>
          <w:p>
            <w:pPr>
              <w:spacing w:after="20"/>
            </w:pPr>
            <w:r/>
            <w:r>
              <w:rPr>
                <w:b w:val="0"/>
                <w:i w:val="0"/>
                <w:sz w:val="15"/>
              </w:rPr>
              <w:t>Signed by Gregory T. Hollander, Chief Restructuring Officer. Notices: First Meridian, 1000 Second Ave., 30th Fl., Seattle; Timberline, 555 California St., Ste. 4200; W&amp;C tel. (503) 555-7200.</w:t>
            </w:r>
          </w:p>
        </w:tc>
        <w:tc>
          <w:tcPr>
            <w:tcW w:type="dxa" w:w="2304"/>
          </w:tcPr>
          <w:p>
            <w:pPr>
              <w:spacing w:after="20"/>
            </w:pPr>
            <w:r/>
            <w:r>
              <w:rPr>
                <w:b w:val="0"/>
                <w:i w:val="0"/>
                <w:sz w:val="15"/>
              </w:rPr>
              <w:t>James R. Hargrove, CEO; First Meridian, 701 Fifth Ave., Ste. 4000; Timberline, 560 California St., Ste. 3200; W&amp;C tel. (503) 555-8200.</w:t>
            </w:r>
          </w:p>
        </w:tc>
        <w:tc>
          <w:tcPr>
            <w:tcW w:type="dxa" w:w="3240"/>
          </w:tcPr>
          <w:p>
            <w:pPr>
              <w:spacing w:after="20"/>
            </w:pPr>
            <w:r/>
            <w:r>
              <w:rPr>
                <w:b w:val="0"/>
                <w:i w:val="0"/>
                <w:sz w:val="15"/>
              </w:rPr>
              <w:t xml:space="preserve">Further evidence of a non-conforming base. </w:t>
            </w:r>
            <w:r>
              <w:rPr>
                <w:b/>
                <w:i w:val="0"/>
                <w:sz w:val="15"/>
              </w:rPr>
              <w:t>Reject.</w:t>
            </w:r>
            <w:r>
              <w:rPr>
                <w:b w:val="0"/>
                <w:i w:val="0"/>
                <w:sz w:val="15"/>
              </w:rPr>
              <w:t xml:space="preserve"> Verify the email addresses the Committee added.</w:t>
            </w:r>
          </w:p>
        </w:tc>
      </w:tr>
      <w:tr>
        <w:tc>
          <w:tcPr>
            <w:tcW w:type="dxa" w:w="576"/>
          </w:tcPr>
          <w:p>
            <w:pPr>
              <w:spacing w:after="20"/>
            </w:pPr>
            <w:r/>
            <w:r>
              <w:rPr>
                <w:b w:val="0"/>
                <w:i w:val="0"/>
                <w:sz w:val="15"/>
              </w:rPr>
              <w:t>U-18</w:t>
            </w:r>
          </w:p>
        </w:tc>
        <w:tc>
          <w:tcPr>
            <w:tcW w:type="dxa" w:w="1368"/>
          </w:tcPr>
          <w:p>
            <w:pPr>
              <w:spacing w:after="20"/>
            </w:pPr>
            <w:r/>
            <w:r>
              <w:rPr>
                <w:b w:val="0"/>
                <w:i w:val="0"/>
                <w:sz w:val="15"/>
              </w:rPr>
              <w:t>Sources and uses (§ 6.2)</w:t>
            </w:r>
          </w:p>
        </w:tc>
        <w:tc>
          <w:tcPr>
            <w:tcW w:type="dxa" w:w="2304"/>
          </w:tcPr>
          <w:p>
            <w:pPr>
              <w:spacing w:after="20"/>
            </w:pPr>
            <w:r/>
            <w:r>
              <w:rPr>
                <w:b w:val="0"/>
                <w:i w:val="0"/>
                <w:sz w:val="15"/>
              </w:rPr>
              <w:t>$62.85M Effective Date requirement; $9.35M Class 4 first installment.</w:t>
            </w:r>
          </w:p>
        </w:tc>
        <w:tc>
          <w:tcPr>
            <w:tcW w:type="dxa" w:w="2304"/>
          </w:tcPr>
          <w:p>
            <w:pPr>
              <w:spacing w:after="20"/>
            </w:pPr>
            <w:r/>
            <w:r>
              <w:rPr>
                <w:b w:val="0"/>
                <w:i w:val="0"/>
                <w:sz w:val="15"/>
              </w:rPr>
              <w:t>Same figures, unchanged, even though the Redline’s own § 4.3(a) raises the installment to $21.0M.</w:t>
            </w:r>
          </w:p>
        </w:tc>
        <w:tc>
          <w:tcPr>
            <w:tcW w:type="dxa" w:w="3240"/>
          </w:tcPr>
          <w:p>
            <w:pPr>
              <w:spacing w:after="20"/>
            </w:pPr>
            <w:r/>
            <w:r>
              <w:rPr>
                <w:b w:val="0"/>
                <w:i w:val="0"/>
                <w:sz w:val="15"/>
              </w:rPr>
              <w:t>The Redline is internally inconsistent and hides a $6.5M Effective Date shortfall (Section VI).</w:t>
            </w:r>
          </w:p>
        </w:tc>
      </w:tr>
    </w:tbl>
    <w:p>
      <w:pPr>
        <w:spacing w:after="40"/>
      </w:pPr>
    </w:p>
    <w:p>
      <w:pPr>
        <w:pStyle w:val="Heading1"/>
      </w:pPr>
      <w:r>
        <w:t>IV. What the Transmittal Says vs. What the Redline Does</w:t>
      </w:r>
    </w:p>
    <w:tbl>
      <w:tblPr>
        <w:tblStyle w:val="TableGrid"/>
        <w:tblW w:type="auto" w:w="0"/>
        <w:jc w:val="center"/>
        <w:tblLayout w:type="fixed"/>
        <w:tblLook w:firstColumn="1" w:firstRow="1" w:lastColumn="0" w:lastRow="0" w:noHBand="0" w:noVBand="1" w:val="04A0"/>
      </w:tblPr>
      <w:tblGrid>
        <w:gridCol w:w="1440"/>
        <w:gridCol w:w="2520"/>
        <w:gridCol w:w="4104"/>
        <w:gridCol w:w="1728"/>
      </w:tblGrid>
      <w:tr>
        <w:tc>
          <w:tcPr>
            <w:tcW w:type="dxa" w:w="1440"/>
            <w:shd w:val="clear" w:color="auto" w:fill="D9E2F3"/>
          </w:tcPr>
          <w:p>
            <w:pPr>
              <w:spacing w:after="20"/>
            </w:pPr>
            <w:r/>
            <w:r>
              <w:rPr>
                <w:b/>
                <w:i w:val="0"/>
                <w:sz w:val="15"/>
              </w:rPr>
              <w:t>Topic</w:t>
            </w:r>
          </w:p>
        </w:tc>
        <w:tc>
          <w:tcPr>
            <w:tcW w:type="dxa" w:w="2520"/>
            <w:shd w:val="clear" w:color="auto" w:fill="D9E2F3"/>
          </w:tcPr>
          <w:p>
            <w:pPr>
              <w:spacing w:after="20"/>
            </w:pPr>
            <w:r/>
            <w:r>
              <w:rPr>
                <w:b/>
                <w:i w:val="0"/>
                <w:sz w:val="15"/>
              </w:rPr>
              <w:t>Transmittal characterization (May 19)</w:t>
            </w:r>
          </w:p>
        </w:tc>
        <w:tc>
          <w:tcPr>
            <w:tcW w:type="dxa" w:w="4104"/>
            <w:shd w:val="clear" w:color="auto" w:fill="D9E2F3"/>
          </w:tcPr>
          <w:p>
            <w:pPr>
              <w:spacing w:after="20"/>
            </w:pPr>
            <w:r/>
            <w:r>
              <w:rPr>
                <w:b/>
                <w:i w:val="0"/>
                <w:sz w:val="15"/>
              </w:rPr>
              <w:t>What the Redline actually does / record</w:t>
            </w:r>
          </w:p>
        </w:tc>
        <w:tc>
          <w:tcPr>
            <w:tcW w:type="dxa" w:w="1728"/>
            <w:shd w:val="clear" w:color="auto" w:fill="D9E2F3"/>
          </w:tcPr>
          <w:p>
            <w:pPr>
              <w:spacing w:after="20"/>
            </w:pPr>
            <w:r/>
            <w:r>
              <w:rPr>
                <w:b/>
                <w:i w:val="0"/>
                <w:sz w:val="15"/>
              </w:rPr>
              <w:t>Assessment</w:t>
            </w:r>
          </w:p>
        </w:tc>
      </w:tr>
      <w:tr>
        <w:tc>
          <w:tcPr>
            <w:tcW w:type="dxa" w:w="1440"/>
          </w:tcPr>
          <w:p>
            <w:pPr>
              <w:spacing w:after="20"/>
            </w:pPr>
            <w:r/>
            <w:r>
              <w:rPr>
                <w:b w:val="0"/>
                <w:i w:val="0"/>
                <w:sz w:val="15"/>
              </w:rPr>
              <w:t>Overall scope</w:t>
            </w:r>
          </w:p>
        </w:tc>
        <w:tc>
          <w:tcPr>
            <w:tcW w:type="dxa" w:w="2520"/>
          </w:tcPr>
          <w:p>
            <w:pPr>
              <w:spacing w:after="20"/>
            </w:pPr>
            <w:r/>
            <w:r>
              <w:rPr>
                <w:b w:val="0"/>
                <w:i w:val="0"/>
                <w:sz w:val="15"/>
              </w:rPr>
              <w:t>“Approximately 47 tracked changes”; “many … cosmetic or definitional.”</w:t>
            </w:r>
          </w:p>
        </w:tc>
        <w:tc>
          <w:tcPr>
            <w:tcW w:type="dxa" w:w="4104"/>
          </w:tcPr>
          <w:p>
            <w:pPr>
              <w:spacing w:after="20"/>
            </w:pPr>
            <w:r/>
            <w:r>
              <w:rPr>
                <w:b w:val="0"/>
                <w:i w:val="0"/>
                <w:sz w:val="15"/>
              </w:rPr>
              <w:t>The Committee’s own log: 12 substantive + 16 conforming/semi-substantive + 15 cosmetic + 4 Exhibit C. The XML contains 68 insertion elements. At least 18 untracked base-text deviations sit on top (Section III).</w:t>
            </w:r>
          </w:p>
        </w:tc>
        <w:tc>
          <w:tcPr>
            <w:tcW w:type="dxa" w:w="1728"/>
          </w:tcPr>
          <w:p>
            <w:pPr>
              <w:spacing w:after="20"/>
            </w:pPr>
            <w:r/>
            <w:r>
              <w:rPr>
                <w:b w:val="0"/>
                <w:i w:val="0"/>
                <w:sz w:val="15"/>
              </w:rPr>
              <w:t>Materially understated.</w:t>
            </w:r>
          </w:p>
        </w:tc>
      </w:tr>
      <w:tr>
        <w:tc>
          <w:tcPr>
            <w:tcW w:type="dxa" w:w="1440"/>
          </w:tcPr>
          <w:p>
            <w:pPr>
              <w:spacing w:after="20"/>
            </w:pPr>
            <w:r/>
            <w:r>
              <w:rPr>
                <w:b w:val="0"/>
                <w:i w:val="0"/>
                <w:sz w:val="15"/>
              </w:rPr>
              <w:t>Section references</w:t>
            </w:r>
          </w:p>
        </w:tc>
        <w:tc>
          <w:tcPr>
            <w:tcW w:type="dxa" w:w="2520"/>
          </w:tcPr>
          <w:p>
            <w:pPr>
              <w:spacing w:after="20"/>
            </w:pPr>
            <w:r/>
            <w:r>
              <w:rPr>
                <w:b w:val="0"/>
                <w:i w:val="0"/>
                <w:sz w:val="15"/>
              </w:rPr>
              <w:t>Equity “Section 5.3(b)”; retention “Section 6.4”; releases “Article IX.”</w:t>
            </w:r>
          </w:p>
        </w:tc>
        <w:tc>
          <w:tcPr>
            <w:tcW w:type="dxa" w:w="4104"/>
          </w:tcPr>
          <w:p>
            <w:pPr>
              <w:spacing w:after="20"/>
            </w:pPr>
            <w:r/>
            <w:r>
              <w:rPr>
                <w:b w:val="0"/>
                <w:i w:val="0"/>
                <w:sz w:val="15"/>
              </w:rPr>
              <w:t>Filed Plan: equity §§ 4.3(b)/5.3(a); retention § 5.8; releases Art. X. Redline: §§ 4.2(b)/6.3; §§ 2.1(d)/6.6; Art. VIII.</w:t>
            </w:r>
          </w:p>
        </w:tc>
        <w:tc>
          <w:tcPr>
            <w:tcW w:type="dxa" w:w="1728"/>
          </w:tcPr>
          <w:p>
            <w:pPr>
              <w:spacing w:after="20"/>
            </w:pPr>
            <w:r/>
            <w:r>
              <w:rPr>
                <w:b w:val="0"/>
                <w:i w:val="0"/>
                <w:sz w:val="15"/>
              </w:rPr>
              <w:t>The numbering matches neither document.</w:t>
            </w:r>
          </w:p>
        </w:tc>
      </w:tr>
      <w:tr>
        <w:tc>
          <w:tcPr>
            <w:tcW w:type="dxa" w:w="1440"/>
          </w:tcPr>
          <w:p>
            <w:pPr>
              <w:spacing w:after="20"/>
            </w:pPr>
            <w:r/>
            <w:r>
              <w:rPr>
                <w:b w:val="0"/>
                <w:i w:val="0"/>
                <w:sz w:val="15"/>
              </w:rPr>
              <w:t>Exhibit C</w:t>
            </w:r>
          </w:p>
        </w:tc>
        <w:tc>
          <w:tcPr>
            <w:tcW w:type="dxa" w:w="2520"/>
          </w:tcPr>
          <w:p>
            <w:pPr>
              <w:spacing w:after="20"/>
            </w:pPr>
            <w:r/>
            <w:r>
              <w:rPr>
                <w:b w:val="0"/>
                <w:i w:val="0"/>
                <w:sz w:val="15"/>
              </w:rPr>
              <w:t>Two typographical errors: “a misspelled vendor name and an incorrect contract date.”</w:t>
            </w:r>
          </w:p>
        </w:tc>
        <w:tc>
          <w:tcPr>
            <w:tcW w:type="dxa" w:w="4104"/>
          </w:tcPr>
          <w:p>
            <w:pPr>
              <w:spacing w:after="20"/>
            </w:pPr>
            <w:r/>
            <w:r>
              <w:rPr>
                <w:b w:val="0"/>
                <w:i w:val="0"/>
                <w:sz w:val="15"/>
              </w:rPr>
              <w:t>Four changes. “Olypmnic” and “Industiral” do not appear in the filed Ex. C, where Olympic and PacWest are spelled correctly. The Olympic agreement date is changed from Mar. 15, 2019 to Mar. 15, 2020, contradicting Filed Plan § 8.1(a) and Ex. C. A rejected-contract value is changed ($180K to $108K, Deschutes River Environmental) and is not mentioned in the Transmittal. Meanwhile the real typos in the filed Ex. C (“Febuary,” “Cascaede,” “Rainer”) are not addressed.</w:t>
            </w:r>
          </w:p>
        </w:tc>
        <w:tc>
          <w:tcPr>
            <w:tcW w:type="dxa" w:w="1728"/>
          </w:tcPr>
          <w:p>
            <w:pPr>
              <w:spacing w:after="20"/>
            </w:pPr>
            <w:r/>
            <w:r>
              <w:rPr>
                <w:b w:val="0"/>
                <w:i w:val="0"/>
                <w:sz w:val="15"/>
              </w:rPr>
              <w:t>Not cosmetic; inaccurate description.</w:t>
            </w:r>
          </w:p>
        </w:tc>
      </w:tr>
      <w:tr>
        <w:tc>
          <w:tcPr>
            <w:tcW w:type="dxa" w:w="1440"/>
          </w:tcPr>
          <w:p>
            <w:pPr>
              <w:spacing w:after="20"/>
            </w:pPr>
            <w:r/>
            <w:r>
              <w:rPr>
                <w:b w:val="0"/>
                <w:i w:val="0"/>
                <w:sz w:val="15"/>
              </w:rPr>
              <w:t>Equity</w:t>
            </w:r>
          </w:p>
        </w:tc>
        <w:tc>
          <w:tcPr>
            <w:tcW w:type="dxa" w:w="2520"/>
          </w:tcPr>
          <w:p>
            <w:pPr>
              <w:spacing w:after="20"/>
            </w:pPr>
            <w:r/>
            <w:r>
              <w:rPr>
                <w:b w:val="0"/>
                <w:i w:val="0"/>
                <w:sz w:val="15"/>
              </w:rPr>
              <w:t>“Arithmetic error … rather than a point of contention”; asks the Debtor to treat it as “resolved.”</w:t>
            </w:r>
          </w:p>
        </w:tc>
        <w:tc>
          <w:tcPr>
            <w:tcW w:type="dxa" w:w="4104"/>
          </w:tcPr>
          <w:p>
            <w:pPr>
              <w:spacing w:after="20"/>
            </w:pPr>
            <w:r/>
            <w:r>
              <w:rPr>
                <w:b w:val="0"/>
                <w:i w:val="0"/>
                <w:sz w:val="15"/>
              </w:rPr>
              <w:t>The Redline comment concedes “Timberline may disagree.” At the midpoint the change shifts about $20.4M of value.</w:t>
            </w:r>
          </w:p>
        </w:tc>
        <w:tc>
          <w:tcPr>
            <w:tcW w:type="dxa" w:w="1728"/>
          </w:tcPr>
          <w:p>
            <w:pPr>
              <w:spacing w:after="20"/>
            </w:pPr>
            <w:r/>
            <w:r>
              <w:rPr>
                <w:b w:val="0"/>
                <w:i w:val="0"/>
                <w:sz w:val="15"/>
              </w:rPr>
              <w:t>A core economic term. Do not treat it as resolved.</w:t>
            </w:r>
          </w:p>
        </w:tc>
      </w:tr>
      <w:tr>
        <w:tc>
          <w:tcPr>
            <w:tcW w:type="dxa" w:w="1440"/>
          </w:tcPr>
          <w:p>
            <w:pPr>
              <w:spacing w:after="20"/>
            </w:pPr>
            <w:r/>
            <w:r>
              <w:rPr>
                <w:b w:val="0"/>
                <w:i w:val="0"/>
                <w:sz w:val="15"/>
              </w:rPr>
              <w:t>Unsecured pool</w:t>
            </w:r>
          </w:p>
        </w:tc>
        <w:tc>
          <w:tcPr>
            <w:tcW w:type="dxa" w:w="2520"/>
          </w:tcPr>
          <w:p>
            <w:pPr>
              <w:spacing w:after="20"/>
            </w:pPr>
            <w:r/>
            <w:r>
              <w:rPr>
                <w:b w:val="0"/>
                <w:i w:val="0"/>
                <w:sz w:val="15"/>
              </w:rPr>
              <w:t>$28.0M is “supportable by the estate’s distributable value.”</w:t>
            </w:r>
          </w:p>
        </w:tc>
        <w:tc>
          <w:tcPr>
            <w:tcW w:type="dxa" w:w="4104"/>
          </w:tcPr>
          <w:p>
            <w:pPr>
              <w:spacing w:after="20"/>
            </w:pPr>
            <w:r/>
            <w:r>
              <w:rPr>
                <w:b w:val="0"/>
                <w:i w:val="0"/>
                <w:sz w:val="15"/>
              </w:rPr>
              <w:t>Clearview § VI: cash cushion of only $5.15M, and any increase in Effective Date distributions must be tested against § 1129(a)(11). The Committee’s structure needs $74.5M against $68.0M of cash.</w:t>
            </w:r>
          </w:p>
        </w:tc>
        <w:tc>
          <w:tcPr>
            <w:tcW w:type="dxa" w:w="1728"/>
          </w:tcPr>
          <w:p>
            <w:pPr>
              <w:spacing w:after="20"/>
            </w:pPr>
            <w:r/>
            <w:r>
              <w:rPr>
                <w:b w:val="0"/>
                <w:i w:val="0"/>
                <w:sz w:val="15"/>
              </w:rPr>
              <w:t>Contradicted by the Debtor’s valuation and projections.</w:t>
            </w:r>
          </w:p>
        </w:tc>
      </w:tr>
      <w:tr>
        <w:tc>
          <w:tcPr>
            <w:tcW w:type="dxa" w:w="1440"/>
          </w:tcPr>
          <w:p>
            <w:pPr>
              <w:spacing w:after="20"/>
            </w:pPr>
            <w:r/>
            <w:r>
              <w:rPr>
                <w:b w:val="0"/>
                <w:i w:val="0"/>
                <w:sz w:val="15"/>
              </w:rPr>
              <w:t>Avoidance actions</w:t>
            </w:r>
          </w:p>
        </w:tc>
        <w:tc>
          <w:tcPr>
            <w:tcW w:type="dxa" w:w="2520"/>
          </w:tcPr>
          <w:p>
            <w:pPr>
              <w:spacing w:after="20"/>
            </w:pPr>
            <w:r/>
            <w:r>
              <w:rPr>
                <w:b w:val="0"/>
                <w:i w:val="0"/>
                <w:sz w:val="15"/>
              </w:rPr>
              <w:t>100% of net recoveries; “approximately $9.5 million in identified preference claims.”</w:t>
            </w:r>
          </w:p>
        </w:tc>
        <w:tc>
          <w:tcPr>
            <w:tcW w:type="dxa" w:w="4104"/>
          </w:tcPr>
          <w:p>
            <w:pPr>
              <w:spacing w:after="20"/>
            </w:pPr>
            <w:r/>
            <w:r>
              <w:rPr>
                <w:b w:val="0"/>
                <w:i w:val="0"/>
                <w:sz w:val="15"/>
              </w:rPr>
              <w:t>The definition sweeps in all Avoidance Actions, expressly including fraudulent-transfer claims. Combined with § 8.1, the Dividend Recap claims would go to the trust and their proceeds 100% to GUCs. The Committee’s own comment puts net preference recoveries at $6.0M–$7.5M, yet § 4.3(d) cites a 20.05% recovery that uses the $9.5M gross figure.</w:t>
            </w:r>
          </w:p>
        </w:tc>
        <w:tc>
          <w:tcPr>
            <w:tcW w:type="dxa" w:w="1728"/>
          </w:tcPr>
          <w:p>
            <w:pPr>
              <w:spacing w:after="20"/>
            </w:pPr>
            <w:r/>
            <w:r>
              <w:rPr>
                <w:b w:val="0"/>
                <w:i w:val="0"/>
                <w:sz w:val="15"/>
              </w:rPr>
              <w:t>Scope understated; recovery overstated.</w:t>
            </w:r>
          </w:p>
        </w:tc>
      </w:tr>
      <w:tr>
        <w:tc>
          <w:tcPr>
            <w:tcW w:type="dxa" w:w="1440"/>
          </w:tcPr>
          <w:p>
            <w:pPr>
              <w:spacing w:after="20"/>
            </w:pPr>
            <w:r/>
            <w:r>
              <w:rPr>
                <w:b w:val="0"/>
                <w:i w:val="0"/>
                <w:sz w:val="15"/>
              </w:rPr>
              <w:t>Dividend Recap facts</w:t>
            </w:r>
          </w:p>
        </w:tc>
        <w:tc>
          <w:tcPr>
            <w:tcW w:type="dxa" w:w="2520"/>
          </w:tcPr>
          <w:p>
            <w:pPr>
              <w:spacing w:after="20"/>
            </w:pPr>
            <w:r/>
            <w:r>
              <w:rPr>
                <w:b w:val="0"/>
                <w:i w:val="0"/>
                <w:sz w:val="15"/>
              </w:rPr>
              <w:t>Timberline was “the primary beneficiary” and “received distributions”; the transaction “extracted significant value.”</w:t>
            </w:r>
          </w:p>
        </w:tc>
        <w:tc>
          <w:tcPr>
            <w:tcW w:type="dxa" w:w="4104"/>
          </w:tcPr>
          <w:p>
            <w:pPr>
              <w:spacing w:after="20"/>
            </w:pPr>
            <w:r/>
            <w:r>
              <w:rPr>
                <w:b w:val="0"/>
                <w:i w:val="0"/>
                <w:sz w:val="15"/>
              </w:rPr>
              <w:t>DS § 3.3: Timberline purchased $95M of notes; ~$88M funded a special dividend to existing equity holders (Whitaker family ~40%, plus institutions); a solvency opinion was delivered at closing. The Redline comment asserts, without support, that dividend recipients included “entities affiliated with Timberline.”</w:t>
            </w:r>
          </w:p>
        </w:tc>
        <w:tc>
          <w:tcPr>
            <w:tcW w:type="dxa" w:w="1728"/>
          </w:tcPr>
          <w:p>
            <w:pPr>
              <w:spacing w:after="20"/>
            </w:pPr>
            <w:r/>
            <w:r>
              <w:rPr>
                <w:b w:val="0"/>
                <w:i w:val="0"/>
                <w:sz w:val="15"/>
              </w:rPr>
              <w:t>The factual premise is unsupported. Request the basis (Section X).</w:t>
            </w:r>
          </w:p>
        </w:tc>
      </w:tr>
      <w:tr>
        <w:tc>
          <w:tcPr>
            <w:tcW w:type="dxa" w:w="1440"/>
          </w:tcPr>
          <w:p>
            <w:pPr>
              <w:spacing w:after="20"/>
            </w:pPr>
            <w:r/>
            <w:r>
              <w:rPr>
                <w:b w:val="0"/>
                <w:i w:val="0"/>
                <w:sz w:val="15"/>
              </w:rPr>
              <w:t>Disclosure condition</w:t>
            </w:r>
          </w:p>
        </w:tc>
        <w:tc>
          <w:tcPr>
            <w:tcW w:type="dxa" w:w="2520"/>
          </w:tcPr>
          <w:p>
            <w:pPr>
              <w:spacing w:after="20"/>
            </w:pPr>
            <w:r/>
            <w:r>
              <w:rPr>
                <w:b w:val="0"/>
                <w:i w:val="0"/>
                <w:sz w:val="15"/>
              </w:rPr>
              <w:t>New condition precedent requiring a supplemental disclosure; “non-negotiable.”</w:t>
            </w:r>
          </w:p>
        </w:tc>
        <w:tc>
          <w:tcPr>
            <w:tcW w:type="dxa" w:w="4104"/>
          </w:tcPr>
          <w:p>
            <w:pPr>
              <w:spacing w:after="20"/>
            </w:pPr>
            <w:r/>
            <w:r>
              <w:rPr>
                <w:b w:val="0"/>
                <w:i w:val="0"/>
                <w:sz w:val="15"/>
              </w:rPr>
              <w:t>Also gives the Committee a waiver veto (§ 9.2) and adds the disclosure to the Plan Supplement (§ 12.2). The comment says the DS has only a “cursory, two-sentence mention … on page 14” (Dkt. No. 345). In fact DS § 3.3 has three paragraphs, including the solvency opinion.</w:t>
            </w:r>
          </w:p>
        </w:tc>
        <w:tc>
          <w:tcPr>
            <w:tcW w:type="dxa" w:w="1728"/>
          </w:tcPr>
          <w:p>
            <w:pPr>
              <w:spacing w:after="20"/>
            </w:pPr>
            <w:r/>
            <w:r>
              <w:rPr>
                <w:b w:val="0"/>
                <w:i w:val="0"/>
                <w:sz w:val="15"/>
              </w:rPr>
              <w:t>Veto not disclosed; DS mischaracterized.</w:t>
            </w:r>
          </w:p>
        </w:tc>
      </w:tr>
      <w:tr>
        <w:tc>
          <w:tcPr>
            <w:tcW w:type="dxa" w:w="1440"/>
          </w:tcPr>
          <w:p>
            <w:pPr>
              <w:spacing w:after="20"/>
            </w:pPr>
            <w:r/>
            <w:r>
              <w:rPr>
                <w:b w:val="0"/>
                <w:i w:val="0"/>
                <w:sz w:val="15"/>
              </w:rPr>
              <w:t>Retention / § 11.9</w:t>
            </w:r>
          </w:p>
        </w:tc>
        <w:tc>
          <w:tcPr>
            <w:tcW w:type="dxa" w:w="2520"/>
          </w:tcPr>
          <w:p>
            <w:pPr>
              <w:spacing w:after="20"/>
            </w:pPr>
            <w:r/>
            <w:r>
              <w:rPr>
                <w:b w:val="0"/>
                <w:i w:val="0"/>
                <w:sz w:val="15"/>
              </w:rPr>
              <w:t>Retention bonus issue listed among “areas … [for] dialogue.”</w:t>
            </w:r>
          </w:p>
        </w:tc>
        <w:tc>
          <w:tcPr>
            <w:tcW w:type="dxa" w:w="4104"/>
          </w:tcPr>
          <w:p>
            <w:pPr>
              <w:spacing w:after="20"/>
            </w:pPr>
            <w:r/>
            <w:r>
              <w:rPr>
                <w:b w:val="0"/>
                <w:i w:val="0"/>
                <w:sz w:val="15"/>
              </w:rPr>
              <w:t>The § 11.9 comment calls the provision “critical” and “non-negotiable,” and § 11.9(b) would have the Debtor “acknowledge” an absolute-priority theory.</w:t>
            </w:r>
          </w:p>
        </w:tc>
        <w:tc>
          <w:tcPr>
            <w:tcW w:type="dxa" w:w="1728"/>
          </w:tcPr>
          <w:p>
            <w:pPr>
              <w:spacing w:after="20"/>
            </w:pPr>
            <w:r/>
            <w:r>
              <w:rPr>
                <w:b w:val="0"/>
                <w:i w:val="0"/>
                <w:sz w:val="15"/>
              </w:rPr>
              <w:t>Internally inconsistent positions.</w:t>
            </w:r>
          </w:p>
        </w:tc>
      </w:tr>
      <w:tr>
        <w:tc>
          <w:tcPr>
            <w:tcW w:type="dxa" w:w="1440"/>
          </w:tcPr>
          <w:p>
            <w:pPr>
              <w:spacing w:after="20"/>
            </w:pPr>
            <w:r/>
            <w:r>
              <w:rPr>
                <w:b w:val="0"/>
                <w:i w:val="0"/>
                <w:sz w:val="15"/>
              </w:rPr>
              <w:t>MIP</w:t>
            </w:r>
          </w:p>
        </w:tc>
        <w:tc>
          <w:tcPr>
            <w:tcW w:type="dxa" w:w="2520"/>
          </w:tcPr>
          <w:p>
            <w:pPr>
              <w:spacing w:after="20"/>
            </w:pPr>
            <w:r/>
            <w:r>
              <w:rPr>
                <w:b w:val="0"/>
                <w:i w:val="0"/>
                <w:sz w:val="15"/>
              </w:rPr>
              <w:t>7% is “more in line with market norms”; it protects unsecured creditors’ future recovery.</w:t>
            </w:r>
          </w:p>
        </w:tc>
        <w:tc>
          <w:tcPr>
            <w:tcW w:type="dxa" w:w="4104"/>
          </w:tcPr>
          <w:p>
            <w:pPr>
              <w:spacing w:after="20"/>
            </w:pPr>
            <w:r/>
            <w:r>
              <w:rPr>
                <w:b w:val="0"/>
                <w:i w:val="0"/>
                <w:sz w:val="15"/>
              </w:rPr>
              <w:t>GUCs receive no New Common Equity under either version, so MIP dilution falls on Timberline, not GUCs. No market data is offered.</w:t>
            </w:r>
          </w:p>
        </w:tc>
        <w:tc>
          <w:tcPr>
            <w:tcW w:type="dxa" w:w="1728"/>
          </w:tcPr>
          <w:p>
            <w:pPr>
              <w:spacing w:after="20"/>
            </w:pPr>
            <w:r/>
            <w:r>
              <w:rPr>
                <w:b w:val="0"/>
                <w:i w:val="0"/>
                <w:sz w:val="15"/>
              </w:rPr>
              <w:t>The rationale does not apply to the Committee’s constituency.</w:t>
            </w:r>
          </w:p>
        </w:tc>
      </w:tr>
      <w:tr>
        <w:tc>
          <w:tcPr>
            <w:tcW w:type="dxa" w:w="1440"/>
          </w:tcPr>
          <w:p>
            <w:pPr>
              <w:spacing w:after="20"/>
            </w:pPr>
            <w:r/>
            <w:r>
              <w:rPr>
                <w:b w:val="0"/>
                <w:i w:val="0"/>
                <w:sz w:val="15"/>
              </w:rPr>
              <w:t>Governance</w:t>
            </w:r>
          </w:p>
        </w:tc>
        <w:tc>
          <w:tcPr>
            <w:tcW w:type="dxa" w:w="2520"/>
          </w:tcPr>
          <w:p>
            <w:pPr>
              <w:spacing w:after="20"/>
            </w:pPr>
            <w:r/>
            <w:r>
              <w:rPr>
                <w:b w:val="0"/>
                <w:i w:val="0"/>
                <w:sz w:val="15"/>
              </w:rPr>
              <w:t>“A standard governance request.”</w:t>
            </w:r>
          </w:p>
        </w:tc>
        <w:tc>
          <w:tcPr>
            <w:tcW w:type="dxa" w:w="4104"/>
          </w:tcPr>
          <w:p>
            <w:pPr>
              <w:spacing w:after="20"/>
            </w:pPr>
            <w:r/>
            <w:r>
              <w:rPr>
                <w:b w:val="0"/>
                <w:i w:val="0"/>
                <w:sz w:val="15"/>
              </w:rPr>
              <w:t>Two of five seats for a constituency that holds no equity. The Committee never dissolves under the Redline (U-14), and after dissolution the designation right passes to a majority of GUC holders.</w:t>
            </w:r>
          </w:p>
        </w:tc>
        <w:tc>
          <w:tcPr>
            <w:tcW w:type="dxa" w:w="1728"/>
          </w:tcPr>
          <w:p>
            <w:pPr>
              <w:spacing w:after="20"/>
            </w:pPr>
            <w:r/>
            <w:r>
              <w:rPr>
                <w:b w:val="0"/>
                <w:i w:val="0"/>
                <w:sz w:val="15"/>
              </w:rPr>
              <w:t>Not standard.</w:t>
            </w:r>
          </w:p>
        </w:tc>
      </w:tr>
      <w:tr>
        <w:tc>
          <w:tcPr>
            <w:tcW w:type="dxa" w:w="1440"/>
          </w:tcPr>
          <w:p>
            <w:pPr>
              <w:spacing w:after="20"/>
            </w:pPr>
            <w:r/>
            <w:r>
              <w:rPr>
                <w:b w:val="0"/>
                <w:i w:val="0"/>
                <w:sz w:val="15"/>
              </w:rPr>
              <w:t>Contract rejection</w:t>
            </w:r>
          </w:p>
        </w:tc>
        <w:tc>
          <w:tcPr>
            <w:tcW w:type="dxa" w:w="2520"/>
          </w:tcPr>
          <w:p>
            <w:pPr>
              <w:spacing w:after="20"/>
            </w:pPr>
            <w:r/>
            <w:r>
              <w:rPr>
                <w:b w:val="0"/>
                <w:i w:val="0"/>
                <w:sz w:val="15"/>
              </w:rPr>
              <w:t>Protects counterparties, “including Committee members”; “does not meaningfully impair” flexibility.</w:t>
            </w:r>
          </w:p>
        </w:tc>
        <w:tc>
          <w:tcPr>
            <w:tcW w:type="dxa" w:w="4104"/>
          </w:tcPr>
          <w:p>
            <w:pPr>
              <w:spacing w:after="20"/>
            </w:pPr>
            <w:r/>
            <w:r>
              <w:rPr>
                <w:b w:val="0"/>
                <w:i w:val="0"/>
                <w:sz w:val="15"/>
              </w:rPr>
              <w:t>Replaces the business-judgment test with a novel “material net burden” standard that invites litigation over every rejection.</w:t>
            </w:r>
          </w:p>
        </w:tc>
        <w:tc>
          <w:tcPr>
            <w:tcW w:type="dxa" w:w="1728"/>
          </w:tcPr>
          <w:p>
            <w:pPr>
              <w:spacing w:after="20"/>
            </w:pPr>
            <w:r/>
            <w:r>
              <w:rPr>
                <w:b w:val="0"/>
                <w:i w:val="0"/>
                <w:sz w:val="15"/>
              </w:rPr>
              <w:t>Self-interested; inconsistent with prevailing law.</w:t>
            </w:r>
          </w:p>
        </w:tc>
      </w:tr>
    </w:tbl>
    <w:p>
      <w:pPr>
        <w:spacing w:after="40"/>
      </w:pPr>
    </w:p>
    <w:p>
      <w:pPr>
        <w:pStyle w:val="Heading1"/>
      </w:pPr>
      <w:r>
        <w:t>V. Deviation Analysis — Committee Tracked Changes</w:t>
      </w:r>
    </w:p>
    <w:p>
      <w:pPr>
        <w:spacing w:after="120"/>
      </w:pPr>
      <w:r>
        <w:rPr>
          <w:b w:val="0"/>
          <w:i w:val="0"/>
        </w:rPr>
        <w:t xml:space="preserve">Each tracked change is mapped below to the Filed Plan provision it would modify. Change numbers refer to the Committee’s change log (reconciled in full in Appendix A). Severity: </w:t>
      </w:r>
      <w:r>
        <w:rPr>
          <w:b/>
          <w:i w:val="0"/>
        </w:rPr>
        <w:t>High</w:t>
      </w:r>
      <w:r>
        <w:rPr>
          <w:b w:val="0"/>
          <w:i w:val="0"/>
        </w:rPr>
        <w:t xml:space="preserve"> means a confirmation, feasibility or plan-support risk, or more than $5M of value; </w:t>
      </w:r>
      <w:r>
        <w:rPr>
          <w:b/>
          <w:i w:val="0"/>
        </w:rPr>
        <w:t>Medium</w:t>
      </w:r>
      <w:r>
        <w:rPr>
          <w:b w:val="0"/>
          <w:i w:val="0"/>
        </w:rPr>
        <w:t xml:space="preserve"> means a material negotiating point; </w:t>
      </w:r>
      <w:r>
        <w:rPr>
          <w:b/>
          <w:i w:val="0"/>
        </w:rPr>
        <w:t>Low</w:t>
      </w:r>
      <w:r>
        <w:rPr>
          <w:b w:val="0"/>
          <w:i w:val="0"/>
        </w:rPr>
        <w:t xml:space="preserve"> means drafting. Recommendations: </w:t>
      </w:r>
      <w:r>
        <w:rPr>
          <w:b/>
          <w:i w:val="0"/>
        </w:rPr>
        <w:t>Accept</w:t>
      </w:r>
      <w:r>
        <w:rPr>
          <w:b w:val="0"/>
          <w:i w:val="0"/>
        </w:rPr>
        <w:t xml:space="preserve">; </w:t>
      </w:r>
      <w:r>
        <w:rPr>
          <w:b/>
          <w:i w:val="0"/>
        </w:rPr>
        <w:t>Accept-Mod</w:t>
      </w:r>
      <w:r>
        <w:rPr>
          <w:b w:val="0"/>
          <w:i w:val="0"/>
        </w:rPr>
        <w:t xml:space="preserve"> (accept with modifications); </w:t>
      </w:r>
      <w:r>
        <w:rPr>
          <w:b/>
          <w:i w:val="0"/>
        </w:rPr>
        <w:t>Counter</w:t>
      </w:r>
      <w:r>
        <w:rPr>
          <w:b w:val="0"/>
          <w:i w:val="0"/>
        </w:rPr>
        <w:t xml:space="preserve">; </w:t>
      </w:r>
      <w:r>
        <w:rPr>
          <w:b/>
          <w:i w:val="0"/>
        </w:rPr>
        <w:t>Reject</w:t>
      </w:r>
      <w:r>
        <w:rPr>
          <w:b w:val="0"/>
          <w:i w:val="0"/>
        </w:rPr>
        <w:t>.</w:t>
      </w:r>
    </w:p>
    <w:p>
      <w:pPr>
        <w:pStyle w:val="Heading2"/>
      </w:pPr>
      <w:r>
        <w:t>A. Plan Economics</w:t>
      </w:r>
    </w:p>
    <w:tbl>
      <w:tblPr>
        <w:tblStyle w:val="TableGrid"/>
        <w:tblW w:type="auto" w:w="0"/>
        <w:jc w:val="center"/>
        <w:tblLayout w:type="fixed"/>
        <w:tblLook w:firstColumn="1" w:firstRow="1" w:lastColumn="0" w:lastRow="0" w:noHBand="0" w:noVBand="1" w:val="04A0"/>
      </w:tblPr>
      <w:tblGrid>
        <w:gridCol w:w="1224"/>
        <w:gridCol w:w="1655"/>
        <w:gridCol w:w="1872"/>
        <w:gridCol w:w="3096"/>
        <w:gridCol w:w="576"/>
        <w:gridCol w:w="1440"/>
      </w:tblGrid>
      <w:tr>
        <w:tc>
          <w:tcPr>
            <w:tcW w:type="dxa" w:w="1224"/>
            <w:shd w:val="clear" w:color="auto" w:fill="D9E2F3"/>
          </w:tcPr>
          <w:p>
            <w:pPr>
              <w:spacing w:after="20"/>
            </w:pPr>
            <w:r/>
            <w:r>
              <w:rPr>
                <w:b/>
                <w:i w:val="0"/>
                <w:sz w:val="15"/>
              </w:rPr>
              <w:t>Item (Chg #)</w:t>
            </w:r>
          </w:p>
        </w:tc>
        <w:tc>
          <w:tcPr>
            <w:tcW w:type="dxa" w:w="1656"/>
            <w:shd w:val="clear" w:color="auto" w:fill="D9E2F3"/>
          </w:tcPr>
          <w:p>
            <w:pPr>
              <w:spacing w:after="20"/>
            </w:pPr>
            <w:r/>
            <w:r>
              <w:rPr>
                <w:b/>
                <w:i w:val="0"/>
                <w:sz w:val="15"/>
              </w:rPr>
              <w:t>Filed Plan</w:t>
            </w:r>
          </w:p>
        </w:tc>
        <w:tc>
          <w:tcPr>
            <w:tcW w:type="dxa" w:w="1872"/>
            <w:shd w:val="clear" w:color="auto" w:fill="D9E2F3"/>
          </w:tcPr>
          <w:p>
            <w:pPr>
              <w:spacing w:after="20"/>
            </w:pPr>
            <w:r/>
            <w:r>
              <w:rPr>
                <w:b/>
                <w:i w:val="0"/>
                <w:sz w:val="15"/>
              </w:rPr>
              <w:t>Committee Redline</w:t>
            </w:r>
          </w:p>
        </w:tc>
        <w:tc>
          <w:tcPr>
            <w:tcW w:type="dxa" w:w="3096"/>
            <w:shd w:val="clear" w:color="auto" w:fill="D9E2F3"/>
          </w:tcPr>
          <w:p>
            <w:pPr>
              <w:spacing w:after="20"/>
            </w:pPr>
            <w:r/>
            <w:r>
              <w:rPr>
                <w:b/>
                <w:i w:val="0"/>
                <w:sz w:val="15"/>
              </w:rPr>
              <w:t>Impact analysis</w:t>
            </w:r>
          </w:p>
        </w:tc>
        <w:tc>
          <w:tcPr>
            <w:tcW w:type="dxa" w:w="576"/>
            <w:shd w:val="clear" w:color="auto" w:fill="D9E2F3"/>
          </w:tcPr>
          <w:p>
            <w:pPr>
              <w:spacing w:after="20"/>
            </w:pPr>
            <w:r/>
            <w:r>
              <w:rPr>
                <w:b/>
                <w:i w:val="0"/>
                <w:sz w:val="15"/>
              </w:rPr>
              <w:t>Sev.</w:t>
            </w:r>
          </w:p>
        </w:tc>
        <w:tc>
          <w:tcPr>
            <w:tcW w:type="dxa" w:w="1440"/>
            <w:shd w:val="clear" w:color="auto" w:fill="D9E2F3"/>
          </w:tcPr>
          <w:p>
            <w:pPr>
              <w:spacing w:after="20"/>
            </w:pPr>
            <w:r/>
            <w:r>
              <w:rPr>
                <w:b/>
                <w:i w:val="0"/>
                <w:sz w:val="15"/>
              </w:rPr>
              <w:t>Recommendation</w:t>
            </w:r>
          </w:p>
        </w:tc>
      </w:tr>
      <w:tr>
        <w:tc>
          <w:tcPr>
            <w:tcW w:type="dxa" w:w="1224"/>
          </w:tcPr>
          <w:p>
            <w:pPr>
              <w:spacing w:after="20"/>
            </w:pPr>
            <w:r/>
            <w:r>
              <w:rPr>
                <w:b w:val="0"/>
                <w:i w:val="0"/>
                <w:sz w:val="15"/>
              </w:rPr>
              <w:t>A-1 GUC pool size (#14)</w:t>
            </w:r>
          </w:p>
        </w:tc>
        <w:tc>
          <w:tcPr>
            <w:tcW w:type="dxa" w:w="1656"/>
          </w:tcPr>
          <w:p>
            <w:pPr>
              <w:spacing w:after="20"/>
            </w:pPr>
            <w:r/>
            <w:r>
              <w:rPr>
                <w:b w:val="0"/>
                <w:i w:val="0"/>
                <w:sz w:val="15"/>
              </w:rPr>
              <w:t>§ 1.1 / § 4.4: $18.7M cash pool; 10.0% recovery on $187M.</w:t>
            </w:r>
          </w:p>
        </w:tc>
        <w:tc>
          <w:tcPr>
            <w:tcW w:type="dxa" w:w="1872"/>
          </w:tcPr>
          <w:p>
            <w:pPr>
              <w:spacing w:after="20"/>
            </w:pPr>
            <w:r/>
            <w:r>
              <w:rPr>
                <w:b w:val="0"/>
                <w:i w:val="0"/>
                <w:sz w:val="15"/>
              </w:rPr>
              <w:t>$28.0M pool; 14.97% recovery. Comment reserves rights to seek more.</w:t>
            </w:r>
          </w:p>
        </w:tc>
        <w:tc>
          <w:tcPr>
            <w:tcW w:type="dxa" w:w="3096"/>
          </w:tcPr>
          <w:p>
            <w:pPr>
              <w:spacing w:after="20"/>
            </w:pPr>
            <w:r/>
            <w:r>
              <w:rPr>
                <w:b w:val="0"/>
                <w:i w:val="0"/>
                <w:sz w:val="15"/>
              </w:rPr>
              <w:t>+$9.3M cash (+50%). The DS liquidation analysis puts Chapter 7 GUC recovery at $0, so the best-interests test is met either way. The increase is purely a negotiated allocation. The Transmittal calls the $28.0M headline “firmly held” but says timing is negotiable. That is the opening to use.</w:t>
            </w:r>
          </w:p>
        </w:tc>
        <w:tc>
          <w:tcPr>
            <w:tcW w:type="dxa" w:w="576"/>
          </w:tcPr>
          <w:p>
            <w:pPr>
              <w:spacing w:after="20"/>
            </w:pPr>
            <w:r/>
            <w:r>
              <w:rPr>
                <w:b w:val="0"/>
                <w:i w:val="0"/>
                <w:sz w:val="15"/>
              </w:rPr>
              <w:t>High</w:t>
            </w:r>
          </w:p>
        </w:tc>
        <w:tc>
          <w:tcPr>
            <w:tcW w:type="dxa" w:w="1440"/>
          </w:tcPr>
          <w:p>
            <w:pPr>
              <w:spacing w:after="20"/>
            </w:pPr>
            <w:r/>
            <w:r>
              <w:rPr>
                <w:b/>
                <w:i w:val="0"/>
                <w:sz w:val="15"/>
              </w:rPr>
              <w:t>Counter</w:t>
            </w:r>
            <w:r>
              <w:rPr>
                <w:b w:val="0"/>
                <w:i w:val="0"/>
                <w:sz w:val="15"/>
              </w:rPr>
              <w:t>: hold Effective Date cash; consider reaching a higher headline through deferred and/or non-cash consideration (Section IX).</w:t>
            </w:r>
          </w:p>
        </w:tc>
      </w:tr>
      <w:tr>
        <w:tc>
          <w:tcPr>
            <w:tcW w:type="dxa" w:w="1224"/>
          </w:tcPr>
          <w:p>
            <w:pPr>
              <w:spacing w:after="20"/>
            </w:pPr>
            <w:r/>
            <w:r>
              <w:rPr>
                <w:b w:val="0"/>
                <w:i w:val="0"/>
                <w:sz w:val="15"/>
              </w:rPr>
              <w:t>A-2 Payment split (#14, #20, #21)</w:t>
            </w:r>
          </w:p>
        </w:tc>
        <w:tc>
          <w:tcPr>
            <w:tcW w:type="dxa" w:w="1656"/>
          </w:tcPr>
          <w:p>
            <w:pPr>
              <w:spacing w:after="20"/>
            </w:pPr>
            <w:r/>
            <w:r>
              <w:rPr>
                <w:b w:val="0"/>
                <w:i w:val="0"/>
                <w:sz w:val="15"/>
              </w:rPr>
              <w:t>50/50: $9.35M on the ED; $9.35M at the first anniversary.</w:t>
            </w:r>
          </w:p>
        </w:tc>
        <w:tc>
          <w:tcPr>
            <w:tcW w:type="dxa" w:w="1872"/>
          </w:tcPr>
          <w:p>
            <w:pPr>
              <w:spacing w:after="20"/>
            </w:pPr>
            <w:r/>
            <w:r>
              <w:rPr>
                <w:b w:val="0"/>
                <w:i w:val="0"/>
                <w:sz w:val="15"/>
              </w:rPr>
              <w:t>75/25: $21.0M on the ED; $7.0M at the first anniversary.</w:t>
            </w:r>
          </w:p>
        </w:tc>
        <w:tc>
          <w:tcPr>
            <w:tcW w:type="dxa" w:w="3096"/>
          </w:tcPr>
          <w:p>
            <w:pPr>
              <w:spacing w:after="20"/>
            </w:pPr>
            <w:r/>
            <w:r>
              <w:rPr>
                <w:b w:val="0"/>
                <w:i w:val="0"/>
                <w:sz w:val="15"/>
              </w:rPr>
              <w:t>Effective Date cash need rises to $74.5M against $68.0M of projected cash, a $6.5M shortfall. The Redline’s § 6.2 still recites $62.85M. The Plan would fail Filed Plan condition § 9.2(e) and the § 1129(a)(11) feasibility test unless exit financing is drawn on the ED, and the DS says no draw is anticipated.</w:t>
            </w:r>
          </w:p>
        </w:tc>
        <w:tc>
          <w:tcPr>
            <w:tcW w:type="dxa" w:w="576"/>
          </w:tcPr>
          <w:p>
            <w:pPr>
              <w:spacing w:after="20"/>
            </w:pPr>
            <w:r/>
            <w:r>
              <w:rPr>
                <w:b w:val="0"/>
                <w:i w:val="0"/>
                <w:sz w:val="15"/>
              </w:rPr>
              <w:t>High</w:t>
            </w:r>
          </w:p>
        </w:tc>
        <w:tc>
          <w:tcPr>
            <w:tcW w:type="dxa" w:w="1440"/>
          </w:tcPr>
          <w:p>
            <w:pPr>
              <w:spacing w:after="20"/>
            </w:pPr>
            <w:r/>
            <w:r>
              <w:rPr>
                <w:b/>
                <w:i w:val="0"/>
                <w:sz w:val="15"/>
              </w:rPr>
              <w:t>Reject</w:t>
            </w:r>
            <w:r>
              <w:rPr>
                <w:b w:val="0"/>
                <w:i w:val="0"/>
                <w:sz w:val="15"/>
              </w:rPr>
              <w:t xml:space="preserve"> 75/25. Effective Date payment capped at ~$9.35M–$11.0M.</w:t>
            </w:r>
          </w:p>
        </w:tc>
      </w:tr>
      <w:tr>
        <w:tc>
          <w:tcPr>
            <w:tcW w:type="dxa" w:w="1224"/>
          </w:tcPr>
          <w:p>
            <w:pPr>
              <w:spacing w:after="20"/>
            </w:pPr>
            <w:r/>
            <w:r>
              <w:rPr>
                <w:b w:val="0"/>
                <w:i w:val="0"/>
                <w:sz w:val="15"/>
              </w:rPr>
              <w:t>A-3 Interest on deferred amount (#14, #21)</w:t>
            </w:r>
          </w:p>
        </w:tc>
        <w:tc>
          <w:tcPr>
            <w:tcW w:type="dxa" w:w="1656"/>
          </w:tcPr>
          <w:p>
            <w:pPr>
              <w:spacing w:after="20"/>
            </w:pPr>
            <w:r/>
            <w:r>
              <w:rPr>
                <w:b w:val="0"/>
                <w:i w:val="0"/>
                <w:sz w:val="15"/>
              </w:rPr>
              <w:t>No interest (§ 4.4).</w:t>
            </w:r>
          </w:p>
        </w:tc>
        <w:tc>
          <w:tcPr>
            <w:tcW w:type="dxa" w:w="1872"/>
          </w:tcPr>
          <w:p>
            <w:pPr>
              <w:spacing w:after="20"/>
            </w:pPr>
            <w:r/>
            <w:r>
              <w:rPr>
                <w:b w:val="0"/>
                <w:i w:val="0"/>
                <w:sz w:val="15"/>
              </w:rPr>
              <w:t>Federal judgment rate (28 U.S.C. § 1961) as of the Confirmation Date, “currently 5.24%.”</w:t>
            </w:r>
          </w:p>
        </w:tc>
        <w:tc>
          <w:tcPr>
            <w:tcW w:type="dxa" w:w="3096"/>
          </w:tcPr>
          <w:p>
            <w:pPr>
              <w:spacing w:after="20"/>
            </w:pPr>
            <w:r/>
            <w:r>
              <w:rPr>
                <w:b w:val="0"/>
                <w:i w:val="0"/>
                <w:sz w:val="15"/>
              </w:rPr>
              <w:t>About $0.37M on $7.0M over one year ($0.49M on $9.35M). Economically small. Verify the 5.24% rate before relying on it.</w:t>
            </w:r>
          </w:p>
        </w:tc>
        <w:tc>
          <w:tcPr>
            <w:tcW w:type="dxa" w:w="576"/>
          </w:tcPr>
          <w:p>
            <w:pPr>
              <w:spacing w:after="20"/>
            </w:pPr>
            <w:r/>
            <w:r>
              <w:rPr>
                <w:b w:val="0"/>
                <w:i w:val="0"/>
                <w:sz w:val="15"/>
              </w:rPr>
              <w:t>Low</w:t>
            </w:r>
          </w:p>
        </w:tc>
        <w:tc>
          <w:tcPr>
            <w:tcW w:type="dxa" w:w="1440"/>
          </w:tcPr>
          <w:p>
            <w:pPr>
              <w:spacing w:after="20"/>
            </w:pPr>
            <w:r/>
            <w:r>
              <w:rPr>
                <w:b/>
                <w:i w:val="0"/>
                <w:sz w:val="15"/>
              </w:rPr>
              <w:t>Trade</w:t>
            </w:r>
            <w:r>
              <w:rPr>
                <w:b w:val="0"/>
                <w:i w:val="0"/>
                <w:sz w:val="15"/>
              </w:rPr>
              <w:t>: concede if the split and pool are resolved favorably.</w:t>
            </w:r>
          </w:p>
        </w:tc>
      </w:tr>
      <w:tr>
        <w:tc>
          <w:tcPr>
            <w:tcW w:type="dxa" w:w="1224"/>
          </w:tcPr>
          <w:p>
            <w:pPr>
              <w:spacing w:after="20"/>
            </w:pPr>
            <w:r/>
            <w:r>
              <w:rPr>
                <w:b w:val="0"/>
                <w:i w:val="0"/>
                <w:sz w:val="15"/>
              </w:rPr>
              <w:t>A-4 Avoidance proceeds (#9, #22, #29, #37)</w:t>
            </w:r>
          </w:p>
        </w:tc>
        <w:tc>
          <w:tcPr>
            <w:tcW w:type="dxa" w:w="1656"/>
          </w:tcPr>
          <w:p>
            <w:pPr>
              <w:spacing w:after="20"/>
            </w:pPr>
            <w:r/>
            <w:r>
              <w:rPr>
                <w:b w:val="0"/>
                <w:i w:val="0"/>
                <w:sz w:val="15"/>
              </w:rPr>
              <w:t>§ 5.9(d): net proceeds retained by the Reorganized Debtor “for the benefit of … all stakeholders.” Clearview excludes the ~$9.5M gross preference estimate from TEV.</w:t>
            </w:r>
          </w:p>
        </w:tc>
        <w:tc>
          <w:tcPr>
            <w:tcW w:type="dxa" w:w="1872"/>
          </w:tcPr>
          <w:p>
            <w:pPr>
              <w:spacing w:after="20"/>
            </w:pPr>
            <w:r/>
            <w:r>
              <w:rPr>
                <w:b w:val="0"/>
                <w:i w:val="0"/>
                <w:sz w:val="15"/>
              </w:rPr>
              <w:t>New “Avoidance Action Recovery Pool”: 100% of net proceeds to GUCs, in addition to the pool, distributed semi-annually by the trustee. Recovery stated as “up to 20.05%.”</w:t>
            </w:r>
          </w:p>
        </w:tc>
        <w:tc>
          <w:tcPr>
            <w:tcW w:type="dxa" w:w="3096"/>
          </w:tcPr>
          <w:p>
            <w:pPr>
              <w:spacing w:after="20"/>
            </w:pPr>
            <w:r/>
            <w:r>
              <w:rPr>
                <w:b w:val="0"/>
                <w:i w:val="0"/>
                <w:sz w:val="15"/>
              </w:rPr>
              <w:t>Net value per the Committee’s own comment is $6.0M–$7.5M (3.2–4.0 points of recovery). 20.05% assumes $9.5M gross with no costs. Because “Avoidance Actions” includes fraudulent-transfer claims, any Dividend Recap recovery would also go 100% to GUCs. Preference suits against go-forward trade vendors can damage the business. Committee members (trade vendors and lessors) may be among the ~15 defendants.</w:t>
            </w:r>
          </w:p>
        </w:tc>
        <w:tc>
          <w:tcPr>
            <w:tcW w:type="dxa" w:w="576"/>
          </w:tcPr>
          <w:p>
            <w:pPr>
              <w:spacing w:after="20"/>
            </w:pPr>
            <w:r/>
            <w:r>
              <w:rPr>
                <w:b w:val="0"/>
                <w:i w:val="0"/>
                <w:sz w:val="15"/>
              </w:rPr>
              <w:t>High</w:t>
            </w:r>
          </w:p>
        </w:tc>
        <w:tc>
          <w:tcPr>
            <w:tcW w:type="dxa" w:w="1440"/>
          </w:tcPr>
          <w:p>
            <w:pPr>
              <w:spacing w:after="20"/>
            </w:pPr>
            <w:r/>
            <w:r>
              <w:rPr>
                <w:b/>
                <w:i w:val="0"/>
                <w:sz w:val="15"/>
              </w:rPr>
              <w:t>Counter</w:t>
            </w:r>
            <w:r>
              <w:rPr>
                <w:b w:val="0"/>
                <w:i w:val="0"/>
                <w:sz w:val="15"/>
              </w:rPr>
              <w:t xml:space="preserve">: GUCs share in </w:t>
            </w:r>
            <w:r>
              <w:rPr>
                <w:b/>
                <w:i w:val="0"/>
                <w:sz w:val="15"/>
              </w:rPr>
              <w:t>net preference</w:t>
            </w:r>
            <w:r>
              <w:rPr>
                <w:b w:val="0"/>
                <w:i w:val="0"/>
                <w:sz w:val="15"/>
              </w:rPr>
              <w:t xml:space="preserve"> proceeds (e.g., 50%, or 100% above a threshold, or a capped amount); Dividend Recap claims handled separately; the Reorganized Debtor keeps a waiver right for critical go-forward vendors.</w:t>
            </w:r>
          </w:p>
        </w:tc>
      </w:tr>
      <w:tr>
        <w:tc>
          <w:tcPr>
            <w:tcW w:type="dxa" w:w="1224"/>
          </w:tcPr>
          <w:p>
            <w:pPr>
              <w:spacing w:after="20"/>
            </w:pPr>
            <w:r/>
            <w:r>
              <w:rPr>
                <w:b w:val="0"/>
                <w:i w:val="0"/>
                <w:sz w:val="15"/>
              </w:rPr>
              <w:t>A-5 Timberline equity % (#6, #19, #24)</w:t>
            </w:r>
          </w:p>
        </w:tc>
        <w:tc>
          <w:tcPr>
            <w:tcW w:type="dxa" w:w="1656"/>
          </w:tcPr>
          <w:p>
            <w:pPr>
              <w:spacing w:after="20"/>
            </w:pPr>
            <w:r/>
            <w:r>
              <w:rPr>
                <w:b w:val="0"/>
                <w:i w:val="0"/>
                <w:sz w:val="15"/>
              </w:rPr>
              <w:t>§§ 4.3(b), 5.3(a): 55% of New Common Equity for $60M converted; 45% “authorized but unissued,” subject to the MIP reserve.</w:t>
            </w:r>
          </w:p>
        </w:tc>
        <w:tc>
          <w:tcPr>
            <w:tcW w:type="dxa" w:w="1872"/>
          </w:tcPr>
          <w:p>
            <w:pPr>
              <w:spacing w:after="20"/>
            </w:pPr>
            <w:r/>
            <w:r>
              <w:rPr>
                <w:b w:val="0"/>
                <w:i w:val="0"/>
                <w:sz w:val="15"/>
              </w:rPr>
              <w:t>41.07% to Timberline; 58.93% “held by the Reorganized Debtor.”</w:t>
            </w:r>
          </w:p>
        </w:tc>
        <w:tc>
          <w:tcPr>
            <w:tcW w:type="dxa" w:w="3096"/>
          </w:tcPr>
          <w:p>
            <w:pPr>
              <w:spacing w:after="20"/>
            </w:pPr>
            <w:r/>
            <w:r>
              <w:rPr>
                <w:b w:val="0"/>
                <w:i w:val="0"/>
                <w:sz w:val="15"/>
              </w:rPr>
              <w:t>Section VI.E has the detail. 55% gives Timberline $115.4M on a $95M claim at the midpoint, which is a fair-and-equitable exposure. 41.07% assumes the $35M cash payment does not reduce equity value; on a net basis ($111.1M) the ratio is 54.0%, close to 55%. Under both versions the residual stays unissued, so unless it is issued to someone, Timberline holds 100% of the outstanding shares. Neither version gives the residual to GUCs.</w:t>
            </w:r>
          </w:p>
        </w:tc>
        <w:tc>
          <w:tcPr>
            <w:tcW w:type="dxa" w:w="576"/>
          </w:tcPr>
          <w:p>
            <w:pPr>
              <w:spacing w:after="20"/>
            </w:pPr>
            <w:r/>
            <w:r>
              <w:rPr>
                <w:b w:val="0"/>
                <w:i w:val="0"/>
                <w:sz w:val="15"/>
              </w:rPr>
              <w:t>High</w:t>
            </w:r>
          </w:p>
        </w:tc>
        <w:tc>
          <w:tcPr>
            <w:tcW w:type="dxa" w:w="1440"/>
          </w:tcPr>
          <w:p>
            <w:pPr>
              <w:spacing w:after="20"/>
            </w:pPr>
            <w:r/>
            <w:r>
              <w:rPr>
                <w:b/>
                <w:i w:val="0"/>
                <w:sz w:val="15"/>
              </w:rPr>
              <w:t>Do not accept as a “correction.”</w:t>
            </w:r>
            <w:r>
              <w:rPr>
                <w:b w:val="0"/>
                <w:i w:val="0"/>
                <w:sz w:val="15"/>
              </w:rPr>
              <w:t xml:space="preserve"> Reconcile with Clearview and Timberline (Section IX). Fix the unissued-share drafting in any event.</w:t>
            </w:r>
          </w:p>
        </w:tc>
      </w:tr>
      <w:tr>
        <w:tc>
          <w:tcPr>
            <w:tcW w:type="dxa" w:w="1224"/>
          </w:tcPr>
          <w:p>
            <w:pPr>
              <w:spacing w:after="20"/>
            </w:pPr>
            <w:r/>
            <w:r>
              <w:rPr>
                <w:b w:val="0"/>
                <w:i w:val="0"/>
                <w:sz w:val="15"/>
              </w:rPr>
              <w:t>A-6 MIP pool (#11, #25)</w:t>
            </w:r>
          </w:p>
        </w:tc>
        <w:tc>
          <w:tcPr>
            <w:tcW w:type="dxa" w:w="1656"/>
          </w:tcPr>
          <w:p>
            <w:pPr>
              <w:spacing w:after="20"/>
            </w:pPr>
            <w:r/>
            <w:r>
              <w:rPr>
                <w:b w:val="0"/>
                <w:i w:val="0"/>
                <w:sz w:val="15"/>
              </w:rPr>
              <w:t>§ 5.7: 10% fully diluted; vests 25% per year.</w:t>
            </w:r>
          </w:p>
        </w:tc>
        <w:tc>
          <w:tcPr>
            <w:tcW w:type="dxa" w:w="1872"/>
          </w:tcPr>
          <w:p>
            <w:pPr>
              <w:spacing w:after="20"/>
            </w:pPr>
            <w:r/>
            <w:r>
              <w:rPr>
                <w:b w:val="0"/>
                <w:i w:val="0"/>
                <w:sz w:val="15"/>
              </w:rPr>
              <w:t>7%.</w:t>
            </w:r>
          </w:p>
        </w:tc>
        <w:tc>
          <w:tcPr>
            <w:tcW w:type="dxa" w:w="3096"/>
          </w:tcPr>
          <w:p>
            <w:pPr>
              <w:spacing w:after="20"/>
            </w:pPr>
            <w:r/>
            <w:r>
              <w:rPr>
                <w:b w:val="0"/>
                <w:i w:val="0"/>
                <w:sz w:val="15"/>
              </w:rPr>
              <w:t>The dilution falls on equity holders, i.e., Timberline. GUCs hold no equity, so the stated rationale fails. At the midpoint the 3-point change is worth about $4.4M of equity value to Timberline, not to GUCs.</w:t>
            </w:r>
          </w:p>
        </w:tc>
        <w:tc>
          <w:tcPr>
            <w:tcW w:type="dxa" w:w="576"/>
          </w:tcPr>
          <w:p>
            <w:pPr>
              <w:spacing w:after="20"/>
            </w:pPr>
            <w:r/>
            <w:r>
              <w:rPr>
                <w:b w:val="0"/>
                <w:i w:val="0"/>
                <w:sz w:val="15"/>
              </w:rPr>
              <w:t>Medium</w:t>
            </w:r>
          </w:p>
        </w:tc>
        <w:tc>
          <w:tcPr>
            <w:tcW w:type="dxa" w:w="1440"/>
          </w:tcPr>
          <w:p>
            <w:pPr>
              <w:spacing w:after="20"/>
            </w:pPr>
            <w:r/>
            <w:r>
              <w:rPr>
                <w:b/>
                <w:i w:val="0"/>
                <w:sz w:val="15"/>
              </w:rPr>
              <w:t>Hold at 10%, or let Timberline trade it</w:t>
            </w:r>
            <w:r>
              <w:rPr>
                <w:b w:val="0"/>
                <w:i w:val="0"/>
                <w:sz w:val="15"/>
              </w:rPr>
              <w:t xml:space="preserve"> (e.g., 8%) for movement elsewhere. Do not concede to the Committee for free.</w:t>
            </w:r>
          </w:p>
        </w:tc>
      </w:tr>
      <w:tr>
        <w:tc>
          <w:tcPr>
            <w:tcW w:type="dxa" w:w="1224"/>
          </w:tcPr>
          <w:p>
            <w:pPr>
              <w:spacing w:after="20"/>
            </w:pPr>
            <w:r/>
            <w:r>
              <w:rPr>
                <w:b w:val="0"/>
                <w:i w:val="0"/>
                <w:sz w:val="15"/>
              </w:rPr>
              <w:t>A-7 Retention bonuses (#17, #27)</w:t>
            </w:r>
          </w:p>
        </w:tc>
        <w:tc>
          <w:tcPr>
            <w:tcW w:type="dxa" w:w="1656"/>
          </w:tcPr>
          <w:p>
            <w:pPr>
              <w:spacing w:after="20"/>
            </w:pPr>
            <w:r/>
            <w:r>
              <w:rPr>
                <w:b w:val="0"/>
                <w:i w:val="0"/>
                <w:sz w:val="15"/>
              </w:rPr>
              <w:t>§ 5.8: Reorganized Debtor assumes the $3.4M program for 12 senior employees, approved pre-petition. The DS says it is paid in cash on or promptly after the ED.</w:t>
            </w:r>
          </w:p>
        </w:tc>
        <w:tc>
          <w:tcPr>
            <w:tcW w:type="dxa" w:w="1872"/>
          </w:tcPr>
          <w:p>
            <w:pPr>
              <w:spacing w:after="20"/>
            </w:pPr>
            <w:r/>
            <w:r>
              <w:rPr>
                <w:b w:val="0"/>
                <w:i w:val="0"/>
                <w:sz w:val="15"/>
              </w:rPr>
              <w:t>Strikes both § 2.1(d) and § 6.6, provisions that exist only in the Redline base. Comment invokes § 503(c)(1) and calls the payments “disguised priority payments.”</w:t>
            </w:r>
          </w:p>
        </w:tc>
        <w:tc>
          <w:tcPr>
            <w:tcW w:type="dxa" w:w="3096"/>
          </w:tcPr>
          <w:p>
            <w:pPr>
              <w:spacing w:after="20"/>
            </w:pPr>
            <w:r/>
            <w:r>
              <w:rPr>
                <w:b w:val="0"/>
                <w:i w:val="0"/>
                <w:sz w:val="15"/>
              </w:rPr>
              <w:t>The Filed Plan is vulnerable here. Prepetition bonus entitlements are unsecured claims, and paying them in full under the Plan while other GUCs receive 10% raises § 1123(a)(4) / § 1122 and unfair-discrimination issues. For insiders (COO, CFO), § 503(c)(1) requires bona fide competing offers. For non-insiders, § 503(c)(3) applies a facts-and-circumstances standard. No evidentiary record has been built. The $3.4M is also absent from the Effective Date uses table.</w:t>
            </w:r>
          </w:p>
        </w:tc>
        <w:tc>
          <w:tcPr>
            <w:tcW w:type="dxa" w:w="576"/>
          </w:tcPr>
          <w:p>
            <w:pPr>
              <w:spacing w:after="20"/>
            </w:pPr>
            <w:r/>
            <w:r>
              <w:rPr>
                <w:b w:val="0"/>
                <w:i w:val="0"/>
                <w:sz w:val="15"/>
              </w:rPr>
              <w:t>High</w:t>
            </w:r>
          </w:p>
        </w:tc>
        <w:tc>
          <w:tcPr>
            <w:tcW w:type="dxa" w:w="1440"/>
          </w:tcPr>
          <w:p>
            <w:pPr>
              <w:spacing w:after="20"/>
            </w:pPr>
            <w:r/>
            <w:r>
              <w:rPr>
                <w:b/>
                <w:i w:val="0"/>
                <w:sz w:val="15"/>
              </w:rPr>
              <w:t>Accept-Mod</w:t>
            </w:r>
            <w:r>
              <w:rPr>
                <w:b w:val="0"/>
                <w:i w:val="0"/>
                <w:sz w:val="15"/>
              </w:rPr>
              <w:t>: remove the assumption from the Plan. Either (i) file a § 503(c) motion with an evidentiary record, or (ii) replace the program with a post-emergence retention/KEIP adopted by the New Board and disclosed under § 1129(a)(5). Reject the § 11.9 framing.</w:t>
            </w:r>
          </w:p>
        </w:tc>
      </w:tr>
    </w:tbl>
    <w:p>
      <w:pPr>
        <w:spacing w:after="40"/>
      </w:pPr>
    </w:p>
    <w:p>
      <w:pPr>
        <w:pStyle w:val="Heading2"/>
      </w:pPr>
      <w:r>
        <w:t>B. Releases, Exculpation, Injunction and the 2021 Dividend Recapitalization</w:t>
      </w:r>
    </w:p>
    <w:tbl>
      <w:tblPr>
        <w:tblStyle w:val="TableGrid"/>
        <w:tblW w:type="auto" w:w="0"/>
        <w:jc w:val="center"/>
        <w:tblLayout w:type="fixed"/>
        <w:tblLook w:firstColumn="1" w:firstRow="1" w:lastColumn="0" w:lastRow="0" w:noHBand="0" w:noVBand="1" w:val="04A0"/>
      </w:tblPr>
      <w:tblGrid>
        <w:gridCol w:w="1224"/>
        <w:gridCol w:w="1655"/>
        <w:gridCol w:w="1872"/>
        <w:gridCol w:w="3096"/>
        <w:gridCol w:w="576"/>
        <w:gridCol w:w="1440"/>
      </w:tblGrid>
      <w:tr>
        <w:tc>
          <w:tcPr>
            <w:tcW w:type="dxa" w:w="1224"/>
            <w:shd w:val="clear" w:color="auto" w:fill="D9E2F3"/>
          </w:tcPr>
          <w:p>
            <w:pPr>
              <w:spacing w:after="20"/>
            </w:pPr>
            <w:r/>
            <w:r>
              <w:rPr>
                <w:b/>
                <w:i w:val="0"/>
                <w:sz w:val="15"/>
              </w:rPr>
              <w:t>Item (Chg #)</w:t>
            </w:r>
          </w:p>
        </w:tc>
        <w:tc>
          <w:tcPr>
            <w:tcW w:type="dxa" w:w="1656"/>
            <w:shd w:val="clear" w:color="auto" w:fill="D9E2F3"/>
          </w:tcPr>
          <w:p>
            <w:pPr>
              <w:spacing w:after="20"/>
            </w:pPr>
            <w:r/>
            <w:r>
              <w:rPr>
                <w:b/>
                <w:i w:val="0"/>
                <w:sz w:val="15"/>
              </w:rPr>
              <w:t>Filed Plan</w:t>
            </w:r>
          </w:p>
        </w:tc>
        <w:tc>
          <w:tcPr>
            <w:tcW w:type="dxa" w:w="1872"/>
            <w:shd w:val="clear" w:color="auto" w:fill="D9E2F3"/>
          </w:tcPr>
          <w:p>
            <w:pPr>
              <w:spacing w:after="20"/>
            </w:pPr>
            <w:r/>
            <w:r>
              <w:rPr>
                <w:b/>
                <w:i w:val="0"/>
                <w:sz w:val="15"/>
              </w:rPr>
              <w:t>Committee Redline</w:t>
            </w:r>
          </w:p>
        </w:tc>
        <w:tc>
          <w:tcPr>
            <w:tcW w:type="dxa" w:w="3096"/>
            <w:shd w:val="clear" w:color="auto" w:fill="D9E2F3"/>
          </w:tcPr>
          <w:p>
            <w:pPr>
              <w:spacing w:after="20"/>
            </w:pPr>
            <w:r/>
            <w:r>
              <w:rPr>
                <w:b/>
                <w:i w:val="0"/>
                <w:sz w:val="15"/>
              </w:rPr>
              <w:t>Impact analysis</w:t>
            </w:r>
          </w:p>
        </w:tc>
        <w:tc>
          <w:tcPr>
            <w:tcW w:type="dxa" w:w="576"/>
            <w:shd w:val="clear" w:color="auto" w:fill="D9E2F3"/>
          </w:tcPr>
          <w:p>
            <w:pPr>
              <w:spacing w:after="20"/>
            </w:pPr>
            <w:r/>
            <w:r>
              <w:rPr>
                <w:b/>
                <w:i w:val="0"/>
                <w:sz w:val="15"/>
              </w:rPr>
              <w:t>Sev.</w:t>
            </w:r>
          </w:p>
        </w:tc>
        <w:tc>
          <w:tcPr>
            <w:tcW w:type="dxa" w:w="1440"/>
            <w:shd w:val="clear" w:color="auto" w:fill="D9E2F3"/>
          </w:tcPr>
          <w:p>
            <w:pPr>
              <w:spacing w:after="20"/>
            </w:pPr>
            <w:r/>
            <w:r>
              <w:rPr>
                <w:b/>
                <w:i w:val="0"/>
                <w:sz w:val="15"/>
              </w:rPr>
              <w:t>Recommendation</w:t>
            </w:r>
          </w:p>
        </w:tc>
      </w:tr>
      <w:tr>
        <w:tc>
          <w:tcPr>
            <w:tcW w:type="dxa" w:w="1224"/>
          </w:tcPr>
          <w:p>
            <w:pPr>
              <w:spacing w:after="20"/>
            </w:pPr>
            <w:r/>
            <w:r>
              <w:rPr>
                <w:b w:val="0"/>
                <w:i w:val="0"/>
                <w:sz w:val="15"/>
              </w:rPr>
              <w:t>B-1 Non-consensual third-party release (#32)</w:t>
            </w:r>
          </w:p>
        </w:tc>
        <w:tc>
          <w:tcPr>
            <w:tcW w:type="dxa" w:w="1656"/>
          </w:tcPr>
          <w:p>
            <w:pPr>
              <w:spacing w:after="20"/>
            </w:pPr>
            <w:r/>
            <w:r>
              <w:rPr>
                <w:b w:val="0"/>
                <w:i w:val="0"/>
                <w:sz w:val="15"/>
              </w:rPr>
              <w:t>§ 10.4(c): releases bind all holders except those who opt out by ballot or form; the DS describes this as “non-consensual.”</w:t>
            </w:r>
          </w:p>
        </w:tc>
        <w:tc>
          <w:tcPr>
            <w:tcW w:type="dxa" w:w="1872"/>
          </w:tcPr>
          <w:p>
            <w:pPr>
              <w:spacing w:after="20"/>
            </w:pPr>
            <w:r/>
            <w:r>
              <w:rPr>
                <w:b w:val="0"/>
                <w:i w:val="0"/>
                <w:sz w:val="15"/>
              </w:rPr>
              <w:t>Struck. Consensual release (§ 8.2(a)) retained for accepting voters and non-opt-outs.</w:t>
            </w:r>
          </w:p>
        </w:tc>
        <w:tc>
          <w:tcPr>
            <w:tcW w:type="dxa" w:w="3096"/>
          </w:tcPr>
          <w:p>
            <w:pPr>
              <w:spacing w:after="20"/>
            </w:pPr>
            <w:r/>
            <w:r>
              <w:rPr>
                <w:b w:val="0"/>
                <w:i w:val="0"/>
                <w:sz w:val="15"/>
              </w:rPr>
              <w:t>After Purdue (144 S. Ct. 2071 (2024)), a plan cannot impose non-consensual releases of non-debtors under § 1123(b)(6). Ninth Circuit authority was already restrictive (e.g., In re Lowenschuss, 67 F.3d 1394 (9th Cir. 1995)). The Redline’s retained § 8.2(a) is itself an opt-out construct, so the practical difference is largely the label and the treatment of non-voting and deemed-rejecting holders.</w:t>
            </w:r>
          </w:p>
        </w:tc>
        <w:tc>
          <w:tcPr>
            <w:tcW w:type="dxa" w:w="576"/>
          </w:tcPr>
          <w:p>
            <w:pPr>
              <w:spacing w:after="20"/>
            </w:pPr>
            <w:r/>
            <w:r>
              <w:rPr>
                <w:b w:val="0"/>
                <w:i w:val="0"/>
                <w:sz w:val="15"/>
              </w:rPr>
              <w:t>High</w:t>
            </w:r>
          </w:p>
        </w:tc>
        <w:tc>
          <w:tcPr>
            <w:tcW w:type="dxa" w:w="1440"/>
          </w:tcPr>
          <w:p>
            <w:pPr>
              <w:spacing w:after="20"/>
            </w:pPr>
            <w:r/>
            <w:r>
              <w:rPr>
                <w:b/>
                <w:i w:val="0"/>
                <w:sz w:val="15"/>
              </w:rPr>
              <w:t>Accept</w:t>
            </w:r>
            <w:r>
              <w:rPr>
                <w:b w:val="0"/>
                <w:i w:val="0"/>
                <w:sz w:val="15"/>
              </w:rPr>
              <w:t xml:space="preserve"> the deletion. Recast as a consensual release: opt-out for voting classes, with conspicuous ballot disclosure, or opt-in for non-voting classes. Delete § 10.4(d)’s statement that the Committee concurred.</w:t>
            </w:r>
          </w:p>
        </w:tc>
      </w:tr>
      <w:tr>
        <w:tc>
          <w:tcPr>
            <w:tcW w:type="dxa" w:w="1224"/>
          </w:tcPr>
          <w:p>
            <w:pPr>
              <w:spacing w:after="20"/>
            </w:pPr>
            <w:r/>
            <w:r>
              <w:rPr>
                <w:b w:val="0"/>
                <w:i w:val="0"/>
                <w:sz w:val="15"/>
              </w:rPr>
              <w:t>B-2 Dividend Recap carve-out (#31, #47)</w:t>
            </w:r>
          </w:p>
        </w:tc>
        <w:tc>
          <w:tcPr>
            <w:tcW w:type="dxa" w:w="1656"/>
          </w:tcPr>
          <w:p>
            <w:pPr>
              <w:spacing w:after="20"/>
            </w:pPr>
            <w:r/>
            <w:r>
              <w:rPr>
                <w:b w:val="0"/>
                <w:i w:val="0"/>
                <w:sz w:val="15"/>
              </w:rPr>
              <w:t>§ 10.4(d) and § 10.5 release all claims against Released Parties, including Timberline, expressly including Dividend Recap claims.</w:t>
            </w:r>
          </w:p>
        </w:tc>
        <w:tc>
          <w:tcPr>
            <w:tcW w:type="dxa" w:w="1872"/>
          </w:tcPr>
          <w:p>
            <w:pPr>
              <w:spacing w:after="20"/>
            </w:pPr>
            <w:r/>
            <w:r>
              <w:rPr>
                <w:b w:val="0"/>
                <w:i w:val="0"/>
                <w:sz w:val="15"/>
              </w:rPr>
              <w:t>Debtor/estate release and consensual third-party release exclude claims against Timberline (and affiliates, officers, members, agents) arising from the 2021 Dividend Recap. Those claims vest in the Litigation Trust.</w:t>
            </w:r>
          </w:p>
        </w:tc>
        <w:tc>
          <w:tcPr>
            <w:tcW w:type="dxa" w:w="3096"/>
          </w:tcPr>
          <w:p>
            <w:pPr>
              <w:spacing w:after="20"/>
            </w:pPr>
            <w:r/>
            <w:r>
              <w:rPr>
                <w:b w:val="0"/>
                <w:i w:val="0"/>
                <w:sz w:val="15"/>
              </w:rPr>
              <w:t>See VII.2. The § 548 claims are time-barred (two-year reach-back; the transaction closed Sept. 14, 2021, and the petition was filed Mar. 3, 2025). Only § 544(b) and state-law (UVTA, four-year) theories remain, preserved for two years post-petition by § 546(a). The natural constructive-fraud defendants are the dividend recipients; Timberline advanced $95M of cash. A release of Timberline without disclosure or an investigation record is very hard to defend at confirmation. Timberline’s support is the counterweight.</w:t>
            </w:r>
          </w:p>
        </w:tc>
        <w:tc>
          <w:tcPr>
            <w:tcW w:type="dxa" w:w="576"/>
          </w:tcPr>
          <w:p>
            <w:pPr>
              <w:spacing w:after="20"/>
            </w:pPr>
            <w:r/>
            <w:r>
              <w:rPr>
                <w:b w:val="0"/>
                <w:i w:val="0"/>
                <w:sz w:val="15"/>
              </w:rPr>
              <w:t>High</w:t>
            </w:r>
          </w:p>
        </w:tc>
        <w:tc>
          <w:tcPr>
            <w:tcW w:type="dxa" w:w="1440"/>
          </w:tcPr>
          <w:p>
            <w:pPr>
              <w:spacing w:after="20"/>
            </w:pPr>
            <w:r/>
            <w:r>
              <w:rPr>
                <w:b/>
                <w:i w:val="0"/>
                <w:sz w:val="15"/>
              </w:rPr>
              <w:t>Counter</w:t>
            </w:r>
            <w:r>
              <w:rPr>
                <w:b w:val="0"/>
                <w:i w:val="0"/>
                <w:sz w:val="15"/>
              </w:rPr>
              <w:t xml:space="preserve"> (Timberline consent required). Options: (i) carve-out limited to claims against dividend recipients and insiders, with Timberline released in exchange for a defined contribution; (ii) an independent investigation with a 9019 settlement before confirmation; (iii) preserve claims against Timberline only, subject to a cap or a standstill on lien and claim challenges.</w:t>
            </w:r>
          </w:p>
        </w:tc>
      </w:tr>
      <w:tr>
        <w:tc>
          <w:tcPr>
            <w:tcW w:type="dxa" w:w="1224"/>
          </w:tcPr>
          <w:p>
            <w:pPr>
              <w:spacing w:after="20"/>
            </w:pPr>
            <w:r/>
            <w:r>
              <w:rPr>
                <w:b w:val="0"/>
                <w:i w:val="0"/>
                <w:sz w:val="15"/>
              </w:rPr>
              <w:t>B-3 Supplemental disclosure condition (#34)</w:t>
            </w:r>
          </w:p>
        </w:tc>
        <w:tc>
          <w:tcPr>
            <w:tcW w:type="dxa" w:w="1656"/>
          </w:tcPr>
          <w:p>
            <w:pPr>
              <w:spacing w:after="20"/>
            </w:pPr>
            <w:r/>
            <w:r>
              <w:rPr>
                <w:b w:val="0"/>
                <w:i w:val="0"/>
                <w:sz w:val="15"/>
              </w:rPr>
              <w:t>No such condition. DS § 3.3 describes the transaction and the solvency opinion.</w:t>
            </w:r>
          </w:p>
        </w:tc>
        <w:tc>
          <w:tcPr>
            <w:tcW w:type="dxa" w:w="1872"/>
          </w:tcPr>
          <w:p>
            <w:pPr>
              <w:spacing w:after="20"/>
            </w:pPr>
            <w:r/>
            <w:r>
              <w:rPr>
                <w:b w:val="0"/>
                <w:i w:val="0"/>
                <w:sz w:val="15"/>
              </w:rPr>
              <w:t>New ED condition § 9.1(g): court-approved supplemental DS covering structure, recipients, avoidability, solvency, damages, the Committee’s position and the impact on recoveries.</w:t>
            </w:r>
          </w:p>
        </w:tc>
        <w:tc>
          <w:tcPr>
            <w:tcW w:type="dxa" w:w="3096"/>
          </w:tcPr>
          <w:p>
            <w:pPr>
              <w:spacing w:after="20"/>
            </w:pPr>
            <w:r/>
            <w:r>
              <w:rPr>
                <w:b w:val="0"/>
                <w:i w:val="0"/>
                <w:sz w:val="15"/>
              </w:rPr>
              <w:t>Procedurally backwards. Adequate information must be approved before solicitation (§ 1125(b)). A disclosure statement approved after confirmation cannot inform votes already cast, and as an ED condition it creates post-confirmation hold-up risk. The legitimate concern can be met by expanding DS § 3.3 before June 12.</w:t>
            </w:r>
          </w:p>
        </w:tc>
        <w:tc>
          <w:tcPr>
            <w:tcW w:type="dxa" w:w="576"/>
          </w:tcPr>
          <w:p>
            <w:pPr>
              <w:spacing w:after="20"/>
            </w:pPr>
            <w:r/>
            <w:r>
              <w:rPr>
                <w:b w:val="0"/>
                <w:i w:val="0"/>
                <w:sz w:val="15"/>
              </w:rPr>
              <w:t>High</w:t>
            </w:r>
          </w:p>
        </w:tc>
        <w:tc>
          <w:tcPr>
            <w:tcW w:type="dxa" w:w="1440"/>
          </w:tcPr>
          <w:p>
            <w:pPr>
              <w:spacing w:after="20"/>
            </w:pPr>
            <w:r/>
            <w:r>
              <w:rPr>
                <w:b/>
                <w:i w:val="0"/>
                <w:sz w:val="15"/>
              </w:rPr>
              <w:t>Reject</w:t>
            </w:r>
            <w:r>
              <w:rPr>
                <w:b w:val="0"/>
                <w:i w:val="0"/>
                <w:sz w:val="15"/>
              </w:rPr>
              <w:t xml:space="preserve"> as a condition. </w:t>
            </w:r>
            <w:r>
              <w:rPr>
                <w:b/>
                <w:i w:val="0"/>
                <w:sz w:val="15"/>
              </w:rPr>
              <w:t>Offer</w:t>
            </w:r>
            <w:r>
              <w:rPr>
                <w:b w:val="0"/>
                <w:i w:val="0"/>
                <w:sz w:val="15"/>
              </w:rPr>
              <w:t xml:space="preserve"> an expanded DS section (and a Committee letter in the solicitation package) before the June 12 hearing.</w:t>
            </w:r>
          </w:p>
        </w:tc>
      </w:tr>
      <w:tr>
        <w:tc>
          <w:tcPr>
            <w:tcW w:type="dxa" w:w="1224"/>
          </w:tcPr>
          <w:p>
            <w:pPr>
              <w:spacing w:after="20"/>
            </w:pPr>
            <w:r/>
            <w:r>
              <w:rPr>
                <w:b w:val="0"/>
                <w:i w:val="0"/>
                <w:sz w:val="15"/>
              </w:rPr>
              <w:t>B-4 Committee veto on waiver (#35)</w:t>
            </w:r>
          </w:p>
        </w:tc>
        <w:tc>
          <w:tcPr>
            <w:tcW w:type="dxa" w:w="1656"/>
          </w:tcPr>
          <w:p>
            <w:pPr>
              <w:spacing w:after="20"/>
            </w:pPr>
            <w:r/>
            <w:r>
              <w:rPr>
                <w:b w:val="0"/>
                <w:i w:val="0"/>
                <w:sz w:val="15"/>
              </w:rPr>
              <w:t>§ 9.3: conditions waivable by the Debtor with Timberline and First Meridian consent where for their benefit.</w:t>
            </w:r>
          </w:p>
        </w:tc>
        <w:tc>
          <w:tcPr>
            <w:tcW w:type="dxa" w:w="1872"/>
          </w:tcPr>
          <w:p>
            <w:pPr>
              <w:spacing w:after="20"/>
            </w:pPr>
            <w:r/>
            <w:r>
              <w:rPr>
                <w:b w:val="0"/>
                <w:i w:val="0"/>
                <w:sz w:val="15"/>
              </w:rPr>
              <w:t>The 9.1(g) condition cannot be waived without the Committee’s written consent.</w:t>
            </w:r>
          </w:p>
        </w:tc>
        <w:tc>
          <w:tcPr>
            <w:tcW w:type="dxa" w:w="3096"/>
          </w:tcPr>
          <w:p>
            <w:pPr>
              <w:spacing w:after="20"/>
            </w:pPr>
            <w:r/>
            <w:r>
              <w:rPr>
                <w:b w:val="0"/>
                <w:i w:val="0"/>
                <w:sz w:val="15"/>
              </w:rPr>
              <w:t>Gives a non-proponent a veto over consummation. With U-10 (any party may move to vacate), this becomes leverage to unwind confirmation.</w:t>
            </w:r>
          </w:p>
        </w:tc>
        <w:tc>
          <w:tcPr>
            <w:tcW w:type="dxa" w:w="576"/>
          </w:tcPr>
          <w:p>
            <w:pPr>
              <w:spacing w:after="20"/>
            </w:pPr>
            <w:r/>
            <w:r>
              <w:rPr>
                <w:b w:val="0"/>
                <w:i w:val="0"/>
                <w:sz w:val="15"/>
              </w:rPr>
              <w:t>High</w:t>
            </w:r>
          </w:p>
        </w:tc>
        <w:tc>
          <w:tcPr>
            <w:tcW w:type="dxa" w:w="1440"/>
          </w:tcPr>
          <w:p>
            <w:pPr>
              <w:spacing w:after="20"/>
            </w:pPr>
            <w:r/>
            <w:r>
              <w:rPr>
                <w:b/>
                <w:i w:val="0"/>
                <w:sz w:val="15"/>
              </w:rPr>
              <w:t>Reject.</w:t>
            </w:r>
          </w:p>
        </w:tc>
      </w:tr>
      <w:tr>
        <w:tc>
          <w:tcPr>
            <w:tcW w:type="dxa" w:w="1224"/>
          </w:tcPr>
          <w:p>
            <w:pPr>
              <w:spacing w:after="20"/>
            </w:pPr>
            <w:r/>
            <w:r>
              <w:rPr>
                <w:b w:val="0"/>
                <w:i w:val="0"/>
                <w:sz w:val="15"/>
              </w:rPr>
              <w:t>B-5 Injunction exception (#33)</w:t>
            </w:r>
          </w:p>
        </w:tc>
        <w:tc>
          <w:tcPr>
            <w:tcW w:type="dxa" w:w="1656"/>
          </w:tcPr>
          <w:p>
            <w:pPr>
              <w:spacing w:after="20"/>
            </w:pPr>
            <w:r/>
            <w:r>
              <w:rPr>
                <w:b w:val="0"/>
                <w:i w:val="0"/>
                <w:sz w:val="15"/>
              </w:rPr>
              <w:t>§ 10.2 enjoins actions against the Debtor, the Reorganized Debtor and Released Parties.</w:t>
            </w:r>
          </w:p>
        </w:tc>
        <w:tc>
          <w:tcPr>
            <w:tcW w:type="dxa" w:w="1872"/>
          </w:tcPr>
          <w:p>
            <w:pPr>
              <w:spacing w:after="20"/>
            </w:pPr>
            <w:r/>
            <w:r>
              <w:rPr>
                <w:b w:val="0"/>
                <w:i w:val="0"/>
                <w:sz w:val="15"/>
              </w:rPr>
              <w:t>Injunction does not bar claims preserved under §§ 8.1–8.2, including Dividend Recap claims.</w:t>
            </w:r>
          </w:p>
        </w:tc>
        <w:tc>
          <w:tcPr>
            <w:tcW w:type="dxa" w:w="3096"/>
          </w:tcPr>
          <w:p>
            <w:pPr>
              <w:spacing w:after="20"/>
            </w:pPr>
            <w:r/>
            <w:r>
              <w:rPr>
                <w:b w:val="0"/>
                <w:i w:val="0"/>
                <w:sz w:val="15"/>
              </w:rPr>
              <w:t>Acceptable only as a conforming change if a carve-out is agreed and limited to estate claims prosecuted by the trust. As drafted it could also let third parties sue on recap theories.</w:t>
            </w:r>
          </w:p>
        </w:tc>
        <w:tc>
          <w:tcPr>
            <w:tcW w:type="dxa" w:w="576"/>
          </w:tcPr>
          <w:p>
            <w:pPr>
              <w:spacing w:after="20"/>
            </w:pPr>
            <w:r/>
            <w:r>
              <w:rPr>
                <w:b w:val="0"/>
                <w:i w:val="0"/>
                <w:sz w:val="15"/>
              </w:rPr>
              <w:t>Medium</w:t>
            </w:r>
          </w:p>
        </w:tc>
        <w:tc>
          <w:tcPr>
            <w:tcW w:type="dxa" w:w="1440"/>
          </w:tcPr>
          <w:p>
            <w:pPr>
              <w:spacing w:after="20"/>
            </w:pPr>
            <w:r/>
            <w:r>
              <w:rPr>
                <w:b/>
                <w:i w:val="0"/>
                <w:sz w:val="15"/>
              </w:rPr>
              <w:t>Accept-Mod</w:t>
            </w:r>
            <w:r>
              <w:rPr>
                <w:b w:val="0"/>
                <w:i w:val="0"/>
                <w:sz w:val="15"/>
              </w:rPr>
              <w:t>: limit to estate causes of action vested in the Litigation Trust.</w:t>
            </w:r>
          </w:p>
        </w:tc>
      </w:tr>
      <w:tr>
        <w:tc>
          <w:tcPr>
            <w:tcW w:type="dxa" w:w="1224"/>
          </w:tcPr>
          <w:p>
            <w:pPr>
              <w:spacing w:after="20"/>
            </w:pPr>
            <w:r/>
            <w:r>
              <w:rPr>
                <w:b w:val="0"/>
                <w:i w:val="0"/>
                <w:sz w:val="15"/>
              </w:rPr>
              <w:t>B-6 Discharge proviso (#36)</w:t>
            </w:r>
          </w:p>
        </w:tc>
        <w:tc>
          <w:tcPr>
            <w:tcW w:type="dxa" w:w="1656"/>
          </w:tcPr>
          <w:p>
            <w:pPr>
              <w:spacing w:after="20"/>
            </w:pPr>
            <w:r/>
            <w:r>
              <w:rPr>
                <w:b w:val="0"/>
                <w:i w:val="0"/>
                <w:sz w:val="15"/>
              </w:rPr>
              <w:t>§ 10.1 discharge under § 1141(d).</w:t>
            </w:r>
          </w:p>
        </w:tc>
        <w:tc>
          <w:tcPr>
            <w:tcW w:type="dxa" w:w="1872"/>
          </w:tcPr>
          <w:p>
            <w:pPr>
              <w:spacing w:after="20"/>
            </w:pPr>
            <w:r/>
            <w:r>
              <w:rPr>
                <w:b w:val="0"/>
                <w:i w:val="0"/>
                <w:sz w:val="15"/>
              </w:rPr>
              <w:t>Discharge “shall not affect claims expressly preserved under Article VIII … including … the 2021 Dividend Recapitalization.”</w:t>
            </w:r>
          </w:p>
        </w:tc>
        <w:tc>
          <w:tcPr>
            <w:tcW w:type="dxa" w:w="3096"/>
          </w:tcPr>
          <w:p>
            <w:pPr>
              <w:spacing w:after="20"/>
            </w:pPr>
            <w:r/>
            <w:r>
              <w:rPr>
                <w:b w:val="0"/>
                <w:i w:val="0"/>
                <w:sz w:val="15"/>
              </w:rPr>
              <w:t xml:space="preserve">Dividend Recap claims are claims </w:t>
            </w:r>
            <w:r>
              <w:rPr>
                <w:b/>
                <w:i w:val="0"/>
                <w:sz w:val="15"/>
              </w:rPr>
              <w:t>of</w:t>
            </w:r>
            <w:r>
              <w:rPr>
                <w:b w:val="0"/>
                <w:i w:val="0"/>
                <w:sz w:val="15"/>
              </w:rPr>
              <w:t xml:space="preserve"> the estate, not claims </w:t>
            </w:r>
            <w:r>
              <w:rPr>
                <w:b/>
                <w:i w:val="0"/>
                <w:sz w:val="15"/>
              </w:rPr>
              <w:t>against</w:t>
            </w:r>
            <w:r>
              <w:rPr>
                <w:b w:val="0"/>
                <w:i w:val="0"/>
                <w:sz w:val="15"/>
              </w:rPr>
              <w:t xml:space="preserve"> the Debtor, so no discharge exception is needed. As drafted, the proviso could be read to preserve claims </w:t>
            </w:r>
            <w:r>
              <w:rPr>
                <w:b/>
                <w:i w:val="0"/>
                <w:sz w:val="15"/>
              </w:rPr>
              <w:t>against</w:t>
            </w:r>
            <w:r>
              <w:rPr>
                <w:b w:val="0"/>
                <w:i w:val="0"/>
                <w:sz w:val="15"/>
              </w:rPr>
              <w:t xml:space="preserve"> the Debtor arising from the recap (e.g., indemnification or contribution claims of dividend recipients or the noteholder), which would undermine the discharge.</w:t>
            </w:r>
          </w:p>
        </w:tc>
        <w:tc>
          <w:tcPr>
            <w:tcW w:type="dxa" w:w="576"/>
          </w:tcPr>
          <w:p>
            <w:pPr>
              <w:spacing w:after="20"/>
            </w:pPr>
            <w:r/>
            <w:r>
              <w:rPr>
                <w:b w:val="0"/>
                <w:i w:val="0"/>
                <w:sz w:val="15"/>
              </w:rPr>
              <w:t>High</w:t>
            </w:r>
          </w:p>
        </w:tc>
        <w:tc>
          <w:tcPr>
            <w:tcW w:type="dxa" w:w="1440"/>
          </w:tcPr>
          <w:p>
            <w:pPr>
              <w:spacing w:after="20"/>
            </w:pPr>
            <w:r/>
            <w:r>
              <w:rPr>
                <w:b/>
                <w:i w:val="0"/>
                <w:sz w:val="15"/>
              </w:rPr>
              <w:t>Reject</w:t>
            </w:r>
            <w:r>
              <w:rPr>
                <w:b w:val="0"/>
                <w:i w:val="0"/>
                <w:sz w:val="15"/>
              </w:rPr>
              <w:t>; if necessary, add a clarifying sentence that estate causes of action vest in the trust.</w:t>
            </w:r>
          </w:p>
        </w:tc>
      </w:tr>
      <w:tr>
        <w:tc>
          <w:tcPr>
            <w:tcW w:type="dxa" w:w="1224"/>
          </w:tcPr>
          <w:p>
            <w:pPr>
              <w:spacing w:after="20"/>
            </w:pPr>
            <w:r/>
            <w:r>
              <w:rPr>
                <w:b w:val="0"/>
                <w:i w:val="0"/>
                <w:sz w:val="15"/>
              </w:rPr>
              <w:t>B-7 Exculpation (no change)</w:t>
            </w:r>
          </w:p>
        </w:tc>
        <w:tc>
          <w:tcPr>
            <w:tcW w:type="dxa" w:w="1656"/>
          </w:tcPr>
          <w:p>
            <w:pPr>
              <w:spacing w:after="20"/>
            </w:pPr>
            <w:r/>
            <w:r>
              <w:rPr>
                <w:b w:val="0"/>
                <w:i w:val="0"/>
                <w:sz w:val="15"/>
              </w:rPr>
              <w:t>§ 10.3: Debtor, Reorganized Debtor, Committee and their professionals; carve-out for willful misconduct, gross negligence and fraud.</w:t>
            </w:r>
          </w:p>
        </w:tc>
        <w:tc>
          <w:tcPr>
            <w:tcW w:type="dxa" w:w="1872"/>
          </w:tcPr>
          <w:p>
            <w:pPr>
              <w:spacing w:after="20"/>
            </w:pPr>
            <w:r/>
            <w:r>
              <w:rPr>
                <w:b w:val="0"/>
                <w:i w:val="0"/>
                <w:sz w:val="15"/>
              </w:rPr>
              <w:t>Unchanged in substance.</w:t>
            </w:r>
          </w:p>
        </w:tc>
        <w:tc>
          <w:tcPr>
            <w:tcW w:type="dxa" w:w="3096"/>
          </w:tcPr>
          <w:p>
            <w:pPr>
              <w:spacing w:after="20"/>
            </w:pPr>
            <w:r/>
            <w:r>
              <w:rPr>
                <w:b w:val="0"/>
                <w:i w:val="0"/>
                <w:sz w:val="15"/>
              </w:rPr>
              <w:t>Note: the Committee keeps its own exculpation while stripping Timberline’s release. The DS summary omits the “fraud” carve-out (Section VIII).</w:t>
            </w:r>
          </w:p>
        </w:tc>
        <w:tc>
          <w:tcPr>
            <w:tcW w:type="dxa" w:w="576"/>
          </w:tcPr>
          <w:p>
            <w:pPr>
              <w:spacing w:after="20"/>
            </w:pPr>
            <w:r/>
            <w:r>
              <w:rPr>
                <w:b w:val="0"/>
                <w:i w:val="0"/>
                <w:sz w:val="15"/>
              </w:rPr>
              <w:t>Low</w:t>
            </w:r>
          </w:p>
        </w:tc>
        <w:tc>
          <w:tcPr>
            <w:tcW w:type="dxa" w:w="1440"/>
          </w:tcPr>
          <w:p>
            <w:pPr>
              <w:spacing w:after="20"/>
            </w:pPr>
            <w:r/>
            <w:r>
              <w:rPr>
                <w:b w:val="0"/>
                <w:i w:val="0"/>
                <w:sz w:val="15"/>
              </w:rPr>
              <w:t>Conform the DS.</w:t>
            </w:r>
          </w:p>
        </w:tc>
      </w:tr>
    </w:tbl>
    <w:p>
      <w:pPr>
        <w:spacing w:after="40"/>
      </w:pPr>
    </w:p>
    <w:p>
      <w:pPr>
        <w:pStyle w:val="Heading2"/>
      </w:pPr>
      <w:r>
        <w:t>C. Governance and Litigation Trust</w:t>
      </w:r>
    </w:p>
    <w:tbl>
      <w:tblPr>
        <w:tblStyle w:val="TableGrid"/>
        <w:tblW w:type="auto" w:w="0"/>
        <w:jc w:val="center"/>
        <w:tblLayout w:type="fixed"/>
        <w:tblLook w:firstColumn="1" w:firstRow="1" w:lastColumn="0" w:lastRow="0" w:noHBand="0" w:noVBand="1" w:val="04A0"/>
      </w:tblPr>
      <w:tblGrid>
        <w:gridCol w:w="1224"/>
        <w:gridCol w:w="1655"/>
        <w:gridCol w:w="1872"/>
        <w:gridCol w:w="3096"/>
        <w:gridCol w:w="576"/>
        <w:gridCol w:w="1440"/>
      </w:tblGrid>
      <w:tr>
        <w:tc>
          <w:tcPr>
            <w:tcW w:type="dxa" w:w="1224"/>
            <w:shd w:val="clear" w:color="auto" w:fill="D9E2F3"/>
          </w:tcPr>
          <w:p>
            <w:pPr>
              <w:spacing w:after="20"/>
            </w:pPr>
            <w:r/>
            <w:r>
              <w:rPr>
                <w:b/>
                <w:i w:val="0"/>
                <w:sz w:val="15"/>
              </w:rPr>
              <w:t>Item (Chg #)</w:t>
            </w:r>
          </w:p>
        </w:tc>
        <w:tc>
          <w:tcPr>
            <w:tcW w:type="dxa" w:w="1656"/>
            <w:shd w:val="clear" w:color="auto" w:fill="D9E2F3"/>
          </w:tcPr>
          <w:p>
            <w:pPr>
              <w:spacing w:after="20"/>
            </w:pPr>
            <w:r/>
            <w:r>
              <w:rPr>
                <w:b/>
                <w:i w:val="0"/>
                <w:sz w:val="15"/>
              </w:rPr>
              <w:t>Filed Plan</w:t>
            </w:r>
          </w:p>
        </w:tc>
        <w:tc>
          <w:tcPr>
            <w:tcW w:type="dxa" w:w="1872"/>
            <w:shd w:val="clear" w:color="auto" w:fill="D9E2F3"/>
          </w:tcPr>
          <w:p>
            <w:pPr>
              <w:spacing w:after="20"/>
            </w:pPr>
            <w:r/>
            <w:r>
              <w:rPr>
                <w:b/>
                <w:i w:val="0"/>
                <w:sz w:val="15"/>
              </w:rPr>
              <w:t>Committee Redline</w:t>
            </w:r>
          </w:p>
        </w:tc>
        <w:tc>
          <w:tcPr>
            <w:tcW w:type="dxa" w:w="3096"/>
            <w:shd w:val="clear" w:color="auto" w:fill="D9E2F3"/>
          </w:tcPr>
          <w:p>
            <w:pPr>
              <w:spacing w:after="20"/>
            </w:pPr>
            <w:r/>
            <w:r>
              <w:rPr>
                <w:b/>
                <w:i w:val="0"/>
                <w:sz w:val="15"/>
              </w:rPr>
              <w:t>Impact analysis</w:t>
            </w:r>
          </w:p>
        </w:tc>
        <w:tc>
          <w:tcPr>
            <w:tcW w:type="dxa" w:w="576"/>
            <w:shd w:val="clear" w:color="auto" w:fill="D9E2F3"/>
          </w:tcPr>
          <w:p>
            <w:pPr>
              <w:spacing w:after="20"/>
            </w:pPr>
            <w:r/>
            <w:r>
              <w:rPr>
                <w:b/>
                <w:i w:val="0"/>
                <w:sz w:val="15"/>
              </w:rPr>
              <w:t>Sev.</w:t>
            </w:r>
          </w:p>
        </w:tc>
        <w:tc>
          <w:tcPr>
            <w:tcW w:type="dxa" w:w="1440"/>
            <w:shd w:val="clear" w:color="auto" w:fill="D9E2F3"/>
          </w:tcPr>
          <w:p>
            <w:pPr>
              <w:spacing w:after="20"/>
            </w:pPr>
            <w:r/>
            <w:r>
              <w:rPr>
                <w:b/>
                <w:i w:val="0"/>
                <w:sz w:val="15"/>
              </w:rPr>
              <w:t>Recommendation</w:t>
            </w:r>
          </w:p>
        </w:tc>
      </w:tr>
      <w:tr>
        <w:tc>
          <w:tcPr>
            <w:tcW w:type="dxa" w:w="1224"/>
          </w:tcPr>
          <w:p>
            <w:pPr>
              <w:spacing w:after="20"/>
            </w:pPr>
            <w:r/>
            <w:r>
              <w:rPr>
                <w:b w:val="0"/>
                <w:i w:val="0"/>
                <w:sz w:val="15"/>
              </w:rPr>
              <w:t>C-1 Board (#26)</w:t>
            </w:r>
          </w:p>
        </w:tc>
        <w:tc>
          <w:tcPr>
            <w:tcW w:type="dxa" w:w="1656"/>
          </w:tcPr>
          <w:p>
            <w:pPr>
              <w:spacing w:after="20"/>
            </w:pPr>
            <w:r/>
            <w:r>
              <w:rPr>
                <w:b w:val="0"/>
                <w:i w:val="0"/>
                <w:sz w:val="15"/>
              </w:rPr>
              <w:t>§ 5.4: 3 Timberline / 1 Committee / 1 independent (mutually selected).</w:t>
            </w:r>
          </w:p>
        </w:tc>
        <w:tc>
          <w:tcPr>
            <w:tcW w:type="dxa" w:w="1872"/>
          </w:tcPr>
          <w:p>
            <w:pPr>
              <w:spacing w:after="20"/>
            </w:pPr>
            <w:r/>
            <w:r>
              <w:rPr>
                <w:b w:val="0"/>
                <w:i w:val="0"/>
                <w:sz w:val="15"/>
              </w:rPr>
              <w:t>2 Timberline / 2 Committee / 1 independent. After dissolution, designation passes to holders of more than 50% of GUC claims.</w:t>
            </w:r>
          </w:p>
        </w:tc>
        <w:tc>
          <w:tcPr>
            <w:tcW w:type="dxa" w:w="3096"/>
          </w:tcPr>
          <w:p>
            <w:pPr>
              <w:spacing w:after="20"/>
            </w:pPr>
            <w:r/>
            <w:r>
              <w:rPr>
                <w:b w:val="0"/>
                <w:i w:val="0"/>
                <w:sz w:val="15"/>
              </w:rPr>
              <w:t>Timberline would hold up to 100% of the equity with only 40% of the board. GUCs hold no equity, so two seats have no economic basis. The independent director then decides every contested vote. This is likely unacceptable to Timberline and may be inconsistent with the Governance Documents and § 1123(a)(7) (selection consistent with creditor and equity interests).</w:t>
            </w:r>
          </w:p>
        </w:tc>
        <w:tc>
          <w:tcPr>
            <w:tcW w:type="dxa" w:w="576"/>
          </w:tcPr>
          <w:p>
            <w:pPr>
              <w:spacing w:after="20"/>
            </w:pPr>
            <w:r/>
            <w:r>
              <w:rPr>
                <w:b w:val="0"/>
                <w:i w:val="0"/>
                <w:sz w:val="15"/>
              </w:rPr>
              <w:t>Medium</w:t>
            </w:r>
          </w:p>
        </w:tc>
        <w:tc>
          <w:tcPr>
            <w:tcW w:type="dxa" w:w="1440"/>
          </w:tcPr>
          <w:p>
            <w:pPr>
              <w:spacing w:after="20"/>
            </w:pPr>
            <w:r/>
            <w:r>
              <w:rPr>
                <w:b/>
                <w:i w:val="0"/>
                <w:sz w:val="15"/>
              </w:rPr>
              <w:t>Counter</w:t>
            </w:r>
            <w:r>
              <w:rPr>
                <w:b w:val="0"/>
                <w:i w:val="0"/>
                <w:sz w:val="15"/>
              </w:rPr>
              <w:t>: keep 3-1-1. Offer a board observer and information rights while deferred GUC payments are outstanding, and Committee consent over the independent director’s qualifications.</w:t>
            </w:r>
          </w:p>
        </w:tc>
      </w:tr>
      <w:tr>
        <w:tc>
          <w:tcPr>
            <w:tcW w:type="dxa" w:w="1224"/>
          </w:tcPr>
          <w:p>
            <w:pPr>
              <w:spacing w:after="20"/>
            </w:pPr>
            <w:r/>
            <w:r>
              <w:rPr>
                <w:b w:val="0"/>
                <w:i w:val="0"/>
                <w:sz w:val="15"/>
              </w:rPr>
              <w:t>C-2 Litigation Trustee selection (#28)</w:t>
            </w:r>
          </w:p>
        </w:tc>
        <w:tc>
          <w:tcPr>
            <w:tcW w:type="dxa" w:w="1656"/>
          </w:tcPr>
          <w:p>
            <w:pPr>
              <w:spacing w:after="20"/>
            </w:pPr>
            <w:r/>
            <w:r>
              <w:rPr>
                <w:b w:val="0"/>
                <w:i w:val="0"/>
                <w:sz w:val="15"/>
              </w:rPr>
              <w:t>§ 5.9(b): appointed by the Reorganized Debtor with Committee consent (not unreasonably withheld).</w:t>
            </w:r>
          </w:p>
        </w:tc>
        <w:tc>
          <w:tcPr>
            <w:tcW w:type="dxa" w:w="1872"/>
          </w:tcPr>
          <w:p>
            <w:pPr>
              <w:spacing w:after="20"/>
            </w:pPr>
            <w:r/>
            <w:r>
              <w:rPr>
                <w:b w:val="0"/>
                <w:i w:val="0"/>
                <w:sz w:val="15"/>
              </w:rPr>
              <w:t>Selected by the Committee with Debtor consent; the base text gives the trustee “exclusive authority” over all Avoidance and Retained Actions.</w:t>
            </w:r>
          </w:p>
        </w:tc>
        <w:tc>
          <w:tcPr>
            <w:tcW w:type="dxa" w:w="3096"/>
          </w:tcPr>
          <w:p>
            <w:pPr>
              <w:spacing w:after="20"/>
            </w:pPr>
            <w:r/>
            <w:r>
              <w:rPr>
                <w:b w:val="0"/>
                <w:i w:val="0"/>
                <w:sz w:val="15"/>
              </w:rPr>
              <w:t>Committee members may be preference defendants, which is a direct conflict. Control should follow economics: if proceeds are shared, so is selection.</w:t>
            </w:r>
          </w:p>
        </w:tc>
        <w:tc>
          <w:tcPr>
            <w:tcW w:type="dxa" w:w="576"/>
          </w:tcPr>
          <w:p>
            <w:pPr>
              <w:spacing w:after="20"/>
            </w:pPr>
            <w:r/>
            <w:r>
              <w:rPr>
                <w:b w:val="0"/>
                <w:i w:val="0"/>
                <w:sz w:val="15"/>
              </w:rPr>
              <w:t>Medium</w:t>
            </w:r>
          </w:p>
        </w:tc>
        <w:tc>
          <w:tcPr>
            <w:tcW w:type="dxa" w:w="1440"/>
          </w:tcPr>
          <w:p>
            <w:pPr>
              <w:spacing w:after="20"/>
            </w:pPr>
            <w:r/>
            <w:r>
              <w:rPr>
                <w:b/>
                <w:i w:val="0"/>
                <w:sz w:val="15"/>
              </w:rPr>
              <w:t>Counter</w:t>
            </w:r>
            <w:r>
              <w:rPr>
                <w:b w:val="0"/>
                <w:i w:val="0"/>
                <w:sz w:val="15"/>
              </w:rPr>
              <w:t>: independent trustee jointly selected; recusal and conflict protocol for Committee-member defendants; a trust oversight board with Reorganized Debtor representation.</w:t>
            </w:r>
          </w:p>
        </w:tc>
      </w:tr>
      <w:tr>
        <w:tc>
          <w:tcPr>
            <w:tcW w:type="dxa" w:w="1224"/>
          </w:tcPr>
          <w:p>
            <w:pPr>
              <w:spacing w:after="20"/>
            </w:pPr>
            <w:r/>
            <w:r>
              <w:rPr>
                <w:b w:val="0"/>
                <w:i w:val="0"/>
                <w:sz w:val="15"/>
              </w:rPr>
              <w:t>C-3 Trust distributions (#29, #37)</w:t>
            </w:r>
          </w:p>
        </w:tc>
        <w:tc>
          <w:tcPr>
            <w:tcW w:type="dxa" w:w="1656"/>
          </w:tcPr>
          <w:p>
            <w:pPr>
              <w:spacing w:after="20"/>
            </w:pPr>
            <w:r/>
            <w:r>
              <w:rPr>
                <w:b w:val="0"/>
                <w:i w:val="0"/>
                <w:sz w:val="15"/>
              </w:rPr>
              <w:t>Proceeds retained by the Reorganized Debtor.</w:t>
            </w:r>
          </w:p>
        </w:tc>
        <w:tc>
          <w:tcPr>
            <w:tcW w:type="dxa" w:w="1872"/>
          </w:tcPr>
          <w:p>
            <w:pPr>
              <w:spacing w:after="20"/>
            </w:pPr>
            <w:r/>
            <w:r>
              <w:rPr>
                <w:b w:val="0"/>
                <w:i w:val="0"/>
                <w:sz w:val="15"/>
              </w:rPr>
              <w:t>Semi-annual distributions by the trustee to GUCs; Bankruptcy Court jurisdiction over distribution disputes.</w:t>
            </w:r>
          </w:p>
        </w:tc>
        <w:tc>
          <w:tcPr>
            <w:tcW w:type="dxa" w:w="3096"/>
          </w:tcPr>
          <w:p>
            <w:pPr>
              <w:spacing w:after="20"/>
            </w:pPr>
            <w:r/>
            <w:r>
              <w:rPr>
                <w:b w:val="0"/>
                <w:i w:val="0"/>
                <w:sz w:val="15"/>
              </w:rPr>
              <w:t>Mechanics are acceptable if an allocation is agreed. Note the § 4.3(c)/§ 6.7(c) cross-references to “Section 7.4” and “Section 1.1” are inconsistent with each other.</w:t>
            </w:r>
          </w:p>
        </w:tc>
        <w:tc>
          <w:tcPr>
            <w:tcW w:type="dxa" w:w="576"/>
          </w:tcPr>
          <w:p>
            <w:pPr>
              <w:spacing w:after="20"/>
            </w:pPr>
            <w:r/>
            <w:r>
              <w:rPr>
                <w:b w:val="0"/>
                <w:i w:val="0"/>
                <w:sz w:val="15"/>
              </w:rPr>
              <w:t>Low</w:t>
            </w:r>
          </w:p>
        </w:tc>
        <w:tc>
          <w:tcPr>
            <w:tcW w:type="dxa" w:w="1440"/>
          </w:tcPr>
          <w:p>
            <w:pPr>
              <w:spacing w:after="20"/>
            </w:pPr>
            <w:r/>
            <w:r>
              <w:rPr>
                <w:b/>
                <w:i w:val="0"/>
                <w:sz w:val="15"/>
              </w:rPr>
              <w:t>Accept-Mod</w:t>
            </w:r>
            <w:r>
              <w:rPr>
                <w:b w:val="0"/>
                <w:i w:val="0"/>
                <w:sz w:val="15"/>
              </w:rPr>
              <w:t>, conformed to the agreed sharing formula.</w:t>
            </w:r>
          </w:p>
        </w:tc>
      </w:tr>
    </w:tbl>
    <w:p>
      <w:pPr>
        <w:spacing w:after="40"/>
      </w:pPr>
    </w:p>
    <w:p>
      <w:pPr>
        <w:pStyle w:val="Heading2"/>
      </w:pPr>
      <w:r>
        <w:t>D. Executory Contracts</w:t>
      </w:r>
    </w:p>
    <w:tbl>
      <w:tblPr>
        <w:tblStyle w:val="TableGrid"/>
        <w:tblW w:type="auto" w:w="0"/>
        <w:jc w:val="center"/>
        <w:tblLayout w:type="fixed"/>
        <w:tblLook w:firstColumn="1" w:firstRow="1" w:lastColumn="0" w:lastRow="0" w:noHBand="0" w:noVBand="1" w:val="04A0"/>
      </w:tblPr>
      <w:tblGrid>
        <w:gridCol w:w="1224"/>
        <w:gridCol w:w="1655"/>
        <w:gridCol w:w="1872"/>
        <w:gridCol w:w="3096"/>
        <w:gridCol w:w="576"/>
        <w:gridCol w:w="1440"/>
      </w:tblGrid>
      <w:tr>
        <w:tc>
          <w:tcPr>
            <w:tcW w:type="dxa" w:w="1224"/>
            <w:shd w:val="clear" w:color="auto" w:fill="D9E2F3"/>
          </w:tcPr>
          <w:p>
            <w:pPr>
              <w:spacing w:after="20"/>
            </w:pPr>
            <w:r/>
            <w:r>
              <w:rPr>
                <w:b/>
                <w:i w:val="0"/>
                <w:sz w:val="15"/>
              </w:rPr>
              <w:t>Item (Chg #)</w:t>
            </w:r>
          </w:p>
        </w:tc>
        <w:tc>
          <w:tcPr>
            <w:tcW w:type="dxa" w:w="1656"/>
            <w:shd w:val="clear" w:color="auto" w:fill="D9E2F3"/>
          </w:tcPr>
          <w:p>
            <w:pPr>
              <w:spacing w:after="20"/>
            </w:pPr>
            <w:r/>
            <w:r>
              <w:rPr>
                <w:b/>
                <w:i w:val="0"/>
                <w:sz w:val="15"/>
              </w:rPr>
              <w:t>Filed Plan</w:t>
            </w:r>
          </w:p>
        </w:tc>
        <w:tc>
          <w:tcPr>
            <w:tcW w:type="dxa" w:w="1872"/>
            <w:shd w:val="clear" w:color="auto" w:fill="D9E2F3"/>
          </w:tcPr>
          <w:p>
            <w:pPr>
              <w:spacing w:after="20"/>
            </w:pPr>
            <w:r/>
            <w:r>
              <w:rPr>
                <w:b/>
                <w:i w:val="0"/>
                <w:sz w:val="15"/>
              </w:rPr>
              <w:t>Committee Redline</w:t>
            </w:r>
          </w:p>
        </w:tc>
        <w:tc>
          <w:tcPr>
            <w:tcW w:type="dxa" w:w="3096"/>
            <w:shd w:val="clear" w:color="auto" w:fill="D9E2F3"/>
          </w:tcPr>
          <w:p>
            <w:pPr>
              <w:spacing w:after="20"/>
            </w:pPr>
            <w:r/>
            <w:r>
              <w:rPr>
                <w:b/>
                <w:i w:val="0"/>
                <w:sz w:val="15"/>
              </w:rPr>
              <w:t>Impact analysis</w:t>
            </w:r>
          </w:p>
        </w:tc>
        <w:tc>
          <w:tcPr>
            <w:tcW w:type="dxa" w:w="576"/>
            <w:shd w:val="clear" w:color="auto" w:fill="D9E2F3"/>
          </w:tcPr>
          <w:p>
            <w:pPr>
              <w:spacing w:after="20"/>
            </w:pPr>
            <w:r/>
            <w:r>
              <w:rPr>
                <w:b/>
                <w:i w:val="0"/>
                <w:sz w:val="15"/>
              </w:rPr>
              <w:t>Sev.</w:t>
            </w:r>
          </w:p>
        </w:tc>
        <w:tc>
          <w:tcPr>
            <w:tcW w:type="dxa" w:w="1440"/>
            <w:shd w:val="clear" w:color="auto" w:fill="D9E2F3"/>
          </w:tcPr>
          <w:p>
            <w:pPr>
              <w:spacing w:after="20"/>
            </w:pPr>
            <w:r/>
            <w:r>
              <w:rPr>
                <w:b/>
                <w:i w:val="0"/>
                <w:sz w:val="15"/>
              </w:rPr>
              <w:t>Recommendation</w:t>
            </w:r>
          </w:p>
        </w:tc>
      </w:tr>
      <w:tr>
        <w:tc>
          <w:tcPr>
            <w:tcW w:type="dxa" w:w="1224"/>
          </w:tcPr>
          <w:p>
            <w:pPr>
              <w:spacing w:after="20"/>
            </w:pPr>
            <w:r/>
            <w:r>
              <w:rPr>
                <w:b w:val="0"/>
                <w:i w:val="0"/>
                <w:sz w:val="15"/>
              </w:rPr>
              <w:t>D-1 Rejection standard (#30)</w:t>
            </w:r>
          </w:p>
        </w:tc>
        <w:tc>
          <w:tcPr>
            <w:tcW w:type="dxa" w:w="1656"/>
          </w:tcPr>
          <w:p>
            <w:pPr>
              <w:spacing w:after="20"/>
            </w:pPr>
            <w:r/>
            <w:r>
              <w:rPr>
                <w:b w:val="0"/>
                <w:i w:val="0"/>
                <w:sz w:val="15"/>
              </w:rPr>
              <w:t>§ 8.2: business judgment.</w:t>
            </w:r>
          </w:p>
        </w:tc>
        <w:tc>
          <w:tcPr>
            <w:tcW w:type="dxa" w:w="1872"/>
          </w:tcPr>
          <w:p>
            <w:pPr>
              <w:spacing w:after="20"/>
            </w:pPr>
            <w:r/>
            <w:r>
              <w:rPr>
                <w:b w:val="0"/>
                <w:i w:val="0"/>
                <w:sz w:val="15"/>
              </w:rPr>
              <w:t>“Reasonable determination that continued performance … would impose a material net burden.”</w:t>
            </w:r>
          </w:p>
        </w:tc>
        <w:tc>
          <w:tcPr>
            <w:tcW w:type="dxa" w:w="3096"/>
          </w:tcPr>
          <w:p>
            <w:pPr>
              <w:spacing w:after="20"/>
            </w:pPr>
            <w:r/>
            <w:r>
              <w:rPr>
                <w:b w:val="0"/>
                <w:i w:val="0"/>
                <w:sz w:val="15"/>
              </w:rPr>
              <w:t>The business-judgment standard governs rejection (NLRB v. Bildisco &amp; Bildisco, 465 U.S. 513 (1984)). A novel heightened plan standard invites litigation over every rejection, including PacWest ($1.8M per year) and five others. The rationale cited is the protection of Committee members as counterparties. Rejection damages also enlarge the GUC pool, which dilutes other unsecured creditors.</w:t>
            </w:r>
          </w:p>
        </w:tc>
        <w:tc>
          <w:tcPr>
            <w:tcW w:type="dxa" w:w="576"/>
          </w:tcPr>
          <w:p>
            <w:pPr>
              <w:spacing w:after="20"/>
            </w:pPr>
            <w:r/>
            <w:r>
              <w:rPr>
                <w:b w:val="0"/>
                <w:i w:val="0"/>
                <w:sz w:val="15"/>
              </w:rPr>
              <w:t>Medium</w:t>
            </w:r>
          </w:p>
        </w:tc>
        <w:tc>
          <w:tcPr>
            <w:tcW w:type="dxa" w:w="1440"/>
          </w:tcPr>
          <w:p>
            <w:pPr>
              <w:spacing w:after="20"/>
            </w:pPr>
            <w:r/>
            <w:r>
              <w:rPr>
                <w:b/>
                <w:i w:val="0"/>
                <w:sz w:val="15"/>
              </w:rPr>
              <w:t>Reject.</w:t>
            </w:r>
            <w:r>
              <w:rPr>
                <w:b w:val="0"/>
                <w:i w:val="0"/>
                <w:sz w:val="15"/>
              </w:rPr>
              <w:t xml:space="preserve"> Offer procedural protections instead: notice of any post-filing schedule change, an objection window, and a rejection-damages bar date of 30 days after notice.</w:t>
            </w:r>
          </w:p>
        </w:tc>
      </w:tr>
      <w:tr>
        <w:tc>
          <w:tcPr>
            <w:tcW w:type="dxa" w:w="1224"/>
          </w:tcPr>
          <w:p>
            <w:pPr>
              <w:spacing w:after="20"/>
            </w:pPr>
            <w:r/>
            <w:r>
              <w:rPr>
                <w:b w:val="0"/>
                <w:i w:val="0"/>
                <w:sz w:val="15"/>
              </w:rPr>
              <w:t>D-2 Olympic agreement date (#43)</w:t>
            </w:r>
          </w:p>
        </w:tc>
        <w:tc>
          <w:tcPr>
            <w:tcW w:type="dxa" w:w="1656"/>
          </w:tcPr>
          <w:p>
            <w:pPr>
              <w:spacing w:after="20"/>
            </w:pPr>
            <w:r/>
            <w:r>
              <w:rPr>
                <w:b w:val="0"/>
                <w:i w:val="0"/>
                <w:sz w:val="15"/>
              </w:rPr>
              <w:t>Mar. 15, 2019 (§ 8.1(a); Ex. C No. 1).</w:t>
            </w:r>
          </w:p>
        </w:tc>
        <w:tc>
          <w:tcPr>
            <w:tcW w:type="dxa" w:w="1872"/>
          </w:tcPr>
          <w:p>
            <w:pPr>
              <w:spacing w:after="20"/>
            </w:pPr>
            <w:r/>
            <w:r>
              <w:rPr>
                <w:b w:val="0"/>
                <w:i w:val="0"/>
                <w:sz w:val="15"/>
              </w:rPr>
              <w:t>Mar. 15, 2020, citing the Schedules and Claim No. 147.</w:t>
            </w:r>
          </w:p>
        </w:tc>
        <w:tc>
          <w:tcPr>
            <w:tcW w:type="dxa" w:w="3096"/>
          </w:tcPr>
          <w:p>
            <w:pPr>
              <w:spacing w:after="20"/>
            </w:pPr>
            <w:r/>
            <w:r>
              <w:rPr>
                <w:b w:val="0"/>
                <w:i w:val="0"/>
                <w:sz w:val="15"/>
              </w:rPr>
              <w:t>The $22M-per-year agreement is critical to the Centralia mill. A wrong date in the assumption schedule creates ambiguity about which contract is assumed. The Filed Plan lists cure as $0 (current), so a proof of claim by Olympic is itself unexpected and needs checking.</w:t>
            </w:r>
          </w:p>
        </w:tc>
        <w:tc>
          <w:tcPr>
            <w:tcW w:type="dxa" w:w="576"/>
          </w:tcPr>
          <w:p>
            <w:pPr>
              <w:spacing w:after="20"/>
            </w:pPr>
            <w:r/>
            <w:r>
              <w:rPr>
                <w:b w:val="0"/>
                <w:i w:val="0"/>
                <w:sz w:val="15"/>
              </w:rPr>
              <w:t>Medium</w:t>
            </w:r>
          </w:p>
        </w:tc>
        <w:tc>
          <w:tcPr>
            <w:tcW w:type="dxa" w:w="1440"/>
          </w:tcPr>
          <w:p>
            <w:pPr>
              <w:spacing w:after="20"/>
            </w:pPr>
            <w:r/>
            <w:r>
              <w:rPr>
                <w:b/>
                <w:i w:val="0"/>
                <w:sz w:val="15"/>
              </w:rPr>
              <w:t>Do not accept</w:t>
            </w:r>
            <w:r>
              <w:rPr>
                <w:b w:val="0"/>
                <w:i w:val="0"/>
                <w:sz w:val="15"/>
              </w:rPr>
              <w:t xml:space="preserve"> until verified against the executed agreement and Claim No. 147.</w:t>
            </w:r>
          </w:p>
        </w:tc>
      </w:tr>
      <w:tr>
        <w:tc>
          <w:tcPr>
            <w:tcW w:type="dxa" w:w="1224"/>
          </w:tcPr>
          <w:p>
            <w:pPr>
              <w:spacing w:after="20"/>
            </w:pPr>
            <w:r/>
            <w:r>
              <w:rPr>
                <w:b w:val="0"/>
                <w:i w:val="0"/>
                <w:sz w:val="15"/>
              </w:rPr>
              <w:t>D-3 Deschutes River Environmental value (#45)</w:t>
            </w:r>
          </w:p>
        </w:tc>
        <w:tc>
          <w:tcPr>
            <w:tcW w:type="dxa" w:w="1656"/>
          </w:tcPr>
          <w:p>
            <w:pPr>
              <w:spacing w:after="20"/>
            </w:pPr>
            <w:r/>
            <w:r>
              <w:rPr>
                <w:b w:val="0"/>
                <w:i w:val="0"/>
                <w:sz w:val="15"/>
              </w:rPr>
              <w:t>Not on the filed Ex. C.</w:t>
            </w:r>
          </w:p>
        </w:tc>
        <w:tc>
          <w:tcPr>
            <w:tcW w:type="dxa" w:w="1872"/>
          </w:tcPr>
          <w:p>
            <w:pPr>
              <w:spacing w:after="20"/>
            </w:pPr>
            <w:r/>
            <w:r>
              <w:rPr>
                <w:b w:val="0"/>
                <w:i w:val="0"/>
                <w:sz w:val="15"/>
              </w:rPr>
              <w:t>$180K to $108K per year, citing Claim No. 203 and a Nov. 1, 2023 amendment.</w:t>
            </w:r>
          </w:p>
        </w:tc>
        <w:tc>
          <w:tcPr>
            <w:tcW w:type="dxa" w:w="3096"/>
          </w:tcPr>
          <w:p>
            <w:pPr>
              <w:spacing w:after="20"/>
            </w:pPr>
            <w:r/>
            <w:r>
              <w:rPr>
                <w:b w:val="0"/>
                <w:i w:val="0"/>
                <w:sz w:val="15"/>
              </w:rPr>
              <w:t>Not disclosed in the Transmittal. It relates to a contract on the Committee’s non-conforming schedule. A rejection-damages figure feeds into GUC claims.</w:t>
            </w:r>
          </w:p>
        </w:tc>
        <w:tc>
          <w:tcPr>
            <w:tcW w:type="dxa" w:w="576"/>
          </w:tcPr>
          <w:p>
            <w:pPr>
              <w:spacing w:after="20"/>
            </w:pPr>
            <w:r/>
            <w:r>
              <w:rPr>
                <w:b w:val="0"/>
                <w:i w:val="0"/>
                <w:sz w:val="15"/>
              </w:rPr>
              <w:t>Low</w:t>
            </w:r>
          </w:p>
        </w:tc>
        <w:tc>
          <w:tcPr>
            <w:tcW w:type="dxa" w:w="1440"/>
          </w:tcPr>
          <w:p>
            <w:pPr>
              <w:spacing w:after="20"/>
            </w:pPr>
            <w:r/>
            <w:r>
              <w:rPr>
                <w:b/>
                <w:i w:val="0"/>
                <w:sz w:val="15"/>
              </w:rPr>
              <w:t>Reject</w:t>
            </w:r>
            <w:r>
              <w:rPr>
                <w:b w:val="0"/>
                <w:i w:val="0"/>
                <w:sz w:val="15"/>
              </w:rPr>
              <w:t xml:space="preserve"> as moot. If the contract exists, add it to the filed Ex. C with verified terms.</w:t>
            </w:r>
          </w:p>
        </w:tc>
      </w:tr>
      <w:tr>
        <w:tc>
          <w:tcPr>
            <w:tcW w:type="dxa" w:w="1224"/>
          </w:tcPr>
          <w:p>
            <w:pPr>
              <w:spacing w:after="20"/>
            </w:pPr>
            <w:r/>
            <w:r>
              <w:rPr>
                <w:b w:val="0"/>
                <w:i w:val="0"/>
                <w:sz w:val="15"/>
              </w:rPr>
              <w:t>D-4 Spelling fixes (#42, #44)</w:t>
            </w:r>
          </w:p>
        </w:tc>
        <w:tc>
          <w:tcPr>
            <w:tcW w:type="dxa" w:w="1656"/>
          </w:tcPr>
          <w:p>
            <w:pPr>
              <w:spacing w:after="20"/>
            </w:pPr>
            <w:r/>
            <w:r>
              <w:rPr>
                <w:b w:val="0"/>
                <w:i w:val="0"/>
                <w:sz w:val="15"/>
              </w:rPr>
              <w:t>Olympic and PacWest correctly spelled.</w:t>
            </w:r>
          </w:p>
        </w:tc>
        <w:tc>
          <w:tcPr>
            <w:tcW w:type="dxa" w:w="1872"/>
          </w:tcPr>
          <w:p>
            <w:pPr>
              <w:spacing w:after="20"/>
            </w:pPr>
            <w:r/>
            <w:r>
              <w:rPr>
                <w:b w:val="0"/>
                <w:i w:val="0"/>
                <w:sz w:val="15"/>
              </w:rPr>
              <w:t>Fixes “Olypmnic” and “Industiral.”</w:t>
            </w:r>
          </w:p>
        </w:tc>
        <w:tc>
          <w:tcPr>
            <w:tcW w:type="dxa" w:w="3096"/>
          </w:tcPr>
          <w:p>
            <w:pPr>
              <w:spacing w:after="20"/>
            </w:pPr>
            <w:r/>
            <w:r>
              <w:rPr>
                <w:b w:val="0"/>
                <w:i w:val="0"/>
                <w:sz w:val="15"/>
              </w:rPr>
              <w:t>The errors exist only in the Committee’s base. The filed Ex. C’s real errors (“Febuary 10, 2022”; “Cascaede Mountain Janitorial”; “Rainer Environmental”) remain.</w:t>
            </w:r>
          </w:p>
        </w:tc>
        <w:tc>
          <w:tcPr>
            <w:tcW w:type="dxa" w:w="576"/>
          </w:tcPr>
          <w:p>
            <w:pPr>
              <w:spacing w:after="20"/>
            </w:pPr>
            <w:r/>
            <w:r>
              <w:rPr>
                <w:b w:val="0"/>
                <w:i w:val="0"/>
                <w:sz w:val="15"/>
              </w:rPr>
              <w:t>Low</w:t>
            </w:r>
          </w:p>
        </w:tc>
        <w:tc>
          <w:tcPr>
            <w:tcW w:type="dxa" w:w="1440"/>
          </w:tcPr>
          <w:p>
            <w:pPr>
              <w:spacing w:after="20"/>
            </w:pPr>
            <w:r/>
            <w:r>
              <w:rPr>
                <w:b w:val="0"/>
                <w:i w:val="0"/>
                <w:sz w:val="15"/>
              </w:rPr>
              <w:t>Moot. The Debtor should fix its own typos (Section VIII).</w:t>
            </w:r>
          </w:p>
        </w:tc>
      </w:tr>
    </w:tbl>
    <w:p>
      <w:pPr>
        <w:spacing w:after="40"/>
      </w:pPr>
    </w:p>
    <w:p>
      <w:pPr>
        <w:pStyle w:val="Heading2"/>
      </w:pPr>
      <w:r>
        <w:t>E. Confirmation Mechanics and Reservations</w:t>
      </w:r>
    </w:p>
    <w:tbl>
      <w:tblPr>
        <w:tblStyle w:val="TableGrid"/>
        <w:tblW w:type="auto" w:w="0"/>
        <w:jc w:val="center"/>
        <w:tblLayout w:type="fixed"/>
        <w:tblLook w:firstColumn="1" w:firstRow="1" w:lastColumn="0" w:lastRow="0" w:noHBand="0" w:noVBand="1" w:val="04A0"/>
      </w:tblPr>
      <w:tblGrid>
        <w:gridCol w:w="1224"/>
        <w:gridCol w:w="1655"/>
        <w:gridCol w:w="1872"/>
        <w:gridCol w:w="3096"/>
        <w:gridCol w:w="576"/>
        <w:gridCol w:w="1440"/>
      </w:tblGrid>
      <w:tr>
        <w:tc>
          <w:tcPr>
            <w:tcW w:type="dxa" w:w="1224"/>
            <w:shd w:val="clear" w:color="auto" w:fill="D9E2F3"/>
          </w:tcPr>
          <w:p>
            <w:pPr>
              <w:spacing w:after="20"/>
            </w:pPr>
            <w:r/>
            <w:r>
              <w:rPr>
                <w:b/>
                <w:i w:val="0"/>
                <w:sz w:val="15"/>
              </w:rPr>
              <w:t>Item (Chg #)</w:t>
            </w:r>
          </w:p>
        </w:tc>
        <w:tc>
          <w:tcPr>
            <w:tcW w:type="dxa" w:w="1656"/>
            <w:shd w:val="clear" w:color="auto" w:fill="D9E2F3"/>
          </w:tcPr>
          <w:p>
            <w:pPr>
              <w:spacing w:after="20"/>
            </w:pPr>
            <w:r/>
            <w:r>
              <w:rPr>
                <w:b/>
                <w:i w:val="0"/>
                <w:sz w:val="15"/>
              </w:rPr>
              <w:t>Filed Plan</w:t>
            </w:r>
          </w:p>
        </w:tc>
        <w:tc>
          <w:tcPr>
            <w:tcW w:type="dxa" w:w="1872"/>
            <w:shd w:val="clear" w:color="auto" w:fill="D9E2F3"/>
          </w:tcPr>
          <w:p>
            <w:pPr>
              <w:spacing w:after="20"/>
            </w:pPr>
            <w:r/>
            <w:r>
              <w:rPr>
                <w:b/>
                <w:i w:val="0"/>
                <w:sz w:val="15"/>
              </w:rPr>
              <w:t>Committee Redline</w:t>
            </w:r>
          </w:p>
        </w:tc>
        <w:tc>
          <w:tcPr>
            <w:tcW w:type="dxa" w:w="3096"/>
            <w:shd w:val="clear" w:color="auto" w:fill="D9E2F3"/>
          </w:tcPr>
          <w:p>
            <w:pPr>
              <w:spacing w:after="20"/>
            </w:pPr>
            <w:r/>
            <w:r>
              <w:rPr>
                <w:b/>
                <w:i w:val="0"/>
                <w:sz w:val="15"/>
              </w:rPr>
              <w:t>Impact analysis</w:t>
            </w:r>
          </w:p>
        </w:tc>
        <w:tc>
          <w:tcPr>
            <w:tcW w:type="dxa" w:w="576"/>
            <w:shd w:val="clear" w:color="auto" w:fill="D9E2F3"/>
          </w:tcPr>
          <w:p>
            <w:pPr>
              <w:spacing w:after="20"/>
            </w:pPr>
            <w:r/>
            <w:r>
              <w:rPr>
                <w:b/>
                <w:i w:val="0"/>
                <w:sz w:val="15"/>
              </w:rPr>
              <w:t>Sev.</w:t>
            </w:r>
          </w:p>
        </w:tc>
        <w:tc>
          <w:tcPr>
            <w:tcW w:type="dxa" w:w="1440"/>
            <w:shd w:val="clear" w:color="auto" w:fill="D9E2F3"/>
          </w:tcPr>
          <w:p>
            <w:pPr>
              <w:spacing w:after="20"/>
            </w:pPr>
            <w:r/>
            <w:r>
              <w:rPr>
                <w:b/>
                <w:i w:val="0"/>
                <w:sz w:val="15"/>
              </w:rPr>
              <w:t>Recommendation</w:t>
            </w:r>
          </w:p>
        </w:tc>
      </w:tr>
      <w:tr>
        <w:tc>
          <w:tcPr>
            <w:tcW w:type="dxa" w:w="1224"/>
          </w:tcPr>
          <w:p>
            <w:pPr>
              <w:spacing w:after="20"/>
            </w:pPr>
            <w:r/>
            <w:r>
              <w:rPr>
                <w:b w:val="0"/>
                <w:i w:val="0"/>
                <w:sz w:val="15"/>
              </w:rPr>
              <w:t>E-1 New § 11.9 (#38) and § 5.3 cross-reference (#46)</w:t>
            </w:r>
          </w:p>
        </w:tc>
        <w:tc>
          <w:tcPr>
            <w:tcW w:type="dxa" w:w="1656"/>
          </w:tcPr>
          <w:p>
            <w:pPr>
              <w:spacing w:after="20"/>
            </w:pPr>
            <w:r/>
            <w:r>
              <w:rPr>
                <w:b w:val="0"/>
                <w:i w:val="0"/>
                <w:sz w:val="15"/>
              </w:rPr>
              <w:t>§ 11.5 reserves cramdown under § 1129(b).</w:t>
            </w:r>
          </w:p>
        </w:tc>
        <w:tc>
          <w:tcPr>
            <w:tcW w:type="dxa" w:w="1872"/>
          </w:tcPr>
          <w:p>
            <w:pPr>
              <w:spacing w:after="20"/>
            </w:pPr>
            <w:r/>
            <w:r>
              <w:rPr>
                <w:b w:val="0"/>
                <w:i w:val="0"/>
                <w:sz w:val="15"/>
              </w:rPr>
              <w:t>If Class 3 rejects: the Debtor bears the burden by a preponderance; the parties “acknowledge” that the retention program “constitutes value that may be characterized as property retained by insiders” junior to GUCs; the Debtor must address the MIP.</w:t>
            </w:r>
          </w:p>
        </w:tc>
        <w:tc>
          <w:tcPr>
            <w:tcW w:type="dxa" w:w="3096"/>
          </w:tcPr>
          <w:p>
            <w:pPr>
              <w:spacing w:after="20"/>
            </w:pPr>
            <w:r/>
            <w:r>
              <w:rPr>
                <w:b w:val="0"/>
                <w:i w:val="0"/>
                <w:sz w:val="15"/>
              </w:rPr>
              <w:t>The burden already rests on the proponent, so (a) is surplusage. Clause (b) is an admission against interest on a legally weak theory. The absolute priority rule (§ 1129(b)(2)(B)(ii)) concerns property received “on account of” a junior claim or interest. Old equity is cancelled, and post-emergence compensation for services is not on account of junior interests. The comment’s citation should be Czyzewski v. Jevic Holding Corp., 580 U.S. 451 (2017), not 580 U.S. 455, and Jevic concerned structured dismissals. A plan is not the place to pre-try cramdown.</w:t>
            </w:r>
          </w:p>
        </w:tc>
        <w:tc>
          <w:tcPr>
            <w:tcW w:type="dxa" w:w="576"/>
          </w:tcPr>
          <w:p>
            <w:pPr>
              <w:spacing w:after="20"/>
            </w:pPr>
            <w:r/>
            <w:r>
              <w:rPr>
                <w:b w:val="0"/>
                <w:i w:val="0"/>
                <w:sz w:val="15"/>
              </w:rPr>
              <w:t>High</w:t>
            </w:r>
          </w:p>
        </w:tc>
        <w:tc>
          <w:tcPr>
            <w:tcW w:type="dxa" w:w="1440"/>
          </w:tcPr>
          <w:p>
            <w:pPr>
              <w:spacing w:after="20"/>
            </w:pPr>
            <w:r/>
            <w:r>
              <w:rPr>
                <w:b/>
                <w:i w:val="0"/>
                <w:sz w:val="15"/>
              </w:rPr>
              <w:t>Reject</w:t>
            </w:r>
            <w:r>
              <w:rPr>
                <w:b w:val="0"/>
                <w:i w:val="0"/>
                <w:sz w:val="15"/>
              </w:rPr>
              <w:t xml:space="preserve"> in full.</w:t>
            </w:r>
          </w:p>
        </w:tc>
      </w:tr>
      <w:tr>
        <w:tc>
          <w:tcPr>
            <w:tcW w:type="dxa" w:w="1224"/>
          </w:tcPr>
          <w:p>
            <w:pPr>
              <w:spacing w:after="20"/>
            </w:pPr>
            <w:r/>
            <w:r>
              <w:rPr>
                <w:b w:val="0"/>
                <w:i w:val="0"/>
                <w:sz w:val="15"/>
              </w:rPr>
              <w:t>E-2 Voting clarification (#23)</w:t>
            </w:r>
          </w:p>
        </w:tc>
        <w:tc>
          <w:tcPr>
            <w:tcW w:type="dxa" w:w="1656"/>
          </w:tcPr>
          <w:p>
            <w:pPr>
              <w:spacing w:after="20"/>
            </w:pPr>
            <w:r/>
            <w:r>
              <w:rPr>
                <w:b w:val="0"/>
                <w:i w:val="0"/>
                <w:sz w:val="15"/>
              </w:rPr>
              <w:t>§ 3.2: Classes 2–4 vote; deemed-rejecting classes do not.</w:t>
            </w:r>
          </w:p>
        </w:tc>
        <w:tc>
          <w:tcPr>
            <w:tcW w:type="dxa" w:w="1872"/>
          </w:tcPr>
          <w:p>
            <w:pPr>
              <w:spacing w:after="20"/>
            </w:pPr>
            <w:r/>
            <w:r>
              <w:rPr>
                <w:b w:val="0"/>
                <w:i w:val="0"/>
                <w:sz w:val="15"/>
              </w:rPr>
              <w:t>“Each holder … in an impaired Class that is entitled to receive a distribution … is entitled to vote.”</w:t>
            </w:r>
          </w:p>
        </w:tc>
        <w:tc>
          <w:tcPr>
            <w:tcW w:type="dxa" w:w="3096"/>
          </w:tcPr>
          <w:p>
            <w:pPr>
              <w:spacing w:after="20"/>
            </w:pPr>
            <w:r/>
            <w:r>
              <w:rPr>
                <w:b w:val="0"/>
                <w:i w:val="0"/>
                <w:sz w:val="15"/>
              </w:rPr>
              <w:t>Could be read to give a vote to Class 5 Intercompany (impaired, may receive reinstatement) or to classes deemed to accept. It duplicates § 1126.</w:t>
            </w:r>
          </w:p>
        </w:tc>
        <w:tc>
          <w:tcPr>
            <w:tcW w:type="dxa" w:w="576"/>
          </w:tcPr>
          <w:p>
            <w:pPr>
              <w:spacing w:after="20"/>
            </w:pPr>
            <w:r/>
            <w:r>
              <w:rPr>
                <w:b w:val="0"/>
                <w:i w:val="0"/>
                <w:sz w:val="15"/>
              </w:rPr>
              <w:t>Low</w:t>
            </w:r>
          </w:p>
        </w:tc>
        <w:tc>
          <w:tcPr>
            <w:tcW w:type="dxa" w:w="1440"/>
          </w:tcPr>
          <w:p>
            <w:pPr>
              <w:spacing w:after="20"/>
            </w:pPr>
            <w:r/>
            <w:r>
              <w:rPr>
                <w:b/>
                <w:i w:val="0"/>
                <w:sz w:val="15"/>
              </w:rPr>
              <w:t>Reject</w:t>
            </w:r>
            <w:r>
              <w:rPr>
                <w:b w:val="0"/>
                <w:i w:val="0"/>
                <w:sz w:val="15"/>
              </w:rPr>
              <w:t xml:space="preserve"> as surplusage.</w:t>
            </w:r>
          </w:p>
        </w:tc>
      </w:tr>
      <w:tr>
        <w:tc>
          <w:tcPr>
            <w:tcW w:type="dxa" w:w="1224"/>
          </w:tcPr>
          <w:p>
            <w:pPr>
              <w:spacing w:after="20"/>
            </w:pPr>
            <w:r/>
            <w:r>
              <w:rPr>
                <w:b w:val="0"/>
                <w:i w:val="0"/>
                <w:sz w:val="15"/>
              </w:rPr>
              <w:t>E-3 Committee reservation of rights (#41)</w:t>
            </w:r>
          </w:p>
        </w:tc>
        <w:tc>
          <w:tcPr>
            <w:tcW w:type="dxa" w:w="1656"/>
          </w:tcPr>
          <w:p>
            <w:pPr>
              <w:spacing w:after="20"/>
            </w:pPr>
            <w:r/>
            <w:r>
              <w:rPr>
                <w:b w:val="0"/>
                <w:i w:val="0"/>
                <w:sz w:val="15"/>
              </w:rPr>
              <w:t>None.</w:t>
            </w:r>
          </w:p>
        </w:tc>
        <w:tc>
          <w:tcPr>
            <w:tcW w:type="dxa" w:w="1872"/>
          </w:tcPr>
          <w:p>
            <w:pPr>
              <w:spacing w:after="20"/>
            </w:pPr>
            <w:r/>
            <w:r>
              <w:rPr>
                <w:b w:val="0"/>
                <w:i w:val="0"/>
                <w:sz w:val="15"/>
              </w:rPr>
              <w:t>New § 12.8 paragraph reserving Committee objections under §§ 1129(a)(3), (4), (7), (9) and (b).</w:t>
            </w:r>
          </w:p>
        </w:tc>
        <w:tc>
          <w:tcPr>
            <w:tcW w:type="dxa" w:w="3096"/>
          </w:tcPr>
          <w:p>
            <w:pPr>
              <w:spacing w:after="20"/>
            </w:pPr>
            <w:r/>
            <w:r>
              <w:rPr>
                <w:b w:val="0"/>
                <w:i w:val="0"/>
                <w:sz w:val="15"/>
              </w:rPr>
              <w:t>A Debtor’s plan should not carry an objector’s reservation. It belongs in the Committee’s objection or a stipulation.</w:t>
            </w:r>
          </w:p>
        </w:tc>
        <w:tc>
          <w:tcPr>
            <w:tcW w:type="dxa" w:w="576"/>
          </w:tcPr>
          <w:p>
            <w:pPr>
              <w:spacing w:after="20"/>
            </w:pPr>
            <w:r/>
            <w:r>
              <w:rPr>
                <w:b w:val="0"/>
                <w:i w:val="0"/>
                <w:sz w:val="15"/>
              </w:rPr>
              <w:t>Low</w:t>
            </w:r>
          </w:p>
        </w:tc>
        <w:tc>
          <w:tcPr>
            <w:tcW w:type="dxa" w:w="1440"/>
          </w:tcPr>
          <w:p>
            <w:pPr>
              <w:spacing w:after="20"/>
            </w:pPr>
            <w:r/>
            <w:r>
              <w:rPr>
                <w:b/>
                <w:i w:val="0"/>
                <w:sz w:val="15"/>
              </w:rPr>
              <w:t>Reject.</w:t>
            </w:r>
          </w:p>
        </w:tc>
      </w:tr>
      <w:tr>
        <w:tc>
          <w:tcPr>
            <w:tcW w:type="dxa" w:w="1224"/>
          </w:tcPr>
          <w:p>
            <w:pPr>
              <w:spacing w:after="20"/>
            </w:pPr>
            <w:r/>
            <w:r>
              <w:rPr>
                <w:b w:val="0"/>
                <w:i w:val="0"/>
                <w:sz w:val="15"/>
              </w:rPr>
              <w:t>E-4 Plan Supplement to include supplemental disclosure (#39)</w:t>
            </w:r>
          </w:p>
        </w:tc>
        <w:tc>
          <w:tcPr>
            <w:tcW w:type="dxa" w:w="1656"/>
          </w:tcPr>
          <w:p>
            <w:pPr>
              <w:spacing w:after="20"/>
            </w:pPr>
            <w:r/>
            <w:r>
              <w:rPr>
                <w:b w:val="0"/>
                <w:i w:val="0"/>
                <w:sz w:val="15"/>
              </w:rPr>
              <w:t>§ 13.5 lists Plan Supplement contents.</w:t>
            </w:r>
          </w:p>
        </w:tc>
        <w:tc>
          <w:tcPr>
            <w:tcW w:type="dxa" w:w="1872"/>
          </w:tcPr>
          <w:p>
            <w:pPr>
              <w:spacing w:after="20"/>
            </w:pPr>
            <w:r/>
            <w:r>
              <w:rPr>
                <w:b w:val="0"/>
                <w:i w:val="0"/>
                <w:sz w:val="15"/>
              </w:rPr>
              <w:t>Adds the 9.1(g) supplemental disclosure.</w:t>
            </w:r>
          </w:p>
        </w:tc>
        <w:tc>
          <w:tcPr>
            <w:tcW w:type="dxa" w:w="3096"/>
          </w:tcPr>
          <w:p>
            <w:pPr>
              <w:spacing w:after="20"/>
            </w:pPr>
            <w:r/>
            <w:r>
              <w:rPr>
                <w:b w:val="0"/>
                <w:i w:val="0"/>
                <w:sz w:val="15"/>
              </w:rPr>
              <w:t>Disclosure cannot be delivered through the Plan Supplement after solicitation.</w:t>
            </w:r>
          </w:p>
        </w:tc>
        <w:tc>
          <w:tcPr>
            <w:tcW w:type="dxa" w:w="576"/>
          </w:tcPr>
          <w:p>
            <w:pPr>
              <w:spacing w:after="20"/>
            </w:pPr>
            <w:r/>
            <w:r>
              <w:rPr>
                <w:b w:val="0"/>
                <w:i w:val="0"/>
                <w:sz w:val="15"/>
              </w:rPr>
              <w:t>Medium</w:t>
            </w:r>
          </w:p>
        </w:tc>
        <w:tc>
          <w:tcPr>
            <w:tcW w:type="dxa" w:w="1440"/>
          </w:tcPr>
          <w:p>
            <w:pPr>
              <w:spacing w:after="20"/>
            </w:pPr>
            <w:r/>
            <w:r>
              <w:rPr>
                <w:b/>
                <w:i w:val="0"/>
                <w:sz w:val="15"/>
              </w:rPr>
              <w:t>Reject</w:t>
            </w:r>
            <w:r>
              <w:rPr>
                <w:b w:val="0"/>
                <w:i w:val="0"/>
                <w:sz w:val="15"/>
              </w:rPr>
              <w:t xml:space="preserve"> (conforms to B-3).</w:t>
            </w:r>
          </w:p>
        </w:tc>
      </w:tr>
    </w:tbl>
    <w:p>
      <w:pPr>
        <w:spacing w:after="40"/>
      </w:pPr>
    </w:p>
    <w:p>
      <w:pPr>
        <w:pStyle w:val="Heading2"/>
      </w:pPr>
      <w:r>
        <w:t>F. “Cosmetic” Changes That Are Not Cosmetic</w:t>
      </w:r>
    </w:p>
    <w:p>
      <w:pPr>
        <w:pStyle w:val="ListBullet"/>
        <w:spacing w:after="60"/>
      </w:pPr>
      <w:r>
        <w:rPr>
          <w:b/>
          <w:i w:val="0"/>
        </w:rPr>
        <w:t>Effective Date definition (#7).</w:t>
      </w:r>
      <w:r>
        <w:rPr>
          <w:b w:val="0"/>
          <w:i w:val="0"/>
        </w:rPr>
        <w:t xml:space="preserve"> The comment says “[n]o substantive change.” In fact the rewritten list of conditions omits the Amended Credit Agreement, Governance Documents and Litigation Trust conditions, and it sits on a base definition that drops the Filed Plan’s 30-days-after-Final-Order mechanic. </w:t>
      </w:r>
      <w:r>
        <w:rPr>
          <w:b/>
          <w:i w:val="0"/>
        </w:rPr>
        <w:t>Reject.</w:t>
      </w:r>
    </w:p>
    <w:p>
      <w:pPr>
        <w:pStyle w:val="ListBullet"/>
        <w:spacing w:after="60"/>
      </w:pPr>
      <w:r>
        <w:rPr>
          <w:b/>
          <w:i w:val="0"/>
        </w:rPr>
        <w:t>“Reorganized Company” (#1).</w:t>
      </w:r>
      <w:r>
        <w:rPr>
          <w:b w:val="0"/>
          <w:i w:val="0"/>
        </w:rPr>
        <w:t xml:space="preserve"> Creates two defined terms for one entity. The Redline already uses them inconsistently (e.g., the MIP refers to the “Reorganized Company” while § 6.4 uses “Reorganized Debtor”), which invites interpretive disputes over the MIP and governance documents. </w:t>
      </w:r>
      <w:r>
        <w:rPr>
          <w:b/>
          <w:i w:val="0"/>
        </w:rPr>
        <w:t>Reject.</w:t>
      </w:r>
    </w:p>
    <w:p>
      <w:pPr>
        <w:pStyle w:val="ListBullet"/>
        <w:spacing w:after="60"/>
      </w:pPr>
      <w:r>
        <w:rPr>
          <w:b/>
          <w:i w:val="0"/>
        </w:rPr>
        <w:t>Allowed Claim cross-reference (#3).</w:t>
      </w:r>
      <w:r>
        <w:rPr>
          <w:b w:val="0"/>
          <w:i w:val="0"/>
        </w:rPr>
        <w:t xml:space="preserve"> “Article V, Section 5.1” is the Redline’s Voting Classes section and has nothing to do with claims allowance. The Filed Plan’s allowance and disputed-claims provisions are in Article VII. </w:t>
      </w:r>
      <w:r>
        <w:rPr>
          <w:b/>
          <w:i w:val="0"/>
        </w:rPr>
        <w:t>Reject; fix the cross-reference correctly.</w:t>
      </w:r>
    </w:p>
    <w:p>
      <w:pPr>
        <w:pStyle w:val="ListBullet"/>
        <w:spacing w:after="60"/>
      </w:pPr>
      <w:r>
        <w:rPr>
          <w:b/>
          <w:i w:val="0"/>
        </w:rPr>
        <w:t>Plan Supplement (#13).</w:t>
      </w:r>
      <w:r>
        <w:rPr>
          <w:b w:val="0"/>
          <w:i w:val="0"/>
        </w:rPr>
        <w:t xml:space="preserve"> Refers to “the list of Exhibits attached hereto,” which does not exist. </w:t>
      </w:r>
      <w:r>
        <w:rPr>
          <w:b/>
          <w:i w:val="0"/>
        </w:rPr>
        <w:t>Reject</w:t>
      </w:r>
      <w:r>
        <w:rPr>
          <w:b w:val="0"/>
          <w:i w:val="0"/>
        </w:rPr>
        <w:t xml:space="preserve"> unless a list is added.</w:t>
      </w:r>
    </w:p>
    <w:p>
      <w:pPr>
        <w:pStyle w:val="ListBullet"/>
        <w:spacing w:after="60"/>
      </w:pPr>
      <w:r>
        <w:rPr>
          <w:b/>
          <w:i w:val="0"/>
        </w:rPr>
        <w:t>Administrative Claim (#2) and Rules of Interpretation (#16).</w:t>
      </w:r>
      <w:r>
        <w:rPr>
          <w:b w:val="0"/>
          <w:i w:val="0"/>
        </w:rPr>
        <w:t xml:space="preserve"> These are redundant: the definition already cites §§ 503(b) and 507(a)(2), and § 1.2(g) already covers section references. They are harmless; accept or reject for economy.</w:t>
      </w:r>
    </w:p>
    <w:p>
      <w:pPr>
        <w:pStyle w:val="ListBullet"/>
        <w:spacing w:after="60"/>
      </w:pPr>
      <w:r>
        <w:rPr>
          <w:b/>
          <w:i w:val="0"/>
        </w:rPr>
        <w:t>Acceptable as drafted, subject to conforming to the Filed Plan’s definitions:</w:t>
      </w:r>
      <w:r>
        <w:rPr>
          <w:b w:val="0"/>
          <w:i w:val="0"/>
        </w:rPr>
        <w:t xml:space="preserve"> Ballot (#4); Business Day, which adds court closure days and slightly affects timing (#5); Equity Conversion Amount spelled out, though the term must first be defined in the Filed Plan (#8); Confirmation Date by docket entry (#10); Person, adding governmental entity (#12); Voting Deadline time (#15), subject to the solicitation order; classification table amounts (#18), conformed to the seven-class structure; and notice emails (#40), which must be verified and conformed to the filed notice addresses.</w:t>
      </w:r>
    </w:p>
    <w:p>
      <w:pPr>
        <w:pStyle w:val="Heading1"/>
      </w:pPr>
      <w:r>
        <w:t>VI. Financial Impact Analysis</w:t>
      </w:r>
    </w:p>
    <w:p>
      <w:pPr>
        <w:spacing w:after="120"/>
      </w:pPr>
      <w:r>
        <w:rPr>
          <w:b w:val="0"/>
          <w:i w:val="0"/>
        </w:rPr>
        <w:t>Sources: Clearview §§ IV–VI; Filed Plan § 5.2 and Ex. B; DS §§ 9.1–9.3. Amounts are in $ millions. We use the Debtor’s Ex. B projections (Year 1 FCF $8.3M; Year 2 $14.5M) unless noted.</w:t>
      </w:r>
    </w:p>
    <w:p>
      <w:pPr>
        <w:pStyle w:val="Heading2"/>
      </w:pPr>
      <w:r>
        <w:t>A. Effective Date Sources and Uses</w:t>
      </w:r>
    </w:p>
    <w:tbl>
      <w:tblPr>
        <w:tblStyle w:val="TableGrid"/>
        <w:tblW w:type="auto" w:w="0"/>
        <w:jc w:val="center"/>
        <w:tblLayout w:type="fixed"/>
        <w:tblLook w:firstColumn="1" w:firstRow="1" w:lastColumn="0" w:lastRow="0" w:noHBand="0" w:noVBand="1" w:val="04A0"/>
      </w:tblPr>
      <w:tblGrid>
        <w:gridCol w:w="4608"/>
        <w:gridCol w:w="1728"/>
        <w:gridCol w:w="1728"/>
        <w:gridCol w:w="1440"/>
      </w:tblGrid>
      <w:tr>
        <w:tc>
          <w:tcPr>
            <w:tcW w:type="dxa" w:w="4608"/>
            <w:shd w:val="clear" w:color="auto" w:fill="D9E2F3"/>
          </w:tcPr>
          <w:p>
            <w:pPr>
              <w:spacing w:after="20"/>
            </w:pPr>
            <w:r/>
            <w:r>
              <w:rPr>
                <w:b/>
                <w:i w:val="0"/>
                <w:sz w:val="17"/>
              </w:rPr>
              <w:t>Item</w:t>
            </w:r>
          </w:p>
        </w:tc>
        <w:tc>
          <w:tcPr>
            <w:tcW w:type="dxa" w:w="1728"/>
            <w:shd w:val="clear" w:color="auto" w:fill="D9E2F3"/>
          </w:tcPr>
          <w:p>
            <w:pPr>
              <w:spacing w:after="20"/>
            </w:pPr>
            <w:r/>
            <w:r>
              <w:rPr>
                <w:b/>
                <w:i w:val="0"/>
                <w:sz w:val="17"/>
              </w:rPr>
              <w:t>Debtor Filed Plan</w:t>
            </w:r>
          </w:p>
        </w:tc>
        <w:tc>
          <w:tcPr>
            <w:tcW w:type="dxa" w:w="1728"/>
            <w:shd w:val="clear" w:color="auto" w:fill="D9E2F3"/>
          </w:tcPr>
          <w:p>
            <w:pPr>
              <w:spacing w:after="20"/>
            </w:pPr>
            <w:r/>
            <w:r>
              <w:rPr>
                <w:b/>
                <w:i w:val="0"/>
                <w:sz w:val="17"/>
              </w:rPr>
              <w:t>Committee Redline</w:t>
            </w:r>
          </w:p>
        </w:tc>
        <w:tc>
          <w:tcPr>
            <w:tcW w:type="dxa" w:w="1440"/>
            <w:shd w:val="clear" w:color="auto" w:fill="D9E2F3"/>
          </w:tcPr>
          <w:p>
            <w:pPr>
              <w:spacing w:after="20"/>
            </w:pPr>
            <w:r/>
            <w:r>
              <w:rPr>
                <w:b/>
                <w:i w:val="0"/>
                <w:sz w:val="17"/>
              </w:rPr>
              <w:t>Change</w:t>
            </w:r>
          </w:p>
        </w:tc>
      </w:tr>
      <w:tr>
        <w:tc>
          <w:tcPr>
            <w:tcW w:type="dxa" w:w="4608"/>
          </w:tcPr>
          <w:p>
            <w:pPr>
              <w:spacing w:after="20"/>
            </w:pPr>
            <w:r/>
            <w:r>
              <w:rPr>
                <w:b w:val="0"/>
                <w:i w:val="0"/>
                <w:sz w:val="17"/>
              </w:rPr>
              <w:t>Projected cash at emergence</w:t>
            </w:r>
          </w:p>
        </w:tc>
        <w:tc>
          <w:tcPr>
            <w:tcW w:type="dxa" w:w="1728"/>
          </w:tcPr>
          <w:p>
            <w:pPr>
              <w:spacing w:after="20"/>
            </w:pPr>
            <w:r/>
            <w:r>
              <w:rPr>
                <w:b w:val="0"/>
                <w:i w:val="0"/>
                <w:sz w:val="17"/>
              </w:rPr>
              <w:t>68.00</w:t>
            </w:r>
          </w:p>
        </w:tc>
        <w:tc>
          <w:tcPr>
            <w:tcW w:type="dxa" w:w="1728"/>
          </w:tcPr>
          <w:p>
            <w:pPr>
              <w:spacing w:after="20"/>
            </w:pPr>
            <w:r/>
            <w:r>
              <w:rPr>
                <w:b w:val="0"/>
                <w:i w:val="0"/>
                <w:sz w:val="17"/>
              </w:rPr>
              <w:t>68.00</w:t>
            </w:r>
          </w:p>
        </w:tc>
        <w:tc>
          <w:tcPr>
            <w:tcW w:type="dxa" w:w="1440"/>
          </w:tcPr>
          <w:p>
            <w:pPr>
              <w:spacing w:after="20"/>
            </w:pPr>
            <w:r/>
            <w:r>
              <w:rPr>
                <w:b w:val="0"/>
                <w:i w:val="0"/>
                <w:sz w:val="17"/>
              </w:rPr>
              <w:t>—</w:t>
            </w:r>
          </w:p>
        </w:tc>
      </w:tr>
      <w:tr>
        <w:tc>
          <w:tcPr>
            <w:tcW w:type="dxa" w:w="4608"/>
          </w:tcPr>
          <w:p>
            <w:pPr>
              <w:spacing w:after="20"/>
            </w:pPr>
            <w:r/>
            <w:r>
              <w:rPr>
                <w:b w:val="0"/>
                <w:i w:val="0"/>
                <w:sz w:val="17"/>
              </w:rPr>
              <w:t>Administrative Claims</w:t>
            </w:r>
          </w:p>
        </w:tc>
        <w:tc>
          <w:tcPr>
            <w:tcW w:type="dxa" w:w="1728"/>
          </w:tcPr>
          <w:p>
            <w:pPr>
              <w:spacing w:after="20"/>
            </w:pPr>
            <w:r/>
            <w:r>
              <w:rPr>
                <w:b w:val="0"/>
                <w:i w:val="0"/>
                <w:sz w:val="17"/>
              </w:rPr>
              <w:t>(12.50)</w:t>
            </w:r>
          </w:p>
        </w:tc>
        <w:tc>
          <w:tcPr>
            <w:tcW w:type="dxa" w:w="1728"/>
          </w:tcPr>
          <w:p>
            <w:pPr>
              <w:spacing w:after="20"/>
            </w:pPr>
            <w:r/>
            <w:r>
              <w:rPr>
                <w:b w:val="0"/>
                <w:i w:val="0"/>
                <w:sz w:val="17"/>
              </w:rPr>
              <w:t>(12.50)</w:t>
            </w:r>
          </w:p>
        </w:tc>
        <w:tc>
          <w:tcPr>
            <w:tcW w:type="dxa" w:w="1440"/>
          </w:tcPr>
          <w:p>
            <w:pPr>
              <w:spacing w:after="20"/>
            </w:pPr>
            <w:r/>
            <w:r>
              <w:rPr>
                <w:b w:val="0"/>
                <w:i w:val="0"/>
                <w:sz w:val="17"/>
              </w:rPr>
              <w:t>—</w:t>
            </w:r>
          </w:p>
        </w:tc>
      </w:tr>
      <w:tr>
        <w:tc>
          <w:tcPr>
            <w:tcW w:type="dxa" w:w="4608"/>
          </w:tcPr>
          <w:p>
            <w:pPr>
              <w:spacing w:after="20"/>
            </w:pPr>
            <w:r/>
            <w:r>
              <w:rPr>
                <w:b w:val="0"/>
                <w:i w:val="0"/>
                <w:sz w:val="17"/>
              </w:rPr>
              <w:t>Priority Tax Claims</w:t>
            </w:r>
          </w:p>
        </w:tc>
        <w:tc>
          <w:tcPr>
            <w:tcW w:type="dxa" w:w="1728"/>
          </w:tcPr>
          <w:p>
            <w:pPr>
              <w:spacing w:after="20"/>
            </w:pPr>
            <w:r/>
            <w:r>
              <w:rPr>
                <w:b w:val="0"/>
                <w:i w:val="0"/>
                <w:sz w:val="17"/>
              </w:rPr>
              <w:t>(3.20)</w:t>
            </w:r>
          </w:p>
        </w:tc>
        <w:tc>
          <w:tcPr>
            <w:tcW w:type="dxa" w:w="1728"/>
          </w:tcPr>
          <w:p>
            <w:pPr>
              <w:spacing w:after="20"/>
            </w:pPr>
            <w:r/>
            <w:r>
              <w:rPr>
                <w:b w:val="0"/>
                <w:i w:val="0"/>
                <w:sz w:val="17"/>
              </w:rPr>
              <w:t>(3.20)</w:t>
            </w:r>
          </w:p>
        </w:tc>
        <w:tc>
          <w:tcPr>
            <w:tcW w:type="dxa" w:w="1440"/>
          </w:tcPr>
          <w:p>
            <w:pPr>
              <w:spacing w:after="20"/>
            </w:pPr>
            <w:r/>
            <w:r>
              <w:rPr>
                <w:b w:val="0"/>
                <w:i w:val="0"/>
                <w:sz w:val="17"/>
              </w:rPr>
              <w:t>—</w:t>
            </w:r>
          </w:p>
        </w:tc>
      </w:tr>
      <w:tr>
        <w:tc>
          <w:tcPr>
            <w:tcW w:type="dxa" w:w="4608"/>
          </w:tcPr>
          <w:p>
            <w:pPr>
              <w:spacing w:after="20"/>
            </w:pPr>
            <w:r/>
            <w:r>
              <w:rPr>
                <w:b w:val="0"/>
                <w:i w:val="0"/>
                <w:sz w:val="17"/>
              </w:rPr>
              <w:t>Priority Non-Tax Claims</w:t>
            </w:r>
          </w:p>
        </w:tc>
        <w:tc>
          <w:tcPr>
            <w:tcW w:type="dxa" w:w="1728"/>
          </w:tcPr>
          <w:p>
            <w:pPr>
              <w:spacing w:after="20"/>
            </w:pPr>
            <w:r/>
            <w:r>
              <w:rPr>
                <w:b w:val="0"/>
                <w:i w:val="0"/>
                <w:sz w:val="17"/>
              </w:rPr>
              <w:t>(2.80)</w:t>
            </w:r>
          </w:p>
        </w:tc>
        <w:tc>
          <w:tcPr>
            <w:tcW w:type="dxa" w:w="1728"/>
          </w:tcPr>
          <w:p>
            <w:pPr>
              <w:spacing w:after="20"/>
            </w:pPr>
            <w:r/>
            <w:r>
              <w:rPr>
                <w:b w:val="0"/>
                <w:i w:val="0"/>
                <w:sz w:val="17"/>
              </w:rPr>
              <w:t>(2.80)</w:t>
            </w:r>
          </w:p>
        </w:tc>
        <w:tc>
          <w:tcPr>
            <w:tcW w:type="dxa" w:w="1440"/>
          </w:tcPr>
          <w:p>
            <w:pPr>
              <w:spacing w:after="20"/>
            </w:pPr>
            <w:r/>
            <w:r>
              <w:rPr>
                <w:b w:val="0"/>
                <w:i w:val="0"/>
                <w:sz w:val="17"/>
              </w:rPr>
              <w:t>—</w:t>
            </w:r>
          </w:p>
        </w:tc>
      </w:tr>
      <w:tr>
        <w:tc>
          <w:tcPr>
            <w:tcW w:type="dxa" w:w="4608"/>
          </w:tcPr>
          <w:p>
            <w:pPr>
              <w:spacing w:after="20"/>
            </w:pPr>
            <w:r/>
            <w:r>
              <w:rPr>
                <w:b w:val="0"/>
                <w:i w:val="0"/>
                <w:sz w:val="17"/>
              </w:rPr>
              <w:t>Timberline Cash Payment (Class 3 / Redline Class 2)</w:t>
            </w:r>
          </w:p>
        </w:tc>
        <w:tc>
          <w:tcPr>
            <w:tcW w:type="dxa" w:w="1728"/>
          </w:tcPr>
          <w:p>
            <w:pPr>
              <w:spacing w:after="20"/>
            </w:pPr>
            <w:r/>
            <w:r>
              <w:rPr>
                <w:b w:val="0"/>
                <w:i w:val="0"/>
                <w:sz w:val="17"/>
              </w:rPr>
              <w:t>(35.00)</w:t>
            </w:r>
          </w:p>
        </w:tc>
        <w:tc>
          <w:tcPr>
            <w:tcW w:type="dxa" w:w="1728"/>
          </w:tcPr>
          <w:p>
            <w:pPr>
              <w:spacing w:after="20"/>
            </w:pPr>
            <w:r/>
            <w:r>
              <w:rPr>
                <w:b w:val="0"/>
                <w:i w:val="0"/>
                <w:sz w:val="17"/>
              </w:rPr>
              <w:t>(35.00)</w:t>
            </w:r>
          </w:p>
        </w:tc>
        <w:tc>
          <w:tcPr>
            <w:tcW w:type="dxa" w:w="1440"/>
          </w:tcPr>
          <w:p>
            <w:pPr>
              <w:spacing w:after="20"/>
            </w:pPr>
            <w:r/>
            <w:r>
              <w:rPr>
                <w:b w:val="0"/>
                <w:i w:val="0"/>
                <w:sz w:val="17"/>
              </w:rPr>
              <w:t>—</w:t>
            </w:r>
          </w:p>
        </w:tc>
      </w:tr>
      <w:tr>
        <w:tc>
          <w:tcPr>
            <w:tcW w:type="dxa" w:w="4608"/>
          </w:tcPr>
          <w:p>
            <w:pPr>
              <w:spacing w:after="20"/>
            </w:pPr>
            <w:r/>
            <w:r>
              <w:rPr>
                <w:b w:val="0"/>
                <w:i w:val="0"/>
                <w:sz w:val="17"/>
              </w:rPr>
              <w:t>GUC Effective Date distribution</w:t>
            </w:r>
          </w:p>
        </w:tc>
        <w:tc>
          <w:tcPr>
            <w:tcW w:type="dxa" w:w="1728"/>
          </w:tcPr>
          <w:p>
            <w:pPr>
              <w:spacing w:after="20"/>
            </w:pPr>
            <w:r/>
            <w:r>
              <w:rPr>
                <w:b w:val="0"/>
                <w:i w:val="0"/>
                <w:sz w:val="17"/>
              </w:rPr>
              <w:t>(9.35)</w:t>
            </w:r>
          </w:p>
        </w:tc>
        <w:tc>
          <w:tcPr>
            <w:tcW w:type="dxa" w:w="1728"/>
          </w:tcPr>
          <w:p>
            <w:pPr>
              <w:spacing w:after="20"/>
            </w:pPr>
            <w:r/>
            <w:r>
              <w:rPr>
                <w:b w:val="0"/>
                <w:i w:val="0"/>
                <w:sz w:val="17"/>
              </w:rPr>
              <w:t>(21.00)</w:t>
            </w:r>
          </w:p>
        </w:tc>
        <w:tc>
          <w:tcPr>
            <w:tcW w:type="dxa" w:w="1440"/>
          </w:tcPr>
          <w:p>
            <w:pPr>
              <w:spacing w:after="20"/>
            </w:pPr>
            <w:r/>
            <w:r>
              <w:rPr>
                <w:b w:val="0"/>
                <w:i w:val="0"/>
                <w:sz w:val="17"/>
              </w:rPr>
              <w:t>(11.65)</w:t>
            </w:r>
          </w:p>
        </w:tc>
      </w:tr>
      <w:tr>
        <w:tc>
          <w:tcPr>
            <w:tcW w:type="dxa" w:w="4608"/>
          </w:tcPr>
          <w:p>
            <w:pPr>
              <w:spacing w:after="20"/>
            </w:pPr>
            <w:r/>
            <w:r>
              <w:rPr>
                <w:b/>
                <w:i w:val="0"/>
                <w:sz w:val="17"/>
              </w:rPr>
              <w:t>Total Effective Date requirement</w:t>
            </w:r>
          </w:p>
        </w:tc>
        <w:tc>
          <w:tcPr>
            <w:tcW w:type="dxa" w:w="1728"/>
          </w:tcPr>
          <w:p>
            <w:pPr>
              <w:spacing w:after="20"/>
            </w:pPr>
            <w:r/>
            <w:r>
              <w:rPr>
                <w:b/>
                <w:i w:val="0"/>
                <w:sz w:val="17"/>
              </w:rPr>
              <w:t>(62.85)</w:t>
            </w:r>
          </w:p>
        </w:tc>
        <w:tc>
          <w:tcPr>
            <w:tcW w:type="dxa" w:w="1728"/>
          </w:tcPr>
          <w:p>
            <w:pPr>
              <w:spacing w:after="20"/>
            </w:pPr>
            <w:r/>
            <w:r>
              <w:rPr>
                <w:b/>
                <w:i w:val="0"/>
                <w:sz w:val="17"/>
              </w:rPr>
              <w:t>(74.50)</w:t>
            </w:r>
          </w:p>
        </w:tc>
        <w:tc>
          <w:tcPr>
            <w:tcW w:type="dxa" w:w="1440"/>
          </w:tcPr>
          <w:p>
            <w:pPr>
              <w:spacing w:after="20"/>
            </w:pPr>
            <w:r/>
            <w:r>
              <w:rPr>
                <w:b/>
                <w:i w:val="0"/>
                <w:sz w:val="17"/>
              </w:rPr>
              <w:t>(11.65)</w:t>
            </w:r>
          </w:p>
        </w:tc>
      </w:tr>
      <w:tr>
        <w:tc>
          <w:tcPr>
            <w:tcW w:type="dxa" w:w="4608"/>
          </w:tcPr>
          <w:p>
            <w:pPr>
              <w:spacing w:after="20"/>
            </w:pPr>
            <w:r/>
            <w:r>
              <w:rPr>
                <w:b/>
                <w:i w:val="0"/>
                <w:sz w:val="17"/>
              </w:rPr>
              <w:t>Cushion / (shortfall)</w:t>
            </w:r>
          </w:p>
        </w:tc>
        <w:tc>
          <w:tcPr>
            <w:tcW w:type="dxa" w:w="1728"/>
          </w:tcPr>
          <w:p>
            <w:pPr>
              <w:spacing w:after="20"/>
            </w:pPr>
            <w:r/>
            <w:r>
              <w:rPr>
                <w:b/>
                <w:i w:val="0"/>
                <w:sz w:val="17"/>
              </w:rPr>
              <w:t>5.15</w:t>
            </w:r>
          </w:p>
        </w:tc>
        <w:tc>
          <w:tcPr>
            <w:tcW w:type="dxa" w:w="1728"/>
          </w:tcPr>
          <w:p>
            <w:pPr>
              <w:spacing w:after="20"/>
            </w:pPr>
            <w:r/>
            <w:r>
              <w:rPr>
                <w:b/>
                <w:i w:val="0"/>
                <w:sz w:val="17"/>
              </w:rPr>
              <w:t>(6.50)</w:t>
            </w:r>
          </w:p>
        </w:tc>
        <w:tc>
          <w:tcPr>
            <w:tcW w:type="dxa" w:w="1440"/>
          </w:tcPr>
          <w:p>
            <w:pPr>
              <w:spacing w:after="20"/>
            </w:pPr>
            <w:r/>
            <w:r>
              <w:rPr>
                <w:b/>
                <w:i w:val="0"/>
                <w:sz w:val="17"/>
              </w:rPr>
              <w:t>(11.65)</w:t>
            </w:r>
          </w:p>
        </w:tc>
      </w:tr>
    </w:tbl>
    <w:p>
      <w:pPr>
        <w:spacing w:after="40"/>
      </w:pPr>
    </w:p>
    <w:p>
      <w:pPr>
        <w:spacing w:after="120"/>
      </w:pPr>
      <w:r>
        <w:rPr>
          <w:b w:val="0"/>
          <w:i w:val="0"/>
          <w:sz w:val="19"/>
        </w:rPr>
        <w:t>The shortfall does not depend on how the $35M Timberline payment is characterized. Filed Plan § 5.2 and Ex. B describe it as funded by Timberline and included in the $68M; Clearview treats it as a use of Debtor cash. On either reading, the cash available for non-Timberline uses is $33.0M. Those uses are $27.85M under the Debtor’s Plan and $39.5M under the Redline.</w:t>
      </w:r>
    </w:p>
    <w:p>
      <w:pPr>
        <w:pStyle w:val="Heading2"/>
      </w:pPr>
      <w:r>
        <w:t>B. Effective Date Items Not in Either Table (Debtor-Side Exposure)</w:t>
      </w:r>
    </w:p>
    <w:tbl>
      <w:tblPr>
        <w:tblStyle w:val="TableGrid"/>
        <w:tblW w:type="auto" w:w="0"/>
        <w:jc w:val="center"/>
        <w:tblLayout w:type="fixed"/>
        <w:tblLook w:firstColumn="1" w:firstRow="1" w:lastColumn="0" w:lastRow="0" w:noHBand="0" w:noVBand="1" w:val="04A0"/>
      </w:tblPr>
      <w:tblGrid>
        <w:gridCol w:w="4320"/>
        <w:gridCol w:w="2304"/>
        <w:gridCol w:w="1152"/>
        <w:gridCol w:w="1872"/>
      </w:tblGrid>
      <w:tr>
        <w:tc>
          <w:tcPr>
            <w:tcW w:type="dxa" w:w="4320"/>
            <w:shd w:val="clear" w:color="auto" w:fill="D9E2F3"/>
          </w:tcPr>
          <w:p>
            <w:pPr>
              <w:spacing w:after="20"/>
            </w:pPr>
            <w:r/>
            <w:r>
              <w:rPr>
                <w:b/>
                <w:i w:val="0"/>
                <w:sz w:val="17"/>
              </w:rPr>
              <w:t>Item</w:t>
            </w:r>
          </w:p>
        </w:tc>
        <w:tc>
          <w:tcPr>
            <w:tcW w:type="dxa" w:w="2304"/>
            <w:shd w:val="clear" w:color="auto" w:fill="D9E2F3"/>
          </w:tcPr>
          <w:p>
            <w:pPr>
              <w:spacing w:after="20"/>
            </w:pPr>
            <w:r/>
            <w:r>
              <w:rPr>
                <w:b/>
                <w:i w:val="0"/>
                <w:sz w:val="17"/>
              </w:rPr>
              <w:t>Source</w:t>
            </w:r>
          </w:p>
        </w:tc>
        <w:tc>
          <w:tcPr>
            <w:tcW w:type="dxa" w:w="1152"/>
            <w:shd w:val="clear" w:color="auto" w:fill="D9E2F3"/>
          </w:tcPr>
          <w:p>
            <w:pPr>
              <w:spacing w:after="20"/>
            </w:pPr>
            <w:r/>
            <w:r>
              <w:rPr>
                <w:b/>
                <w:i w:val="0"/>
                <w:sz w:val="17"/>
              </w:rPr>
              <w:t>Amount</w:t>
            </w:r>
          </w:p>
        </w:tc>
        <w:tc>
          <w:tcPr>
            <w:tcW w:type="dxa" w:w="1872"/>
            <w:shd w:val="clear" w:color="auto" w:fill="D9E2F3"/>
          </w:tcPr>
          <w:p>
            <w:pPr>
              <w:spacing w:after="20"/>
            </w:pPr>
            <w:r/>
            <w:r>
              <w:rPr>
                <w:b/>
                <w:i w:val="0"/>
                <w:sz w:val="17"/>
              </w:rPr>
              <w:t>Cushion after item (Debtor Plan)</w:t>
            </w:r>
          </w:p>
        </w:tc>
      </w:tr>
      <w:tr>
        <w:tc>
          <w:tcPr>
            <w:tcW w:type="dxa" w:w="4320"/>
          </w:tcPr>
          <w:p>
            <w:pPr>
              <w:spacing w:after="20"/>
            </w:pPr>
            <w:r/>
            <w:r>
              <w:rPr>
                <w:b w:val="0"/>
                <w:i w:val="0"/>
                <w:sz w:val="17"/>
              </w:rPr>
              <w:t>Stated cushion</w:t>
            </w:r>
          </w:p>
        </w:tc>
        <w:tc>
          <w:tcPr>
            <w:tcW w:type="dxa" w:w="2304"/>
          </w:tcPr>
          <w:p>
            <w:pPr>
              <w:spacing w:after="20"/>
            </w:pPr>
            <w:r/>
            <w:r>
              <w:rPr>
                <w:b w:val="0"/>
                <w:i w:val="0"/>
                <w:sz w:val="17"/>
              </w:rPr>
              <w:t>Plan § 5.2; DS § 9.2</w:t>
            </w:r>
          </w:p>
        </w:tc>
        <w:tc>
          <w:tcPr>
            <w:tcW w:type="dxa" w:w="1152"/>
          </w:tcPr>
          <w:p>
            <w:pPr>
              <w:spacing w:after="20"/>
            </w:pPr>
            <w:r/>
            <w:r>
              <w:rPr>
                <w:b w:val="0"/>
                <w:i w:val="0"/>
                <w:sz w:val="17"/>
              </w:rPr>
              <w:t>—</w:t>
            </w:r>
          </w:p>
        </w:tc>
        <w:tc>
          <w:tcPr>
            <w:tcW w:type="dxa" w:w="1872"/>
          </w:tcPr>
          <w:p>
            <w:pPr>
              <w:spacing w:after="20"/>
            </w:pPr>
            <w:r/>
            <w:r>
              <w:rPr>
                <w:b w:val="0"/>
                <w:i w:val="0"/>
                <w:sz w:val="17"/>
              </w:rPr>
              <w:t>5.15</w:t>
            </w:r>
          </w:p>
        </w:tc>
      </w:tr>
      <w:tr>
        <w:tc>
          <w:tcPr>
            <w:tcW w:type="dxa" w:w="4320"/>
          </w:tcPr>
          <w:p>
            <w:pPr>
              <w:spacing w:after="20"/>
            </w:pPr>
            <w:r/>
            <w:r>
              <w:rPr>
                <w:b w:val="0"/>
                <w:i w:val="0"/>
                <w:sz w:val="17"/>
              </w:rPr>
              <w:t>Retention bonuses (DS: paid “on or promptly following the Effective Date”)</w:t>
            </w:r>
          </w:p>
        </w:tc>
        <w:tc>
          <w:tcPr>
            <w:tcW w:type="dxa" w:w="2304"/>
          </w:tcPr>
          <w:p>
            <w:pPr>
              <w:spacing w:after="20"/>
            </w:pPr>
            <w:r/>
            <w:r>
              <w:rPr>
                <w:b w:val="0"/>
                <w:i w:val="0"/>
                <w:sz w:val="17"/>
              </w:rPr>
              <w:t>DS § 6.3; Plan § 5.8</w:t>
            </w:r>
          </w:p>
        </w:tc>
        <w:tc>
          <w:tcPr>
            <w:tcW w:type="dxa" w:w="1152"/>
          </w:tcPr>
          <w:p>
            <w:pPr>
              <w:spacing w:after="20"/>
            </w:pPr>
            <w:r/>
            <w:r>
              <w:rPr>
                <w:b w:val="0"/>
                <w:i w:val="0"/>
                <w:sz w:val="17"/>
              </w:rPr>
              <w:t>(3.40)</w:t>
            </w:r>
          </w:p>
        </w:tc>
        <w:tc>
          <w:tcPr>
            <w:tcW w:type="dxa" w:w="1872"/>
          </w:tcPr>
          <w:p>
            <w:pPr>
              <w:spacing w:after="20"/>
            </w:pPr>
            <w:r/>
            <w:r>
              <w:rPr>
                <w:b w:val="0"/>
                <w:i w:val="0"/>
                <w:sz w:val="17"/>
              </w:rPr>
              <w:t>1.75</w:t>
            </w:r>
          </w:p>
        </w:tc>
      </w:tr>
      <w:tr>
        <w:tc>
          <w:tcPr>
            <w:tcW w:type="dxa" w:w="4320"/>
          </w:tcPr>
          <w:p>
            <w:pPr>
              <w:spacing w:after="20"/>
            </w:pPr>
            <w:r/>
            <w:r>
              <w:rPr>
                <w:b w:val="0"/>
                <w:i w:val="0"/>
                <w:sz w:val="17"/>
              </w:rPr>
              <w:t>Litigation Trust initial funding</w:t>
            </w:r>
          </w:p>
        </w:tc>
        <w:tc>
          <w:tcPr>
            <w:tcW w:type="dxa" w:w="2304"/>
          </w:tcPr>
          <w:p>
            <w:pPr>
              <w:spacing w:after="20"/>
            </w:pPr>
            <w:r/>
            <w:r>
              <w:rPr>
                <w:b w:val="0"/>
                <w:i w:val="0"/>
                <w:sz w:val="17"/>
              </w:rPr>
              <w:t>Plan § 5.9(a)</w:t>
            </w:r>
          </w:p>
        </w:tc>
        <w:tc>
          <w:tcPr>
            <w:tcW w:type="dxa" w:w="1152"/>
          </w:tcPr>
          <w:p>
            <w:pPr>
              <w:spacing w:after="20"/>
            </w:pPr>
            <w:r/>
            <w:r>
              <w:rPr>
                <w:b w:val="0"/>
                <w:i w:val="0"/>
                <w:sz w:val="17"/>
              </w:rPr>
              <w:t>(0.50)</w:t>
            </w:r>
          </w:p>
        </w:tc>
        <w:tc>
          <w:tcPr>
            <w:tcW w:type="dxa" w:w="1872"/>
          </w:tcPr>
          <w:p>
            <w:pPr>
              <w:spacing w:after="20"/>
            </w:pPr>
            <w:r/>
            <w:r>
              <w:rPr>
                <w:b w:val="0"/>
                <w:i w:val="0"/>
                <w:sz w:val="17"/>
              </w:rPr>
              <w:t>1.25</w:t>
            </w:r>
          </w:p>
        </w:tc>
      </w:tr>
      <w:tr>
        <w:tc>
          <w:tcPr>
            <w:tcW w:type="dxa" w:w="4320"/>
          </w:tcPr>
          <w:p>
            <w:pPr>
              <w:spacing w:after="20"/>
            </w:pPr>
            <w:r/>
            <w:r>
              <w:rPr>
                <w:b w:val="0"/>
                <w:i w:val="0"/>
                <w:sz w:val="17"/>
              </w:rPr>
              <w:t>Cure costs on assumed contracts</w:t>
            </w:r>
          </w:p>
        </w:tc>
        <w:tc>
          <w:tcPr>
            <w:tcW w:type="dxa" w:w="2304"/>
          </w:tcPr>
          <w:p>
            <w:pPr>
              <w:spacing w:after="20"/>
            </w:pPr>
            <w:r/>
            <w:r>
              <w:rPr>
                <w:b w:val="0"/>
                <w:i w:val="0"/>
                <w:sz w:val="17"/>
              </w:rPr>
              <w:t>Plan Ex. C note 4</w:t>
            </w:r>
          </w:p>
        </w:tc>
        <w:tc>
          <w:tcPr>
            <w:tcW w:type="dxa" w:w="1152"/>
          </w:tcPr>
          <w:p>
            <w:pPr>
              <w:spacing w:after="20"/>
            </w:pPr>
            <w:r/>
            <w:r>
              <w:rPr>
                <w:b w:val="0"/>
                <w:i w:val="0"/>
                <w:sz w:val="17"/>
              </w:rPr>
              <w:t>(0.52)</w:t>
            </w:r>
          </w:p>
        </w:tc>
        <w:tc>
          <w:tcPr>
            <w:tcW w:type="dxa" w:w="1872"/>
          </w:tcPr>
          <w:p>
            <w:pPr>
              <w:spacing w:after="20"/>
            </w:pPr>
            <w:r/>
            <w:r>
              <w:rPr>
                <w:b w:val="0"/>
                <w:i w:val="0"/>
                <w:sz w:val="17"/>
              </w:rPr>
              <w:t>0.74</w:t>
            </w:r>
          </w:p>
        </w:tc>
      </w:tr>
      <w:tr>
        <w:tc>
          <w:tcPr>
            <w:tcW w:type="dxa" w:w="4320"/>
          </w:tcPr>
          <w:p>
            <w:pPr>
              <w:spacing w:after="20"/>
            </w:pPr>
            <w:r/>
            <w:r>
              <w:rPr>
                <w:b w:val="0"/>
                <w:i w:val="0"/>
                <w:sz w:val="17"/>
              </w:rPr>
              <w:t>DIP repayment in Cash (unless rolled up)</w:t>
            </w:r>
          </w:p>
        </w:tc>
        <w:tc>
          <w:tcPr>
            <w:tcW w:type="dxa" w:w="2304"/>
          </w:tcPr>
          <w:p>
            <w:pPr>
              <w:spacing w:after="20"/>
            </w:pPr>
            <w:r/>
            <w:r>
              <w:rPr>
                <w:b w:val="0"/>
                <w:i w:val="0"/>
                <w:sz w:val="17"/>
              </w:rPr>
              <w:t>Plan § 2.4; DS § 6.4(d)</w:t>
            </w:r>
          </w:p>
        </w:tc>
        <w:tc>
          <w:tcPr>
            <w:tcW w:type="dxa" w:w="1152"/>
          </w:tcPr>
          <w:p>
            <w:pPr>
              <w:spacing w:after="20"/>
            </w:pPr>
            <w:r/>
            <w:r>
              <w:rPr>
                <w:b w:val="0"/>
                <w:i w:val="0"/>
                <w:sz w:val="17"/>
              </w:rPr>
              <w:t>TBD</w:t>
            </w:r>
          </w:p>
        </w:tc>
        <w:tc>
          <w:tcPr>
            <w:tcW w:type="dxa" w:w="1872"/>
          </w:tcPr>
          <w:p>
            <w:pPr>
              <w:spacing w:after="20"/>
            </w:pPr>
            <w:r/>
            <w:r>
              <w:rPr>
                <w:b w:val="0"/>
                <w:i w:val="0"/>
                <w:sz w:val="17"/>
              </w:rPr>
              <w:t>TBD</w:t>
            </w:r>
          </w:p>
        </w:tc>
      </w:tr>
      <w:tr>
        <w:tc>
          <w:tcPr>
            <w:tcW w:type="dxa" w:w="4320"/>
          </w:tcPr>
          <w:p>
            <w:pPr>
              <w:spacing w:after="20"/>
            </w:pPr>
            <w:r/>
            <w:r>
              <w:rPr>
                <w:b w:val="0"/>
                <w:i w:val="0"/>
                <w:sz w:val="17"/>
              </w:rPr>
              <w:t>Professional fee escrow (DS condition)</w:t>
            </w:r>
          </w:p>
        </w:tc>
        <w:tc>
          <w:tcPr>
            <w:tcW w:type="dxa" w:w="2304"/>
          </w:tcPr>
          <w:p>
            <w:pPr>
              <w:spacing w:after="20"/>
            </w:pPr>
            <w:r/>
            <w:r>
              <w:rPr>
                <w:b w:val="0"/>
                <w:i w:val="0"/>
                <w:sz w:val="17"/>
              </w:rPr>
              <w:t>DS § 6.4(e)</w:t>
            </w:r>
          </w:p>
        </w:tc>
        <w:tc>
          <w:tcPr>
            <w:tcW w:type="dxa" w:w="1152"/>
          </w:tcPr>
          <w:p>
            <w:pPr>
              <w:spacing w:after="20"/>
            </w:pPr>
            <w:r/>
            <w:r>
              <w:rPr>
                <w:b w:val="0"/>
                <w:i w:val="0"/>
                <w:sz w:val="17"/>
              </w:rPr>
              <w:t>Inside the $8.1M?</w:t>
            </w:r>
          </w:p>
        </w:tc>
        <w:tc>
          <w:tcPr>
            <w:tcW w:type="dxa" w:w="1872"/>
          </w:tcPr>
          <w:p>
            <w:pPr>
              <w:spacing w:after="20"/>
            </w:pPr>
            <w:r/>
            <w:r>
              <w:rPr>
                <w:b w:val="0"/>
                <w:i w:val="0"/>
                <w:sz w:val="17"/>
              </w:rPr>
              <w:t>Confirm</w:t>
            </w:r>
          </w:p>
        </w:tc>
      </w:tr>
    </w:tbl>
    <w:p>
      <w:pPr>
        <w:spacing w:after="40"/>
      </w:pPr>
    </w:p>
    <w:p>
      <w:pPr>
        <w:spacing w:after="120"/>
      </w:pPr>
      <w:r>
        <w:rPr>
          <w:b/>
          <w:i w:val="0"/>
          <w:sz w:val="19"/>
        </w:rPr>
        <w:t>Implication.</w:t>
      </w:r>
      <w:r>
        <w:rPr>
          <w:b w:val="0"/>
          <w:i w:val="0"/>
          <w:sz w:val="19"/>
        </w:rPr>
        <w:t xml:space="preserve"> On the Debtor’s own documents, the true Effective Date cushion may be as low as about </w:t>
      </w:r>
      <w:r>
        <w:rPr>
          <w:b/>
          <w:i w:val="0"/>
          <w:sz w:val="19"/>
        </w:rPr>
        <w:t>$0.7M</w:t>
      </w:r>
      <w:r>
        <w:rPr>
          <w:b w:val="0"/>
          <w:i w:val="0"/>
          <w:sz w:val="19"/>
        </w:rPr>
        <w:t>, before any DIP cash repayment. The Committee will find this. Pinecrest should re-run the sources and uses before May 26 and before the DS hearing, with any exit-revolver draw shown explicitly. Striking or restructuring the retention program (A-7) would restore up to $3.4M of Effective Date liquidity. That is a reason to treat A-7 as a trade rather than a fight.</w:t>
      </w:r>
    </w:p>
    <w:p>
      <w:pPr>
        <w:pStyle w:val="Heading2"/>
      </w:pPr>
      <w:r>
        <w:t>C. Year-1 and Year-2 Liquidity</w:t>
      </w:r>
    </w:p>
    <w:tbl>
      <w:tblPr>
        <w:tblStyle w:val="TableGrid"/>
        <w:tblW w:type="auto" w:w="0"/>
        <w:jc w:val="center"/>
        <w:tblLayout w:type="fixed"/>
        <w:tblLook w:firstColumn="1" w:firstRow="1" w:lastColumn="0" w:lastRow="0" w:noHBand="0" w:noVBand="1" w:val="04A0"/>
      </w:tblPr>
      <w:tblGrid>
        <w:gridCol w:w="5184"/>
        <w:gridCol w:w="2015"/>
        <w:gridCol w:w="2015"/>
      </w:tblGrid>
      <w:tr>
        <w:tc>
          <w:tcPr>
            <w:tcW w:type="dxa" w:w="5184"/>
            <w:shd w:val="clear" w:color="auto" w:fill="D9E2F3"/>
          </w:tcPr>
          <w:p>
            <w:pPr>
              <w:spacing w:after="20"/>
            </w:pPr>
            <w:r/>
          </w:p>
        </w:tc>
        <w:tc>
          <w:tcPr>
            <w:tcW w:type="dxa" w:w="2016"/>
            <w:shd w:val="clear" w:color="auto" w:fill="D9E2F3"/>
          </w:tcPr>
          <w:p>
            <w:pPr>
              <w:spacing w:after="20"/>
            </w:pPr>
            <w:r/>
            <w:r>
              <w:rPr>
                <w:b/>
                <w:i w:val="0"/>
                <w:sz w:val="17"/>
              </w:rPr>
              <w:t>Debtor Filed Plan</w:t>
            </w:r>
          </w:p>
        </w:tc>
        <w:tc>
          <w:tcPr>
            <w:tcW w:type="dxa" w:w="2016"/>
            <w:shd w:val="clear" w:color="auto" w:fill="D9E2F3"/>
          </w:tcPr>
          <w:p>
            <w:pPr>
              <w:spacing w:after="20"/>
            </w:pPr>
            <w:r/>
            <w:r>
              <w:rPr>
                <w:b/>
                <w:i w:val="0"/>
                <w:sz w:val="17"/>
              </w:rPr>
              <w:t>Committee Redline</w:t>
            </w:r>
          </w:p>
        </w:tc>
      </w:tr>
      <w:tr>
        <w:tc>
          <w:tcPr>
            <w:tcW w:type="dxa" w:w="5184"/>
          </w:tcPr>
          <w:p>
            <w:pPr>
              <w:spacing w:after="20"/>
            </w:pPr>
            <w:r/>
            <w:r>
              <w:rPr>
                <w:b w:val="0"/>
                <w:i w:val="0"/>
                <w:sz w:val="17"/>
              </w:rPr>
              <w:t>Cash after Effective Date distributions</w:t>
            </w:r>
          </w:p>
        </w:tc>
        <w:tc>
          <w:tcPr>
            <w:tcW w:type="dxa" w:w="2016"/>
          </w:tcPr>
          <w:p>
            <w:pPr>
              <w:spacing w:after="20"/>
            </w:pPr>
            <w:r/>
            <w:r>
              <w:rPr>
                <w:b w:val="0"/>
                <w:i w:val="0"/>
                <w:sz w:val="17"/>
              </w:rPr>
              <w:t>5.15</w:t>
            </w:r>
          </w:p>
        </w:tc>
        <w:tc>
          <w:tcPr>
            <w:tcW w:type="dxa" w:w="2016"/>
          </w:tcPr>
          <w:p>
            <w:pPr>
              <w:spacing w:after="20"/>
            </w:pPr>
            <w:r/>
            <w:r>
              <w:rPr>
                <w:b w:val="0"/>
                <w:i w:val="0"/>
                <w:sz w:val="17"/>
              </w:rPr>
              <w:t>(6.50)</w:t>
            </w:r>
          </w:p>
        </w:tc>
      </w:tr>
      <w:tr>
        <w:tc>
          <w:tcPr>
            <w:tcW w:type="dxa" w:w="5184"/>
          </w:tcPr>
          <w:p>
            <w:pPr>
              <w:spacing w:after="20"/>
            </w:pPr>
            <w:r/>
            <w:r>
              <w:rPr>
                <w:b w:val="0"/>
                <w:i w:val="0"/>
                <w:sz w:val="17"/>
              </w:rPr>
              <w:t>Year 1 free cash flow (Ex. B)</w:t>
            </w:r>
          </w:p>
        </w:tc>
        <w:tc>
          <w:tcPr>
            <w:tcW w:type="dxa" w:w="2016"/>
          </w:tcPr>
          <w:p>
            <w:pPr>
              <w:spacing w:after="20"/>
            </w:pPr>
            <w:r/>
            <w:r>
              <w:rPr>
                <w:b w:val="0"/>
                <w:i w:val="0"/>
                <w:sz w:val="17"/>
              </w:rPr>
              <w:t>8.30</w:t>
            </w:r>
          </w:p>
        </w:tc>
        <w:tc>
          <w:tcPr>
            <w:tcW w:type="dxa" w:w="2016"/>
          </w:tcPr>
          <w:p>
            <w:pPr>
              <w:spacing w:after="20"/>
            </w:pPr>
            <w:r/>
            <w:r>
              <w:rPr>
                <w:b w:val="0"/>
                <w:i w:val="0"/>
                <w:sz w:val="17"/>
              </w:rPr>
              <w:t>8.30</w:t>
            </w:r>
          </w:p>
        </w:tc>
      </w:tr>
      <w:tr>
        <w:tc>
          <w:tcPr>
            <w:tcW w:type="dxa" w:w="5184"/>
          </w:tcPr>
          <w:p>
            <w:pPr>
              <w:spacing w:after="20"/>
            </w:pPr>
            <w:r/>
            <w:r>
              <w:rPr>
                <w:b w:val="0"/>
                <w:i w:val="0"/>
                <w:sz w:val="17"/>
              </w:rPr>
              <w:t>Deferred GUC payment at first anniversary</w:t>
            </w:r>
          </w:p>
        </w:tc>
        <w:tc>
          <w:tcPr>
            <w:tcW w:type="dxa" w:w="2016"/>
          </w:tcPr>
          <w:p>
            <w:pPr>
              <w:spacing w:after="20"/>
            </w:pPr>
            <w:r/>
            <w:r>
              <w:rPr>
                <w:b w:val="0"/>
                <w:i w:val="0"/>
                <w:sz w:val="17"/>
              </w:rPr>
              <w:t>(9.35)</w:t>
            </w:r>
          </w:p>
        </w:tc>
        <w:tc>
          <w:tcPr>
            <w:tcW w:type="dxa" w:w="2016"/>
          </w:tcPr>
          <w:p>
            <w:pPr>
              <w:spacing w:after="20"/>
            </w:pPr>
            <w:r/>
            <w:r>
              <w:rPr>
                <w:b w:val="0"/>
                <w:i w:val="0"/>
                <w:sz w:val="17"/>
              </w:rPr>
              <w:t>(7.00)</w:t>
            </w:r>
          </w:p>
        </w:tc>
      </w:tr>
      <w:tr>
        <w:tc>
          <w:tcPr>
            <w:tcW w:type="dxa" w:w="5184"/>
          </w:tcPr>
          <w:p>
            <w:pPr>
              <w:spacing w:after="20"/>
            </w:pPr>
            <w:r/>
            <w:r>
              <w:rPr>
                <w:b w:val="0"/>
                <w:i w:val="0"/>
                <w:sz w:val="17"/>
              </w:rPr>
              <w:t>Interest on deferred payment (5.24%, one year)</w:t>
            </w:r>
          </w:p>
        </w:tc>
        <w:tc>
          <w:tcPr>
            <w:tcW w:type="dxa" w:w="2016"/>
          </w:tcPr>
          <w:p>
            <w:pPr>
              <w:spacing w:after="20"/>
            </w:pPr>
            <w:r/>
            <w:r>
              <w:rPr>
                <w:b w:val="0"/>
                <w:i w:val="0"/>
                <w:sz w:val="17"/>
              </w:rPr>
              <w:t>—</w:t>
            </w:r>
          </w:p>
        </w:tc>
        <w:tc>
          <w:tcPr>
            <w:tcW w:type="dxa" w:w="2016"/>
          </w:tcPr>
          <w:p>
            <w:pPr>
              <w:spacing w:after="20"/>
            </w:pPr>
            <w:r/>
            <w:r>
              <w:rPr>
                <w:b w:val="0"/>
                <w:i w:val="0"/>
                <w:sz w:val="17"/>
              </w:rPr>
              <w:t>(0.37)</w:t>
            </w:r>
          </w:p>
        </w:tc>
      </w:tr>
      <w:tr>
        <w:tc>
          <w:tcPr>
            <w:tcW w:type="dxa" w:w="5184"/>
          </w:tcPr>
          <w:p>
            <w:pPr>
              <w:spacing w:after="20"/>
            </w:pPr>
            <w:r/>
            <w:r>
              <w:rPr>
                <w:b/>
                <w:i w:val="0"/>
                <w:sz w:val="17"/>
              </w:rPr>
              <w:t>Year 1 ending cash</w:t>
            </w:r>
          </w:p>
        </w:tc>
        <w:tc>
          <w:tcPr>
            <w:tcW w:type="dxa" w:w="2016"/>
          </w:tcPr>
          <w:p>
            <w:pPr>
              <w:spacing w:after="20"/>
            </w:pPr>
            <w:r/>
            <w:r>
              <w:rPr>
                <w:b/>
                <w:i w:val="0"/>
                <w:sz w:val="17"/>
              </w:rPr>
              <w:t>4.10</w:t>
            </w:r>
          </w:p>
        </w:tc>
        <w:tc>
          <w:tcPr>
            <w:tcW w:type="dxa" w:w="2016"/>
          </w:tcPr>
          <w:p>
            <w:pPr>
              <w:spacing w:after="20"/>
            </w:pPr>
            <w:r/>
            <w:r>
              <w:rPr>
                <w:b/>
                <w:i w:val="0"/>
                <w:sz w:val="17"/>
              </w:rPr>
              <w:t>(5.57)</w:t>
            </w:r>
          </w:p>
        </w:tc>
      </w:tr>
      <w:tr>
        <w:tc>
          <w:tcPr>
            <w:tcW w:type="dxa" w:w="5184"/>
          </w:tcPr>
          <w:p>
            <w:pPr>
              <w:spacing w:after="20"/>
            </w:pPr>
            <w:r/>
            <w:r>
              <w:rPr>
                <w:b w:val="0"/>
                <w:i w:val="0"/>
                <w:sz w:val="17"/>
              </w:rPr>
              <w:t>Memo: using the Redline’s own Ex. B (Year 1 FCF $6.0M)</w:t>
            </w:r>
          </w:p>
        </w:tc>
        <w:tc>
          <w:tcPr>
            <w:tcW w:type="dxa" w:w="2016"/>
          </w:tcPr>
          <w:p>
            <w:pPr>
              <w:spacing w:after="20"/>
            </w:pPr>
            <w:r/>
            <w:r>
              <w:rPr>
                <w:b w:val="0"/>
                <w:i w:val="0"/>
                <w:sz w:val="17"/>
              </w:rPr>
              <w:t>n/a</w:t>
            </w:r>
          </w:p>
        </w:tc>
        <w:tc>
          <w:tcPr>
            <w:tcW w:type="dxa" w:w="2016"/>
          </w:tcPr>
          <w:p>
            <w:pPr>
              <w:spacing w:after="20"/>
            </w:pPr>
            <w:r/>
            <w:r>
              <w:rPr>
                <w:b w:val="0"/>
                <w:i w:val="0"/>
                <w:sz w:val="17"/>
              </w:rPr>
              <w:t>(7.87)</w:t>
            </w:r>
          </w:p>
        </w:tc>
      </w:tr>
    </w:tbl>
    <w:p>
      <w:pPr>
        <w:spacing w:after="40"/>
      </w:pPr>
    </w:p>
    <w:p>
      <w:pPr>
        <w:pStyle w:val="Heading2"/>
      </w:pPr>
      <w:r>
        <w:t>D. Unsecured Creditor Recovery Comparison ($187.0M of GUC claims)</w:t>
      </w:r>
    </w:p>
    <w:tbl>
      <w:tblPr>
        <w:tblStyle w:val="TableGrid"/>
        <w:tblW w:type="auto" w:w="0"/>
        <w:jc w:val="center"/>
        <w:tblLayout w:type="fixed"/>
        <w:tblLook w:firstColumn="1" w:firstRow="1" w:lastColumn="0" w:lastRow="0" w:noHBand="0" w:noVBand="1" w:val="04A0"/>
      </w:tblPr>
      <w:tblGrid>
        <w:gridCol w:w="3456"/>
        <w:gridCol w:w="1152"/>
        <w:gridCol w:w="2304"/>
        <w:gridCol w:w="1007"/>
        <w:gridCol w:w="1872"/>
      </w:tblGrid>
      <w:tr>
        <w:tc>
          <w:tcPr>
            <w:tcW w:type="dxa" w:w="3456"/>
            <w:shd w:val="clear" w:color="auto" w:fill="D9E2F3"/>
          </w:tcPr>
          <w:p>
            <w:pPr>
              <w:spacing w:after="20"/>
            </w:pPr>
            <w:r/>
            <w:r>
              <w:rPr>
                <w:b/>
                <w:i w:val="0"/>
                <w:sz w:val="17"/>
              </w:rPr>
              <w:t>Scenario</w:t>
            </w:r>
          </w:p>
        </w:tc>
        <w:tc>
          <w:tcPr>
            <w:tcW w:type="dxa" w:w="1152"/>
            <w:shd w:val="clear" w:color="auto" w:fill="D9E2F3"/>
          </w:tcPr>
          <w:p>
            <w:pPr>
              <w:spacing w:after="20"/>
            </w:pPr>
            <w:r/>
            <w:r>
              <w:rPr>
                <w:b/>
                <w:i w:val="0"/>
                <w:sz w:val="17"/>
              </w:rPr>
              <w:t>Cash pool</w:t>
            </w:r>
          </w:p>
        </w:tc>
        <w:tc>
          <w:tcPr>
            <w:tcW w:type="dxa" w:w="2304"/>
            <w:shd w:val="clear" w:color="auto" w:fill="D9E2F3"/>
          </w:tcPr>
          <w:p>
            <w:pPr>
              <w:spacing w:after="20"/>
            </w:pPr>
            <w:r/>
            <w:r>
              <w:rPr>
                <w:b/>
                <w:i w:val="0"/>
                <w:sz w:val="17"/>
              </w:rPr>
              <w:t>Avoidance proceeds to GUCs</w:t>
            </w:r>
          </w:p>
        </w:tc>
        <w:tc>
          <w:tcPr>
            <w:tcW w:type="dxa" w:w="1008"/>
            <w:shd w:val="clear" w:color="auto" w:fill="D9E2F3"/>
          </w:tcPr>
          <w:p>
            <w:pPr>
              <w:spacing w:after="20"/>
            </w:pPr>
            <w:r/>
            <w:r>
              <w:rPr>
                <w:b/>
                <w:i w:val="0"/>
                <w:sz w:val="17"/>
              </w:rPr>
              <w:t>Total</w:t>
            </w:r>
          </w:p>
        </w:tc>
        <w:tc>
          <w:tcPr>
            <w:tcW w:type="dxa" w:w="1872"/>
            <w:shd w:val="clear" w:color="auto" w:fill="D9E2F3"/>
          </w:tcPr>
          <w:p>
            <w:pPr>
              <w:spacing w:after="20"/>
            </w:pPr>
            <w:r/>
            <w:r>
              <w:rPr>
                <w:b/>
                <w:i w:val="0"/>
                <w:sz w:val="17"/>
              </w:rPr>
              <w:t>Recovery %</w:t>
            </w:r>
          </w:p>
        </w:tc>
      </w:tr>
      <w:tr>
        <w:tc>
          <w:tcPr>
            <w:tcW w:type="dxa" w:w="3456"/>
          </w:tcPr>
          <w:p>
            <w:pPr>
              <w:spacing w:after="20"/>
            </w:pPr>
            <w:r/>
            <w:r>
              <w:rPr>
                <w:b w:val="0"/>
                <w:i w:val="0"/>
                <w:sz w:val="17"/>
              </w:rPr>
              <w:t>Chapter 7 (DS Art. XI)</w:t>
            </w:r>
          </w:p>
        </w:tc>
        <w:tc>
          <w:tcPr>
            <w:tcW w:type="dxa" w:w="1152"/>
          </w:tcPr>
          <w:p>
            <w:pPr>
              <w:spacing w:after="20"/>
            </w:pPr>
            <w:r/>
            <w:r>
              <w:rPr>
                <w:b w:val="0"/>
                <w:i w:val="0"/>
                <w:sz w:val="17"/>
              </w:rPr>
              <w:t>—</w:t>
            </w:r>
          </w:p>
        </w:tc>
        <w:tc>
          <w:tcPr>
            <w:tcW w:type="dxa" w:w="2304"/>
          </w:tcPr>
          <w:p>
            <w:pPr>
              <w:spacing w:after="20"/>
            </w:pPr>
            <w:r/>
            <w:r>
              <w:rPr>
                <w:b w:val="0"/>
                <w:i w:val="0"/>
                <w:sz w:val="17"/>
              </w:rPr>
              <w:t>—</w:t>
            </w:r>
          </w:p>
        </w:tc>
        <w:tc>
          <w:tcPr>
            <w:tcW w:type="dxa" w:w="1008"/>
          </w:tcPr>
          <w:p>
            <w:pPr>
              <w:spacing w:after="20"/>
            </w:pPr>
            <w:r/>
            <w:r>
              <w:rPr>
                <w:b w:val="0"/>
                <w:i w:val="0"/>
                <w:sz w:val="17"/>
              </w:rPr>
              <w:t>0.0</w:t>
            </w:r>
          </w:p>
        </w:tc>
        <w:tc>
          <w:tcPr>
            <w:tcW w:type="dxa" w:w="1872"/>
          </w:tcPr>
          <w:p>
            <w:pPr>
              <w:spacing w:after="20"/>
            </w:pPr>
            <w:r/>
            <w:r>
              <w:rPr>
                <w:b w:val="0"/>
                <w:i w:val="0"/>
                <w:sz w:val="17"/>
              </w:rPr>
              <w:t>0.0% (Plan Ex. A says 3%–5%; Redline Ex. A says ~2%–5%)</w:t>
            </w:r>
          </w:p>
        </w:tc>
      </w:tr>
      <w:tr>
        <w:tc>
          <w:tcPr>
            <w:tcW w:type="dxa" w:w="3456"/>
          </w:tcPr>
          <w:p>
            <w:pPr>
              <w:spacing w:after="20"/>
            </w:pPr>
            <w:r/>
            <w:r>
              <w:rPr>
                <w:b w:val="0"/>
                <w:i w:val="0"/>
                <w:sz w:val="17"/>
              </w:rPr>
              <w:t>Debtor Filed Plan</w:t>
            </w:r>
          </w:p>
        </w:tc>
        <w:tc>
          <w:tcPr>
            <w:tcW w:type="dxa" w:w="1152"/>
          </w:tcPr>
          <w:p>
            <w:pPr>
              <w:spacing w:after="20"/>
            </w:pPr>
            <w:r/>
            <w:r>
              <w:rPr>
                <w:b w:val="0"/>
                <w:i w:val="0"/>
                <w:sz w:val="17"/>
              </w:rPr>
              <w:t>18.70</w:t>
            </w:r>
          </w:p>
        </w:tc>
        <w:tc>
          <w:tcPr>
            <w:tcW w:type="dxa" w:w="2304"/>
          </w:tcPr>
          <w:p>
            <w:pPr>
              <w:spacing w:after="20"/>
            </w:pPr>
            <w:r/>
            <w:r>
              <w:rPr>
                <w:b w:val="0"/>
                <w:i w:val="0"/>
                <w:sz w:val="17"/>
              </w:rPr>
              <w:t>0 (retained by the Reorganized Debtor)</w:t>
            </w:r>
          </w:p>
        </w:tc>
        <w:tc>
          <w:tcPr>
            <w:tcW w:type="dxa" w:w="1008"/>
          </w:tcPr>
          <w:p>
            <w:pPr>
              <w:spacing w:after="20"/>
            </w:pPr>
            <w:r/>
            <w:r>
              <w:rPr>
                <w:b w:val="0"/>
                <w:i w:val="0"/>
                <w:sz w:val="17"/>
              </w:rPr>
              <w:t>18.70</w:t>
            </w:r>
          </w:p>
        </w:tc>
        <w:tc>
          <w:tcPr>
            <w:tcW w:type="dxa" w:w="1872"/>
          </w:tcPr>
          <w:p>
            <w:pPr>
              <w:spacing w:after="20"/>
            </w:pPr>
            <w:r/>
            <w:r>
              <w:rPr>
                <w:b w:val="0"/>
                <w:i w:val="0"/>
                <w:sz w:val="17"/>
              </w:rPr>
              <w:t>10.00%</w:t>
            </w:r>
          </w:p>
        </w:tc>
      </w:tr>
      <w:tr>
        <w:tc>
          <w:tcPr>
            <w:tcW w:type="dxa" w:w="3456"/>
          </w:tcPr>
          <w:p>
            <w:pPr>
              <w:spacing w:after="20"/>
            </w:pPr>
            <w:r/>
            <w:r>
              <w:rPr>
                <w:b w:val="0"/>
                <w:i w:val="0"/>
                <w:sz w:val="17"/>
              </w:rPr>
              <w:t>Committee Redline: pool only</w:t>
            </w:r>
          </w:p>
        </w:tc>
        <w:tc>
          <w:tcPr>
            <w:tcW w:type="dxa" w:w="1152"/>
          </w:tcPr>
          <w:p>
            <w:pPr>
              <w:spacing w:after="20"/>
            </w:pPr>
            <w:r/>
            <w:r>
              <w:rPr>
                <w:b w:val="0"/>
                <w:i w:val="0"/>
                <w:sz w:val="17"/>
              </w:rPr>
              <w:t>28.00</w:t>
            </w:r>
          </w:p>
        </w:tc>
        <w:tc>
          <w:tcPr>
            <w:tcW w:type="dxa" w:w="2304"/>
          </w:tcPr>
          <w:p>
            <w:pPr>
              <w:spacing w:after="20"/>
            </w:pPr>
            <w:r/>
            <w:r>
              <w:rPr>
                <w:b w:val="0"/>
                <w:i w:val="0"/>
                <w:sz w:val="17"/>
              </w:rPr>
              <w:t>—</w:t>
            </w:r>
          </w:p>
        </w:tc>
        <w:tc>
          <w:tcPr>
            <w:tcW w:type="dxa" w:w="1008"/>
          </w:tcPr>
          <w:p>
            <w:pPr>
              <w:spacing w:after="20"/>
            </w:pPr>
            <w:r/>
            <w:r>
              <w:rPr>
                <w:b w:val="0"/>
                <w:i w:val="0"/>
                <w:sz w:val="17"/>
              </w:rPr>
              <w:t>28.00</w:t>
            </w:r>
          </w:p>
        </w:tc>
        <w:tc>
          <w:tcPr>
            <w:tcW w:type="dxa" w:w="1872"/>
          </w:tcPr>
          <w:p>
            <w:pPr>
              <w:spacing w:after="20"/>
            </w:pPr>
            <w:r/>
            <w:r>
              <w:rPr>
                <w:b w:val="0"/>
                <w:i w:val="0"/>
                <w:sz w:val="17"/>
              </w:rPr>
              <w:t>14.97%</w:t>
            </w:r>
          </w:p>
        </w:tc>
      </w:tr>
      <w:tr>
        <w:tc>
          <w:tcPr>
            <w:tcW w:type="dxa" w:w="3456"/>
          </w:tcPr>
          <w:p>
            <w:pPr>
              <w:spacing w:after="20"/>
            </w:pPr>
            <w:r/>
            <w:r>
              <w:rPr>
                <w:b w:val="0"/>
                <w:i w:val="0"/>
                <w:sz w:val="17"/>
              </w:rPr>
              <w:t>Committee: + net preferences, low (Committee estimate)</w:t>
            </w:r>
          </w:p>
        </w:tc>
        <w:tc>
          <w:tcPr>
            <w:tcW w:type="dxa" w:w="1152"/>
          </w:tcPr>
          <w:p>
            <w:pPr>
              <w:spacing w:after="20"/>
            </w:pPr>
            <w:r/>
            <w:r>
              <w:rPr>
                <w:b w:val="0"/>
                <w:i w:val="0"/>
                <w:sz w:val="17"/>
              </w:rPr>
              <w:t>28.00</w:t>
            </w:r>
          </w:p>
        </w:tc>
        <w:tc>
          <w:tcPr>
            <w:tcW w:type="dxa" w:w="2304"/>
          </w:tcPr>
          <w:p>
            <w:pPr>
              <w:spacing w:after="20"/>
            </w:pPr>
            <w:r/>
            <w:r>
              <w:rPr>
                <w:b w:val="0"/>
                <w:i w:val="0"/>
                <w:sz w:val="17"/>
              </w:rPr>
              <w:t>6.00</w:t>
            </w:r>
          </w:p>
        </w:tc>
        <w:tc>
          <w:tcPr>
            <w:tcW w:type="dxa" w:w="1008"/>
          </w:tcPr>
          <w:p>
            <w:pPr>
              <w:spacing w:after="20"/>
            </w:pPr>
            <w:r/>
            <w:r>
              <w:rPr>
                <w:b w:val="0"/>
                <w:i w:val="0"/>
                <w:sz w:val="17"/>
              </w:rPr>
              <w:t>34.00</w:t>
            </w:r>
          </w:p>
        </w:tc>
        <w:tc>
          <w:tcPr>
            <w:tcW w:type="dxa" w:w="1872"/>
          </w:tcPr>
          <w:p>
            <w:pPr>
              <w:spacing w:after="20"/>
            </w:pPr>
            <w:r/>
            <w:r>
              <w:rPr>
                <w:b w:val="0"/>
                <w:i w:val="0"/>
                <w:sz w:val="17"/>
              </w:rPr>
              <w:t>18.18%</w:t>
            </w:r>
          </w:p>
        </w:tc>
      </w:tr>
      <w:tr>
        <w:tc>
          <w:tcPr>
            <w:tcW w:type="dxa" w:w="3456"/>
          </w:tcPr>
          <w:p>
            <w:pPr>
              <w:spacing w:after="20"/>
            </w:pPr>
            <w:r/>
            <w:r>
              <w:rPr>
                <w:b w:val="0"/>
                <w:i w:val="0"/>
                <w:sz w:val="17"/>
              </w:rPr>
              <w:t>Committee: + net preferences, high (Committee estimate)</w:t>
            </w:r>
          </w:p>
        </w:tc>
        <w:tc>
          <w:tcPr>
            <w:tcW w:type="dxa" w:w="1152"/>
          </w:tcPr>
          <w:p>
            <w:pPr>
              <w:spacing w:after="20"/>
            </w:pPr>
            <w:r/>
            <w:r>
              <w:rPr>
                <w:b w:val="0"/>
                <w:i w:val="0"/>
                <w:sz w:val="17"/>
              </w:rPr>
              <w:t>28.00</w:t>
            </w:r>
          </w:p>
        </w:tc>
        <w:tc>
          <w:tcPr>
            <w:tcW w:type="dxa" w:w="2304"/>
          </w:tcPr>
          <w:p>
            <w:pPr>
              <w:spacing w:after="20"/>
            </w:pPr>
            <w:r/>
            <w:r>
              <w:rPr>
                <w:b w:val="0"/>
                <w:i w:val="0"/>
                <w:sz w:val="17"/>
              </w:rPr>
              <w:t>7.50</w:t>
            </w:r>
          </w:p>
        </w:tc>
        <w:tc>
          <w:tcPr>
            <w:tcW w:type="dxa" w:w="1008"/>
          </w:tcPr>
          <w:p>
            <w:pPr>
              <w:spacing w:after="20"/>
            </w:pPr>
            <w:r/>
            <w:r>
              <w:rPr>
                <w:b w:val="0"/>
                <w:i w:val="0"/>
                <w:sz w:val="17"/>
              </w:rPr>
              <w:t>35.50</w:t>
            </w:r>
          </w:p>
        </w:tc>
        <w:tc>
          <w:tcPr>
            <w:tcW w:type="dxa" w:w="1872"/>
          </w:tcPr>
          <w:p>
            <w:pPr>
              <w:spacing w:after="20"/>
            </w:pPr>
            <w:r/>
            <w:r>
              <w:rPr>
                <w:b w:val="0"/>
                <w:i w:val="0"/>
                <w:sz w:val="17"/>
              </w:rPr>
              <w:t>18.98%</w:t>
            </w:r>
          </w:p>
        </w:tc>
      </w:tr>
      <w:tr>
        <w:tc>
          <w:tcPr>
            <w:tcW w:type="dxa" w:w="3456"/>
          </w:tcPr>
          <w:p>
            <w:pPr>
              <w:spacing w:after="20"/>
            </w:pPr>
            <w:r/>
            <w:r>
              <w:rPr>
                <w:b w:val="0"/>
                <w:i w:val="0"/>
                <w:sz w:val="17"/>
              </w:rPr>
              <w:t>Committee: as stated (gross, no costs)</w:t>
            </w:r>
          </w:p>
        </w:tc>
        <w:tc>
          <w:tcPr>
            <w:tcW w:type="dxa" w:w="1152"/>
          </w:tcPr>
          <w:p>
            <w:pPr>
              <w:spacing w:after="20"/>
            </w:pPr>
            <w:r/>
            <w:r>
              <w:rPr>
                <w:b w:val="0"/>
                <w:i w:val="0"/>
                <w:sz w:val="17"/>
              </w:rPr>
              <w:t>28.00</w:t>
            </w:r>
          </w:p>
        </w:tc>
        <w:tc>
          <w:tcPr>
            <w:tcW w:type="dxa" w:w="2304"/>
          </w:tcPr>
          <w:p>
            <w:pPr>
              <w:spacing w:after="20"/>
            </w:pPr>
            <w:r/>
            <w:r>
              <w:rPr>
                <w:b w:val="0"/>
                <w:i w:val="0"/>
                <w:sz w:val="17"/>
              </w:rPr>
              <w:t>9.50</w:t>
            </w:r>
          </w:p>
        </w:tc>
        <w:tc>
          <w:tcPr>
            <w:tcW w:type="dxa" w:w="1008"/>
          </w:tcPr>
          <w:p>
            <w:pPr>
              <w:spacing w:after="20"/>
            </w:pPr>
            <w:r/>
            <w:r>
              <w:rPr>
                <w:b w:val="0"/>
                <w:i w:val="0"/>
                <w:sz w:val="17"/>
              </w:rPr>
              <w:t>37.50</w:t>
            </w:r>
          </w:p>
        </w:tc>
        <w:tc>
          <w:tcPr>
            <w:tcW w:type="dxa" w:w="1872"/>
          </w:tcPr>
          <w:p>
            <w:pPr>
              <w:spacing w:after="20"/>
            </w:pPr>
            <w:r/>
            <w:r>
              <w:rPr>
                <w:b w:val="0"/>
                <w:i w:val="0"/>
                <w:sz w:val="17"/>
              </w:rPr>
              <w:t>20.05%</w:t>
            </w:r>
          </w:p>
        </w:tc>
      </w:tr>
      <w:tr>
        <w:tc>
          <w:tcPr>
            <w:tcW w:type="dxa" w:w="3456"/>
          </w:tcPr>
          <w:p>
            <w:pPr>
              <w:spacing w:after="20"/>
            </w:pPr>
            <w:r/>
            <w:r>
              <w:rPr>
                <w:b w:val="0"/>
                <w:i w:val="0"/>
                <w:sz w:val="17"/>
              </w:rPr>
              <w:t>Memo: interest on deferred amount</w:t>
            </w:r>
          </w:p>
        </w:tc>
        <w:tc>
          <w:tcPr>
            <w:tcW w:type="dxa" w:w="1152"/>
          </w:tcPr>
          <w:p>
            <w:pPr>
              <w:spacing w:after="20"/>
            </w:pPr>
            <w:r/>
            <w:r>
              <w:rPr>
                <w:b w:val="0"/>
                <w:i w:val="0"/>
                <w:sz w:val="17"/>
              </w:rPr>
              <w:t>—</w:t>
            </w:r>
          </w:p>
        </w:tc>
        <w:tc>
          <w:tcPr>
            <w:tcW w:type="dxa" w:w="2304"/>
          </w:tcPr>
          <w:p>
            <w:pPr>
              <w:spacing w:after="20"/>
            </w:pPr>
            <w:r/>
            <w:r>
              <w:rPr>
                <w:b w:val="0"/>
                <w:i w:val="0"/>
                <w:sz w:val="17"/>
              </w:rPr>
              <w:t>—</w:t>
            </w:r>
          </w:p>
        </w:tc>
        <w:tc>
          <w:tcPr>
            <w:tcW w:type="dxa" w:w="1008"/>
          </w:tcPr>
          <w:p>
            <w:pPr>
              <w:spacing w:after="20"/>
            </w:pPr>
            <w:r/>
            <w:r>
              <w:rPr>
                <w:b w:val="0"/>
                <w:i w:val="0"/>
                <w:sz w:val="17"/>
              </w:rPr>
              <w:t>+0.37</w:t>
            </w:r>
          </w:p>
        </w:tc>
        <w:tc>
          <w:tcPr>
            <w:tcW w:type="dxa" w:w="1872"/>
          </w:tcPr>
          <w:p>
            <w:pPr>
              <w:spacing w:after="20"/>
            </w:pPr>
            <w:r/>
            <w:r>
              <w:rPr>
                <w:b w:val="0"/>
                <w:i w:val="0"/>
                <w:sz w:val="17"/>
              </w:rPr>
              <w:t>+0.20 pts</w:t>
            </w:r>
          </w:p>
        </w:tc>
      </w:tr>
    </w:tbl>
    <w:p>
      <w:pPr>
        <w:spacing w:after="40"/>
      </w:pPr>
    </w:p>
    <w:p>
      <w:pPr>
        <w:spacing w:after="120"/>
      </w:pPr>
      <w:r>
        <w:rPr>
          <w:b w:val="0"/>
          <w:i w:val="0"/>
          <w:sz w:val="19"/>
        </w:rPr>
        <w:t xml:space="preserve">The Committee’s 20.05% figure is inconsistent with its own definition. The Avoidance Action Recovery Pool is defined as </w:t>
      </w:r>
      <w:r>
        <w:rPr>
          <w:b/>
          <w:i w:val="0"/>
          <w:sz w:val="19"/>
        </w:rPr>
        <w:t>net</w:t>
      </w:r>
      <w:r>
        <w:rPr>
          <w:b w:val="0"/>
          <w:i w:val="0"/>
          <w:sz w:val="19"/>
        </w:rPr>
        <w:t xml:space="preserve"> of prosecution costs, and the Committee’s comment estimates net recoveries at $6.0M–$7.5M. Any Dividend Recap recovery would come on top of these figures, and that potential upside is undisclosed.</w:t>
      </w:r>
    </w:p>
    <w:p>
      <w:pPr>
        <w:pStyle w:val="Heading2"/>
      </w:pPr>
      <w:r>
        <w:t>E. Equity Allocation and Timberline Recovery</w:t>
      </w:r>
    </w:p>
    <w:tbl>
      <w:tblPr>
        <w:tblStyle w:val="TableGrid"/>
        <w:tblW w:type="auto" w:w="0"/>
        <w:jc w:val="center"/>
        <w:tblLayout w:type="fixed"/>
        <w:tblLook w:firstColumn="1" w:firstRow="1" w:lastColumn="0" w:lastRow="0" w:noHBand="0" w:noVBand="1" w:val="04A0"/>
      </w:tblPr>
      <w:tblGrid>
        <w:gridCol w:w="4896"/>
        <w:gridCol w:w="1584"/>
        <w:gridCol w:w="1584"/>
        <w:gridCol w:w="1584"/>
      </w:tblGrid>
      <w:tr>
        <w:tc>
          <w:tcPr>
            <w:tcW w:type="dxa" w:w="4896"/>
            <w:shd w:val="clear" w:color="auto" w:fill="D9E2F3"/>
          </w:tcPr>
          <w:p>
            <w:pPr>
              <w:spacing w:after="20"/>
            </w:pPr>
            <w:r/>
            <w:r>
              <w:rPr>
                <w:b/>
                <w:i w:val="0"/>
                <w:sz w:val="17"/>
              </w:rPr>
              <w:t>Clearview case</w:t>
            </w:r>
          </w:p>
        </w:tc>
        <w:tc>
          <w:tcPr>
            <w:tcW w:type="dxa" w:w="1584"/>
            <w:shd w:val="clear" w:color="auto" w:fill="D9E2F3"/>
          </w:tcPr>
          <w:p>
            <w:pPr>
              <w:spacing w:after="20"/>
            </w:pPr>
            <w:r/>
            <w:r>
              <w:rPr>
                <w:b/>
                <w:i w:val="0"/>
                <w:sz w:val="17"/>
              </w:rPr>
              <w:t>Low</w:t>
            </w:r>
          </w:p>
        </w:tc>
        <w:tc>
          <w:tcPr>
            <w:tcW w:type="dxa" w:w="1584"/>
            <w:shd w:val="clear" w:color="auto" w:fill="D9E2F3"/>
          </w:tcPr>
          <w:p>
            <w:pPr>
              <w:spacing w:after="20"/>
            </w:pPr>
            <w:r/>
            <w:r>
              <w:rPr>
                <w:b/>
                <w:i w:val="0"/>
                <w:sz w:val="17"/>
              </w:rPr>
              <w:t>Midpoint</w:t>
            </w:r>
          </w:p>
        </w:tc>
        <w:tc>
          <w:tcPr>
            <w:tcW w:type="dxa" w:w="1584"/>
            <w:shd w:val="clear" w:color="auto" w:fill="D9E2F3"/>
          </w:tcPr>
          <w:p>
            <w:pPr>
              <w:spacing w:after="20"/>
            </w:pPr>
            <w:r/>
            <w:r>
              <w:rPr>
                <w:b/>
                <w:i w:val="0"/>
                <w:sz w:val="17"/>
              </w:rPr>
              <w:t>High</w:t>
            </w:r>
          </w:p>
        </w:tc>
      </w:tr>
      <w:tr>
        <w:tc>
          <w:tcPr>
            <w:tcW w:type="dxa" w:w="4896"/>
          </w:tcPr>
          <w:p>
            <w:pPr>
              <w:spacing w:after="20"/>
            </w:pPr>
            <w:r/>
            <w:r>
              <w:rPr>
                <w:b w:val="0"/>
                <w:i w:val="0"/>
                <w:sz w:val="17"/>
              </w:rPr>
              <w:t>Total enterprise value</w:t>
            </w:r>
          </w:p>
        </w:tc>
        <w:tc>
          <w:tcPr>
            <w:tcW w:type="dxa" w:w="1584"/>
          </w:tcPr>
          <w:p>
            <w:pPr>
              <w:spacing w:after="20"/>
            </w:pPr>
            <w:r/>
            <w:r>
              <w:rPr>
                <w:b w:val="0"/>
                <w:i w:val="0"/>
                <w:sz w:val="17"/>
              </w:rPr>
              <w:t>385.0</w:t>
            </w:r>
          </w:p>
        </w:tc>
        <w:tc>
          <w:tcPr>
            <w:tcW w:type="dxa" w:w="1584"/>
          </w:tcPr>
          <w:p>
            <w:pPr>
              <w:spacing w:after="20"/>
            </w:pPr>
            <w:r/>
            <w:r>
              <w:rPr>
                <w:b w:val="0"/>
                <w:i w:val="0"/>
                <w:sz w:val="17"/>
              </w:rPr>
              <w:t>407.5</w:t>
            </w:r>
          </w:p>
        </w:tc>
        <w:tc>
          <w:tcPr>
            <w:tcW w:type="dxa" w:w="1584"/>
          </w:tcPr>
          <w:p>
            <w:pPr>
              <w:spacing w:after="20"/>
            </w:pPr>
            <w:r/>
            <w:r>
              <w:rPr>
                <w:b w:val="0"/>
                <w:i w:val="0"/>
                <w:sz w:val="17"/>
              </w:rPr>
              <w:t>430.0</w:t>
            </w:r>
          </w:p>
        </w:tc>
      </w:tr>
      <w:tr>
        <w:tc>
          <w:tcPr>
            <w:tcW w:type="dxa" w:w="4896"/>
          </w:tcPr>
          <w:p>
            <w:pPr>
              <w:spacing w:after="20"/>
            </w:pPr>
            <w:r/>
            <w:r>
              <w:rPr>
                <w:b w:val="0"/>
                <w:i w:val="0"/>
                <w:sz w:val="17"/>
              </w:rPr>
              <w:t>Less First Meridian (reinstated)</w:t>
            </w:r>
          </w:p>
        </w:tc>
        <w:tc>
          <w:tcPr>
            <w:tcW w:type="dxa" w:w="1584"/>
          </w:tcPr>
          <w:p>
            <w:pPr>
              <w:spacing w:after="20"/>
            </w:pPr>
            <w:r/>
            <w:r>
              <w:rPr>
                <w:b w:val="0"/>
                <w:i w:val="0"/>
                <w:sz w:val="17"/>
              </w:rPr>
              <w:t>(261.4)</w:t>
            </w:r>
          </w:p>
        </w:tc>
        <w:tc>
          <w:tcPr>
            <w:tcW w:type="dxa" w:w="1584"/>
          </w:tcPr>
          <w:p>
            <w:pPr>
              <w:spacing w:after="20"/>
            </w:pPr>
            <w:r/>
            <w:r>
              <w:rPr>
                <w:b w:val="0"/>
                <w:i w:val="0"/>
                <w:sz w:val="17"/>
              </w:rPr>
              <w:t>(261.4)</w:t>
            </w:r>
          </w:p>
        </w:tc>
        <w:tc>
          <w:tcPr>
            <w:tcW w:type="dxa" w:w="1584"/>
          </w:tcPr>
          <w:p>
            <w:pPr>
              <w:spacing w:after="20"/>
            </w:pPr>
            <w:r/>
            <w:r>
              <w:rPr>
                <w:b w:val="0"/>
                <w:i w:val="0"/>
                <w:sz w:val="17"/>
              </w:rPr>
              <w:t>(261.4)</w:t>
            </w:r>
          </w:p>
        </w:tc>
      </w:tr>
      <w:tr>
        <w:tc>
          <w:tcPr>
            <w:tcW w:type="dxa" w:w="4896"/>
          </w:tcPr>
          <w:p>
            <w:pPr>
              <w:spacing w:after="20"/>
            </w:pPr>
            <w:r/>
            <w:r>
              <w:rPr>
                <w:b w:val="0"/>
                <w:i w:val="0"/>
                <w:sz w:val="17"/>
              </w:rPr>
              <w:t>Residual equity value (REV)</w:t>
            </w:r>
          </w:p>
        </w:tc>
        <w:tc>
          <w:tcPr>
            <w:tcW w:type="dxa" w:w="1584"/>
          </w:tcPr>
          <w:p>
            <w:pPr>
              <w:spacing w:after="20"/>
            </w:pPr>
            <w:r/>
            <w:r>
              <w:rPr>
                <w:b w:val="0"/>
                <w:i w:val="0"/>
                <w:sz w:val="17"/>
              </w:rPr>
              <w:t>123.6</w:t>
            </w:r>
          </w:p>
        </w:tc>
        <w:tc>
          <w:tcPr>
            <w:tcW w:type="dxa" w:w="1584"/>
          </w:tcPr>
          <w:p>
            <w:pPr>
              <w:spacing w:after="20"/>
            </w:pPr>
            <w:r/>
            <w:r>
              <w:rPr>
                <w:b w:val="0"/>
                <w:i w:val="0"/>
                <w:sz w:val="17"/>
              </w:rPr>
              <w:t>146.1</w:t>
            </w:r>
          </w:p>
        </w:tc>
        <w:tc>
          <w:tcPr>
            <w:tcW w:type="dxa" w:w="1584"/>
          </w:tcPr>
          <w:p>
            <w:pPr>
              <w:spacing w:after="20"/>
            </w:pPr>
            <w:r/>
            <w:r>
              <w:rPr>
                <w:b w:val="0"/>
                <w:i w:val="0"/>
                <w:sz w:val="17"/>
              </w:rPr>
              <w:t>168.6</w:t>
            </w:r>
          </w:p>
        </w:tc>
      </w:tr>
      <w:tr>
        <w:tc>
          <w:tcPr>
            <w:tcW w:type="dxa" w:w="4896"/>
          </w:tcPr>
          <w:p>
            <w:pPr>
              <w:spacing w:after="20"/>
            </w:pPr>
            <w:r/>
            <w:r>
              <w:rPr>
                <w:b w:val="0"/>
                <w:i w:val="0"/>
                <w:sz w:val="17"/>
              </w:rPr>
              <w:t>$60M ÷ REV (Committee/Clearview method)</w:t>
            </w:r>
          </w:p>
        </w:tc>
        <w:tc>
          <w:tcPr>
            <w:tcW w:type="dxa" w:w="1584"/>
          </w:tcPr>
          <w:p>
            <w:pPr>
              <w:spacing w:after="20"/>
            </w:pPr>
            <w:r/>
            <w:r>
              <w:rPr>
                <w:b w:val="0"/>
                <w:i w:val="0"/>
                <w:sz w:val="17"/>
              </w:rPr>
              <w:t>48.54%</w:t>
            </w:r>
          </w:p>
        </w:tc>
        <w:tc>
          <w:tcPr>
            <w:tcW w:type="dxa" w:w="1584"/>
          </w:tcPr>
          <w:p>
            <w:pPr>
              <w:spacing w:after="20"/>
            </w:pPr>
            <w:r/>
            <w:r>
              <w:rPr>
                <w:b w:val="0"/>
                <w:i w:val="0"/>
                <w:sz w:val="17"/>
              </w:rPr>
              <w:t>41.07%</w:t>
            </w:r>
          </w:p>
        </w:tc>
        <w:tc>
          <w:tcPr>
            <w:tcW w:type="dxa" w:w="1584"/>
          </w:tcPr>
          <w:p>
            <w:pPr>
              <w:spacing w:after="20"/>
            </w:pPr>
            <w:r/>
            <w:r>
              <w:rPr>
                <w:b w:val="0"/>
                <w:i w:val="0"/>
                <w:sz w:val="17"/>
              </w:rPr>
              <w:t>35.59%</w:t>
            </w:r>
          </w:p>
        </w:tc>
      </w:tr>
      <w:tr>
        <w:tc>
          <w:tcPr>
            <w:tcW w:type="dxa" w:w="4896"/>
          </w:tcPr>
          <w:p>
            <w:pPr>
              <w:spacing w:after="20"/>
            </w:pPr>
            <w:r/>
            <w:r>
              <w:rPr>
                <w:b w:val="0"/>
                <w:i w:val="0"/>
                <w:sz w:val="17"/>
              </w:rPr>
              <w:t>$60M ÷ (REV − $35M cash) (net method)</w:t>
            </w:r>
          </w:p>
        </w:tc>
        <w:tc>
          <w:tcPr>
            <w:tcW w:type="dxa" w:w="1584"/>
          </w:tcPr>
          <w:p>
            <w:pPr>
              <w:spacing w:after="20"/>
            </w:pPr>
            <w:r/>
            <w:r>
              <w:rPr>
                <w:b w:val="0"/>
                <w:i w:val="0"/>
                <w:sz w:val="17"/>
              </w:rPr>
              <w:t>67.72%</w:t>
            </w:r>
          </w:p>
        </w:tc>
        <w:tc>
          <w:tcPr>
            <w:tcW w:type="dxa" w:w="1584"/>
          </w:tcPr>
          <w:p>
            <w:pPr>
              <w:spacing w:after="20"/>
            </w:pPr>
            <w:r/>
            <w:r>
              <w:rPr>
                <w:b w:val="0"/>
                <w:i w:val="0"/>
                <w:sz w:val="17"/>
              </w:rPr>
              <w:t>54.01%</w:t>
            </w:r>
          </w:p>
        </w:tc>
        <w:tc>
          <w:tcPr>
            <w:tcW w:type="dxa" w:w="1584"/>
          </w:tcPr>
          <w:p>
            <w:pPr>
              <w:spacing w:after="20"/>
            </w:pPr>
            <w:r/>
            <w:r>
              <w:rPr>
                <w:b w:val="0"/>
                <w:i w:val="0"/>
                <w:sz w:val="17"/>
              </w:rPr>
              <w:t>44.91%</w:t>
            </w:r>
          </w:p>
        </w:tc>
      </w:tr>
      <w:tr>
        <w:tc>
          <w:tcPr>
            <w:tcW w:type="dxa" w:w="4896"/>
          </w:tcPr>
          <w:p>
            <w:pPr>
              <w:spacing w:after="20"/>
            </w:pPr>
            <w:r/>
            <w:r>
              <w:rPr>
                <w:b w:val="0"/>
                <w:i w:val="0"/>
                <w:sz w:val="17"/>
              </w:rPr>
              <w:t>Value of 55% of REV</w:t>
            </w:r>
          </w:p>
        </w:tc>
        <w:tc>
          <w:tcPr>
            <w:tcW w:type="dxa" w:w="1584"/>
          </w:tcPr>
          <w:p>
            <w:pPr>
              <w:spacing w:after="20"/>
            </w:pPr>
            <w:r/>
            <w:r>
              <w:rPr>
                <w:b w:val="0"/>
                <w:i w:val="0"/>
                <w:sz w:val="17"/>
              </w:rPr>
              <w:t>67.98</w:t>
            </w:r>
          </w:p>
        </w:tc>
        <w:tc>
          <w:tcPr>
            <w:tcW w:type="dxa" w:w="1584"/>
          </w:tcPr>
          <w:p>
            <w:pPr>
              <w:spacing w:after="20"/>
            </w:pPr>
            <w:r/>
            <w:r>
              <w:rPr>
                <w:b w:val="0"/>
                <w:i w:val="0"/>
                <w:sz w:val="17"/>
              </w:rPr>
              <w:t>80.36</w:t>
            </w:r>
          </w:p>
        </w:tc>
        <w:tc>
          <w:tcPr>
            <w:tcW w:type="dxa" w:w="1584"/>
          </w:tcPr>
          <w:p>
            <w:pPr>
              <w:spacing w:after="20"/>
            </w:pPr>
            <w:r/>
            <w:r>
              <w:rPr>
                <w:b w:val="0"/>
                <w:i w:val="0"/>
                <w:sz w:val="17"/>
              </w:rPr>
              <w:t>92.73</w:t>
            </w:r>
          </w:p>
        </w:tc>
      </w:tr>
      <w:tr>
        <w:tc>
          <w:tcPr>
            <w:tcW w:type="dxa" w:w="4896"/>
          </w:tcPr>
          <w:p>
            <w:pPr>
              <w:spacing w:after="20"/>
            </w:pPr>
            <w:r/>
            <w:r>
              <w:rPr>
                <w:b w:val="0"/>
                <w:i w:val="0"/>
                <w:sz w:val="17"/>
              </w:rPr>
              <w:t>Value transfer above the $60M converted (55%)</w:t>
            </w:r>
          </w:p>
        </w:tc>
        <w:tc>
          <w:tcPr>
            <w:tcW w:type="dxa" w:w="1584"/>
          </w:tcPr>
          <w:p>
            <w:pPr>
              <w:spacing w:after="20"/>
            </w:pPr>
            <w:r/>
            <w:r>
              <w:rPr>
                <w:b w:val="0"/>
                <w:i w:val="0"/>
                <w:sz w:val="17"/>
              </w:rPr>
              <w:t>7.98</w:t>
            </w:r>
          </w:p>
        </w:tc>
        <w:tc>
          <w:tcPr>
            <w:tcW w:type="dxa" w:w="1584"/>
          </w:tcPr>
          <w:p>
            <w:pPr>
              <w:spacing w:after="20"/>
            </w:pPr>
            <w:r/>
            <w:r>
              <w:rPr>
                <w:b w:val="0"/>
                <w:i w:val="0"/>
                <w:sz w:val="17"/>
              </w:rPr>
              <w:t>20.36</w:t>
            </w:r>
          </w:p>
        </w:tc>
        <w:tc>
          <w:tcPr>
            <w:tcW w:type="dxa" w:w="1584"/>
          </w:tcPr>
          <w:p>
            <w:pPr>
              <w:spacing w:after="20"/>
            </w:pPr>
            <w:r/>
            <w:r>
              <w:rPr>
                <w:b w:val="0"/>
                <w:i w:val="0"/>
                <w:sz w:val="17"/>
              </w:rPr>
              <w:t>32.73</w:t>
            </w:r>
          </w:p>
        </w:tc>
      </w:tr>
      <w:tr>
        <w:tc>
          <w:tcPr>
            <w:tcW w:type="dxa" w:w="4896"/>
          </w:tcPr>
          <w:p>
            <w:pPr>
              <w:spacing w:after="20"/>
            </w:pPr>
            <w:r/>
            <w:r>
              <w:rPr>
                <w:b w:val="0"/>
                <w:i w:val="0"/>
                <w:sz w:val="17"/>
              </w:rPr>
              <w:t>Timberline total recovery at 55% ($35M + equity)</w:t>
            </w:r>
          </w:p>
        </w:tc>
        <w:tc>
          <w:tcPr>
            <w:tcW w:type="dxa" w:w="1584"/>
          </w:tcPr>
          <w:p>
            <w:pPr>
              <w:spacing w:after="20"/>
            </w:pPr>
            <w:r/>
            <w:r>
              <w:rPr>
                <w:b w:val="0"/>
                <w:i w:val="0"/>
                <w:sz w:val="17"/>
              </w:rPr>
              <w:t>102.98 (108%)</w:t>
            </w:r>
          </w:p>
        </w:tc>
        <w:tc>
          <w:tcPr>
            <w:tcW w:type="dxa" w:w="1584"/>
          </w:tcPr>
          <w:p>
            <w:pPr>
              <w:spacing w:after="20"/>
            </w:pPr>
            <w:r/>
            <w:r>
              <w:rPr>
                <w:b w:val="0"/>
                <w:i w:val="0"/>
                <w:sz w:val="17"/>
              </w:rPr>
              <w:t>115.36 (121%)</w:t>
            </w:r>
          </w:p>
        </w:tc>
        <w:tc>
          <w:tcPr>
            <w:tcW w:type="dxa" w:w="1584"/>
          </w:tcPr>
          <w:p>
            <w:pPr>
              <w:spacing w:after="20"/>
            </w:pPr>
            <w:r/>
            <w:r>
              <w:rPr>
                <w:b w:val="0"/>
                <w:i w:val="0"/>
                <w:sz w:val="17"/>
              </w:rPr>
              <w:t>127.73 (134%)</w:t>
            </w:r>
          </w:p>
        </w:tc>
      </w:tr>
      <w:tr>
        <w:tc>
          <w:tcPr>
            <w:tcW w:type="dxa" w:w="4896"/>
          </w:tcPr>
          <w:p>
            <w:pPr>
              <w:spacing w:after="20"/>
            </w:pPr>
            <w:r/>
            <w:r>
              <w:rPr>
                <w:b w:val="0"/>
                <w:i w:val="0"/>
                <w:sz w:val="17"/>
              </w:rPr>
              <w:t>Timberline total at a fixed 41.07%</w:t>
            </w:r>
          </w:p>
        </w:tc>
        <w:tc>
          <w:tcPr>
            <w:tcW w:type="dxa" w:w="1584"/>
          </w:tcPr>
          <w:p>
            <w:pPr>
              <w:spacing w:after="20"/>
            </w:pPr>
            <w:r/>
            <w:r>
              <w:rPr>
                <w:b w:val="0"/>
                <w:i w:val="0"/>
                <w:sz w:val="17"/>
              </w:rPr>
              <w:t>85.76 (90%)</w:t>
            </w:r>
          </w:p>
        </w:tc>
        <w:tc>
          <w:tcPr>
            <w:tcW w:type="dxa" w:w="1584"/>
          </w:tcPr>
          <w:p>
            <w:pPr>
              <w:spacing w:after="20"/>
            </w:pPr>
            <w:r/>
            <w:r>
              <w:rPr>
                <w:b w:val="0"/>
                <w:i w:val="0"/>
                <w:sz w:val="17"/>
              </w:rPr>
              <w:t>95.00 (100%)</w:t>
            </w:r>
          </w:p>
        </w:tc>
        <w:tc>
          <w:tcPr>
            <w:tcW w:type="dxa" w:w="1584"/>
          </w:tcPr>
          <w:p>
            <w:pPr>
              <w:spacing w:after="20"/>
            </w:pPr>
            <w:r/>
            <w:r>
              <w:rPr>
                <w:b w:val="0"/>
                <w:i w:val="0"/>
                <w:sz w:val="17"/>
              </w:rPr>
              <w:t>104.24 (110%)</w:t>
            </w:r>
          </w:p>
        </w:tc>
      </w:tr>
      <w:tr>
        <w:tc>
          <w:tcPr>
            <w:tcW w:type="dxa" w:w="4896"/>
          </w:tcPr>
          <w:p>
            <w:pPr>
              <w:spacing w:after="20"/>
            </w:pPr>
            <w:r/>
            <w:r>
              <w:rPr>
                <w:b w:val="0"/>
                <w:i w:val="0"/>
                <w:sz w:val="17"/>
              </w:rPr>
              <w:t>If the residual shares are never issued: Timberline holds 100% of outstanding shares, less the 10% MIP</w:t>
            </w:r>
          </w:p>
        </w:tc>
        <w:tc>
          <w:tcPr>
            <w:tcW w:type="dxa" w:w="1584"/>
          </w:tcPr>
          <w:p>
            <w:pPr>
              <w:spacing w:after="20"/>
            </w:pPr>
            <w:r/>
            <w:r>
              <w:rPr>
                <w:b w:val="0"/>
                <w:i w:val="0"/>
                <w:sz w:val="17"/>
              </w:rPr>
              <w:t>146.24 (154%)</w:t>
            </w:r>
          </w:p>
        </w:tc>
        <w:tc>
          <w:tcPr>
            <w:tcW w:type="dxa" w:w="1584"/>
          </w:tcPr>
          <w:p>
            <w:pPr>
              <w:spacing w:after="20"/>
            </w:pPr>
            <w:r/>
            <w:r>
              <w:rPr>
                <w:b w:val="0"/>
                <w:i w:val="0"/>
                <w:sz w:val="17"/>
              </w:rPr>
              <w:t>166.49 (175%)</w:t>
            </w:r>
          </w:p>
        </w:tc>
        <w:tc>
          <w:tcPr>
            <w:tcW w:type="dxa" w:w="1584"/>
          </w:tcPr>
          <w:p>
            <w:pPr>
              <w:spacing w:after="20"/>
            </w:pPr>
            <w:r/>
            <w:r>
              <w:rPr>
                <w:b w:val="0"/>
                <w:i w:val="0"/>
                <w:sz w:val="17"/>
              </w:rPr>
              <w:t>186.74 (197%)</w:t>
            </w:r>
          </w:p>
        </w:tc>
      </w:tr>
    </w:tbl>
    <w:p>
      <w:pPr>
        <w:spacing w:after="40"/>
      </w:pPr>
    </w:p>
    <w:p>
      <w:pPr>
        <w:pStyle w:val="ListBullet"/>
        <w:spacing w:after="60"/>
      </w:pPr>
      <w:r>
        <w:rPr>
          <w:b/>
          <w:i w:val="0"/>
          <w:sz w:val="19"/>
        </w:rPr>
        <w:t>Neither percentage is an “arithmetic” answer.</w:t>
      </w:r>
      <w:r>
        <w:rPr>
          <w:b w:val="0"/>
          <w:i w:val="0"/>
          <w:sz w:val="19"/>
        </w:rPr>
        <w:t xml:space="preserve"> 41.07% treats the $35M cash payment as if it did not reduce equity value. Netting the cash gives 54.0%, which is the most plausible source of the 55% figure and should be confirmed with Pinecrest and Clearview. Clearview’s own report states that the equity percentage can be analyzed either way (Clearview § V, Step 5) but then presents only the gross ratio and “notes the discrepancy.”</w:t>
      </w:r>
    </w:p>
    <w:p>
      <w:pPr>
        <w:pStyle w:val="ListBullet"/>
        <w:spacing w:after="60"/>
      </w:pPr>
      <w:r>
        <w:rPr>
          <w:b/>
          <w:i w:val="0"/>
          <w:sz w:val="19"/>
        </w:rPr>
        <w:t>The bigger exposure is the residual.</w:t>
      </w:r>
      <w:r>
        <w:rPr>
          <w:b w:val="0"/>
          <w:i w:val="0"/>
          <w:sz w:val="19"/>
        </w:rPr>
        <w:t xml:space="preserve"> Filed Plan § 5.3(b) leaves 45% “authorized but unissued.” The Redline leaves 58.93% “held by the Reorganized Debtor.” Unissued or treasury shares carry no economic ownership. Unless they are issued to someone, Timberline will own all outstanding New Common Equity (subject to the MIP) whichever percentage is written into the plan. Its effective recovery is then far above par while the junior class receives 10% and objects. The DS § 9.1 table attributes $65.745M of value to “the Management Incentive Plan and Reorganized Debtor treasury,” which is not a stakeholder recovery. Expect the Committee to argue that this violates the fair-and-equitable requirement and the principle that a senior class may not receive more than full payment while a dissenting junior class is impaired (§ 1129(b)(2)(B)).</w:t>
      </w:r>
    </w:p>
    <w:p>
      <w:pPr>
        <w:pStyle w:val="ListBullet"/>
        <w:spacing w:after="60"/>
      </w:pPr>
      <w:r>
        <w:rPr>
          <w:b/>
          <w:i w:val="0"/>
          <w:sz w:val="19"/>
        </w:rPr>
        <w:t>Clearview’s blended TEV does not follow from its stated weights.</w:t>
      </w:r>
      <w:r>
        <w:rPr>
          <w:b w:val="0"/>
          <w:i w:val="0"/>
          <w:sz w:val="19"/>
        </w:rPr>
        <w:t xml:space="preserve"> Applying 50% DCF / 25% comparable companies / 25% comparable transactions to the stated ranges gives </w:t>
      </w:r>
      <w:r>
        <w:rPr>
          <w:b/>
          <w:i w:val="0"/>
          <w:sz w:val="19"/>
        </w:rPr>
        <w:t>$384.25M / $405.0M / $425.75M</w:t>
      </w:r>
      <w:r>
        <w:rPr>
          <w:b w:val="0"/>
          <w:i w:val="0"/>
          <w:sz w:val="19"/>
        </w:rPr>
        <w:t>, not $385.0M / $407.5M / $430.0M. The stated midpoint appears to be the simple midpoint of a rounded range. At $405.0M, REV is $143.6M and the gross ratio becomes 41.78%. Clearview also describes the transaction median as 7.9x, whereas the median of 7.5x, 7.8x, 8.2x and 9.1x is 8.0x. These are small points, but they will be used to attack the valuation’s reliability at the DS and confirmation hearings. Clearview should reconcile them now.</w:t>
      </w:r>
    </w:p>
    <w:p>
      <w:pPr>
        <w:pStyle w:val="ListBullet"/>
        <w:spacing w:after="60"/>
      </w:pPr>
      <w:r>
        <w:rPr>
          <w:b/>
          <w:i w:val="0"/>
          <w:sz w:val="19"/>
        </w:rPr>
        <w:t>Restricted-use report.</w:t>
      </w:r>
      <w:r>
        <w:rPr>
          <w:b w:val="0"/>
          <w:i w:val="0"/>
          <w:sz w:val="19"/>
        </w:rPr>
        <w:t xml:space="preserve"> Clearview’s summary is marked for use only by the Debtor, W&amp;C and Pinecrest, and is not to be distributed without Clearview’s consent. The Committee cites it by page. Confirm how the Committee obtained it and on what terms, and whether the DS’s description of it as “filed separately” is accurate.</w:t>
      </w:r>
    </w:p>
    <w:p>
      <w:pPr>
        <w:pStyle w:val="Heading2"/>
      </w:pPr>
      <w:r>
        <w:t>F. Feasibility Screen of Alternative Structures</w:t>
      </w:r>
    </w:p>
    <w:p>
      <w:pPr>
        <w:spacing w:after="120"/>
      </w:pPr>
      <w:r>
        <w:rPr>
          <w:b w:val="0"/>
          <w:i w:val="0"/>
          <w:sz w:val="19"/>
        </w:rPr>
        <w:t>These screens are illustrative only and use the Debtor’s Ex. B. They exclude the Section VI.B items, any DIP repayment and First Meridian covenant tests. Pinecrest must confirm before any proposal is made.</w:t>
      </w:r>
    </w:p>
    <w:tbl>
      <w:tblPr>
        <w:tblStyle w:val="TableGrid"/>
        <w:tblW w:type="auto" w:w="0"/>
        <w:jc w:val="center"/>
        <w:tblLayout w:type="fixed"/>
        <w:tblLook w:firstColumn="1" w:firstRow="1" w:lastColumn="0" w:lastRow="0" w:noHBand="0" w:noVBand="1" w:val="04A0"/>
      </w:tblPr>
      <w:tblGrid>
        <w:gridCol w:w="3168"/>
        <w:gridCol w:w="1080"/>
        <w:gridCol w:w="936"/>
        <w:gridCol w:w="1728"/>
        <w:gridCol w:w="1007"/>
        <w:gridCol w:w="1007"/>
        <w:gridCol w:w="864"/>
      </w:tblGrid>
      <w:tr>
        <w:tc>
          <w:tcPr>
            <w:tcW w:type="dxa" w:w="3168"/>
            <w:shd w:val="clear" w:color="auto" w:fill="D9E2F3"/>
          </w:tcPr>
          <w:p>
            <w:pPr>
              <w:spacing w:after="20"/>
            </w:pPr>
            <w:r/>
            <w:r>
              <w:rPr>
                <w:b/>
                <w:i w:val="0"/>
                <w:sz w:val="15"/>
              </w:rPr>
              <w:t>Structure</w:t>
            </w:r>
          </w:p>
        </w:tc>
        <w:tc>
          <w:tcPr>
            <w:tcW w:type="dxa" w:w="1080"/>
            <w:shd w:val="clear" w:color="auto" w:fill="D9E2F3"/>
          </w:tcPr>
          <w:p>
            <w:pPr>
              <w:spacing w:after="20"/>
            </w:pPr>
            <w:r/>
            <w:r>
              <w:rPr>
                <w:b/>
                <w:i w:val="0"/>
                <w:sz w:val="15"/>
              </w:rPr>
              <w:t>Effective Date payment</w:t>
            </w:r>
          </w:p>
        </w:tc>
        <w:tc>
          <w:tcPr>
            <w:tcW w:type="dxa" w:w="936"/>
            <w:shd w:val="clear" w:color="auto" w:fill="D9E2F3"/>
          </w:tcPr>
          <w:p>
            <w:pPr>
              <w:spacing w:after="20"/>
            </w:pPr>
            <w:r/>
            <w:r>
              <w:rPr>
                <w:b/>
                <w:i w:val="0"/>
                <w:sz w:val="15"/>
              </w:rPr>
              <w:t>Cushion at ED</w:t>
            </w:r>
          </w:p>
        </w:tc>
        <w:tc>
          <w:tcPr>
            <w:tcW w:type="dxa" w:w="1728"/>
            <w:shd w:val="clear" w:color="auto" w:fill="D9E2F3"/>
          </w:tcPr>
          <w:p>
            <w:pPr>
              <w:spacing w:after="20"/>
            </w:pPr>
            <w:r/>
            <w:r>
              <w:rPr>
                <w:b/>
                <w:i w:val="0"/>
                <w:sz w:val="15"/>
              </w:rPr>
              <w:t>Later payments</w:t>
            </w:r>
          </w:p>
        </w:tc>
        <w:tc>
          <w:tcPr>
            <w:tcW w:type="dxa" w:w="1008"/>
            <w:shd w:val="clear" w:color="auto" w:fill="D9E2F3"/>
          </w:tcPr>
          <w:p>
            <w:pPr>
              <w:spacing w:after="20"/>
            </w:pPr>
            <w:r/>
            <w:r>
              <w:rPr>
                <w:b/>
                <w:i w:val="0"/>
                <w:sz w:val="15"/>
              </w:rPr>
              <w:t>Year 1 end cash</w:t>
            </w:r>
          </w:p>
        </w:tc>
        <w:tc>
          <w:tcPr>
            <w:tcW w:type="dxa" w:w="1008"/>
            <w:shd w:val="clear" w:color="auto" w:fill="D9E2F3"/>
          </w:tcPr>
          <w:p>
            <w:pPr>
              <w:spacing w:after="20"/>
            </w:pPr>
            <w:r/>
            <w:r>
              <w:rPr>
                <w:b/>
                <w:i w:val="0"/>
                <w:sz w:val="15"/>
              </w:rPr>
              <w:t>Year 2 end cash</w:t>
            </w:r>
          </w:p>
        </w:tc>
        <w:tc>
          <w:tcPr>
            <w:tcW w:type="dxa" w:w="864"/>
            <w:shd w:val="clear" w:color="auto" w:fill="D9E2F3"/>
          </w:tcPr>
          <w:p>
            <w:pPr>
              <w:spacing w:after="20"/>
            </w:pPr>
            <w:r/>
            <w:r>
              <w:rPr>
                <w:b/>
                <w:i w:val="0"/>
                <w:sz w:val="15"/>
              </w:rPr>
              <w:t>Screen</w:t>
            </w:r>
          </w:p>
        </w:tc>
      </w:tr>
      <w:tr>
        <w:tc>
          <w:tcPr>
            <w:tcW w:type="dxa" w:w="3168"/>
          </w:tcPr>
          <w:p>
            <w:pPr>
              <w:spacing w:after="20"/>
            </w:pPr>
            <w:r/>
            <w:r>
              <w:rPr>
                <w:b w:val="0"/>
                <w:i w:val="0"/>
                <w:sz w:val="15"/>
              </w:rPr>
              <w:t>Debtor Filed Plan: $18.7M, 50/50</w:t>
            </w:r>
          </w:p>
        </w:tc>
        <w:tc>
          <w:tcPr>
            <w:tcW w:type="dxa" w:w="1080"/>
          </w:tcPr>
          <w:p>
            <w:pPr>
              <w:spacing w:after="20"/>
            </w:pPr>
            <w:r/>
            <w:r>
              <w:rPr>
                <w:b w:val="0"/>
                <w:i w:val="0"/>
                <w:sz w:val="15"/>
              </w:rPr>
              <w:t>9.35</w:t>
            </w:r>
          </w:p>
        </w:tc>
        <w:tc>
          <w:tcPr>
            <w:tcW w:type="dxa" w:w="936"/>
          </w:tcPr>
          <w:p>
            <w:pPr>
              <w:spacing w:after="20"/>
            </w:pPr>
            <w:r/>
            <w:r>
              <w:rPr>
                <w:b w:val="0"/>
                <w:i w:val="0"/>
                <w:sz w:val="15"/>
              </w:rPr>
              <w:t>5.15</w:t>
            </w:r>
          </w:p>
        </w:tc>
        <w:tc>
          <w:tcPr>
            <w:tcW w:type="dxa" w:w="1728"/>
          </w:tcPr>
          <w:p>
            <w:pPr>
              <w:spacing w:after="20"/>
            </w:pPr>
            <w:r/>
            <w:r>
              <w:rPr>
                <w:b w:val="0"/>
                <w:i w:val="0"/>
                <w:sz w:val="15"/>
              </w:rPr>
              <w:t>9.35 (Y1)</w:t>
            </w:r>
          </w:p>
        </w:tc>
        <w:tc>
          <w:tcPr>
            <w:tcW w:type="dxa" w:w="1008"/>
          </w:tcPr>
          <w:p>
            <w:pPr>
              <w:spacing w:after="20"/>
            </w:pPr>
            <w:r/>
            <w:r>
              <w:rPr>
                <w:b w:val="0"/>
                <w:i w:val="0"/>
                <w:sz w:val="15"/>
              </w:rPr>
              <w:t>4.10</w:t>
            </w:r>
          </w:p>
        </w:tc>
        <w:tc>
          <w:tcPr>
            <w:tcW w:type="dxa" w:w="1008"/>
          </w:tcPr>
          <w:p>
            <w:pPr>
              <w:spacing w:after="20"/>
            </w:pPr>
            <w:r/>
            <w:r>
              <w:rPr>
                <w:b w:val="0"/>
                <w:i w:val="0"/>
                <w:sz w:val="15"/>
              </w:rPr>
              <w:t>18.60</w:t>
            </w:r>
          </w:p>
        </w:tc>
        <w:tc>
          <w:tcPr>
            <w:tcW w:type="dxa" w:w="864"/>
          </w:tcPr>
          <w:p>
            <w:pPr>
              <w:spacing w:after="20"/>
            </w:pPr>
            <w:r/>
            <w:r>
              <w:rPr>
                <w:b w:val="0"/>
                <w:i w:val="0"/>
                <w:sz w:val="15"/>
              </w:rPr>
              <w:t>Pass</w:t>
            </w:r>
          </w:p>
        </w:tc>
      </w:tr>
      <w:tr>
        <w:tc>
          <w:tcPr>
            <w:tcW w:type="dxa" w:w="3168"/>
          </w:tcPr>
          <w:p>
            <w:pPr>
              <w:spacing w:after="20"/>
            </w:pPr>
            <w:r/>
            <w:r>
              <w:rPr>
                <w:b w:val="0"/>
                <w:i w:val="0"/>
                <w:sz w:val="15"/>
              </w:rPr>
              <w:t>Committee: $28.0M, 75/25 + interest</w:t>
            </w:r>
          </w:p>
        </w:tc>
        <w:tc>
          <w:tcPr>
            <w:tcW w:type="dxa" w:w="1080"/>
          </w:tcPr>
          <w:p>
            <w:pPr>
              <w:spacing w:after="20"/>
            </w:pPr>
            <w:r/>
            <w:r>
              <w:rPr>
                <w:b w:val="0"/>
                <w:i w:val="0"/>
                <w:sz w:val="15"/>
              </w:rPr>
              <w:t>21.00</w:t>
            </w:r>
          </w:p>
        </w:tc>
        <w:tc>
          <w:tcPr>
            <w:tcW w:type="dxa" w:w="936"/>
          </w:tcPr>
          <w:p>
            <w:pPr>
              <w:spacing w:after="20"/>
            </w:pPr>
            <w:r/>
            <w:r>
              <w:rPr>
                <w:b w:val="0"/>
                <w:i w:val="0"/>
                <w:sz w:val="15"/>
              </w:rPr>
              <w:t>(6.50)</w:t>
            </w:r>
          </w:p>
        </w:tc>
        <w:tc>
          <w:tcPr>
            <w:tcW w:type="dxa" w:w="1728"/>
          </w:tcPr>
          <w:p>
            <w:pPr>
              <w:spacing w:after="20"/>
            </w:pPr>
            <w:r/>
            <w:r>
              <w:rPr>
                <w:b w:val="0"/>
                <w:i w:val="0"/>
                <w:sz w:val="15"/>
              </w:rPr>
              <w:t>7.37 (Y1)</w:t>
            </w:r>
          </w:p>
        </w:tc>
        <w:tc>
          <w:tcPr>
            <w:tcW w:type="dxa" w:w="1008"/>
          </w:tcPr>
          <w:p>
            <w:pPr>
              <w:spacing w:after="20"/>
            </w:pPr>
            <w:r/>
            <w:r>
              <w:rPr>
                <w:b w:val="0"/>
                <w:i w:val="0"/>
                <w:sz w:val="15"/>
              </w:rPr>
              <w:t>(5.57)</w:t>
            </w:r>
          </w:p>
        </w:tc>
        <w:tc>
          <w:tcPr>
            <w:tcW w:type="dxa" w:w="1008"/>
          </w:tcPr>
          <w:p>
            <w:pPr>
              <w:spacing w:after="20"/>
            </w:pPr>
            <w:r/>
            <w:r>
              <w:rPr>
                <w:b w:val="0"/>
                <w:i w:val="0"/>
                <w:sz w:val="15"/>
              </w:rPr>
              <w:t>8.93</w:t>
            </w:r>
          </w:p>
        </w:tc>
        <w:tc>
          <w:tcPr>
            <w:tcW w:type="dxa" w:w="864"/>
          </w:tcPr>
          <w:p>
            <w:pPr>
              <w:spacing w:after="20"/>
            </w:pPr>
            <w:r/>
            <w:r>
              <w:rPr>
                <w:b w:val="0"/>
                <w:i w:val="0"/>
                <w:sz w:val="15"/>
              </w:rPr>
              <w:t>Fail</w:t>
            </w:r>
          </w:p>
        </w:tc>
      </w:tr>
      <w:tr>
        <w:tc>
          <w:tcPr>
            <w:tcW w:type="dxa" w:w="3168"/>
          </w:tcPr>
          <w:p>
            <w:pPr>
              <w:spacing w:after="20"/>
            </w:pPr>
            <w:r/>
            <w:r>
              <w:rPr>
                <w:b w:val="0"/>
                <w:i w:val="0"/>
                <w:sz w:val="15"/>
              </w:rPr>
              <w:t>$28.0M, 50/50, no interest</w:t>
            </w:r>
          </w:p>
        </w:tc>
        <w:tc>
          <w:tcPr>
            <w:tcW w:type="dxa" w:w="1080"/>
          </w:tcPr>
          <w:p>
            <w:pPr>
              <w:spacing w:after="20"/>
            </w:pPr>
            <w:r/>
            <w:r>
              <w:rPr>
                <w:b w:val="0"/>
                <w:i w:val="0"/>
                <w:sz w:val="15"/>
              </w:rPr>
              <w:t>14.00</w:t>
            </w:r>
          </w:p>
        </w:tc>
        <w:tc>
          <w:tcPr>
            <w:tcW w:type="dxa" w:w="936"/>
          </w:tcPr>
          <w:p>
            <w:pPr>
              <w:spacing w:after="20"/>
            </w:pPr>
            <w:r/>
            <w:r>
              <w:rPr>
                <w:b w:val="0"/>
                <w:i w:val="0"/>
                <w:sz w:val="15"/>
              </w:rPr>
              <w:t>0.50</w:t>
            </w:r>
          </w:p>
        </w:tc>
        <w:tc>
          <w:tcPr>
            <w:tcW w:type="dxa" w:w="1728"/>
          </w:tcPr>
          <w:p>
            <w:pPr>
              <w:spacing w:after="20"/>
            </w:pPr>
            <w:r/>
            <w:r>
              <w:rPr>
                <w:b w:val="0"/>
                <w:i w:val="0"/>
                <w:sz w:val="15"/>
              </w:rPr>
              <w:t>14.00 (Y1)</w:t>
            </w:r>
          </w:p>
        </w:tc>
        <w:tc>
          <w:tcPr>
            <w:tcW w:type="dxa" w:w="1008"/>
          </w:tcPr>
          <w:p>
            <w:pPr>
              <w:spacing w:after="20"/>
            </w:pPr>
            <w:r/>
            <w:r>
              <w:rPr>
                <w:b w:val="0"/>
                <w:i w:val="0"/>
                <w:sz w:val="15"/>
              </w:rPr>
              <w:t>(5.20)</w:t>
            </w:r>
          </w:p>
        </w:tc>
        <w:tc>
          <w:tcPr>
            <w:tcW w:type="dxa" w:w="1008"/>
          </w:tcPr>
          <w:p>
            <w:pPr>
              <w:spacing w:after="20"/>
            </w:pPr>
            <w:r/>
            <w:r>
              <w:rPr>
                <w:b w:val="0"/>
                <w:i w:val="0"/>
                <w:sz w:val="15"/>
              </w:rPr>
              <w:t>9.30</w:t>
            </w:r>
          </w:p>
        </w:tc>
        <w:tc>
          <w:tcPr>
            <w:tcW w:type="dxa" w:w="864"/>
          </w:tcPr>
          <w:p>
            <w:pPr>
              <w:spacing w:after="20"/>
            </w:pPr>
            <w:r/>
            <w:r>
              <w:rPr>
                <w:b w:val="0"/>
                <w:i w:val="0"/>
                <w:sz w:val="15"/>
              </w:rPr>
              <w:t>Fail</w:t>
            </w:r>
          </w:p>
        </w:tc>
      </w:tr>
      <w:tr>
        <w:tc>
          <w:tcPr>
            <w:tcW w:type="dxa" w:w="3168"/>
          </w:tcPr>
          <w:p>
            <w:pPr>
              <w:spacing w:after="20"/>
            </w:pPr>
            <w:r/>
            <w:r>
              <w:rPr>
                <w:b w:val="0"/>
                <w:i w:val="0"/>
                <w:sz w:val="15"/>
              </w:rPr>
              <w:t>$22.0M, 50/50</w:t>
            </w:r>
          </w:p>
        </w:tc>
        <w:tc>
          <w:tcPr>
            <w:tcW w:type="dxa" w:w="1080"/>
          </w:tcPr>
          <w:p>
            <w:pPr>
              <w:spacing w:after="20"/>
            </w:pPr>
            <w:r/>
            <w:r>
              <w:rPr>
                <w:b w:val="0"/>
                <w:i w:val="0"/>
                <w:sz w:val="15"/>
              </w:rPr>
              <w:t>11.00</w:t>
            </w:r>
          </w:p>
        </w:tc>
        <w:tc>
          <w:tcPr>
            <w:tcW w:type="dxa" w:w="936"/>
          </w:tcPr>
          <w:p>
            <w:pPr>
              <w:spacing w:after="20"/>
            </w:pPr>
            <w:r/>
            <w:r>
              <w:rPr>
                <w:b w:val="0"/>
                <w:i w:val="0"/>
                <w:sz w:val="15"/>
              </w:rPr>
              <w:t>3.50</w:t>
            </w:r>
          </w:p>
        </w:tc>
        <w:tc>
          <w:tcPr>
            <w:tcW w:type="dxa" w:w="1728"/>
          </w:tcPr>
          <w:p>
            <w:pPr>
              <w:spacing w:after="20"/>
            </w:pPr>
            <w:r/>
            <w:r>
              <w:rPr>
                <w:b w:val="0"/>
                <w:i w:val="0"/>
                <w:sz w:val="15"/>
              </w:rPr>
              <w:t>11.00 (Y1)</w:t>
            </w:r>
          </w:p>
        </w:tc>
        <w:tc>
          <w:tcPr>
            <w:tcW w:type="dxa" w:w="1008"/>
          </w:tcPr>
          <w:p>
            <w:pPr>
              <w:spacing w:after="20"/>
            </w:pPr>
            <w:r/>
            <w:r>
              <w:rPr>
                <w:b w:val="0"/>
                <w:i w:val="0"/>
                <w:sz w:val="15"/>
              </w:rPr>
              <w:t>0.80</w:t>
            </w:r>
          </w:p>
        </w:tc>
        <w:tc>
          <w:tcPr>
            <w:tcW w:type="dxa" w:w="1008"/>
          </w:tcPr>
          <w:p>
            <w:pPr>
              <w:spacing w:after="20"/>
            </w:pPr>
            <w:r/>
            <w:r>
              <w:rPr>
                <w:b w:val="0"/>
                <w:i w:val="0"/>
                <w:sz w:val="15"/>
              </w:rPr>
              <w:t>15.30</w:t>
            </w:r>
          </w:p>
        </w:tc>
        <w:tc>
          <w:tcPr>
            <w:tcW w:type="dxa" w:w="864"/>
          </w:tcPr>
          <w:p>
            <w:pPr>
              <w:spacing w:after="20"/>
            </w:pPr>
            <w:r/>
            <w:r>
              <w:rPr>
                <w:b w:val="0"/>
                <w:i w:val="0"/>
                <w:sz w:val="15"/>
              </w:rPr>
              <w:t>Marginal</w:t>
            </w:r>
          </w:p>
        </w:tc>
      </w:tr>
      <w:tr>
        <w:tc>
          <w:tcPr>
            <w:tcW w:type="dxa" w:w="3168"/>
          </w:tcPr>
          <w:p>
            <w:pPr>
              <w:spacing w:after="20"/>
            </w:pPr>
            <w:r/>
            <w:r>
              <w:rPr>
                <w:b/>
                <w:i w:val="0"/>
                <w:sz w:val="15"/>
              </w:rPr>
              <w:t>$28.0M in three tranches: 9.35 ED / 9.35 Y1 / 9.30 Y2</w:t>
            </w:r>
          </w:p>
        </w:tc>
        <w:tc>
          <w:tcPr>
            <w:tcW w:type="dxa" w:w="1080"/>
          </w:tcPr>
          <w:p>
            <w:pPr>
              <w:spacing w:after="20"/>
            </w:pPr>
            <w:r/>
            <w:r>
              <w:rPr>
                <w:b w:val="0"/>
                <w:i w:val="0"/>
                <w:sz w:val="15"/>
              </w:rPr>
              <w:t>9.35</w:t>
            </w:r>
          </w:p>
        </w:tc>
        <w:tc>
          <w:tcPr>
            <w:tcW w:type="dxa" w:w="936"/>
          </w:tcPr>
          <w:p>
            <w:pPr>
              <w:spacing w:after="20"/>
            </w:pPr>
            <w:r/>
            <w:r>
              <w:rPr>
                <w:b w:val="0"/>
                <w:i w:val="0"/>
                <w:sz w:val="15"/>
              </w:rPr>
              <w:t>5.15</w:t>
            </w:r>
          </w:p>
        </w:tc>
        <w:tc>
          <w:tcPr>
            <w:tcW w:type="dxa" w:w="1728"/>
          </w:tcPr>
          <w:p>
            <w:pPr>
              <w:spacing w:after="20"/>
            </w:pPr>
            <w:r/>
            <w:r>
              <w:rPr>
                <w:b w:val="0"/>
                <w:i w:val="0"/>
                <w:sz w:val="15"/>
              </w:rPr>
              <w:t>9.35 (Y1); 9.30 (Y2)</w:t>
            </w:r>
          </w:p>
        </w:tc>
        <w:tc>
          <w:tcPr>
            <w:tcW w:type="dxa" w:w="1008"/>
          </w:tcPr>
          <w:p>
            <w:pPr>
              <w:spacing w:after="20"/>
            </w:pPr>
            <w:r/>
            <w:r>
              <w:rPr>
                <w:b w:val="0"/>
                <w:i w:val="0"/>
                <w:sz w:val="15"/>
              </w:rPr>
              <w:t>4.10</w:t>
            </w:r>
          </w:p>
        </w:tc>
        <w:tc>
          <w:tcPr>
            <w:tcW w:type="dxa" w:w="1008"/>
          </w:tcPr>
          <w:p>
            <w:pPr>
              <w:spacing w:after="20"/>
            </w:pPr>
            <w:r/>
            <w:r>
              <w:rPr>
                <w:b w:val="0"/>
                <w:i w:val="0"/>
                <w:sz w:val="15"/>
              </w:rPr>
              <w:t>9.30</w:t>
            </w:r>
          </w:p>
        </w:tc>
        <w:tc>
          <w:tcPr>
            <w:tcW w:type="dxa" w:w="864"/>
          </w:tcPr>
          <w:p>
            <w:pPr>
              <w:spacing w:after="20"/>
            </w:pPr>
            <w:r/>
            <w:r>
              <w:rPr>
                <w:b/>
                <w:i w:val="0"/>
                <w:sz w:val="15"/>
              </w:rPr>
              <w:t>Pass on Ex. B</w:t>
            </w:r>
          </w:p>
        </w:tc>
      </w:tr>
      <w:tr>
        <w:tc>
          <w:tcPr>
            <w:tcW w:type="dxa" w:w="3168"/>
          </w:tcPr>
          <w:p>
            <w:pPr>
              <w:spacing w:after="20"/>
            </w:pPr>
            <w:r/>
            <w:r>
              <w:rPr>
                <w:b w:val="0"/>
                <w:i w:val="0"/>
                <w:sz w:val="15"/>
              </w:rPr>
              <w:t>$18.7M cash + 50% of net preferences (~$3.0–$3.75M)</w:t>
            </w:r>
          </w:p>
        </w:tc>
        <w:tc>
          <w:tcPr>
            <w:tcW w:type="dxa" w:w="1080"/>
          </w:tcPr>
          <w:p>
            <w:pPr>
              <w:spacing w:after="20"/>
            </w:pPr>
            <w:r/>
            <w:r>
              <w:rPr>
                <w:b w:val="0"/>
                <w:i w:val="0"/>
                <w:sz w:val="15"/>
              </w:rPr>
              <w:t>9.35</w:t>
            </w:r>
          </w:p>
        </w:tc>
        <w:tc>
          <w:tcPr>
            <w:tcW w:type="dxa" w:w="936"/>
          </w:tcPr>
          <w:p>
            <w:pPr>
              <w:spacing w:after="20"/>
            </w:pPr>
            <w:r/>
            <w:r>
              <w:rPr>
                <w:b w:val="0"/>
                <w:i w:val="0"/>
                <w:sz w:val="15"/>
              </w:rPr>
              <w:t>5.15</w:t>
            </w:r>
          </w:p>
        </w:tc>
        <w:tc>
          <w:tcPr>
            <w:tcW w:type="dxa" w:w="1728"/>
          </w:tcPr>
          <w:p>
            <w:pPr>
              <w:spacing w:after="20"/>
            </w:pPr>
            <w:r/>
            <w:r>
              <w:rPr>
                <w:b w:val="0"/>
                <w:i w:val="0"/>
                <w:sz w:val="15"/>
              </w:rPr>
              <w:t>9.35 (Y1) + proceeds as realized</w:t>
            </w:r>
          </w:p>
        </w:tc>
        <w:tc>
          <w:tcPr>
            <w:tcW w:type="dxa" w:w="1008"/>
          </w:tcPr>
          <w:p>
            <w:pPr>
              <w:spacing w:after="20"/>
            </w:pPr>
            <w:r/>
            <w:r>
              <w:rPr>
                <w:b w:val="0"/>
                <w:i w:val="0"/>
                <w:sz w:val="15"/>
              </w:rPr>
              <w:t>4.10</w:t>
            </w:r>
          </w:p>
        </w:tc>
        <w:tc>
          <w:tcPr>
            <w:tcW w:type="dxa" w:w="1008"/>
          </w:tcPr>
          <w:p>
            <w:pPr>
              <w:spacing w:after="20"/>
            </w:pPr>
            <w:r/>
            <w:r>
              <w:rPr>
                <w:b w:val="0"/>
                <w:i w:val="0"/>
                <w:sz w:val="15"/>
              </w:rPr>
              <w:t>18.60</w:t>
            </w:r>
          </w:p>
        </w:tc>
        <w:tc>
          <w:tcPr>
            <w:tcW w:type="dxa" w:w="864"/>
          </w:tcPr>
          <w:p>
            <w:pPr>
              <w:spacing w:after="20"/>
            </w:pPr>
            <w:r/>
            <w:r>
              <w:rPr>
                <w:b w:val="0"/>
                <w:i w:val="0"/>
                <w:sz w:val="15"/>
              </w:rPr>
              <w:t>Pass (cash-neutral)</w:t>
            </w:r>
          </w:p>
        </w:tc>
      </w:tr>
    </w:tbl>
    <w:p>
      <w:pPr>
        <w:spacing w:after="40"/>
      </w:pPr>
    </w:p>
    <w:p>
      <w:pPr>
        <w:spacing w:after="120"/>
      </w:pPr>
      <w:r>
        <w:rPr>
          <w:b/>
          <w:i w:val="0"/>
          <w:sz w:val="19"/>
        </w:rPr>
        <w:t>Takeaway.</w:t>
      </w:r>
      <w:r>
        <w:rPr>
          <w:b w:val="0"/>
          <w:i w:val="0"/>
          <w:sz w:val="19"/>
        </w:rPr>
        <w:t xml:space="preserve"> The Committee’s $28.0M headline is fundable only if most of it is deferred into Year 2 or later, where Ex. B free cash flow is stronger ($14.5M in Year 2 and $21.3M in Year 3), or if it is partly paid in non-cash currency (preference proceeds, or GUC equity or warrants from the unissued residual). The 75/25 front-loading is not fundable. This lets the Debtor engage with the Committee’s “firmly held” number while holding Effective Date cash.</w:t>
      </w:r>
    </w:p>
    <w:p>
      <w:pPr>
        <w:pStyle w:val="Heading1"/>
      </w:pPr>
      <w:r>
        <w:t>VII. Key Legal Issues</w:t>
      </w:r>
    </w:p>
    <w:p>
      <w:pPr>
        <w:pStyle w:val="Heading2"/>
      </w:pPr>
      <w:r>
        <w:t>1. Third-party releases after Purdue</w:t>
      </w:r>
    </w:p>
    <w:p>
      <w:pPr>
        <w:spacing w:after="120"/>
      </w:pPr>
      <w:r>
        <w:rPr>
          <w:b w:val="0"/>
          <w:i w:val="0"/>
        </w:rPr>
        <w:t>Purdue holds that the Bankruptcy Code does not authorize a release and injunction that extinguishes claims against non-debtors without the consent of the affected claimants. The Filed Plan’s § 10.4(c) is labeled “Non-Consensual” and the DS describes it that way. That label alone gives the Committee and the U.S. Trustee a clean objection. Mechanically, § 10.4(b)–(c) operate through an opt-out. Whether silence or a failure to opt out amounts to consent is contested after Purdue, and courts are divided. Opt-out mechanics are most defensible for creditors who actually receive a ballot and vote, with conspicuous disclosure. They are least defensible for deemed-rejecting classes (Classes 5–7), which receive nothing and do not vote.</w:t>
      </w:r>
    </w:p>
    <w:p>
      <w:pPr>
        <w:spacing w:after="120"/>
      </w:pPr>
      <w:r>
        <w:rPr>
          <w:b/>
          <w:i w:val="0"/>
        </w:rPr>
        <w:t>Recommendation.</w:t>
      </w:r>
      <w:r>
        <w:rPr>
          <w:b w:val="0"/>
          <w:i w:val="0"/>
        </w:rPr>
        <w:t xml:space="preserve"> Concede the Committee’s point in principle. Retitle and restructure § 10.4 as a consensual release: opt-out for voting Classes 2–4 with a prominent ballot election, and opt-in or no release for non-voting classes. Keep the Debtor release (§ 10.5), which is an estate settlement under § 1123(b)(3)(A) and is not affected by Purdue, but support it with a record. This is the cheapest of the Committee’s three “non-negotiable” items and gives us credibility on the other two.</w:t>
      </w:r>
    </w:p>
    <w:p>
      <w:pPr>
        <w:pStyle w:val="Heading2"/>
      </w:pPr>
      <w:r>
        <w:t>2. The 2021 Dividend Recapitalization</w:t>
      </w:r>
    </w:p>
    <w:p>
      <w:pPr>
        <w:pStyle w:val="ListBullet"/>
        <w:spacing w:after="60"/>
      </w:pPr>
      <w:r>
        <w:rPr>
          <w:b/>
          <w:i w:val="0"/>
        </w:rPr>
        <w:t>What the record shows.</w:t>
      </w:r>
      <w:r>
        <w:rPr>
          <w:b w:val="0"/>
          <w:i w:val="0"/>
        </w:rPr>
        <w:t xml:space="preserve"> On Sept. 14, 2021, Timberline purchased $95M of Second Lien Notes, and approximately $88M of the proceeds funded a special dividend to existing equity holders (the Whitaker family at ~40%, plus institutional holders). Funded debt rose from ~$275M to ~$370M, and a solvency opinion was delivered at closing (DS §§ 3.2–3.3). Clearview and DS § 3.4(c) both identify the recap as a cause of distress, and Clearview notes it “is a subject of potential avoidance action scrutiny by the estate.”</w:t>
      </w:r>
    </w:p>
    <w:p>
      <w:pPr>
        <w:pStyle w:val="ListBullet"/>
        <w:spacing w:after="60"/>
      </w:pPr>
      <w:r>
        <w:rPr>
          <w:b/>
          <w:i w:val="0"/>
        </w:rPr>
        <w:t>Limitations.</w:t>
      </w:r>
      <w:r>
        <w:rPr>
          <w:b w:val="0"/>
          <w:i w:val="0"/>
        </w:rPr>
        <w:t xml:space="preserve"> Section 548(a) reaches transfers and obligations within two years before the petition, so the Sept. 2021 transaction falls outside that window (petition Mar. 3, 2025). The viable theories are § 544(b) claims under applicable state fraudulent-transfer law. Choice of law (Oregon UVTA, ORS 95.200 et seq., or Delaware) must be analyzed; constructive-fraud limitation periods are generally four years. A claim timely as of the petition date can be brought within the § 546(a) period (two years after the order for relief, i.e., by Mar. 3, 2027). The Committee’s references to § 548 should be corrected in any disclosure.</w:t>
      </w:r>
    </w:p>
    <w:p>
      <w:pPr>
        <w:pStyle w:val="ListBullet"/>
        <w:spacing w:after="60"/>
      </w:pPr>
      <w:r>
        <w:rPr>
          <w:b/>
          <w:i w:val="0"/>
        </w:rPr>
        <w:t>Defendants.</w:t>
      </w:r>
      <w:r>
        <w:rPr>
          <w:b w:val="0"/>
          <w:i w:val="0"/>
        </w:rPr>
        <w:t xml:space="preserve"> The constructive-fraud theory runs most naturally against the dividend recipients (§ 550(a)), not the lender that advanced cash. Exposure for Timberline would turn on theories such as avoiding the obligation and lien, collapsing the transaction based on Timberline’s knowledge, recharacterization, or equitable subordination. The Committee’s assertion that dividend recipients included “entities affiliated with Timberline” is not supported by the DS. If it were true, it would also bear on Timberline’s insider status (Issue 4).</w:t>
      </w:r>
    </w:p>
    <w:p>
      <w:pPr>
        <w:pStyle w:val="ListBullet"/>
        <w:spacing w:after="60"/>
      </w:pPr>
      <w:r>
        <w:rPr>
          <w:b/>
          <w:i w:val="0"/>
        </w:rPr>
        <w:t>The Filed Plan’s weakness.</w:t>
      </w:r>
      <w:r>
        <w:rPr>
          <w:b w:val="0"/>
          <w:i w:val="0"/>
        </w:rPr>
        <w:t xml:space="preserve"> Filed Plan § 10.4(d) releases the Dividend Recap claims against Timberline and recites that “the Debtor and the Committee have reviewed the relevant facts … and have concluded that the releases … are appropriate.” The Committee plainly has not so concluded. No independent investigation is described, and no value attributable to the release is identified. A court evaluating an estate release under § 1123(b)(3)(A) and Rule 9019 will expect a record. Without one, this is the Committee’s strongest confirmation objection.</w:t>
      </w:r>
    </w:p>
    <w:p>
      <w:pPr>
        <w:pStyle w:val="ListBullet"/>
        <w:spacing w:after="60"/>
      </w:pPr>
      <w:r>
        <w:rPr>
          <w:b/>
          <w:i w:val="0"/>
        </w:rPr>
        <w:t>Recommendation.</w:t>
      </w:r>
      <w:r>
        <w:rPr>
          <w:b w:val="0"/>
          <w:i w:val="0"/>
        </w:rPr>
        <w:t xml:space="preserve"> Do not give up the release to Timberline unilaterally; it is Timberline’s deal. Do (a) expand DS § 3.3 before June 12 to cover transaction steps, the dividend recipients and amounts, the solvency opinion provider and conclusions, the limitations analysis, and the Debtor’s and the Committee’s positions; (b) propose to Timberline either an independent-director investigation with a 9019-quality record supporting the release, or a carve-out limited to dividend recipients and insiders; and (c) remove the inaccurate Committee-concurrence sentence immediately.</w:t>
      </w:r>
    </w:p>
    <w:p>
      <w:pPr>
        <w:pStyle w:val="Heading2"/>
      </w:pPr>
      <w:r>
        <w:t>3. A post-confirmation “supplemental disclosure” condition</w:t>
      </w:r>
    </w:p>
    <w:p>
      <w:pPr>
        <w:spacing w:after="120"/>
      </w:pPr>
      <w:r>
        <w:rPr>
          <w:b w:val="0"/>
          <w:i w:val="0"/>
        </w:rPr>
        <w:t>Section 1125(b) bars post-petition solicitation unless a court-approved disclosure statement is transmitted first. A disclosure approved after confirmation, as proposed § 9.1(g) would require, cannot inform votes already cast. Using it as an Effective Date condition, waivable only by the Committee (§ 9.2), with any party able to move to vacate after 120 days (U-10), would give the Committee leverage over consummation. Supplementing the disclosure to address the Committee’s legitimate points before solicitation fully answers the concern. We can also offer the Committee a letter in the solicitation package stating its position.</w:t>
      </w:r>
    </w:p>
    <w:p>
      <w:pPr>
        <w:pStyle w:val="Heading2"/>
      </w:pPr>
      <w:r>
        <w:t>4. Impairment, classification and § 1129(a)(10)</w:t>
      </w:r>
    </w:p>
    <w:p>
      <w:pPr>
        <w:spacing w:after="120"/>
      </w:pPr>
      <w:r>
        <w:rPr>
          <w:b w:val="0"/>
          <w:i w:val="0"/>
        </w:rPr>
        <w:t xml:space="preserve">Section 1129(a)(10) requires acceptance by at least one impaired class, determined without counting acceptances by insiders. The Filed Plan correctly treats First Meridian (Class 2) as impaired and voting: its maturity is extended and its rate reduced, which alters its rights, so it is not unimpaired under § 1124. The DS (Class 4: “unimpaired by virtue of reinstatement … deemed to accept”) and the Redline base (Class 1: unimpaired) both get this wrong. DS § 13.3 relies on Timberline’s class as the accepting impaired class if GUCs reject. If First Meridian were deemed to accept rather than voting, and the Committee succeeded in characterizing Timberline as an insider or non-statutory insider (plan sponsor, majority board designee, alleged affiliation with dividend recipients), the Debtor could lose its only accepting impaired class. </w:t>
      </w:r>
      <w:r>
        <w:rPr>
          <w:b/>
          <w:i w:val="0"/>
        </w:rPr>
        <w:t>Action:</w:t>
      </w:r>
      <w:r>
        <w:rPr>
          <w:b w:val="0"/>
          <w:i w:val="0"/>
        </w:rPr>
        <w:t xml:space="preserve"> correct the DS. Keep First Meridian as an impaired voting class and obtain its affirmative vote. Assess Timberline’s insider status now.</w:t>
      </w:r>
    </w:p>
    <w:p>
      <w:pPr>
        <w:pStyle w:val="Heading2"/>
      </w:pPr>
      <w:r>
        <w:t>5. Fair and equitable: the Debtor’s 55% exposure</w:t>
      </w:r>
    </w:p>
    <w:p>
      <w:pPr>
        <w:spacing w:after="120"/>
      </w:pPr>
      <w:r>
        <w:rPr>
          <w:b w:val="0"/>
          <w:i w:val="0"/>
        </w:rPr>
        <w:t>If Class 4 rejects, the Debtor must show the plan is fair and equitable as to Class 4. Clearview’s own waterfall shows Timberline receiving more than par at every point in the range at 55%, and potentially all outstanding equity if the 45% remains unissued (VI.E). Meanwhile, DS Art. XI shows Timberline recovering at most 53.8% in liquidation. The Committee has framed this narrowly, as an arithmetic error, but the underlying argument is stronger: value above Timberline’s allowed claim belongs to the next junior class. The Debtor’s answers are (a) Timberline’s role as plan sponsor and any new-value or cash commitment, which must be documented; DS § 6.1 refers to a “significant cash contribution,” but the Plan describes the $35M as a payment to Timberline that Timberline itself funds, which is circular and must be clarified; (b) valuation risk; and (c) the MIP. These answers need evidence. A cleaner fix is to allocate part of the residual equity, or warrants, to Class 4. That also creates non-cash currency for settlement.</w:t>
      </w:r>
    </w:p>
    <w:p>
      <w:pPr>
        <w:pStyle w:val="Heading2"/>
      </w:pPr>
      <w:r>
        <w:t>6. Retention bonuses and § 503(c)</w:t>
      </w:r>
    </w:p>
    <w:p>
      <w:pPr>
        <w:spacing w:after="120"/>
      </w:pPr>
      <w:r>
        <w:rPr>
          <w:b w:val="0"/>
          <w:i w:val="0"/>
        </w:rPr>
        <w:t xml:space="preserve">Section 503(c)(1) bars retention payments to insiders unless the court finds a bona fide job offer at the same or greater compensation, that the services are essential to the survival of the business, and that the amount is within statutory caps. Section 503(c)(3) limits other transfers outside the ordinary course that are not justified by the facts and circumstances. The DS asserts competitor recruitment efforts and an average of 18 years of experience, but the record has no offer evidence and no insider analysis. Paying a prepetition, board-approved program in full under the Plan also raises same-treatment (§ 1123(a)(4)) and unfair-discrimination issues against 10% GUCs. </w:t>
      </w:r>
      <w:r>
        <w:rPr>
          <w:b/>
          <w:i w:val="0"/>
        </w:rPr>
        <w:t>Recommendation:</w:t>
      </w:r>
      <w:r>
        <w:rPr>
          <w:b w:val="0"/>
          <w:i w:val="0"/>
        </w:rPr>
        <w:t xml:space="preserve"> remove the assumption from the Plan. Either file a § 503(c) motion supported by evidence, or move retention to a post-emergence program adopted by the New Board and disclosed under § 1129(a)(5). This also frees $1.7M–$3.4M of Effective Date cash. Reject proposed § 11.9: post-emergence compensation for services is not property received “on account of” a junior claim or interest.</w:t>
      </w:r>
    </w:p>
    <w:p>
      <w:pPr>
        <w:pStyle w:val="Heading2"/>
      </w:pPr>
      <w:r>
        <w:t>7. Avoidance action proceeds</w:t>
      </w:r>
    </w:p>
    <w:p>
      <w:pPr>
        <w:spacing w:after="120"/>
      </w:pPr>
      <w:r>
        <w:rPr>
          <w:b w:val="0"/>
          <w:i w:val="0"/>
        </w:rPr>
        <w:t xml:space="preserve">The Committee’s position has some equitable force. Avoidance recoveries are for the benefit of the estate (§ 550(a)) and are excluded from TEV (Clearview § IV), so leaving them with a Reorganized Debtor owned by Timberline invites the argument that they are a further value transfer to the senior class. Countervailing points: preference suits against ~15 counterparties, many likely ongoing trade vendors, can impair go-forward supply relationships; the Committee members are themselves likely preference targets; and net recoveries are uncertain and delayed. </w:t>
      </w:r>
      <w:r>
        <w:rPr>
          <w:b/>
          <w:i w:val="0"/>
        </w:rPr>
        <w:t>Recommendation:</w:t>
      </w:r>
      <w:r>
        <w:rPr>
          <w:b w:val="0"/>
          <w:i w:val="0"/>
        </w:rPr>
        <w:t xml:space="preserve"> offer a sharing formula for net preference proceeds, a vendor-waiver right for the Reorganized Debtor, an independent trustee, and a conflicts protocol.</w:t>
      </w:r>
    </w:p>
    <w:p>
      <w:pPr>
        <w:pStyle w:val="Heading2"/>
      </w:pPr>
      <w:r>
        <w:t>8. Contract rejection standard</w:t>
      </w:r>
    </w:p>
    <w:p>
      <w:pPr>
        <w:spacing w:after="120"/>
      </w:pPr>
      <w:r>
        <w:rPr>
          <w:b w:val="0"/>
          <w:i w:val="0"/>
        </w:rPr>
        <w:t xml:space="preserve">Rejection is governed by the business-judgment test. A plan-imposed “material net burden” standard would invite counterparties, including Committee members, to litigate each rejection and would cloud the Debtor’s projected $8M of annual cost savings, which rely in part on “the rejection of uneconomical contracts” (Plan Ex. B). Rejection operates as a breach (Mission Product Holdings v. Tempnology, 587 U.S. 370 (2019)), and the resulting damages claims are already protected as Class 4 claims. </w:t>
      </w:r>
      <w:r>
        <w:rPr>
          <w:b/>
          <w:i w:val="0"/>
        </w:rPr>
        <w:t>Reject.</w:t>
      </w:r>
    </w:p>
    <w:p>
      <w:pPr>
        <w:pStyle w:val="Heading1"/>
      </w:pPr>
      <w:r>
        <w:t>VIII. Problems in the Debtor’s Own Filed Papers (Fix Before June 12)</w:t>
      </w:r>
    </w:p>
    <w:p>
      <w:pPr>
        <w:spacing w:after="120"/>
      </w:pPr>
      <w:r>
        <w:rPr>
          <w:b w:val="0"/>
          <w:i w:val="0"/>
        </w:rPr>
        <w:t>The comparison exposed inconsistencies among the Filed Plan, the DS and Clearview. The Committee will raise these at the DS hearing as adequacy-of-information objections under § 1125, or as feasibility objections. We recommend correcting them in an amended DS/Plan filing, ideally together with any agreed Committee changes.</w:t>
      </w:r>
    </w:p>
    <w:tbl>
      <w:tblPr>
        <w:tblStyle w:val="TableGrid"/>
        <w:tblW w:type="auto" w:w="0"/>
        <w:jc w:val="center"/>
        <w:tblLayout w:type="fixed"/>
        <w:tblLook w:firstColumn="1" w:firstRow="1" w:lastColumn="0" w:lastRow="0" w:noHBand="0" w:noVBand="1" w:val="04A0"/>
      </w:tblPr>
      <w:tblGrid>
        <w:gridCol w:w="576"/>
        <w:gridCol w:w="1584"/>
        <w:gridCol w:w="2520"/>
        <w:gridCol w:w="2664"/>
        <w:gridCol w:w="2448"/>
      </w:tblGrid>
      <w:tr>
        <w:tc>
          <w:tcPr>
            <w:tcW w:type="dxa" w:w="576"/>
            <w:shd w:val="clear" w:color="auto" w:fill="D9E2F3"/>
          </w:tcPr>
          <w:p>
            <w:pPr>
              <w:spacing w:after="20"/>
            </w:pPr>
            <w:r/>
            <w:r>
              <w:rPr>
                <w:b/>
                <w:i w:val="0"/>
                <w:sz w:val="15"/>
              </w:rPr>
              <w:t>#</w:t>
            </w:r>
          </w:p>
        </w:tc>
        <w:tc>
          <w:tcPr>
            <w:tcW w:type="dxa" w:w="1584"/>
            <w:shd w:val="clear" w:color="auto" w:fill="D9E2F3"/>
          </w:tcPr>
          <w:p>
            <w:pPr>
              <w:spacing w:after="20"/>
            </w:pPr>
            <w:r/>
            <w:r>
              <w:rPr>
                <w:b/>
                <w:i w:val="0"/>
                <w:sz w:val="15"/>
              </w:rPr>
              <w:t>Issue</w:t>
            </w:r>
          </w:p>
        </w:tc>
        <w:tc>
          <w:tcPr>
            <w:tcW w:type="dxa" w:w="2520"/>
            <w:shd w:val="clear" w:color="auto" w:fill="D9E2F3"/>
          </w:tcPr>
          <w:p>
            <w:pPr>
              <w:spacing w:after="20"/>
            </w:pPr>
            <w:r/>
            <w:r>
              <w:rPr>
                <w:b/>
                <w:i w:val="0"/>
                <w:sz w:val="15"/>
              </w:rPr>
              <w:t>Filed Plan</w:t>
            </w:r>
          </w:p>
        </w:tc>
        <w:tc>
          <w:tcPr>
            <w:tcW w:type="dxa" w:w="2664"/>
            <w:shd w:val="clear" w:color="auto" w:fill="D9E2F3"/>
          </w:tcPr>
          <w:p>
            <w:pPr>
              <w:spacing w:after="20"/>
            </w:pPr>
            <w:r/>
            <w:r>
              <w:rPr>
                <w:b/>
                <w:i w:val="0"/>
                <w:sz w:val="15"/>
              </w:rPr>
              <w:t>DS / Clearview</w:t>
            </w:r>
          </w:p>
        </w:tc>
        <w:tc>
          <w:tcPr>
            <w:tcW w:type="dxa" w:w="2448"/>
            <w:shd w:val="clear" w:color="auto" w:fill="D9E2F3"/>
          </w:tcPr>
          <w:p>
            <w:pPr>
              <w:spacing w:after="20"/>
            </w:pPr>
            <w:r/>
            <w:r>
              <w:rPr>
                <w:b/>
                <w:i w:val="0"/>
                <w:sz w:val="15"/>
              </w:rPr>
              <w:t>Recommended fix</w:t>
            </w:r>
          </w:p>
        </w:tc>
      </w:tr>
      <w:tr>
        <w:tc>
          <w:tcPr>
            <w:tcW w:type="dxa" w:w="576"/>
          </w:tcPr>
          <w:p>
            <w:pPr>
              <w:spacing w:after="20"/>
            </w:pPr>
            <w:r/>
            <w:r>
              <w:rPr>
                <w:b w:val="0"/>
                <w:i w:val="0"/>
                <w:sz w:val="15"/>
              </w:rPr>
              <w:t>D-1</w:t>
            </w:r>
          </w:p>
        </w:tc>
        <w:tc>
          <w:tcPr>
            <w:tcW w:type="dxa" w:w="1584"/>
          </w:tcPr>
          <w:p>
            <w:pPr>
              <w:spacing w:after="20"/>
            </w:pPr>
            <w:r/>
            <w:r>
              <w:rPr>
                <w:b w:val="0"/>
                <w:i w:val="0"/>
                <w:sz w:val="15"/>
              </w:rPr>
              <w:t>Class structure and First Meridian’s impairment</w:t>
            </w:r>
          </w:p>
        </w:tc>
        <w:tc>
          <w:tcPr>
            <w:tcW w:type="dxa" w:w="2520"/>
          </w:tcPr>
          <w:p>
            <w:pPr>
              <w:spacing w:after="20"/>
            </w:pPr>
            <w:r/>
            <w:r>
              <w:rPr>
                <w:b w:val="0"/>
                <w:i w:val="0"/>
                <w:sz w:val="15"/>
              </w:rPr>
              <w:t>7 classes; First Meridian Class 2, impaired, votes.</w:t>
            </w:r>
          </w:p>
        </w:tc>
        <w:tc>
          <w:tcPr>
            <w:tcW w:type="dxa" w:w="2664"/>
          </w:tcPr>
          <w:p>
            <w:pPr>
              <w:spacing w:after="20"/>
            </w:pPr>
            <w:r/>
            <w:r>
              <w:rPr>
                <w:b w:val="0"/>
                <w:i w:val="0"/>
                <w:sz w:val="15"/>
              </w:rPr>
              <w:t>DS labels Administrative Claims “Class 1” through Equity “Class 7”; First Meridian is “Class 4 … unimpaired … deemed to accept”; GUCs are “Class 6.”</w:t>
            </w:r>
          </w:p>
        </w:tc>
        <w:tc>
          <w:tcPr>
            <w:tcW w:type="dxa" w:w="2448"/>
          </w:tcPr>
          <w:p>
            <w:pPr>
              <w:spacing w:after="20"/>
            </w:pPr>
            <w:r/>
            <w:r>
              <w:rPr>
                <w:b w:val="0"/>
                <w:i w:val="0"/>
                <w:sz w:val="15"/>
              </w:rPr>
              <w:t>Conform the DS to the Plan; First Meridian is impaired and votes.</w:t>
            </w:r>
          </w:p>
        </w:tc>
      </w:tr>
      <w:tr>
        <w:tc>
          <w:tcPr>
            <w:tcW w:type="dxa" w:w="576"/>
          </w:tcPr>
          <w:p>
            <w:pPr>
              <w:spacing w:after="20"/>
            </w:pPr>
            <w:r/>
            <w:r>
              <w:rPr>
                <w:b w:val="0"/>
                <w:i w:val="0"/>
                <w:sz w:val="15"/>
              </w:rPr>
              <w:t>D-2</w:t>
            </w:r>
          </w:p>
        </w:tc>
        <w:tc>
          <w:tcPr>
            <w:tcW w:type="dxa" w:w="1584"/>
          </w:tcPr>
          <w:p>
            <w:pPr>
              <w:spacing w:after="20"/>
            </w:pPr>
            <w:r/>
            <w:r>
              <w:rPr>
                <w:b w:val="0"/>
                <w:i w:val="0"/>
                <w:sz w:val="15"/>
              </w:rPr>
              <w:t>Liquidation analysis</w:t>
            </w:r>
          </w:p>
        </w:tc>
        <w:tc>
          <w:tcPr>
            <w:tcW w:type="dxa" w:w="2520"/>
          </w:tcPr>
          <w:p>
            <w:pPr>
              <w:spacing w:after="20"/>
            </w:pPr>
            <w:r/>
            <w:r>
              <w:rPr>
                <w:b w:val="0"/>
                <w:i w:val="0"/>
                <w:sz w:val="15"/>
              </w:rPr>
              <w:t>Ex. A: LV $276M–$334M; book $581M; GUCs 3%–5%; prepared by the Debtor with Pinecrest.</w:t>
            </w:r>
          </w:p>
        </w:tc>
        <w:tc>
          <w:tcPr>
            <w:tcW w:type="dxa" w:w="2664"/>
          </w:tcPr>
          <w:p>
            <w:pPr>
              <w:spacing w:after="20"/>
            </w:pPr>
            <w:r/>
            <w:r>
              <w:rPr>
                <w:b w:val="0"/>
                <w:i w:val="0"/>
                <w:sz w:val="15"/>
              </w:rPr>
              <w:t>DS Art. XI: LV $293M–$349M; book $489M; GUCs $0; attributed to Clearview.</w:t>
            </w:r>
          </w:p>
        </w:tc>
        <w:tc>
          <w:tcPr>
            <w:tcW w:type="dxa" w:w="2448"/>
          </w:tcPr>
          <w:p>
            <w:pPr>
              <w:spacing w:after="20"/>
            </w:pPr>
            <w:r/>
            <w:r>
              <w:rPr>
                <w:b w:val="0"/>
                <w:i w:val="0"/>
                <w:sz w:val="15"/>
              </w:rPr>
              <w:t>One analysis, one preparer, one set of numbers.</w:t>
            </w:r>
          </w:p>
        </w:tc>
      </w:tr>
      <w:tr>
        <w:tc>
          <w:tcPr>
            <w:tcW w:type="dxa" w:w="576"/>
          </w:tcPr>
          <w:p>
            <w:pPr>
              <w:spacing w:after="20"/>
            </w:pPr>
            <w:r/>
            <w:r>
              <w:rPr>
                <w:b w:val="0"/>
                <w:i w:val="0"/>
                <w:sz w:val="15"/>
              </w:rPr>
              <w:t>D-3</w:t>
            </w:r>
          </w:p>
        </w:tc>
        <w:tc>
          <w:tcPr>
            <w:tcW w:type="dxa" w:w="1584"/>
          </w:tcPr>
          <w:p>
            <w:pPr>
              <w:spacing w:after="20"/>
            </w:pPr>
            <w:r/>
            <w:r>
              <w:rPr>
                <w:b w:val="0"/>
                <w:i w:val="0"/>
                <w:sz w:val="15"/>
              </w:rPr>
              <w:t>Projections</w:t>
            </w:r>
          </w:p>
        </w:tc>
        <w:tc>
          <w:tcPr>
            <w:tcW w:type="dxa" w:w="2520"/>
          </w:tcPr>
          <w:p>
            <w:pPr>
              <w:spacing w:after="20"/>
            </w:pPr>
            <w:r/>
            <w:r>
              <w:rPr>
                <w:b w:val="0"/>
                <w:i w:val="0"/>
                <w:sz w:val="15"/>
              </w:rPr>
              <w:t>Ex. B: five years; Y1 revenue $395M; Y2 EBITDA $63.0M; debt service $25.3M with amortization; capex $15M–$20M.</w:t>
            </w:r>
          </w:p>
        </w:tc>
        <w:tc>
          <w:tcPr>
            <w:tcW w:type="dxa" w:w="2664"/>
          </w:tcPr>
          <w:p>
            <w:pPr>
              <w:spacing w:after="20"/>
            </w:pPr>
            <w:r/>
            <w:r>
              <w:rPr>
                <w:b w:val="0"/>
                <w:i w:val="0"/>
                <w:sz w:val="15"/>
              </w:rPr>
              <w:t>DS § 9.3: three years; FY2026 revenue $425M, EBITDA $72M; debt service $18M–$20M; capex $15M–$18M plus $8M wildfire remediation in FY2026. Clearview: FY2025E $380M, FY2029E $445M (Ex. B Y5: $475M).</w:t>
            </w:r>
          </w:p>
        </w:tc>
        <w:tc>
          <w:tcPr>
            <w:tcW w:type="dxa" w:w="2448"/>
          </w:tcPr>
          <w:p>
            <w:pPr>
              <w:spacing w:after="20"/>
            </w:pPr>
            <w:r/>
            <w:r>
              <w:rPr>
                <w:b w:val="0"/>
                <w:i w:val="0"/>
                <w:sz w:val="15"/>
              </w:rPr>
              <w:t>Pinecrest to deliver one projection set that ties to Clearview’s DCF.</w:t>
            </w:r>
          </w:p>
        </w:tc>
      </w:tr>
      <w:tr>
        <w:tc>
          <w:tcPr>
            <w:tcW w:type="dxa" w:w="576"/>
          </w:tcPr>
          <w:p>
            <w:pPr>
              <w:spacing w:after="20"/>
            </w:pPr>
            <w:r/>
            <w:r>
              <w:rPr>
                <w:b w:val="0"/>
                <w:i w:val="0"/>
                <w:sz w:val="15"/>
              </w:rPr>
              <w:t>D-4</w:t>
            </w:r>
          </w:p>
        </w:tc>
        <w:tc>
          <w:tcPr>
            <w:tcW w:type="dxa" w:w="1584"/>
          </w:tcPr>
          <w:p>
            <w:pPr>
              <w:spacing w:after="20"/>
            </w:pPr>
            <w:r/>
            <w:r>
              <w:rPr>
                <w:b w:val="0"/>
                <w:i w:val="0"/>
                <w:sz w:val="15"/>
              </w:rPr>
              <w:t>$35M Timberline cash</w:t>
            </w:r>
          </w:p>
        </w:tc>
        <w:tc>
          <w:tcPr>
            <w:tcW w:type="dxa" w:w="2520"/>
          </w:tcPr>
          <w:p>
            <w:pPr>
              <w:spacing w:after="20"/>
            </w:pPr>
            <w:r/>
            <w:r>
              <w:rPr>
                <w:b w:val="0"/>
                <w:i w:val="0"/>
                <w:sz w:val="15"/>
              </w:rPr>
              <w:t>§ 5.2 and Ex. B: funded by Timberline and included in the $68M.</w:t>
            </w:r>
          </w:p>
        </w:tc>
        <w:tc>
          <w:tcPr>
            <w:tcW w:type="dxa" w:w="2664"/>
          </w:tcPr>
          <w:p>
            <w:pPr>
              <w:spacing w:after="20"/>
            </w:pPr>
            <w:r/>
            <w:r>
              <w:rPr>
                <w:b w:val="0"/>
                <w:i w:val="0"/>
                <w:sz w:val="15"/>
              </w:rPr>
              <w:t>Clearview: a use of Debtor cash. DS § 6.1: Timberline will make a “significant cash contribution.”</w:t>
            </w:r>
          </w:p>
        </w:tc>
        <w:tc>
          <w:tcPr>
            <w:tcW w:type="dxa" w:w="2448"/>
          </w:tcPr>
          <w:p>
            <w:pPr>
              <w:spacing w:after="20"/>
            </w:pPr>
            <w:r/>
            <w:r>
              <w:rPr>
                <w:b w:val="0"/>
                <w:i w:val="0"/>
                <w:sz w:val="15"/>
              </w:rPr>
              <w:t>Clarify the source. If Timberline funds a payment to itself, the payment is circular and the 55% justification changes.</w:t>
            </w:r>
          </w:p>
        </w:tc>
      </w:tr>
      <w:tr>
        <w:tc>
          <w:tcPr>
            <w:tcW w:type="dxa" w:w="576"/>
          </w:tcPr>
          <w:p>
            <w:pPr>
              <w:spacing w:after="20"/>
            </w:pPr>
            <w:r/>
            <w:r>
              <w:rPr>
                <w:b w:val="0"/>
                <w:i w:val="0"/>
                <w:sz w:val="15"/>
              </w:rPr>
              <w:t>D-5</w:t>
            </w:r>
          </w:p>
        </w:tc>
        <w:tc>
          <w:tcPr>
            <w:tcW w:type="dxa" w:w="1584"/>
          </w:tcPr>
          <w:p>
            <w:pPr>
              <w:spacing w:after="20"/>
            </w:pPr>
            <w:r/>
            <w:r>
              <w:rPr>
                <w:b w:val="0"/>
                <w:i w:val="0"/>
                <w:sz w:val="15"/>
              </w:rPr>
              <w:t>Effective Date cash table</w:t>
            </w:r>
          </w:p>
        </w:tc>
        <w:tc>
          <w:tcPr>
            <w:tcW w:type="dxa" w:w="2520"/>
          </w:tcPr>
          <w:p>
            <w:pPr>
              <w:spacing w:after="20"/>
            </w:pPr>
            <w:r/>
            <w:r>
              <w:rPr>
                <w:b w:val="0"/>
                <w:i w:val="0"/>
                <w:sz w:val="15"/>
              </w:rPr>
              <w:t>Omits the retention bonuses ($3.4M), Litigation Trust funding ($0.5M), cures (~$0.515M) and any DIP cash paydown.</w:t>
            </w:r>
          </w:p>
        </w:tc>
        <w:tc>
          <w:tcPr>
            <w:tcW w:type="dxa" w:w="2664"/>
          </w:tcPr>
          <w:p>
            <w:pPr>
              <w:spacing w:after="20"/>
            </w:pPr>
            <w:r/>
            <w:r>
              <w:rPr>
                <w:b w:val="0"/>
                <w:i w:val="0"/>
                <w:sz w:val="15"/>
              </w:rPr>
              <w:t>DS § 6.4(e) adds a professional-fee escrow condition that is not in the Plan.</w:t>
            </w:r>
          </w:p>
        </w:tc>
        <w:tc>
          <w:tcPr>
            <w:tcW w:type="dxa" w:w="2448"/>
          </w:tcPr>
          <w:p>
            <w:pPr>
              <w:spacing w:after="20"/>
            </w:pPr>
            <w:r/>
            <w:r>
              <w:rPr>
                <w:b w:val="0"/>
                <w:i w:val="0"/>
                <w:sz w:val="15"/>
              </w:rPr>
              <w:t>Re-run the sources and uses; show the cushion after all items (Section VI.B).</w:t>
            </w:r>
          </w:p>
        </w:tc>
      </w:tr>
      <w:tr>
        <w:tc>
          <w:tcPr>
            <w:tcW w:type="dxa" w:w="576"/>
          </w:tcPr>
          <w:p>
            <w:pPr>
              <w:spacing w:after="20"/>
            </w:pPr>
            <w:r/>
            <w:r>
              <w:rPr>
                <w:b w:val="0"/>
                <w:i w:val="0"/>
                <w:sz w:val="15"/>
              </w:rPr>
              <w:t>D-6</w:t>
            </w:r>
          </w:p>
        </w:tc>
        <w:tc>
          <w:tcPr>
            <w:tcW w:type="dxa" w:w="1584"/>
          </w:tcPr>
          <w:p>
            <w:pPr>
              <w:spacing w:after="20"/>
            </w:pPr>
            <w:r/>
            <w:r>
              <w:rPr>
                <w:b w:val="0"/>
                <w:i w:val="0"/>
                <w:sz w:val="15"/>
              </w:rPr>
              <w:t>Unissued equity</w:t>
            </w:r>
          </w:p>
        </w:tc>
        <w:tc>
          <w:tcPr>
            <w:tcW w:type="dxa" w:w="2520"/>
          </w:tcPr>
          <w:p>
            <w:pPr>
              <w:spacing w:after="20"/>
            </w:pPr>
            <w:r/>
            <w:r>
              <w:rPr>
                <w:b w:val="0"/>
                <w:i w:val="0"/>
                <w:sz w:val="15"/>
              </w:rPr>
              <w:t>§ 5.3(b): 45% “authorized but unissued.”</w:t>
            </w:r>
          </w:p>
        </w:tc>
        <w:tc>
          <w:tcPr>
            <w:tcW w:type="dxa" w:w="2664"/>
          </w:tcPr>
          <w:p>
            <w:pPr>
              <w:spacing w:after="20"/>
            </w:pPr>
            <w:r/>
            <w:r>
              <w:rPr>
                <w:b w:val="0"/>
                <w:i w:val="0"/>
                <w:sz w:val="15"/>
              </w:rPr>
              <w:t>DS § 9.1 attributes $65.745M to the “MIP and … treasury.”</w:t>
            </w:r>
          </w:p>
        </w:tc>
        <w:tc>
          <w:tcPr>
            <w:tcW w:type="dxa" w:w="2448"/>
          </w:tcPr>
          <w:p>
            <w:pPr>
              <w:spacing w:after="20"/>
            </w:pPr>
            <w:r/>
            <w:r>
              <w:rPr>
                <w:b w:val="0"/>
                <w:i w:val="0"/>
                <w:sz w:val="15"/>
              </w:rPr>
              <w:t>Specify who receives the residual; see VII.5.</w:t>
            </w:r>
          </w:p>
        </w:tc>
      </w:tr>
      <w:tr>
        <w:tc>
          <w:tcPr>
            <w:tcW w:type="dxa" w:w="576"/>
          </w:tcPr>
          <w:p>
            <w:pPr>
              <w:spacing w:after="20"/>
            </w:pPr>
            <w:r/>
            <w:r>
              <w:rPr>
                <w:b w:val="0"/>
                <w:i w:val="0"/>
                <w:sz w:val="15"/>
              </w:rPr>
              <w:t>D-7</w:t>
            </w:r>
          </w:p>
        </w:tc>
        <w:tc>
          <w:tcPr>
            <w:tcW w:type="dxa" w:w="1584"/>
          </w:tcPr>
          <w:p>
            <w:pPr>
              <w:spacing w:after="20"/>
            </w:pPr>
            <w:r/>
            <w:r>
              <w:rPr>
                <w:b w:val="0"/>
                <w:i w:val="0"/>
                <w:sz w:val="15"/>
              </w:rPr>
              <w:t>Dividend Recap release recital</w:t>
            </w:r>
          </w:p>
        </w:tc>
        <w:tc>
          <w:tcPr>
            <w:tcW w:type="dxa" w:w="2520"/>
          </w:tcPr>
          <w:p>
            <w:pPr>
              <w:spacing w:after="20"/>
            </w:pPr>
            <w:r/>
            <w:r>
              <w:rPr>
                <w:b w:val="0"/>
                <w:i w:val="0"/>
                <w:sz w:val="15"/>
              </w:rPr>
              <w:t>§ 10.4(d) says the Committee reviewed and concurred.</w:t>
            </w:r>
          </w:p>
        </w:tc>
        <w:tc>
          <w:tcPr>
            <w:tcW w:type="dxa" w:w="2664"/>
          </w:tcPr>
          <w:p>
            <w:pPr>
              <w:spacing w:after="20"/>
            </w:pPr>
            <w:r/>
            <w:r>
              <w:rPr>
                <w:b w:val="0"/>
                <w:i w:val="0"/>
                <w:sz w:val="15"/>
              </w:rPr>
              <w:t>DS § 6.3 describes the releases as “non-consensual.”</w:t>
            </w:r>
          </w:p>
        </w:tc>
        <w:tc>
          <w:tcPr>
            <w:tcW w:type="dxa" w:w="2448"/>
          </w:tcPr>
          <w:p>
            <w:pPr>
              <w:spacing w:after="20"/>
            </w:pPr>
            <w:r/>
            <w:r>
              <w:rPr>
                <w:b w:val="0"/>
                <w:i w:val="0"/>
                <w:sz w:val="15"/>
              </w:rPr>
              <w:t>Delete the concurrence; restructure the releases (VII.1).</w:t>
            </w:r>
          </w:p>
        </w:tc>
      </w:tr>
      <w:tr>
        <w:tc>
          <w:tcPr>
            <w:tcW w:type="dxa" w:w="576"/>
          </w:tcPr>
          <w:p>
            <w:pPr>
              <w:spacing w:after="20"/>
            </w:pPr>
            <w:r/>
            <w:r>
              <w:rPr>
                <w:b w:val="0"/>
                <w:i w:val="0"/>
                <w:sz w:val="15"/>
              </w:rPr>
              <w:t>D-8</w:t>
            </w:r>
          </w:p>
        </w:tc>
        <w:tc>
          <w:tcPr>
            <w:tcW w:type="dxa" w:w="1584"/>
          </w:tcPr>
          <w:p>
            <w:pPr>
              <w:spacing w:after="20"/>
            </w:pPr>
            <w:r/>
            <w:r>
              <w:rPr>
                <w:b w:val="0"/>
                <w:i w:val="0"/>
                <w:sz w:val="15"/>
              </w:rPr>
              <w:t>Exculpation standard</w:t>
            </w:r>
          </w:p>
        </w:tc>
        <w:tc>
          <w:tcPr>
            <w:tcW w:type="dxa" w:w="2520"/>
          </w:tcPr>
          <w:p>
            <w:pPr>
              <w:spacing w:after="20"/>
            </w:pPr>
            <w:r/>
            <w:r>
              <w:rPr>
                <w:b w:val="0"/>
                <w:i w:val="0"/>
                <w:sz w:val="15"/>
              </w:rPr>
              <w:t>Willful misconduct, gross negligence or fraud.</w:t>
            </w:r>
          </w:p>
        </w:tc>
        <w:tc>
          <w:tcPr>
            <w:tcW w:type="dxa" w:w="2664"/>
          </w:tcPr>
          <w:p>
            <w:pPr>
              <w:spacing w:after="20"/>
            </w:pPr>
            <w:r/>
            <w:r>
              <w:rPr>
                <w:b w:val="0"/>
                <w:i w:val="0"/>
                <w:sz w:val="15"/>
              </w:rPr>
              <w:t>DS omits fraud.</w:t>
            </w:r>
          </w:p>
        </w:tc>
        <w:tc>
          <w:tcPr>
            <w:tcW w:type="dxa" w:w="2448"/>
          </w:tcPr>
          <w:p>
            <w:pPr>
              <w:spacing w:after="20"/>
            </w:pPr>
            <w:r/>
            <w:r>
              <w:rPr>
                <w:b w:val="0"/>
                <w:i w:val="0"/>
                <w:sz w:val="15"/>
              </w:rPr>
              <w:t>Conform the DS.</w:t>
            </w:r>
          </w:p>
        </w:tc>
      </w:tr>
      <w:tr>
        <w:tc>
          <w:tcPr>
            <w:tcW w:type="dxa" w:w="576"/>
          </w:tcPr>
          <w:p>
            <w:pPr>
              <w:spacing w:after="20"/>
            </w:pPr>
            <w:r/>
            <w:r>
              <w:rPr>
                <w:b w:val="0"/>
                <w:i w:val="0"/>
                <w:sz w:val="15"/>
              </w:rPr>
              <w:t>D-9</w:t>
            </w:r>
          </w:p>
        </w:tc>
        <w:tc>
          <w:tcPr>
            <w:tcW w:type="dxa" w:w="1584"/>
          </w:tcPr>
          <w:p>
            <w:pPr>
              <w:spacing w:after="20"/>
            </w:pPr>
            <w:r/>
            <w:r>
              <w:rPr>
                <w:b w:val="0"/>
                <w:i w:val="0"/>
                <w:sz w:val="15"/>
              </w:rPr>
              <w:t>Plan Supplement deadline</w:t>
            </w:r>
          </w:p>
        </w:tc>
        <w:tc>
          <w:tcPr>
            <w:tcW w:type="dxa" w:w="2520"/>
          </w:tcPr>
          <w:p>
            <w:pPr>
              <w:spacing w:after="20"/>
            </w:pPr>
            <w:r/>
            <w:r>
              <w:rPr>
                <w:b w:val="0"/>
                <w:i w:val="0"/>
                <w:sz w:val="15"/>
              </w:rPr>
              <w:t>14 days before the Confirmation Hearing.</w:t>
            </w:r>
          </w:p>
        </w:tc>
        <w:tc>
          <w:tcPr>
            <w:tcW w:type="dxa" w:w="2664"/>
          </w:tcPr>
          <w:p>
            <w:pPr>
              <w:spacing w:after="20"/>
            </w:pPr>
            <w:r/>
            <w:r>
              <w:rPr>
                <w:b w:val="0"/>
                <w:i w:val="0"/>
                <w:sz w:val="15"/>
              </w:rPr>
              <w:t>DS § 6.3: 10 days.</w:t>
            </w:r>
          </w:p>
        </w:tc>
        <w:tc>
          <w:tcPr>
            <w:tcW w:type="dxa" w:w="2448"/>
          </w:tcPr>
          <w:p>
            <w:pPr>
              <w:spacing w:after="20"/>
            </w:pPr>
            <w:r/>
            <w:r>
              <w:rPr>
                <w:b w:val="0"/>
                <w:i w:val="0"/>
                <w:sz w:val="15"/>
              </w:rPr>
              <w:t>Conform (14 days).</w:t>
            </w:r>
          </w:p>
        </w:tc>
      </w:tr>
      <w:tr>
        <w:tc>
          <w:tcPr>
            <w:tcW w:type="dxa" w:w="576"/>
          </w:tcPr>
          <w:p>
            <w:pPr>
              <w:spacing w:after="20"/>
            </w:pPr>
            <w:r/>
            <w:r>
              <w:rPr>
                <w:b w:val="0"/>
                <w:i w:val="0"/>
                <w:sz w:val="15"/>
              </w:rPr>
              <w:t>D-10</w:t>
            </w:r>
          </w:p>
        </w:tc>
        <w:tc>
          <w:tcPr>
            <w:tcW w:type="dxa" w:w="1584"/>
          </w:tcPr>
          <w:p>
            <w:pPr>
              <w:spacing w:after="20"/>
            </w:pPr>
            <w:r/>
            <w:r>
              <w:rPr>
                <w:b w:val="0"/>
                <w:i w:val="0"/>
                <w:sz w:val="15"/>
              </w:rPr>
              <w:t>DIP facts</w:t>
            </w:r>
          </w:p>
        </w:tc>
        <w:tc>
          <w:tcPr>
            <w:tcW w:type="dxa" w:w="2520"/>
          </w:tcPr>
          <w:p>
            <w:pPr>
              <w:spacing w:after="20"/>
            </w:pPr>
            <w:r/>
            <w:r>
              <w:rPr>
                <w:b w:val="0"/>
                <w:i w:val="0"/>
                <w:sz w:val="15"/>
              </w:rPr>
              <w:t>Order entered Mar. 21, 2025.</w:t>
            </w:r>
          </w:p>
        </w:tc>
        <w:tc>
          <w:tcPr>
            <w:tcW w:type="dxa" w:w="2664"/>
          </w:tcPr>
          <w:p>
            <w:pPr>
              <w:spacing w:after="20"/>
            </w:pPr>
            <w:r/>
            <w:r>
              <w:rPr>
                <w:b w:val="0"/>
                <w:i w:val="0"/>
                <w:sz w:val="15"/>
              </w:rPr>
              <w:t>DS: up to $40M; interim Mar. 12, final Apr. 2, 2025.</w:t>
            </w:r>
          </w:p>
        </w:tc>
        <w:tc>
          <w:tcPr>
            <w:tcW w:type="dxa" w:w="2448"/>
          </w:tcPr>
          <w:p>
            <w:pPr>
              <w:spacing w:after="20"/>
            </w:pPr>
            <w:r/>
            <w:r>
              <w:rPr>
                <w:b w:val="0"/>
                <w:i w:val="0"/>
                <w:sz w:val="15"/>
              </w:rPr>
              <w:t>Verify against the docket and conform.</w:t>
            </w:r>
          </w:p>
        </w:tc>
      </w:tr>
      <w:tr>
        <w:tc>
          <w:tcPr>
            <w:tcW w:type="dxa" w:w="576"/>
          </w:tcPr>
          <w:p>
            <w:pPr>
              <w:spacing w:after="20"/>
            </w:pPr>
            <w:r/>
            <w:r>
              <w:rPr>
                <w:b w:val="0"/>
                <w:i w:val="0"/>
                <w:sz w:val="15"/>
              </w:rPr>
              <w:t>D-11</w:t>
            </w:r>
          </w:p>
        </w:tc>
        <w:tc>
          <w:tcPr>
            <w:tcW w:type="dxa" w:w="1584"/>
          </w:tcPr>
          <w:p>
            <w:pPr>
              <w:spacing w:after="20"/>
            </w:pPr>
            <w:r/>
            <w:r>
              <w:rPr>
                <w:b w:val="0"/>
                <w:i w:val="0"/>
                <w:sz w:val="15"/>
              </w:rPr>
              <w:t>Operational facts</w:t>
            </w:r>
          </w:p>
        </w:tc>
        <w:tc>
          <w:tcPr>
            <w:tcW w:type="dxa" w:w="2520"/>
          </w:tcPr>
          <w:p>
            <w:pPr>
              <w:spacing w:after="20"/>
            </w:pPr>
            <w:r/>
            <w:r>
              <w:rPr>
                <w:b w:val="0"/>
                <w:i w:val="0"/>
                <w:sz w:val="15"/>
              </w:rPr>
              <w:t>~1,200 jobs (Ex. A).</w:t>
            </w:r>
          </w:p>
        </w:tc>
        <w:tc>
          <w:tcPr>
            <w:tcW w:type="dxa" w:w="2664"/>
          </w:tcPr>
          <w:p>
            <w:pPr>
              <w:spacing w:after="20"/>
            </w:pPr>
            <w:r/>
            <w:r>
              <w:rPr>
                <w:b w:val="0"/>
                <w:i w:val="0"/>
                <w:sz w:val="15"/>
              </w:rPr>
              <w:t>DS: ~1,400 employees; mill capacity 220 + 180 MMBF versus Clearview’s 480 MMBF combined; wildfire loss $35M (DS) versus $37M (Clearview).</w:t>
            </w:r>
          </w:p>
        </w:tc>
        <w:tc>
          <w:tcPr>
            <w:tcW w:type="dxa" w:w="2448"/>
          </w:tcPr>
          <w:p>
            <w:pPr>
              <w:spacing w:after="20"/>
            </w:pPr>
            <w:r/>
            <w:r>
              <w:rPr>
                <w:b w:val="0"/>
                <w:i w:val="0"/>
                <w:sz w:val="15"/>
              </w:rPr>
              <w:t>Reconcile.</w:t>
            </w:r>
          </w:p>
        </w:tc>
      </w:tr>
      <w:tr>
        <w:tc>
          <w:tcPr>
            <w:tcW w:type="dxa" w:w="576"/>
          </w:tcPr>
          <w:p>
            <w:pPr>
              <w:spacing w:after="20"/>
            </w:pPr>
            <w:r/>
            <w:r>
              <w:rPr>
                <w:b w:val="0"/>
                <w:i w:val="0"/>
                <w:sz w:val="15"/>
              </w:rPr>
              <w:t>D-12</w:t>
            </w:r>
          </w:p>
        </w:tc>
        <w:tc>
          <w:tcPr>
            <w:tcW w:type="dxa" w:w="1584"/>
          </w:tcPr>
          <w:p>
            <w:pPr>
              <w:spacing w:after="20"/>
            </w:pPr>
            <w:r/>
            <w:r>
              <w:rPr>
                <w:b w:val="0"/>
                <w:i w:val="0"/>
                <w:sz w:val="15"/>
              </w:rPr>
              <w:t>Exhibit C</w:t>
            </w:r>
          </w:p>
        </w:tc>
        <w:tc>
          <w:tcPr>
            <w:tcW w:type="dxa" w:w="2520"/>
          </w:tcPr>
          <w:p>
            <w:pPr>
              <w:spacing w:after="20"/>
            </w:pPr>
            <w:r/>
            <w:r>
              <w:rPr>
                <w:b w:val="0"/>
                <w:i w:val="0"/>
                <w:sz w:val="15"/>
              </w:rPr>
              <w:t>“Febuary 10, 2022” (No. 14); “Cascaede Mountain Janitorial” (No. 18); “Rainer Environmental” (No. 12). PacWest expires June 2025; Rainer July 2025; Columbia Basin Lumber Brokers Aug. 2025, all at or before the Aug. 15 estimated ED. PacWest is described as “all facilities” in Ex. C but as the Bend Mill elsewhere.</w:t>
            </w:r>
          </w:p>
        </w:tc>
        <w:tc>
          <w:tcPr>
            <w:tcW w:type="dxa" w:w="2664"/>
          </w:tcPr>
          <w:p>
            <w:pPr>
              <w:spacing w:after="20"/>
            </w:pPr>
            <w:r/>
            <w:r>
              <w:rPr>
                <w:b w:val="0"/>
                <w:i w:val="0"/>
                <w:sz w:val="15"/>
              </w:rPr>
              <w:t>—</w:t>
            </w:r>
          </w:p>
        </w:tc>
        <w:tc>
          <w:tcPr>
            <w:tcW w:type="dxa" w:w="2448"/>
          </w:tcPr>
          <w:p>
            <w:pPr>
              <w:spacing w:after="20"/>
            </w:pPr>
            <w:r/>
            <w:r>
              <w:rPr>
                <w:b w:val="0"/>
                <w:i w:val="0"/>
                <w:sz w:val="15"/>
              </w:rPr>
              <w:t>Correct the typos. Confirm the treatment of contracts expiring before the ED (seek an earlier rejection or assumption order, or extend). Reconcile the PacWest scope.</w:t>
            </w:r>
          </w:p>
        </w:tc>
      </w:tr>
      <w:tr>
        <w:tc>
          <w:tcPr>
            <w:tcW w:type="dxa" w:w="576"/>
          </w:tcPr>
          <w:p>
            <w:pPr>
              <w:spacing w:after="20"/>
            </w:pPr>
            <w:r/>
            <w:r>
              <w:rPr>
                <w:b w:val="0"/>
                <w:i w:val="0"/>
                <w:sz w:val="15"/>
              </w:rPr>
              <w:t>D-13</w:t>
            </w:r>
          </w:p>
        </w:tc>
        <w:tc>
          <w:tcPr>
            <w:tcW w:type="dxa" w:w="1584"/>
          </w:tcPr>
          <w:p>
            <w:pPr>
              <w:spacing w:after="20"/>
            </w:pPr>
            <w:r/>
            <w:r>
              <w:rPr>
                <w:b w:val="0"/>
                <w:i w:val="0"/>
                <w:sz w:val="15"/>
              </w:rPr>
              <w:t>Clearview arithmetic</w:t>
            </w:r>
          </w:p>
        </w:tc>
        <w:tc>
          <w:tcPr>
            <w:tcW w:type="dxa" w:w="2520"/>
          </w:tcPr>
          <w:p>
            <w:pPr>
              <w:spacing w:after="20"/>
            </w:pPr>
            <w:r/>
            <w:r>
              <w:rPr>
                <w:b w:val="0"/>
                <w:i w:val="0"/>
                <w:sz w:val="15"/>
              </w:rPr>
              <w:t>Plan uses a $407.5M midpoint.</w:t>
            </w:r>
          </w:p>
        </w:tc>
        <w:tc>
          <w:tcPr>
            <w:tcW w:type="dxa" w:w="2664"/>
          </w:tcPr>
          <w:p>
            <w:pPr>
              <w:spacing w:after="20"/>
            </w:pPr>
            <w:r/>
            <w:r>
              <w:rPr>
                <w:b w:val="0"/>
                <w:i w:val="0"/>
                <w:sz w:val="15"/>
              </w:rPr>
              <w:t>Weighted blend computes to $405.0M; transaction median is 8.0x, not 7.9x.</w:t>
            </w:r>
          </w:p>
        </w:tc>
        <w:tc>
          <w:tcPr>
            <w:tcW w:type="dxa" w:w="2448"/>
          </w:tcPr>
          <w:p>
            <w:pPr>
              <w:spacing w:after="20"/>
            </w:pPr>
            <w:r/>
            <w:r>
              <w:rPr>
                <w:b w:val="0"/>
                <w:i w:val="0"/>
                <w:sz w:val="15"/>
              </w:rPr>
              <w:t>Clearview to reconcile or explain.</w:t>
            </w:r>
          </w:p>
        </w:tc>
      </w:tr>
      <w:tr>
        <w:tc>
          <w:tcPr>
            <w:tcW w:type="dxa" w:w="576"/>
          </w:tcPr>
          <w:p>
            <w:pPr>
              <w:spacing w:after="20"/>
            </w:pPr>
            <w:r/>
            <w:r>
              <w:rPr>
                <w:b w:val="0"/>
                <w:i w:val="0"/>
                <w:sz w:val="15"/>
              </w:rPr>
              <w:t>D-14</w:t>
            </w:r>
          </w:p>
        </w:tc>
        <w:tc>
          <w:tcPr>
            <w:tcW w:type="dxa" w:w="1584"/>
          </w:tcPr>
          <w:p>
            <w:pPr>
              <w:spacing w:after="20"/>
            </w:pPr>
            <w:r/>
            <w:r>
              <w:rPr>
                <w:b w:val="0"/>
                <w:i w:val="0"/>
                <w:sz w:val="15"/>
              </w:rPr>
              <w:t>Drafting</w:t>
            </w:r>
          </w:p>
        </w:tc>
        <w:tc>
          <w:tcPr>
            <w:tcW w:type="dxa" w:w="2520"/>
          </w:tcPr>
          <w:p>
            <w:pPr>
              <w:spacing w:after="20"/>
            </w:pPr>
            <w:r/>
            <w:r>
              <w:rPr>
                <w:b w:val="0"/>
                <w:i w:val="0"/>
                <w:sz w:val="15"/>
              </w:rPr>
              <w:t>“Litigation Trust … under Article VII” (should be § 5.9). § 4.1 misdescribes § 507(a)(4). “Plan Sponsor” is defined twice. W&amp;C telephone differs between the Plan (555-7200) and the DS (555-1200).</w:t>
            </w:r>
          </w:p>
        </w:tc>
        <w:tc>
          <w:tcPr>
            <w:tcW w:type="dxa" w:w="2664"/>
          </w:tcPr>
          <w:p>
            <w:pPr>
              <w:spacing w:after="20"/>
            </w:pPr>
            <w:r/>
            <w:r>
              <w:rPr>
                <w:b w:val="0"/>
                <w:i w:val="0"/>
                <w:sz w:val="15"/>
              </w:rPr>
              <w:t>—</w:t>
            </w:r>
          </w:p>
        </w:tc>
        <w:tc>
          <w:tcPr>
            <w:tcW w:type="dxa" w:w="2448"/>
          </w:tcPr>
          <w:p>
            <w:pPr>
              <w:spacing w:after="20"/>
            </w:pPr>
            <w:r/>
            <w:r>
              <w:rPr>
                <w:b w:val="0"/>
                <w:i w:val="0"/>
                <w:sz w:val="15"/>
              </w:rPr>
              <w:t>Clean up.</w:t>
            </w:r>
          </w:p>
        </w:tc>
      </w:tr>
    </w:tbl>
    <w:p>
      <w:pPr>
        <w:spacing w:after="40"/>
      </w:pPr>
    </w:p>
    <w:p>
      <w:pPr>
        <w:pStyle w:val="Heading1"/>
      </w:pPr>
      <w:r>
        <w:t>IX. Recommended Response and Negotiation Strategy</w:t>
      </w:r>
    </w:p>
    <w:p>
      <w:pPr>
        <w:pStyle w:val="Heading2"/>
      </w:pPr>
      <w:r>
        <w:t>A. Sequencing</w:t>
      </w:r>
    </w:p>
    <w:p>
      <w:pPr>
        <w:pStyle w:val="ListBullet"/>
        <w:spacing w:after="60"/>
      </w:pPr>
      <w:r>
        <w:rPr>
          <w:b/>
          <w:i w:val="0"/>
        </w:rPr>
        <w:t>Before May 26 (internal).</w:t>
      </w:r>
      <w:r>
        <w:rPr>
          <w:b w:val="0"/>
          <w:i w:val="0"/>
        </w:rPr>
        <w:t xml:space="preserve"> (1) Pinecrest re-runs the sources and uses (VI.B) and the feasibility screens (VI.F), and confirms the derivation of the 55%. (2) Clearview reconciles the blend and median points (VI.E). (3) Hold a call with Timberline on releases, the equity percentage, the board and the MIP; nothing on these points should be offered without Timberline’s sign-off, because its support is a condition of the Plan. (4) Confirm with First Meridian on classification and voting, and on any exit-revolver draw. (5) Prepare corrected DS and Plan text for the Section VIII items.</w:t>
      </w:r>
    </w:p>
    <w:p>
      <w:pPr>
        <w:pStyle w:val="ListBullet"/>
        <w:spacing w:after="60"/>
      </w:pPr>
      <w:r>
        <w:rPr>
          <w:b/>
          <w:i w:val="0"/>
        </w:rPr>
        <w:t>May 26 position paper.</w:t>
      </w:r>
      <w:r>
        <w:rPr>
          <w:b w:val="0"/>
          <w:i w:val="0"/>
        </w:rPr>
        <w:t xml:space="preserve"> Lead with the base-document problem and ask the Committee to re-serve a true compare against Dkt. No. 387. Present the feasibility constraint with numbers. Offer the release and disclosure package (items 1–2 below). Counter on economics within the cash constraint. Identify the items we accept.</w:t>
      </w:r>
    </w:p>
    <w:p>
      <w:pPr>
        <w:pStyle w:val="ListBullet"/>
        <w:spacing w:after="60"/>
      </w:pPr>
      <w:r>
        <w:rPr>
          <w:b/>
          <w:i w:val="0"/>
        </w:rPr>
        <w:t>May 28 meet-and-confer.</w:t>
      </w:r>
      <w:r>
        <w:rPr>
          <w:b w:val="0"/>
          <w:i w:val="0"/>
        </w:rPr>
        <w:t xml:space="preserve"> Trade the Debtor’s concessions (release restructuring, expanded disclosure, retention restructuring, interest on deferred payments) for the Committee withdrawing the 9.1(g) condition and 9.2 veto, § 11.9, the rejection standard and the 75/25 split.</w:t>
      </w:r>
    </w:p>
    <w:p>
      <w:pPr>
        <w:pStyle w:val="ListBullet"/>
        <w:spacing w:after="60"/>
      </w:pPr>
      <w:r>
        <w:rPr>
          <w:b/>
          <w:i w:val="0"/>
        </w:rPr>
        <w:t>Before June 12.</w:t>
      </w:r>
      <w:r>
        <w:rPr>
          <w:b w:val="0"/>
          <w:i w:val="0"/>
        </w:rPr>
        <w:t xml:space="preserve"> File the amended DS and Plan reflecting the agreed items and the Section VIII corrections, so that solicitation proceeds on a single document. Material changes after the DS is approved may require resolicitation (§ 1127; Rule 3019).</w:t>
      </w:r>
    </w:p>
    <w:p>
      <w:pPr>
        <w:pStyle w:val="Heading2"/>
      </w:pPr>
      <w:r>
        <w:t>B. Response Matrix</w:t>
      </w:r>
    </w:p>
    <w:tbl>
      <w:tblPr>
        <w:tblStyle w:val="TableGrid"/>
        <w:tblW w:type="auto" w:w="0"/>
        <w:jc w:val="center"/>
        <w:tblLayout w:type="fixed"/>
        <w:tblLook w:firstColumn="1" w:firstRow="1" w:lastColumn="0" w:lastRow="0" w:noHBand="0" w:noVBand="1" w:val="04A0"/>
      </w:tblPr>
      <w:tblGrid>
        <w:gridCol w:w="432"/>
        <w:gridCol w:w="1800"/>
        <w:gridCol w:w="1655"/>
        <w:gridCol w:w="4464"/>
        <w:gridCol w:w="1440"/>
      </w:tblGrid>
      <w:tr>
        <w:tc>
          <w:tcPr>
            <w:tcW w:type="dxa" w:w="432"/>
            <w:shd w:val="clear" w:color="auto" w:fill="D9E2F3"/>
          </w:tcPr>
          <w:p>
            <w:pPr>
              <w:spacing w:after="20"/>
            </w:pPr>
            <w:r/>
            <w:r>
              <w:rPr>
                <w:b/>
                <w:i w:val="0"/>
                <w:sz w:val="15"/>
              </w:rPr>
              <w:t>#</w:t>
            </w:r>
          </w:p>
        </w:tc>
        <w:tc>
          <w:tcPr>
            <w:tcW w:type="dxa" w:w="1800"/>
            <w:shd w:val="clear" w:color="auto" w:fill="D9E2F3"/>
          </w:tcPr>
          <w:p>
            <w:pPr>
              <w:spacing w:after="20"/>
            </w:pPr>
            <w:r/>
            <w:r>
              <w:rPr>
                <w:b/>
                <w:i w:val="0"/>
                <w:sz w:val="15"/>
              </w:rPr>
              <w:t>Committee item</w:t>
            </w:r>
          </w:p>
        </w:tc>
        <w:tc>
          <w:tcPr>
            <w:tcW w:type="dxa" w:w="1656"/>
            <w:shd w:val="clear" w:color="auto" w:fill="D9E2F3"/>
          </w:tcPr>
          <w:p>
            <w:pPr>
              <w:spacing w:after="20"/>
            </w:pPr>
            <w:r/>
            <w:r>
              <w:rPr>
                <w:b/>
                <w:i w:val="0"/>
                <w:sz w:val="15"/>
              </w:rPr>
              <w:t>Committee stance (Transmittal)</w:t>
            </w:r>
          </w:p>
        </w:tc>
        <w:tc>
          <w:tcPr>
            <w:tcW w:type="dxa" w:w="4464"/>
            <w:shd w:val="clear" w:color="auto" w:fill="D9E2F3"/>
          </w:tcPr>
          <w:p>
            <w:pPr>
              <w:spacing w:after="20"/>
            </w:pPr>
            <w:r/>
            <w:r>
              <w:rPr>
                <w:b/>
                <w:i w:val="0"/>
                <w:sz w:val="15"/>
              </w:rPr>
              <w:t>Recommended Debtor position</w:t>
            </w:r>
          </w:p>
        </w:tc>
        <w:tc>
          <w:tcPr>
            <w:tcW w:type="dxa" w:w="1440"/>
            <w:shd w:val="clear" w:color="auto" w:fill="D9E2F3"/>
          </w:tcPr>
          <w:p>
            <w:pPr>
              <w:spacing w:after="20"/>
            </w:pPr>
            <w:r/>
            <w:r>
              <w:rPr>
                <w:b/>
                <w:i w:val="0"/>
                <w:sz w:val="15"/>
              </w:rPr>
              <w:t>Consent needed</w:t>
            </w:r>
          </w:p>
        </w:tc>
      </w:tr>
      <w:tr>
        <w:tc>
          <w:tcPr>
            <w:tcW w:type="dxa" w:w="432"/>
          </w:tcPr>
          <w:p>
            <w:pPr>
              <w:spacing w:after="20"/>
            </w:pPr>
            <w:r/>
            <w:r>
              <w:rPr>
                <w:b w:val="0"/>
                <w:i w:val="0"/>
                <w:sz w:val="15"/>
              </w:rPr>
              <w:t>1</w:t>
            </w:r>
          </w:p>
        </w:tc>
        <w:tc>
          <w:tcPr>
            <w:tcW w:type="dxa" w:w="1800"/>
          </w:tcPr>
          <w:p>
            <w:pPr>
              <w:spacing w:after="20"/>
            </w:pPr>
            <w:r/>
            <w:r>
              <w:rPr>
                <w:b w:val="0"/>
                <w:i w:val="0"/>
                <w:sz w:val="15"/>
              </w:rPr>
              <w:t>Strike non-consensual third-party releases</w:t>
            </w:r>
          </w:p>
        </w:tc>
        <w:tc>
          <w:tcPr>
            <w:tcW w:type="dxa" w:w="1656"/>
          </w:tcPr>
          <w:p>
            <w:pPr>
              <w:spacing w:after="20"/>
            </w:pPr>
            <w:r/>
            <w:r>
              <w:rPr>
                <w:b w:val="0"/>
                <w:i w:val="0"/>
                <w:sz w:val="15"/>
              </w:rPr>
              <w:t>Non-negotiable</w:t>
            </w:r>
          </w:p>
        </w:tc>
        <w:tc>
          <w:tcPr>
            <w:tcW w:type="dxa" w:w="4464"/>
          </w:tcPr>
          <w:p>
            <w:pPr>
              <w:spacing w:after="20"/>
            </w:pPr>
            <w:r/>
            <w:r>
              <w:rPr>
                <w:b/>
                <w:i w:val="0"/>
                <w:sz w:val="15"/>
              </w:rPr>
              <w:t>Accept.</w:t>
            </w:r>
            <w:r>
              <w:rPr>
                <w:b w:val="0"/>
                <w:i w:val="0"/>
                <w:sz w:val="15"/>
              </w:rPr>
              <w:t xml:space="preserve"> Recast as consensual (opt-out for voting classes; opt-in or none for non-voting). Delete the § 10.4(d) concurrence recital.</w:t>
            </w:r>
          </w:p>
        </w:tc>
        <w:tc>
          <w:tcPr>
            <w:tcW w:type="dxa" w:w="1440"/>
          </w:tcPr>
          <w:p>
            <w:pPr>
              <w:spacing w:after="20"/>
            </w:pPr>
            <w:r/>
            <w:r>
              <w:rPr>
                <w:b w:val="0"/>
                <w:i w:val="0"/>
                <w:sz w:val="15"/>
              </w:rPr>
              <w:t>Timberline, First Meridian, D&amp;Os</w:t>
            </w:r>
          </w:p>
        </w:tc>
      </w:tr>
      <w:tr>
        <w:tc>
          <w:tcPr>
            <w:tcW w:type="dxa" w:w="432"/>
          </w:tcPr>
          <w:p>
            <w:pPr>
              <w:spacing w:after="20"/>
            </w:pPr>
            <w:r/>
            <w:r>
              <w:rPr>
                <w:b w:val="0"/>
                <w:i w:val="0"/>
                <w:sz w:val="15"/>
              </w:rPr>
              <w:t>2</w:t>
            </w:r>
          </w:p>
        </w:tc>
        <w:tc>
          <w:tcPr>
            <w:tcW w:type="dxa" w:w="1800"/>
          </w:tcPr>
          <w:p>
            <w:pPr>
              <w:spacing w:after="20"/>
            </w:pPr>
            <w:r/>
            <w:r>
              <w:rPr>
                <w:b w:val="0"/>
                <w:i w:val="0"/>
                <w:sz w:val="15"/>
              </w:rPr>
              <w:t>Supplemental Dividend Recap disclosure</w:t>
            </w:r>
          </w:p>
        </w:tc>
        <w:tc>
          <w:tcPr>
            <w:tcW w:type="dxa" w:w="1656"/>
          </w:tcPr>
          <w:p>
            <w:pPr>
              <w:spacing w:after="20"/>
            </w:pPr>
            <w:r/>
            <w:r>
              <w:rPr>
                <w:b w:val="0"/>
                <w:i w:val="0"/>
                <w:sz w:val="15"/>
              </w:rPr>
              <w:t>Non-negotiable</w:t>
            </w:r>
          </w:p>
        </w:tc>
        <w:tc>
          <w:tcPr>
            <w:tcW w:type="dxa" w:w="4464"/>
          </w:tcPr>
          <w:p>
            <w:pPr>
              <w:spacing w:after="20"/>
            </w:pPr>
            <w:r/>
            <w:r>
              <w:rPr>
                <w:b/>
                <w:i w:val="0"/>
                <w:sz w:val="15"/>
              </w:rPr>
              <w:t>Accept the substance; reject the form.</w:t>
            </w:r>
            <w:r>
              <w:rPr>
                <w:b w:val="0"/>
                <w:i w:val="0"/>
                <w:sz w:val="15"/>
              </w:rPr>
              <w:t xml:space="preserve"> Expand DS § 3.3 before June 12; offer a Committee letter in the solicitation package. Reject the 9.1(g) condition, the 9.2 veto and the 12.2 insertion.</w:t>
            </w:r>
          </w:p>
        </w:tc>
        <w:tc>
          <w:tcPr>
            <w:tcW w:type="dxa" w:w="1440"/>
          </w:tcPr>
          <w:p>
            <w:pPr>
              <w:spacing w:after="20"/>
            </w:pPr>
            <w:r/>
            <w:r>
              <w:rPr>
                <w:b w:val="0"/>
                <w:i w:val="0"/>
                <w:sz w:val="15"/>
              </w:rPr>
              <w:t>—</w:t>
            </w:r>
          </w:p>
        </w:tc>
      </w:tr>
      <w:tr>
        <w:tc>
          <w:tcPr>
            <w:tcW w:type="dxa" w:w="432"/>
          </w:tcPr>
          <w:p>
            <w:pPr>
              <w:spacing w:after="20"/>
            </w:pPr>
            <w:r/>
            <w:r>
              <w:rPr>
                <w:b w:val="0"/>
                <w:i w:val="0"/>
                <w:sz w:val="15"/>
              </w:rPr>
              <w:t>3</w:t>
            </w:r>
          </w:p>
        </w:tc>
        <w:tc>
          <w:tcPr>
            <w:tcW w:type="dxa" w:w="1800"/>
          </w:tcPr>
          <w:p>
            <w:pPr>
              <w:spacing w:after="20"/>
            </w:pPr>
            <w:r/>
            <w:r>
              <w:rPr>
                <w:b w:val="0"/>
                <w:i w:val="0"/>
                <w:sz w:val="15"/>
              </w:rPr>
              <w:t>Dividend Recap release carve-out</w:t>
            </w:r>
          </w:p>
        </w:tc>
        <w:tc>
          <w:tcPr>
            <w:tcW w:type="dxa" w:w="1656"/>
          </w:tcPr>
          <w:p>
            <w:pPr>
              <w:spacing w:after="20"/>
            </w:pPr>
            <w:r/>
            <w:r>
              <w:rPr>
                <w:b w:val="0"/>
                <w:i w:val="0"/>
                <w:sz w:val="15"/>
              </w:rPr>
              <w:t>Non-negotiable</w:t>
            </w:r>
          </w:p>
        </w:tc>
        <w:tc>
          <w:tcPr>
            <w:tcW w:type="dxa" w:w="4464"/>
          </w:tcPr>
          <w:p>
            <w:pPr>
              <w:spacing w:after="20"/>
            </w:pPr>
            <w:r/>
            <w:r>
              <w:rPr>
                <w:b/>
                <w:i w:val="0"/>
                <w:sz w:val="15"/>
              </w:rPr>
              <w:t>Counter.</w:t>
            </w:r>
            <w:r>
              <w:rPr>
                <w:b w:val="0"/>
                <w:i w:val="0"/>
                <w:sz w:val="15"/>
              </w:rPr>
              <w:t xml:space="preserve"> Choose among: (a) investigation plus 9019-quality record supporting the Timberline release; (b) carve-out limited to dividend recipients and insiders; (c) carve-out for Timberline with defined limits. Claims go to the trust only under an agreed allocation. Reject the discharge proviso; narrow the injunction proviso.</w:t>
            </w:r>
          </w:p>
        </w:tc>
        <w:tc>
          <w:tcPr>
            <w:tcW w:type="dxa" w:w="1440"/>
          </w:tcPr>
          <w:p>
            <w:pPr>
              <w:spacing w:after="20"/>
            </w:pPr>
            <w:r/>
            <w:r>
              <w:rPr>
                <w:b w:val="0"/>
                <w:i w:val="0"/>
                <w:sz w:val="15"/>
              </w:rPr>
              <w:t>Timberline</w:t>
            </w:r>
          </w:p>
        </w:tc>
      </w:tr>
      <w:tr>
        <w:tc>
          <w:tcPr>
            <w:tcW w:type="dxa" w:w="432"/>
          </w:tcPr>
          <w:p>
            <w:pPr>
              <w:spacing w:after="20"/>
            </w:pPr>
            <w:r/>
            <w:r>
              <w:rPr>
                <w:b w:val="0"/>
                <w:i w:val="0"/>
                <w:sz w:val="15"/>
              </w:rPr>
              <w:t>4</w:t>
            </w:r>
          </w:p>
        </w:tc>
        <w:tc>
          <w:tcPr>
            <w:tcW w:type="dxa" w:w="1800"/>
          </w:tcPr>
          <w:p>
            <w:pPr>
              <w:spacing w:after="20"/>
            </w:pPr>
            <w:r/>
            <w:r>
              <w:rPr>
                <w:b w:val="0"/>
                <w:i w:val="0"/>
                <w:sz w:val="15"/>
              </w:rPr>
              <w:t>Pool size and structure</w:t>
            </w:r>
          </w:p>
        </w:tc>
        <w:tc>
          <w:tcPr>
            <w:tcW w:type="dxa" w:w="1656"/>
          </w:tcPr>
          <w:p>
            <w:pPr>
              <w:spacing w:after="20"/>
            </w:pPr>
            <w:r/>
            <w:r>
              <w:rPr>
                <w:b w:val="0"/>
                <w:i w:val="0"/>
                <w:sz w:val="15"/>
              </w:rPr>
              <w:t>Headline firm; split and interest negotiable</w:t>
            </w:r>
          </w:p>
        </w:tc>
        <w:tc>
          <w:tcPr>
            <w:tcW w:type="dxa" w:w="4464"/>
          </w:tcPr>
          <w:p>
            <w:pPr>
              <w:spacing w:after="20"/>
            </w:pPr>
            <w:r/>
            <w:r>
              <w:rPr>
                <w:b/>
                <w:i w:val="0"/>
                <w:sz w:val="15"/>
              </w:rPr>
              <w:t>Counter.</w:t>
            </w:r>
            <w:r>
              <w:rPr>
                <w:b w:val="0"/>
                <w:i w:val="0"/>
                <w:sz w:val="15"/>
              </w:rPr>
              <w:t xml:space="preserve"> Hold Effective Date cash at $9.35M–$11.0M. Explore reaching a higher headline through Year-2 tranches and/or non-cash consideration (VI.F). Concede interest on deferred amounts as a trade.</w:t>
            </w:r>
          </w:p>
        </w:tc>
        <w:tc>
          <w:tcPr>
            <w:tcW w:type="dxa" w:w="1440"/>
          </w:tcPr>
          <w:p>
            <w:pPr>
              <w:spacing w:after="20"/>
            </w:pPr>
            <w:r/>
            <w:r>
              <w:rPr>
                <w:b w:val="0"/>
                <w:i w:val="0"/>
                <w:sz w:val="15"/>
              </w:rPr>
              <w:t>Pinecrest; First Meridian (covenants)</w:t>
            </w:r>
          </w:p>
        </w:tc>
      </w:tr>
      <w:tr>
        <w:tc>
          <w:tcPr>
            <w:tcW w:type="dxa" w:w="432"/>
          </w:tcPr>
          <w:p>
            <w:pPr>
              <w:spacing w:after="20"/>
            </w:pPr>
            <w:r/>
            <w:r>
              <w:rPr>
                <w:b w:val="0"/>
                <w:i w:val="0"/>
                <w:sz w:val="15"/>
              </w:rPr>
              <w:t>5</w:t>
            </w:r>
          </w:p>
        </w:tc>
        <w:tc>
          <w:tcPr>
            <w:tcW w:type="dxa" w:w="1800"/>
          </w:tcPr>
          <w:p>
            <w:pPr>
              <w:spacing w:after="20"/>
            </w:pPr>
            <w:r/>
            <w:r>
              <w:rPr>
                <w:b w:val="0"/>
                <w:i w:val="0"/>
                <w:sz w:val="15"/>
              </w:rPr>
              <w:t>Avoidance proceeds</w:t>
            </w:r>
          </w:p>
        </w:tc>
        <w:tc>
          <w:tcPr>
            <w:tcW w:type="dxa" w:w="1656"/>
          </w:tcPr>
          <w:p>
            <w:pPr>
              <w:spacing w:after="20"/>
            </w:pPr>
            <w:r/>
            <w:r>
              <w:rPr>
                <w:b w:val="0"/>
                <w:i w:val="0"/>
                <w:sz w:val="15"/>
              </w:rPr>
              <w:t>Principle firm; mechanics negotiable</w:t>
            </w:r>
          </w:p>
        </w:tc>
        <w:tc>
          <w:tcPr>
            <w:tcW w:type="dxa" w:w="4464"/>
          </w:tcPr>
          <w:p>
            <w:pPr>
              <w:spacing w:after="20"/>
            </w:pPr>
            <w:r/>
            <w:r>
              <w:rPr>
                <w:b/>
                <w:i w:val="0"/>
                <w:sz w:val="15"/>
              </w:rPr>
              <w:t>Counter.</w:t>
            </w:r>
            <w:r>
              <w:rPr>
                <w:b w:val="0"/>
                <w:i w:val="0"/>
                <w:sz w:val="15"/>
              </w:rPr>
              <w:t xml:space="preserve"> GUCs share net preference proceeds (e.g., 50%, or a waterfall above a threshold); Reorganized Debtor vendor-waiver right; independent, jointly selected trustee; conflict protocol; Retained Actions stay with the Reorganized Debtor.</w:t>
            </w:r>
          </w:p>
        </w:tc>
        <w:tc>
          <w:tcPr>
            <w:tcW w:type="dxa" w:w="1440"/>
          </w:tcPr>
          <w:p>
            <w:pPr>
              <w:spacing w:after="20"/>
            </w:pPr>
            <w:r/>
            <w:r>
              <w:rPr>
                <w:b w:val="0"/>
                <w:i w:val="0"/>
                <w:sz w:val="15"/>
              </w:rPr>
              <w:t>Timberline</w:t>
            </w:r>
          </w:p>
        </w:tc>
      </w:tr>
      <w:tr>
        <w:tc>
          <w:tcPr>
            <w:tcW w:type="dxa" w:w="432"/>
          </w:tcPr>
          <w:p>
            <w:pPr>
              <w:spacing w:after="20"/>
            </w:pPr>
            <w:r/>
            <w:r>
              <w:rPr>
                <w:b w:val="0"/>
                <w:i w:val="0"/>
                <w:sz w:val="15"/>
              </w:rPr>
              <w:t>6</w:t>
            </w:r>
          </w:p>
        </w:tc>
        <w:tc>
          <w:tcPr>
            <w:tcW w:type="dxa" w:w="1800"/>
          </w:tcPr>
          <w:p>
            <w:pPr>
              <w:spacing w:after="20"/>
            </w:pPr>
            <w:r/>
            <w:r>
              <w:rPr>
                <w:b w:val="0"/>
                <w:i w:val="0"/>
                <w:sz w:val="15"/>
              </w:rPr>
              <w:t>Equity 55% → 41.07%</w:t>
            </w:r>
          </w:p>
        </w:tc>
        <w:tc>
          <w:tcPr>
            <w:tcW w:type="dxa" w:w="1656"/>
          </w:tcPr>
          <w:p>
            <w:pPr>
              <w:spacing w:after="20"/>
            </w:pPr>
            <w:r/>
            <w:r>
              <w:rPr>
                <w:b w:val="0"/>
                <w:i w:val="0"/>
                <w:sz w:val="15"/>
              </w:rPr>
              <w:t>“Correction”</w:t>
            </w:r>
          </w:p>
        </w:tc>
        <w:tc>
          <w:tcPr>
            <w:tcW w:type="dxa" w:w="4464"/>
          </w:tcPr>
          <w:p>
            <w:pPr>
              <w:spacing w:after="20"/>
            </w:pPr>
            <w:r/>
            <w:r>
              <w:rPr>
                <w:b/>
                <w:i w:val="0"/>
                <w:sz w:val="15"/>
              </w:rPr>
              <w:t>Do not accept as a correction.</w:t>
            </w:r>
            <w:r>
              <w:rPr>
                <w:b w:val="0"/>
                <w:i w:val="0"/>
                <w:sz w:val="15"/>
              </w:rPr>
              <w:t xml:space="preserve"> After Clearview and Timberline input, either (a) document the 55% methodology and the basis for value (sponsor role, cash), or (b) adjust the percentage and allocate the residual (e.g., GUC equity or warrants). Fix the unissued-share drafting in all cases.</w:t>
            </w:r>
          </w:p>
        </w:tc>
        <w:tc>
          <w:tcPr>
            <w:tcW w:type="dxa" w:w="1440"/>
          </w:tcPr>
          <w:p>
            <w:pPr>
              <w:spacing w:after="20"/>
            </w:pPr>
            <w:r/>
            <w:r>
              <w:rPr>
                <w:b w:val="0"/>
                <w:i w:val="0"/>
                <w:sz w:val="15"/>
              </w:rPr>
              <w:t>Timberline</w:t>
            </w:r>
          </w:p>
        </w:tc>
      </w:tr>
      <w:tr>
        <w:tc>
          <w:tcPr>
            <w:tcW w:type="dxa" w:w="432"/>
          </w:tcPr>
          <w:p>
            <w:pPr>
              <w:spacing w:after="20"/>
            </w:pPr>
            <w:r/>
            <w:r>
              <w:rPr>
                <w:b w:val="0"/>
                <w:i w:val="0"/>
                <w:sz w:val="15"/>
              </w:rPr>
              <w:t>7</w:t>
            </w:r>
          </w:p>
        </w:tc>
        <w:tc>
          <w:tcPr>
            <w:tcW w:type="dxa" w:w="1800"/>
          </w:tcPr>
          <w:p>
            <w:pPr>
              <w:spacing w:after="20"/>
            </w:pPr>
            <w:r/>
            <w:r>
              <w:rPr>
                <w:b w:val="0"/>
                <w:i w:val="0"/>
                <w:sz w:val="15"/>
              </w:rPr>
              <w:t>MIP 10% → 7%</w:t>
            </w:r>
          </w:p>
        </w:tc>
        <w:tc>
          <w:tcPr>
            <w:tcW w:type="dxa" w:w="1656"/>
          </w:tcPr>
          <w:p>
            <w:pPr>
              <w:spacing w:after="20"/>
            </w:pPr>
            <w:r/>
            <w:r>
              <w:rPr>
                <w:b w:val="0"/>
                <w:i w:val="0"/>
                <w:sz w:val="15"/>
              </w:rPr>
              <w:t>Dialogue</w:t>
            </w:r>
          </w:p>
        </w:tc>
        <w:tc>
          <w:tcPr>
            <w:tcW w:type="dxa" w:w="4464"/>
          </w:tcPr>
          <w:p>
            <w:pPr>
              <w:spacing w:after="20"/>
            </w:pPr>
            <w:r/>
            <w:r>
              <w:rPr>
                <w:b/>
                <w:i w:val="0"/>
                <w:sz w:val="15"/>
              </w:rPr>
              <w:t>Hold</w:t>
            </w:r>
            <w:r>
              <w:rPr>
                <w:b w:val="0"/>
                <w:i w:val="0"/>
                <w:sz w:val="15"/>
              </w:rPr>
              <w:t>, or let Timberline trade (e.g., 8%). Note that the dilution falls on Timberline, not GUCs.</w:t>
            </w:r>
          </w:p>
        </w:tc>
        <w:tc>
          <w:tcPr>
            <w:tcW w:type="dxa" w:w="1440"/>
          </w:tcPr>
          <w:p>
            <w:pPr>
              <w:spacing w:after="20"/>
            </w:pPr>
            <w:r/>
            <w:r>
              <w:rPr>
                <w:b w:val="0"/>
                <w:i w:val="0"/>
                <w:sz w:val="15"/>
              </w:rPr>
              <w:t>Timberline; management</w:t>
            </w:r>
          </w:p>
        </w:tc>
      </w:tr>
      <w:tr>
        <w:tc>
          <w:tcPr>
            <w:tcW w:type="dxa" w:w="432"/>
          </w:tcPr>
          <w:p>
            <w:pPr>
              <w:spacing w:after="20"/>
            </w:pPr>
            <w:r/>
            <w:r>
              <w:rPr>
                <w:b w:val="0"/>
                <w:i w:val="0"/>
                <w:sz w:val="15"/>
              </w:rPr>
              <w:t>8</w:t>
            </w:r>
          </w:p>
        </w:tc>
        <w:tc>
          <w:tcPr>
            <w:tcW w:type="dxa" w:w="1800"/>
          </w:tcPr>
          <w:p>
            <w:pPr>
              <w:spacing w:after="20"/>
            </w:pPr>
            <w:r/>
            <w:r>
              <w:rPr>
                <w:b w:val="0"/>
                <w:i w:val="0"/>
                <w:sz w:val="15"/>
              </w:rPr>
              <w:t>Retention bonuses / § 11.9</w:t>
            </w:r>
          </w:p>
        </w:tc>
        <w:tc>
          <w:tcPr>
            <w:tcW w:type="dxa" w:w="1656"/>
          </w:tcPr>
          <w:p>
            <w:pPr>
              <w:spacing w:after="20"/>
            </w:pPr>
            <w:r/>
            <w:r>
              <w:rPr>
                <w:b w:val="0"/>
                <w:i w:val="0"/>
                <w:sz w:val="15"/>
              </w:rPr>
              <w:t>Dialogue (Transmittal) vs. non-negotiable (comment)</w:t>
            </w:r>
          </w:p>
        </w:tc>
        <w:tc>
          <w:tcPr>
            <w:tcW w:type="dxa" w:w="4464"/>
          </w:tcPr>
          <w:p>
            <w:pPr>
              <w:spacing w:after="20"/>
            </w:pPr>
            <w:r/>
            <w:r>
              <w:rPr>
                <w:b/>
                <w:i w:val="0"/>
                <w:sz w:val="15"/>
              </w:rPr>
              <w:t>Accept-Mod.</w:t>
            </w:r>
            <w:r>
              <w:rPr>
                <w:b w:val="0"/>
                <w:i w:val="0"/>
                <w:sz w:val="15"/>
              </w:rPr>
              <w:t xml:space="preserve"> Remove the assumption from the Plan; proceed by § 503(c) motion or post-emergence New Board program. </w:t>
            </w:r>
            <w:r>
              <w:rPr>
                <w:b/>
                <w:i w:val="0"/>
                <w:sz w:val="15"/>
              </w:rPr>
              <w:t>Reject § 11.9.</w:t>
            </w:r>
          </w:p>
        </w:tc>
        <w:tc>
          <w:tcPr>
            <w:tcW w:type="dxa" w:w="1440"/>
          </w:tcPr>
          <w:p>
            <w:pPr>
              <w:spacing w:after="20"/>
            </w:pPr>
            <w:r/>
            <w:r>
              <w:rPr>
                <w:b w:val="0"/>
                <w:i w:val="0"/>
                <w:sz w:val="15"/>
              </w:rPr>
              <w:t>Management; Timberline</w:t>
            </w:r>
          </w:p>
        </w:tc>
      </w:tr>
      <w:tr>
        <w:tc>
          <w:tcPr>
            <w:tcW w:type="dxa" w:w="432"/>
          </w:tcPr>
          <w:p>
            <w:pPr>
              <w:spacing w:after="20"/>
            </w:pPr>
            <w:r/>
            <w:r>
              <w:rPr>
                <w:b w:val="0"/>
                <w:i w:val="0"/>
                <w:sz w:val="15"/>
              </w:rPr>
              <w:t>9</w:t>
            </w:r>
          </w:p>
        </w:tc>
        <w:tc>
          <w:tcPr>
            <w:tcW w:type="dxa" w:w="1800"/>
          </w:tcPr>
          <w:p>
            <w:pPr>
              <w:spacing w:after="20"/>
            </w:pPr>
            <w:r/>
            <w:r>
              <w:rPr>
                <w:b w:val="0"/>
                <w:i w:val="0"/>
                <w:sz w:val="15"/>
              </w:rPr>
              <w:t>Rejection standard</w:t>
            </w:r>
          </w:p>
        </w:tc>
        <w:tc>
          <w:tcPr>
            <w:tcW w:type="dxa" w:w="1656"/>
          </w:tcPr>
          <w:p>
            <w:pPr>
              <w:spacing w:after="20"/>
            </w:pPr>
            <w:r/>
            <w:r>
              <w:rPr>
                <w:b w:val="0"/>
                <w:i w:val="0"/>
                <w:sz w:val="15"/>
              </w:rPr>
              <w:t>Reasonable safeguard</w:t>
            </w:r>
          </w:p>
        </w:tc>
        <w:tc>
          <w:tcPr>
            <w:tcW w:type="dxa" w:w="4464"/>
          </w:tcPr>
          <w:p>
            <w:pPr>
              <w:spacing w:after="20"/>
            </w:pPr>
            <w:r/>
            <w:r>
              <w:rPr>
                <w:b/>
                <w:i w:val="0"/>
                <w:sz w:val="15"/>
              </w:rPr>
              <w:t>Reject.</w:t>
            </w:r>
            <w:r>
              <w:rPr>
                <w:b w:val="0"/>
                <w:i w:val="0"/>
                <w:sz w:val="15"/>
              </w:rPr>
              <w:t xml:space="preserve"> Offer notice and objection procedures.</w:t>
            </w:r>
          </w:p>
        </w:tc>
        <w:tc>
          <w:tcPr>
            <w:tcW w:type="dxa" w:w="1440"/>
          </w:tcPr>
          <w:p>
            <w:pPr>
              <w:spacing w:after="20"/>
            </w:pPr>
            <w:r/>
            <w:r>
              <w:rPr>
                <w:b w:val="0"/>
                <w:i w:val="0"/>
                <w:sz w:val="15"/>
              </w:rPr>
              <w:t>—</w:t>
            </w:r>
          </w:p>
        </w:tc>
      </w:tr>
      <w:tr>
        <w:tc>
          <w:tcPr>
            <w:tcW w:type="dxa" w:w="432"/>
          </w:tcPr>
          <w:p>
            <w:pPr>
              <w:spacing w:after="20"/>
            </w:pPr>
            <w:r/>
            <w:r>
              <w:rPr>
                <w:b w:val="0"/>
                <w:i w:val="0"/>
                <w:sz w:val="15"/>
              </w:rPr>
              <w:t>10</w:t>
            </w:r>
          </w:p>
        </w:tc>
        <w:tc>
          <w:tcPr>
            <w:tcW w:type="dxa" w:w="1800"/>
          </w:tcPr>
          <w:p>
            <w:pPr>
              <w:spacing w:after="20"/>
            </w:pPr>
            <w:r/>
            <w:r>
              <w:rPr>
                <w:b w:val="0"/>
                <w:i w:val="0"/>
                <w:sz w:val="15"/>
              </w:rPr>
              <w:t>Board 2-2-1</w:t>
            </w:r>
          </w:p>
        </w:tc>
        <w:tc>
          <w:tcPr>
            <w:tcW w:type="dxa" w:w="1656"/>
          </w:tcPr>
          <w:p>
            <w:pPr>
              <w:spacing w:after="20"/>
            </w:pPr>
            <w:r/>
            <w:r>
              <w:rPr>
                <w:b w:val="0"/>
                <w:i w:val="0"/>
                <w:sz w:val="15"/>
              </w:rPr>
              <w:t>Standard request</w:t>
            </w:r>
          </w:p>
        </w:tc>
        <w:tc>
          <w:tcPr>
            <w:tcW w:type="dxa" w:w="4464"/>
          </w:tcPr>
          <w:p>
            <w:pPr>
              <w:spacing w:after="20"/>
            </w:pPr>
            <w:r/>
            <w:r>
              <w:rPr>
                <w:b/>
                <w:i w:val="0"/>
                <w:sz w:val="15"/>
              </w:rPr>
              <w:t>Counter.</w:t>
            </w:r>
            <w:r>
              <w:rPr>
                <w:b w:val="0"/>
                <w:i w:val="0"/>
                <w:sz w:val="15"/>
              </w:rPr>
              <w:t xml:space="preserve"> Keep 3-1-1 plus an observer and information rights while deferred payments are outstanding, and a Committee consultation right on the independent director.</w:t>
            </w:r>
          </w:p>
        </w:tc>
        <w:tc>
          <w:tcPr>
            <w:tcW w:type="dxa" w:w="1440"/>
          </w:tcPr>
          <w:p>
            <w:pPr>
              <w:spacing w:after="20"/>
            </w:pPr>
            <w:r/>
            <w:r>
              <w:rPr>
                <w:b w:val="0"/>
                <w:i w:val="0"/>
                <w:sz w:val="15"/>
              </w:rPr>
              <w:t>Timberline</w:t>
            </w:r>
          </w:p>
        </w:tc>
      </w:tr>
      <w:tr>
        <w:tc>
          <w:tcPr>
            <w:tcW w:type="dxa" w:w="432"/>
          </w:tcPr>
          <w:p>
            <w:pPr>
              <w:spacing w:after="20"/>
            </w:pPr>
            <w:r/>
            <w:r>
              <w:rPr>
                <w:b w:val="0"/>
                <w:i w:val="0"/>
                <w:sz w:val="15"/>
              </w:rPr>
              <w:t>11</w:t>
            </w:r>
          </w:p>
        </w:tc>
        <w:tc>
          <w:tcPr>
            <w:tcW w:type="dxa" w:w="1800"/>
          </w:tcPr>
          <w:p>
            <w:pPr>
              <w:spacing w:after="20"/>
            </w:pPr>
            <w:r/>
            <w:r>
              <w:rPr>
                <w:b w:val="0"/>
                <w:i w:val="0"/>
                <w:sz w:val="15"/>
              </w:rPr>
              <w:t>Exhibit C corrections</w:t>
            </w:r>
          </w:p>
        </w:tc>
        <w:tc>
          <w:tcPr>
            <w:tcW w:type="dxa" w:w="1656"/>
          </w:tcPr>
          <w:p>
            <w:pPr>
              <w:spacing w:after="20"/>
            </w:pPr>
            <w:r/>
            <w:r>
              <w:rPr>
                <w:b w:val="0"/>
                <w:i w:val="0"/>
                <w:sz w:val="15"/>
              </w:rPr>
              <w:t>Accept without discussion</w:t>
            </w:r>
          </w:p>
        </w:tc>
        <w:tc>
          <w:tcPr>
            <w:tcW w:type="dxa" w:w="4464"/>
          </w:tcPr>
          <w:p>
            <w:pPr>
              <w:spacing w:after="20"/>
            </w:pPr>
            <w:r/>
            <w:r>
              <w:rPr>
                <w:b/>
                <w:i w:val="0"/>
                <w:sz w:val="15"/>
              </w:rPr>
              <w:t>Moot or reject.</w:t>
            </w:r>
            <w:r>
              <w:rPr>
                <w:b w:val="0"/>
                <w:i w:val="0"/>
                <w:sz w:val="15"/>
              </w:rPr>
              <w:t xml:space="preserve"> The Committee must mark the filed Ex. C. Verify the Olympic date against the agreement and Claim No. 147. The Debtor fixes its own typos.</w:t>
            </w:r>
          </w:p>
        </w:tc>
        <w:tc>
          <w:tcPr>
            <w:tcW w:type="dxa" w:w="1440"/>
          </w:tcPr>
          <w:p>
            <w:pPr>
              <w:spacing w:after="20"/>
            </w:pPr>
            <w:r/>
            <w:r>
              <w:rPr>
                <w:b w:val="0"/>
                <w:i w:val="0"/>
                <w:sz w:val="15"/>
              </w:rPr>
              <w:t>—</w:t>
            </w:r>
          </w:p>
        </w:tc>
      </w:tr>
      <w:tr>
        <w:tc>
          <w:tcPr>
            <w:tcW w:type="dxa" w:w="432"/>
          </w:tcPr>
          <w:p>
            <w:pPr>
              <w:spacing w:after="20"/>
            </w:pPr>
            <w:r/>
            <w:r>
              <w:rPr>
                <w:b w:val="0"/>
                <w:i w:val="0"/>
                <w:sz w:val="15"/>
              </w:rPr>
              <w:t>12</w:t>
            </w:r>
          </w:p>
        </w:tc>
        <w:tc>
          <w:tcPr>
            <w:tcW w:type="dxa" w:w="1800"/>
          </w:tcPr>
          <w:p>
            <w:pPr>
              <w:spacing w:after="20"/>
            </w:pPr>
            <w:r/>
            <w:r>
              <w:rPr>
                <w:b w:val="0"/>
                <w:i w:val="0"/>
                <w:sz w:val="15"/>
              </w:rPr>
              <w:t>Untracked base deviations (Section III)</w:t>
            </w:r>
          </w:p>
        </w:tc>
        <w:tc>
          <w:tcPr>
            <w:tcW w:type="dxa" w:w="1656"/>
          </w:tcPr>
          <w:p>
            <w:pPr>
              <w:spacing w:after="20"/>
            </w:pPr>
            <w:r/>
            <w:r>
              <w:rPr>
                <w:b w:val="0"/>
                <w:i w:val="0"/>
                <w:sz w:val="15"/>
              </w:rPr>
              <w:t>Not disclosed</w:t>
            </w:r>
          </w:p>
        </w:tc>
        <w:tc>
          <w:tcPr>
            <w:tcW w:type="dxa" w:w="4464"/>
          </w:tcPr>
          <w:p>
            <w:pPr>
              <w:spacing w:after="20"/>
            </w:pPr>
            <w:r/>
            <w:r>
              <w:rPr>
                <w:b/>
                <w:i w:val="0"/>
                <w:sz w:val="15"/>
              </w:rPr>
              <w:t>Reject all.</w:t>
            </w:r>
            <w:r>
              <w:rPr>
                <w:b w:val="0"/>
                <w:i w:val="0"/>
                <w:sz w:val="15"/>
              </w:rPr>
              <w:t xml:space="preserve"> Require a true compare against Dkt. No. 387 and do not work from the Committee’s file.</w:t>
            </w:r>
          </w:p>
        </w:tc>
        <w:tc>
          <w:tcPr>
            <w:tcW w:type="dxa" w:w="1440"/>
          </w:tcPr>
          <w:p>
            <w:pPr>
              <w:spacing w:after="20"/>
            </w:pPr>
            <w:r/>
            <w:r>
              <w:rPr>
                <w:b w:val="0"/>
                <w:i w:val="0"/>
                <w:sz w:val="15"/>
              </w:rPr>
              <w:t>—</w:t>
            </w:r>
          </w:p>
        </w:tc>
      </w:tr>
    </w:tbl>
    <w:p>
      <w:pPr>
        <w:spacing w:after="40"/>
      </w:pPr>
    </w:p>
    <w:p>
      <w:pPr>
        <w:pStyle w:val="Heading2"/>
      </w:pPr>
      <w:r>
        <w:t>C. Leverage and Risk Assessment</w:t>
      </w:r>
    </w:p>
    <w:p>
      <w:pPr>
        <w:pStyle w:val="ListBullet"/>
        <w:spacing w:after="60"/>
      </w:pPr>
      <w:r>
        <w:rPr>
          <w:b/>
          <w:i w:val="0"/>
        </w:rPr>
        <w:t>Debtor leverage:</w:t>
      </w:r>
      <w:r>
        <w:rPr>
          <w:b w:val="0"/>
          <w:i w:val="0"/>
        </w:rPr>
        <w:t xml:space="preserve"> the feasibility math; DS evidence that the Chapter 7 recovery for GUCs is $0; the Committee’s factual errors (Dividend Recap recipients, § 548 timing, DS characterization); the Committee’s conflicts (preference exposure, counterparty status); and the non-conforming base document, which undermines the Committee’s credibility before the Court.</w:t>
      </w:r>
    </w:p>
    <w:p>
      <w:pPr>
        <w:pStyle w:val="ListBullet"/>
        <w:spacing w:after="60"/>
      </w:pPr>
      <w:r>
        <w:rPr>
          <w:b/>
          <w:i w:val="0"/>
        </w:rPr>
        <w:t>Committee leverage:</w:t>
      </w:r>
      <w:r>
        <w:rPr>
          <w:b w:val="0"/>
          <w:i w:val="0"/>
        </w:rPr>
        <w:t xml:space="preserve"> the release and Purdue issue; the unsupported Dividend Recap release and the Committee-concurrence recital; the 55% and unissued-residual problem; the retention program’s lack of a § 503(c) record; inconsistencies between the DS and the Plan; and a credible threat to vote Class 4 against the Plan and litigate cramdown.</w:t>
      </w:r>
    </w:p>
    <w:p>
      <w:pPr>
        <w:pStyle w:val="ListBullet"/>
        <w:spacing w:after="60"/>
      </w:pPr>
      <w:r>
        <w:rPr>
          <w:b/>
          <w:i w:val="0"/>
        </w:rPr>
        <w:t>Main risk:</w:t>
      </w:r>
      <w:r>
        <w:rPr>
          <w:b w:val="0"/>
          <w:i w:val="0"/>
        </w:rPr>
        <w:t xml:space="preserve"> if Timberline perceives that the Debtor is conceding its release, equity and board terms, it may withdraw support (DS “Timberline Support Risk”). Hold a three-way discussion with Timberline before May 28 and present a unified proponent position.</w:t>
      </w:r>
    </w:p>
    <w:p>
      <w:pPr>
        <w:pStyle w:val="Heading1"/>
      </w:pPr>
      <w:r>
        <w:t>X. Open Items and Information Requests</w:t>
      </w:r>
    </w:p>
    <w:p>
      <w:pPr>
        <w:spacing w:after="40"/>
      </w:pPr>
      <w:r>
        <w:rPr>
          <w:b/>
          <w:i w:val="0"/>
        </w:rPr>
        <w:t>To the Committee (Ridgeline Strauss):</w:t>
      </w:r>
    </w:p>
    <w:p>
      <w:pPr>
        <w:pStyle w:val="ListBullet"/>
        <w:spacing w:after="60"/>
      </w:pPr>
      <w:r>
        <w:rPr>
          <w:b w:val="0"/>
          <w:i w:val="0"/>
        </w:rPr>
        <w:t>A true compare of the Redline against the Filed Plan (Dkt. No. 387), with the base document the Committee used identified.</w:t>
      </w:r>
    </w:p>
    <w:p>
      <w:pPr>
        <w:pStyle w:val="ListBullet"/>
        <w:spacing w:after="60"/>
      </w:pPr>
      <w:r>
        <w:rPr>
          <w:b w:val="0"/>
          <w:i w:val="0"/>
        </w:rPr>
        <w:t>The basis for asserting that dividend recipients included “entities affiliated with Timberline,” and the Committee’s preliminary solvency analysis.</w:t>
      </w:r>
    </w:p>
    <w:p>
      <w:pPr>
        <w:pStyle w:val="ListBullet"/>
        <w:spacing w:after="60"/>
      </w:pPr>
      <w:r>
        <w:rPr>
          <w:b w:val="0"/>
          <w:i w:val="0"/>
        </w:rPr>
        <w:t>The Committee’s preference analysis (~15 counterparties), identifying any Committee members or their affiliates.</w:t>
      </w:r>
    </w:p>
    <w:p>
      <w:pPr>
        <w:pStyle w:val="ListBullet"/>
        <w:spacing w:after="60"/>
      </w:pPr>
      <w:r>
        <w:rPr>
          <w:b w:val="0"/>
          <w:i w:val="0"/>
        </w:rPr>
        <w:t>Claim Nos. 147 (Olympic) and 203 (Deschutes River Environmental), and the documents supporting the Ex. C changes.</w:t>
      </w:r>
    </w:p>
    <w:p>
      <w:pPr>
        <w:pStyle w:val="ListBullet"/>
        <w:spacing w:after="60"/>
      </w:pPr>
      <w:r>
        <w:rPr>
          <w:b w:val="0"/>
          <w:i w:val="0"/>
        </w:rPr>
        <w:t>Support for the 7% MIP “market norm” and the 5.24% rate.</w:t>
      </w:r>
    </w:p>
    <w:p>
      <w:pPr>
        <w:pStyle w:val="ListBullet"/>
        <w:spacing w:after="60"/>
      </w:pPr>
      <w:r>
        <w:rPr>
          <w:b w:val="0"/>
          <w:i w:val="0"/>
        </w:rPr>
        <w:t>How and on what terms the Committee obtained the Clearview summary report.</w:t>
      </w:r>
    </w:p>
    <w:p>
      <w:pPr>
        <w:spacing w:after="40"/>
      </w:pPr>
      <w:r>
        <w:rPr>
          <w:b/>
          <w:i w:val="0"/>
        </w:rPr>
        <w:t>Internal / advisors:</w:t>
      </w:r>
    </w:p>
    <w:p>
      <w:pPr>
        <w:pStyle w:val="ListBullet"/>
        <w:spacing w:after="60"/>
      </w:pPr>
      <w:r>
        <w:rPr>
          <w:b w:val="0"/>
          <w:i w:val="0"/>
        </w:rPr>
        <w:t>Pinecrest: a full Effective Date sources and uses (retention bonuses, trust funding, cures, DIP paydown, fee escrow); Year 1–3 liquidity under the VI.F structures; covenant capacity under the Amended Credit Agreement; the derivation of the 55%; and the source of the $35M.</w:t>
      </w:r>
    </w:p>
    <w:p>
      <w:pPr>
        <w:pStyle w:val="ListBullet"/>
        <w:spacing w:after="60"/>
      </w:pPr>
      <w:r>
        <w:rPr>
          <w:b w:val="0"/>
          <w:i w:val="0"/>
        </w:rPr>
        <w:t>Clearview: reconciliation of the blend ($405.0M vs. $407.5M) and the transaction median; sensitivity of REV and Timberline’s recovery.</w:t>
      </w:r>
    </w:p>
    <w:p>
      <w:pPr>
        <w:pStyle w:val="ListBullet"/>
        <w:spacing w:after="60"/>
      </w:pPr>
      <w:r>
        <w:rPr>
          <w:b w:val="0"/>
          <w:i w:val="0"/>
        </w:rPr>
        <w:t>Management/HR: the 12 retention participants, insider status, any competing offers, and the program documents and approval date.</w:t>
      </w:r>
    </w:p>
    <w:p>
      <w:pPr>
        <w:pStyle w:val="ListBullet"/>
        <w:spacing w:after="60"/>
      </w:pPr>
      <w:r>
        <w:rPr>
          <w:b w:val="0"/>
          <w:i w:val="0"/>
        </w:rPr>
        <w:t>Corporate: the 2021 transaction documents, the solvency opinion, the dividend recipient list, and the D&amp;O and shareholder overlap (for release scope and insider analysis).</w:t>
      </w:r>
    </w:p>
    <w:p>
      <w:pPr>
        <w:pStyle w:val="ListBullet"/>
        <w:spacing w:after="60"/>
      </w:pPr>
      <w:r>
        <w:rPr>
          <w:b w:val="0"/>
          <w:i w:val="0"/>
        </w:rPr>
        <w:t>Contracts: the executed Olympic agreement (date); status of contracts expiring before the ED; PacWest scope.</w:t>
      </w:r>
    </w:p>
    <w:p>
      <w:pPr>
        <w:pStyle w:val="ListBullet"/>
        <w:spacing w:after="60"/>
      </w:pPr>
      <w:r>
        <w:rPr>
          <w:b w:val="0"/>
          <w:i w:val="0"/>
        </w:rPr>
        <w:t>Timberline: its positions on releases, equity, the board and the MIP; its willingness to fund value (cash or equity/warrants to GUCs) for a release.</w:t>
      </w:r>
    </w:p>
    <w:p>
      <w:pPr>
        <w:pStyle w:val="Heading1"/>
      </w:pPr>
      <w:r>
        <w:t>Appendix A — Reconciliation of the Committee’s 47 Logged Changes</w:t>
      </w:r>
    </w:p>
    <w:p>
      <w:pPr>
        <w:spacing w:after="120"/>
      </w:pPr>
      <w:r>
        <w:rPr>
          <w:b w:val="0"/>
          <w:i w:val="0"/>
          <w:sz w:val="18"/>
        </w:rPr>
        <w:t>“Comm. cat.” is the Committee’s category: S = substantive; C = conforming/semi-substantive; Co = cosmetic; X = Exhibit C. “Our view” gives our characterization and recommendation. Cross-references are to Sections V–IX of this report.</w:t>
      </w:r>
    </w:p>
    <w:tbl>
      <w:tblPr>
        <w:tblStyle w:val="TableGrid"/>
        <w:tblW w:type="auto" w:w="0"/>
        <w:jc w:val="center"/>
        <w:tblLayout w:type="fixed"/>
        <w:tblLook w:firstColumn="1" w:firstRow="1" w:lastColumn="0" w:lastRow="0" w:noHBand="0" w:noVBand="1" w:val="04A0"/>
      </w:tblPr>
      <w:tblGrid>
        <w:gridCol w:w="432"/>
        <w:gridCol w:w="864"/>
        <w:gridCol w:w="3024"/>
        <w:gridCol w:w="792"/>
        <w:gridCol w:w="4680"/>
      </w:tblGrid>
      <w:tr>
        <w:tc>
          <w:tcPr>
            <w:tcW w:type="dxa" w:w="432"/>
            <w:shd w:val="clear" w:color="auto" w:fill="D9E2F3"/>
          </w:tcPr>
          <w:p>
            <w:pPr>
              <w:spacing w:after="20"/>
            </w:pPr>
            <w:r/>
            <w:r>
              <w:rPr>
                <w:b/>
                <w:i w:val="0"/>
                <w:sz w:val="15"/>
              </w:rPr>
              <w:t>#</w:t>
            </w:r>
          </w:p>
        </w:tc>
        <w:tc>
          <w:tcPr>
            <w:tcW w:type="dxa" w:w="864"/>
            <w:shd w:val="clear" w:color="auto" w:fill="D9E2F3"/>
          </w:tcPr>
          <w:p>
            <w:pPr>
              <w:spacing w:after="20"/>
            </w:pPr>
            <w:r/>
            <w:r>
              <w:rPr>
                <w:b/>
                <w:i w:val="0"/>
                <w:sz w:val="15"/>
              </w:rPr>
              <w:t>Redline §</w:t>
            </w:r>
          </w:p>
        </w:tc>
        <w:tc>
          <w:tcPr>
            <w:tcW w:type="dxa" w:w="3024"/>
            <w:shd w:val="clear" w:color="auto" w:fill="D9E2F3"/>
          </w:tcPr>
          <w:p>
            <w:pPr>
              <w:spacing w:after="20"/>
            </w:pPr>
            <w:r/>
            <w:r>
              <w:rPr>
                <w:b/>
                <w:i w:val="0"/>
                <w:sz w:val="15"/>
              </w:rPr>
              <w:t>Change</w:t>
            </w:r>
          </w:p>
        </w:tc>
        <w:tc>
          <w:tcPr>
            <w:tcW w:type="dxa" w:w="792"/>
            <w:shd w:val="clear" w:color="auto" w:fill="D9E2F3"/>
          </w:tcPr>
          <w:p>
            <w:pPr>
              <w:spacing w:after="20"/>
            </w:pPr>
            <w:r/>
            <w:r>
              <w:rPr>
                <w:b/>
                <w:i w:val="0"/>
                <w:sz w:val="15"/>
              </w:rPr>
              <w:t>Comm. cat.</w:t>
            </w:r>
          </w:p>
        </w:tc>
        <w:tc>
          <w:tcPr>
            <w:tcW w:type="dxa" w:w="4680"/>
            <w:shd w:val="clear" w:color="auto" w:fill="D9E2F3"/>
          </w:tcPr>
          <w:p>
            <w:pPr>
              <w:spacing w:after="20"/>
            </w:pPr>
            <w:r/>
            <w:r>
              <w:rPr>
                <w:b/>
                <w:i w:val="0"/>
                <w:sz w:val="15"/>
              </w:rPr>
              <w:t>Our view / recommendation</w:t>
            </w:r>
          </w:p>
        </w:tc>
      </w:tr>
      <w:tr>
        <w:tc>
          <w:tcPr>
            <w:tcW w:type="dxa" w:w="432"/>
          </w:tcPr>
          <w:p>
            <w:pPr>
              <w:spacing w:after="20"/>
            </w:pPr>
            <w:r/>
            <w:r>
              <w:rPr>
                <w:b w:val="0"/>
                <w:i w:val="0"/>
                <w:sz w:val="15"/>
              </w:rPr>
              <w:t>1</w:t>
            </w:r>
          </w:p>
        </w:tc>
        <w:tc>
          <w:tcPr>
            <w:tcW w:type="dxa" w:w="864"/>
          </w:tcPr>
          <w:p>
            <w:pPr>
              <w:spacing w:after="20"/>
            </w:pPr>
            <w:r/>
            <w:r>
              <w:rPr>
                <w:b w:val="0"/>
                <w:i w:val="0"/>
                <w:sz w:val="15"/>
              </w:rPr>
              <w:t>1.1</w:t>
            </w:r>
          </w:p>
        </w:tc>
        <w:tc>
          <w:tcPr>
            <w:tcW w:type="dxa" w:w="3024"/>
          </w:tcPr>
          <w:p>
            <w:pPr>
              <w:spacing w:after="20"/>
            </w:pPr>
            <w:r/>
            <w:r>
              <w:rPr>
                <w:b w:val="0"/>
                <w:i w:val="0"/>
                <w:sz w:val="15"/>
              </w:rPr>
              <w:t>“Reorganized Company” alternative term</w:t>
            </w:r>
          </w:p>
        </w:tc>
        <w:tc>
          <w:tcPr>
            <w:tcW w:type="dxa" w:w="792"/>
          </w:tcPr>
          <w:p>
            <w:pPr>
              <w:spacing w:after="20"/>
            </w:pPr>
            <w:r/>
            <w:r>
              <w:rPr>
                <w:b w:val="0"/>
                <w:i w:val="0"/>
                <w:sz w:val="15"/>
              </w:rPr>
              <w:t>Co</w:t>
            </w:r>
          </w:p>
        </w:tc>
        <w:tc>
          <w:tcPr>
            <w:tcW w:type="dxa" w:w="4680"/>
          </w:tcPr>
          <w:p>
            <w:pPr>
              <w:spacing w:after="20"/>
            </w:pPr>
            <w:r/>
            <w:r>
              <w:rPr>
                <w:b w:val="0"/>
                <w:i w:val="0"/>
                <w:sz w:val="15"/>
              </w:rPr>
              <w:t>Drafting risk: two terms for one entity. Reject (V.F).</w:t>
            </w:r>
          </w:p>
        </w:tc>
      </w:tr>
      <w:tr>
        <w:tc>
          <w:tcPr>
            <w:tcW w:type="dxa" w:w="432"/>
          </w:tcPr>
          <w:p>
            <w:pPr>
              <w:spacing w:after="20"/>
            </w:pPr>
            <w:r/>
            <w:r>
              <w:rPr>
                <w:b w:val="0"/>
                <w:i w:val="0"/>
                <w:sz w:val="15"/>
              </w:rPr>
              <w:t>2</w:t>
            </w:r>
          </w:p>
        </w:tc>
        <w:tc>
          <w:tcPr>
            <w:tcW w:type="dxa" w:w="864"/>
          </w:tcPr>
          <w:p>
            <w:pPr>
              <w:spacing w:after="20"/>
            </w:pPr>
            <w:r/>
            <w:r>
              <w:rPr>
                <w:b w:val="0"/>
                <w:i w:val="0"/>
                <w:sz w:val="15"/>
              </w:rPr>
              <w:t>1.1</w:t>
            </w:r>
          </w:p>
        </w:tc>
        <w:tc>
          <w:tcPr>
            <w:tcW w:type="dxa" w:w="3024"/>
          </w:tcPr>
          <w:p>
            <w:pPr>
              <w:spacing w:after="20"/>
            </w:pPr>
            <w:r/>
            <w:r>
              <w:rPr>
                <w:b w:val="0"/>
                <w:i w:val="0"/>
                <w:sz w:val="15"/>
              </w:rPr>
              <w:t>Administrative Claim Code cross-references</w:t>
            </w:r>
          </w:p>
        </w:tc>
        <w:tc>
          <w:tcPr>
            <w:tcW w:type="dxa" w:w="792"/>
          </w:tcPr>
          <w:p>
            <w:pPr>
              <w:spacing w:after="20"/>
            </w:pPr>
            <w:r/>
            <w:r>
              <w:rPr>
                <w:b w:val="0"/>
                <w:i w:val="0"/>
                <w:sz w:val="15"/>
              </w:rPr>
              <w:t>Co</w:t>
            </w:r>
          </w:p>
        </w:tc>
        <w:tc>
          <w:tcPr>
            <w:tcW w:type="dxa" w:w="4680"/>
          </w:tcPr>
          <w:p>
            <w:pPr>
              <w:spacing w:after="20"/>
            </w:pPr>
            <w:r/>
            <w:r>
              <w:rPr>
                <w:b w:val="0"/>
                <w:i w:val="0"/>
                <w:sz w:val="15"/>
              </w:rPr>
              <w:t>Redundant. Accept or reject; immaterial.</w:t>
            </w:r>
          </w:p>
        </w:tc>
      </w:tr>
      <w:tr>
        <w:tc>
          <w:tcPr>
            <w:tcW w:type="dxa" w:w="432"/>
          </w:tcPr>
          <w:p>
            <w:pPr>
              <w:spacing w:after="20"/>
            </w:pPr>
            <w:r/>
            <w:r>
              <w:rPr>
                <w:b w:val="0"/>
                <w:i w:val="0"/>
                <w:sz w:val="15"/>
              </w:rPr>
              <w:t>3</w:t>
            </w:r>
          </w:p>
        </w:tc>
        <w:tc>
          <w:tcPr>
            <w:tcW w:type="dxa" w:w="864"/>
          </w:tcPr>
          <w:p>
            <w:pPr>
              <w:spacing w:after="20"/>
            </w:pPr>
            <w:r/>
            <w:r>
              <w:rPr>
                <w:b w:val="0"/>
                <w:i w:val="0"/>
                <w:sz w:val="15"/>
              </w:rPr>
              <w:t>1.1</w:t>
            </w:r>
          </w:p>
        </w:tc>
        <w:tc>
          <w:tcPr>
            <w:tcW w:type="dxa" w:w="3024"/>
          </w:tcPr>
          <w:p>
            <w:pPr>
              <w:spacing w:after="20"/>
            </w:pPr>
            <w:r/>
            <w:r>
              <w:rPr>
                <w:b w:val="0"/>
                <w:i w:val="0"/>
                <w:sz w:val="15"/>
              </w:rPr>
              <w:t>Allowed Claim cross-reference “Article V, Section 5.1”</w:t>
            </w:r>
          </w:p>
        </w:tc>
        <w:tc>
          <w:tcPr>
            <w:tcW w:type="dxa" w:w="792"/>
          </w:tcPr>
          <w:p>
            <w:pPr>
              <w:spacing w:after="20"/>
            </w:pPr>
            <w:r/>
            <w:r>
              <w:rPr>
                <w:b w:val="0"/>
                <w:i w:val="0"/>
                <w:sz w:val="15"/>
              </w:rPr>
              <w:t>Co</w:t>
            </w:r>
          </w:p>
        </w:tc>
        <w:tc>
          <w:tcPr>
            <w:tcW w:type="dxa" w:w="4680"/>
          </w:tcPr>
          <w:p>
            <w:pPr>
              <w:spacing w:after="20"/>
            </w:pPr>
            <w:r/>
            <w:r>
              <w:rPr>
                <w:b w:val="0"/>
                <w:i w:val="0"/>
                <w:sz w:val="15"/>
              </w:rPr>
              <w:t>Wrong cross-reference (Voting Classes). Reject; fix to the allowance provisions.</w:t>
            </w:r>
          </w:p>
        </w:tc>
      </w:tr>
      <w:tr>
        <w:tc>
          <w:tcPr>
            <w:tcW w:type="dxa" w:w="432"/>
          </w:tcPr>
          <w:p>
            <w:pPr>
              <w:spacing w:after="20"/>
            </w:pPr>
            <w:r/>
            <w:r>
              <w:rPr>
                <w:b w:val="0"/>
                <w:i w:val="0"/>
                <w:sz w:val="15"/>
              </w:rPr>
              <w:t>4</w:t>
            </w:r>
          </w:p>
        </w:tc>
        <w:tc>
          <w:tcPr>
            <w:tcW w:type="dxa" w:w="864"/>
          </w:tcPr>
          <w:p>
            <w:pPr>
              <w:spacing w:after="20"/>
            </w:pPr>
            <w:r/>
            <w:r>
              <w:rPr>
                <w:b w:val="0"/>
                <w:i w:val="0"/>
                <w:sz w:val="15"/>
              </w:rPr>
              <w:t>1.1</w:t>
            </w:r>
          </w:p>
        </w:tc>
        <w:tc>
          <w:tcPr>
            <w:tcW w:type="dxa" w:w="3024"/>
          </w:tcPr>
          <w:p>
            <w:pPr>
              <w:spacing w:after="20"/>
            </w:pPr>
            <w:r/>
            <w:r>
              <w:rPr>
                <w:b w:val="0"/>
                <w:i w:val="0"/>
                <w:sz w:val="15"/>
              </w:rPr>
              <w:t>Ballot = Court-approved form</w:t>
            </w:r>
          </w:p>
        </w:tc>
        <w:tc>
          <w:tcPr>
            <w:tcW w:type="dxa" w:w="792"/>
          </w:tcPr>
          <w:p>
            <w:pPr>
              <w:spacing w:after="20"/>
            </w:pPr>
            <w:r/>
            <w:r>
              <w:rPr>
                <w:b w:val="0"/>
                <w:i w:val="0"/>
                <w:sz w:val="15"/>
              </w:rPr>
              <w:t>Co</w:t>
            </w:r>
          </w:p>
        </w:tc>
        <w:tc>
          <w:tcPr>
            <w:tcW w:type="dxa" w:w="4680"/>
          </w:tcPr>
          <w:p>
            <w:pPr>
              <w:spacing w:after="20"/>
            </w:pPr>
            <w:r/>
            <w:r>
              <w:rPr>
                <w:b w:val="0"/>
                <w:i w:val="0"/>
                <w:sz w:val="15"/>
              </w:rPr>
              <w:t>Accept.</w:t>
            </w:r>
          </w:p>
        </w:tc>
      </w:tr>
      <w:tr>
        <w:tc>
          <w:tcPr>
            <w:tcW w:type="dxa" w:w="432"/>
          </w:tcPr>
          <w:p>
            <w:pPr>
              <w:spacing w:after="20"/>
            </w:pPr>
            <w:r/>
            <w:r>
              <w:rPr>
                <w:b w:val="0"/>
                <w:i w:val="0"/>
                <w:sz w:val="15"/>
              </w:rPr>
              <w:t>5</w:t>
            </w:r>
          </w:p>
        </w:tc>
        <w:tc>
          <w:tcPr>
            <w:tcW w:type="dxa" w:w="864"/>
          </w:tcPr>
          <w:p>
            <w:pPr>
              <w:spacing w:after="20"/>
            </w:pPr>
            <w:r/>
            <w:r>
              <w:rPr>
                <w:b w:val="0"/>
                <w:i w:val="0"/>
                <w:sz w:val="15"/>
              </w:rPr>
              <w:t>1.1</w:t>
            </w:r>
          </w:p>
        </w:tc>
        <w:tc>
          <w:tcPr>
            <w:tcW w:type="dxa" w:w="3024"/>
          </w:tcPr>
          <w:p>
            <w:pPr>
              <w:spacing w:after="20"/>
            </w:pPr>
            <w:r/>
            <w:r>
              <w:rPr>
                <w:b w:val="0"/>
                <w:i w:val="0"/>
                <w:sz w:val="15"/>
              </w:rPr>
              <w:t>Business Day excludes Court closures</w:t>
            </w:r>
          </w:p>
        </w:tc>
        <w:tc>
          <w:tcPr>
            <w:tcW w:type="dxa" w:w="792"/>
          </w:tcPr>
          <w:p>
            <w:pPr>
              <w:spacing w:after="20"/>
            </w:pPr>
            <w:r/>
            <w:r>
              <w:rPr>
                <w:b w:val="0"/>
                <w:i w:val="0"/>
                <w:sz w:val="15"/>
              </w:rPr>
              <w:t>Co</w:t>
            </w:r>
          </w:p>
        </w:tc>
        <w:tc>
          <w:tcPr>
            <w:tcW w:type="dxa" w:w="4680"/>
          </w:tcPr>
          <w:p>
            <w:pPr>
              <w:spacing w:after="20"/>
            </w:pPr>
            <w:r/>
            <w:r>
              <w:rPr>
                <w:b w:val="0"/>
                <w:i w:val="0"/>
                <w:sz w:val="15"/>
              </w:rPr>
              <w:t>Accept (minor timing effect).</w:t>
            </w:r>
          </w:p>
        </w:tc>
      </w:tr>
      <w:tr>
        <w:tc>
          <w:tcPr>
            <w:tcW w:type="dxa" w:w="432"/>
          </w:tcPr>
          <w:p>
            <w:pPr>
              <w:spacing w:after="20"/>
            </w:pPr>
            <w:r/>
            <w:r>
              <w:rPr>
                <w:b w:val="0"/>
                <w:i w:val="0"/>
                <w:sz w:val="15"/>
              </w:rPr>
              <w:t>6</w:t>
            </w:r>
          </w:p>
        </w:tc>
        <w:tc>
          <w:tcPr>
            <w:tcW w:type="dxa" w:w="864"/>
          </w:tcPr>
          <w:p>
            <w:pPr>
              <w:spacing w:after="20"/>
            </w:pPr>
            <w:r/>
            <w:r>
              <w:rPr>
                <w:b w:val="0"/>
                <w:i w:val="0"/>
                <w:sz w:val="15"/>
              </w:rPr>
              <w:t>1.1</w:t>
            </w:r>
          </w:p>
        </w:tc>
        <w:tc>
          <w:tcPr>
            <w:tcW w:type="dxa" w:w="3024"/>
          </w:tcPr>
          <w:p>
            <w:pPr>
              <w:spacing w:after="20"/>
            </w:pPr>
            <w:r/>
            <w:r>
              <w:rPr>
                <w:b w:val="0"/>
                <w:i w:val="0"/>
                <w:sz w:val="15"/>
              </w:rPr>
              <w:t>New Common Equity 55% → 41.07%</w:t>
            </w:r>
          </w:p>
        </w:tc>
        <w:tc>
          <w:tcPr>
            <w:tcW w:type="dxa" w:w="792"/>
          </w:tcPr>
          <w:p>
            <w:pPr>
              <w:spacing w:after="20"/>
            </w:pPr>
            <w:r/>
            <w:r>
              <w:rPr>
                <w:b w:val="0"/>
                <w:i w:val="0"/>
                <w:sz w:val="15"/>
              </w:rPr>
              <w:t>S</w:t>
            </w:r>
          </w:p>
        </w:tc>
        <w:tc>
          <w:tcPr>
            <w:tcW w:type="dxa" w:w="4680"/>
          </w:tcPr>
          <w:p>
            <w:pPr>
              <w:spacing w:after="20"/>
            </w:pPr>
            <w:r/>
            <w:r>
              <w:rPr>
                <w:b w:val="0"/>
                <w:i w:val="0"/>
                <w:sz w:val="15"/>
              </w:rPr>
              <w:t>Core economics. Do not accept as a correction (V.A-5; VI.E).</w:t>
            </w:r>
          </w:p>
        </w:tc>
      </w:tr>
      <w:tr>
        <w:tc>
          <w:tcPr>
            <w:tcW w:type="dxa" w:w="432"/>
          </w:tcPr>
          <w:p>
            <w:pPr>
              <w:spacing w:after="20"/>
            </w:pPr>
            <w:r/>
            <w:r>
              <w:rPr>
                <w:b w:val="0"/>
                <w:i w:val="0"/>
                <w:sz w:val="15"/>
              </w:rPr>
              <w:t>7</w:t>
            </w:r>
          </w:p>
        </w:tc>
        <w:tc>
          <w:tcPr>
            <w:tcW w:type="dxa" w:w="864"/>
          </w:tcPr>
          <w:p>
            <w:pPr>
              <w:spacing w:after="20"/>
            </w:pPr>
            <w:r/>
            <w:r>
              <w:rPr>
                <w:b w:val="0"/>
                <w:i w:val="0"/>
                <w:sz w:val="15"/>
              </w:rPr>
              <w:t>1.1</w:t>
            </w:r>
          </w:p>
        </w:tc>
        <w:tc>
          <w:tcPr>
            <w:tcW w:type="dxa" w:w="3024"/>
          </w:tcPr>
          <w:p>
            <w:pPr>
              <w:spacing w:after="20"/>
            </w:pPr>
            <w:r/>
            <w:r>
              <w:rPr>
                <w:b w:val="0"/>
                <w:i w:val="0"/>
                <w:sz w:val="15"/>
              </w:rPr>
              <w:t>Effective Date “clause numbering”</w:t>
            </w:r>
          </w:p>
        </w:tc>
        <w:tc>
          <w:tcPr>
            <w:tcW w:type="dxa" w:w="792"/>
          </w:tcPr>
          <w:p>
            <w:pPr>
              <w:spacing w:after="20"/>
            </w:pPr>
            <w:r/>
            <w:r>
              <w:rPr>
                <w:b w:val="0"/>
                <w:i w:val="0"/>
                <w:sz w:val="15"/>
              </w:rPr>
              <w:t>Co</w:t>
            </w:r>
          </w:p>
        </w:tc>
        <w:tc>
          <w:tcPr>
            <w:tcW w:type="dxa" w:w="4680"/>
          </w:tcPr>
          <w:p>
            <w:pPr>
              <w:spacing w:after="20"/>
            </w:pPr>
            <w:r/>
            <w:r>
              <w:rPr>
                <w:b w:val="0"/>
                <w:i w:val="0"/>
                <w:sz w:val="15"/>
              </w:rPr>
              <w:t>Substantive: drops lender, governance and trust conditions. Reject.</w:t>
            </w:r>
          </w:p>
        </w:tc>
      </w:tr>
      <w:tr>
        <w:tc>
          <w:tcPr>
            <w:tcW w:type="dxa" w:w="432"/>
          </w:tcPr>
          <w:p>
            <w:pPr>
              <w:spacing w:after="20"/>
            </w:pPr>
            <w:r/>
            <w:r>
              <w:rPr>
                <w:b w:val="0"/>
                <w:i w:val="0"/>
                <w:sz w:val="15"/>
              </w:rPr>
              <w:t>8</w:t>
            </w:r>
          </w:p>
        </w:tc>
        <w:tc>
          <w:tcPr>
            <w:tcW w:type="dxa" w:w="864"/>
          </w:tcPr>
          <w:p>
            <w:pPr>
              <w:spacing w:after="20"/>
            </w:pPr>
            <w:r/>
            <w:r>
              <w:rPr>
                <w:b w:val="0"/>
                <w:i w:val="0"/>
                <w:sz w:val="15"/>
              </w:rPr>
              <w:t>1.1</w:t>
            </w:r>
          </w:p>
        </w:tc>
        <w:tc>
          <w:tcPr>
            <w:tcW w:type="dxa" w:w="3024"/>
          </w:tcPr>
          <w:p>
            <w:pPr>
              <w:spacing w:after="20"/>
            </w:pPr>
            <w:r/>
            <w:r>
              <w:rPr>
                <w:b w:val="0"/>
                <w:i w:val="0"/>
                <w:sz w:val="15"/>
              </w:rPr>
              <w:t>Equity Conversion Amount spelled out</w:t>
            </w:r>
          </w:p>
        </w:tc>
        <w:tc>
          <w:tcPr>
            <w:tcW w:type="dxa" w:w="792"/>
          </w:tcPr>
          <w:p>
            <w:pPr>
              <w:spacing w:after="20"/>
            </w:pPr>
            <w:r/>
            <w:r>
              <w:rPr>
                <w:b w:val="0"/>
                <w:i w:val="0"/>
                <w:sz w:val="15"/>
              </w:rPr>
              <w:t>Co</w:t>
            </w:r>
          </w:p>
        </w:tc>
        <w:tc>
          <w:tcPr>
            <w:tcW w:type="dxa" w:w="4680"/>
          </w:tcPr>
          <w:p>
            <w:pPr>
              <w:spacing w:after="20"/>
            </w:pPr>
            <w:r/>
            <w:r>
              <w:rPr>
                <w:b w:val="0"/>
                <w:i w:val="0"/>
                <w:sz w:val="15"/>
              </w:rPr>
              <w:t>Accept if the term is added to the Filed Plan.</w:t>
            </w:r>
          </w:p>
        </w:tc>
      </w:tr>
      <w:tr>
        <w:tc>
          <w:tcPr>
            <w:tcW w:type="dxa" w:w="432"/>
          </w:tcPr>
          <w:p>
            <w:pPr>
              <w:spacing w:after="20"/>
            </w:pPr>
            <w:r/>
            <w:r>
              <w:rPr>
                <w:b w:val="0"/>
                <w:i w:val="0"/>
                <w:sz w:val="15"/>
              </w:rPr>
              <w:t>9</w:t>
            </w:r>
          </w:p>
        </w:tc>
        <w:tc>
          <w:tcPr>
            <w:tcW w:type="dxa" w:w="864"/>
          </w:tcPr>
          <w:p>
            <w:pPr>
              <w:spacing w:after="20"/>
            </w:pPr>
            <w:r/>
            <w:r>
              <w:rPr>
                <w:b w:val="0"/>
                <w:i w:val="0"/>
                <w:sz w:val="15"/>
              </w:rPr>
              <w:t>1.1</w:t>
            </w:r>
          </w:p>
        </w:tc>
        <w:tc>
          <w:tcPr>
            <w:tcW w:type="dxa" w:w="3024"/>
          </w:tcPr>
          <w:p>
            <w:pPr>
              <w:spacing w:after="20"/>
            </w:pPr>
            <w:r/>
            <w:r>
              <w:rPr>
                <w:b w:val="0"/>
                <w:i w:val="0"/>
                <w:sz w:val="15"/>
              </w:rPr>
              <w:t>New “Avoidance Action Recovery Pool” definition</w:t>
            </w:r>
          </w:p>
        </w:tc>
        <w:tc>
          <w:tcPr>
            <w:tcW w:type="dxa" w:w="792"/>
          </w:tcPr>
          <w:p>
            <w:pPr>
              <w:spacing w:after="20"/>
            </w:pPr>
            <w:r/>
            <w:r>
              <w:rPr>
                <w:b w:val="0"/>
                <w:i w:val="0"/>
                <w:sz w:val="15"/>
              </w:rPr>
              <w:t>S</w:t>
            </w:r>
          </w:p>
        </w:tc>
        <w:tc>
          <w:tcPr>
            <w:tcW w:type="dxa" w:w="4680"/>
          </w:tcPr>
          <w:p>
            <w:pPr>
              <w:spacing w:after="20"/>
            </w:pPr>
            <w:r/>
            <w:r>
              <w:rPr>
                <w:b w:val="0"/>
                <w:i w:val="0"/>
                <w:sz w:val="15"/>
              </w:rPr>
              <w:t>Counter (V.A-4).</w:t>
            </w:r>
          </w:p>
        </w:tc>
      </w:tr>
      <w:tr>
        <w:tc>
          <w:tcPr>
            <w:tcW w:type="dxa" w:w="432"/>
          </w:tcPr>
          <w:p>
            <w:pPr>
              <w:spacing w:after="20"/>
            </w:pPr>
            <w:r/>
            <w:r>
              <w:rPr>
                <w:b w:val="0"/>
                <w:i w:val="0"/>
                <w:sz w:val="15"/>
              </w:rPr>
              <w:t>10</w:t>
            </w:r>
          </w:p>
        </w:tc>
        <w:tc>
          <w:tcPr>
            <w:tcW w:type="dxa" w:w="864"/>
          </w:tcPr>
          <w:p>
            <w:pPr>
              <w:spacing w:after="20"/>
            </w:pPr>
            <w:r/>
            <w:r>
              <w:rPr>
                <w:b w:val="0"/>
                <w:i w:val="0"/>
                <w:sz w:val="15"/>
              </w:rPr>
              <w:t>1.1</w:t>
            </w:r>
          </w:p>
        </w:tc>
        <w:tc>
          <w:tcPr>
            <w:tcW w:type="dxa" w:w="3024"/>
          </w:tcPr>
          <w:p>
            <w:pPr>
              <w:spacing w:after="20"/>
            </w:pPr>
            <w:r/>
            <w:r>
              <w:rPr>
                <w:b w:val="0"/>
                <w:i w:val="0"/>
                <w:sz w:val="15"/>
              </w:rPr>
              <w:t>Confirmation Date = docket entry</w:t>
            </w:r>
          </w:p>
        </w:tc>
        <w:tc>
          <w:tcPr>
            <w:tcW w:type="dxa" w:w="792"/>
          </w:tcPr>
          <w:p>
            <w:pPr>
              <w:spacing w:after="20"/>
            </w:pPr>
            <w:r/>
            <w:r>
              <w:rPr>
                <w:b w:val="0"/>
                <w:i w:val="0"/>
                <w:sz w:val="15"/>
              </w:rPr>
              <w:t>Co</w:t>
            </w:r>
          </w:p>
        </w:tc>
        <w:tc>
          <w:tcPr>
            <w:tcW w:type="dxa" w:w="4680"/>
          </w:tcPr>
          <w:p>
            <w:pPr>
              <w:spacing w:after="20"/>
            </w:pPr>
            <w:r/>
            <w:r>
              <w:rPr>
                <w:b w:val="0"/>
                <w:i w:val="0"/>
                <w:sz w:val="15"/>
              </w:rPr>
              <w:t>Accept.</w:t>
            </w:r>
          </w:p>
        </w:tc>
      </w:tr>
      <w:tr>
        <w:tc>
          <w:tcPr>
            <w:tcW w:type="dxa" w:w="432"/>
          </w:tcPr>
          <w:p>
            <w:pPr>
              <w:spacing w:after="20"/>
            </w:pPr>
            <w:r/>
            <w:r>
              <w:rPr>
                <w:b w:val="0"/>
                <w:i w:val="0"/>
                <w:sz w:val="15"/>
              </w:rPr>
              <w:t>11</w:t>
            </w:r>
          </w:p>
        </w:tc>
        <w:tc>
          <w:tcPr>
            <w:tcW w:type="dxa" w:w="864"/>
          </w:tcPr>
          <w:p>
            <w:pPr>
              <w:spacing w:after="20"/>
            </w:pPr>
            <w:r/>
            <w:r>
              <w:rPr>
                <w:b w:val="0"/>
                <w:i w:val="0"/>
                <w:sz w:val="15"/>
              </w:rPr>
              <w:t>1.1</w:t>
            </w:r>
          </w:p>
        </w:tc>
        <w:tc>
          <w:tcPr>
            <w:tcW w:type="dxa" w:w="3024"/>
          </w:tcPr>
          <w:p>
            <w:pPr>
              <w:spacing w:after="20"/>
            </w:pPr>
            <w:r/>
            <w:r>
              <w:rPr>
                <w:b w:val="0"/>
                <w:i w:val="0"/>
                <w:sz w:val="15"/>
              </w:rPr>
              <w:t>MIP 10% → 7% (definition)</w:t>
            </w:r>
          </w:p>
        </w:tc>
        <w:tc>
          <w:tcPr>
            <w:tcW w:type="dxa" w:w="792"/>
          </w:tcPr>
          <w:p>
            <w:pPr>
              <w:spacing w:after="20"/>
            </w:pPr>
            <w:r/>
            <w:r>
              <w:rPr>
                <w:b w:val="0"/>
                <w:i w:val="0"/>
                <w:sz w:val="15"/>
              </w:rPr>
              <w:t>C</w:t>
            </w:r>
          </w:p>
        </w:tc>
        <w:tc>
          <w:tcPr>
            <w:tcW w:type="dxa" w:w="4680"/>
          </w:tcPr>
          <w:p>
            <w:pPr>
              <w:spacing w:after="20"/>
            </w:pPr>
            <w:r/>
            <w:r>
              <w:rPr>
                <w:b w:val="0"/>
                <w:i w:val="0"/>
                <w:sz w:val="15"/>
              </w:rPr>
              <w:t>Hold or trade via Timberline (V.A-6).</w:t>
            </w:r>
          </w:p>
        </w:tc>
      </w:tr>
      <w:tr>
        <w:tc>
          <w:tcPr>
            <w:tcW w:type="dxa" w:w="432"/>
          </w:tcPr>
          <w:p>
            <w:pPr>
              <w:spacing w:after="20"/>
            </w:pPr>
            <w:r/>
            <w:r>
              <w:rPr>
                <w:b w:val="0"/>
                <w:i w:val="0"/>
                <w:sz w:val="15"/>
              </w:rPr>
              <w:t>12</w:t>
            </w:r>
          </w:p>
        </w:tc>
        <w:tc>
          <w:tcPr>
            <w:tcW w:type="dxa" w:w="864"/>
          </w:tcPr>
          <w:p>
            <w:pPr>
              <w:spacing w:after="20"/>
            </w:pPr>
            <w:r/>
            <w:r>
              <w:rPr>
                <w:b w:val="0"/>
                <w:i w:val="0"/>
                <w:sz w:val="15"/>
              </w:rPr>
              <w:t>1.1</w:t>
            </w:r>
          </w:p>
        </w:tc>
        <w:tc>
          <w:tcPr>
            <w:tcW w:type="dxa" w:w="3024"/>
          </w:tcPr>
          <w:p>
            <w:pPr>
              <w:spacing w:after="20"/>
            </w:pPr>
            <w:r/>
            <w:r>
              <w:rPr>
                <w:b w:val="0"/>
                <w:i w:val="0"/>
                <w:sz w:val="15"/>
              </w:rPr>
              <w:t>Person includes governmental entity</w:t>
            </w:r>
          </w:p>
        </w:tc>
        <w:tc>
          <w:tcPr>
            <w:tcW w:type="dxa" w:w="792"/>
          </w:tcPr>
          <w:p>
            <w:pPr>
              <w:spacing w:after="20"/>
            </w:pPr>
            <w:r/>
            <w:r>
              <w:rPr>
                <w:b w:val="0"/>
                <w:i w:val="0"/>
                <w:sz w:val="15"/>
              </w:rPr>
              <w:t>Co</w:t>
            </w:r>
          </w:p>
        </w:tc>
        <w:tc>
          <w:tcPr>
            <w:tcW w:type="dxa" w:w="4680"/>
          </w:tcPr>
          <w:p>
            <w:pPr>
              <w:spacing w:after="20"/>
            </w:pPr>
            <w:r/>
            <w:r>
              <w:rPr>
                <w:b w:val="0"/>
                <w:i w:val="0"/>
                <w:sz w:val="15"/>
              </w:rPr>
              <w:t>Accept.</w:t>
            </w:r>
          </w:p>
        </w:tc>
      </w:tr>
      <w:tr>
        <w:tc>
          <w:tcPr>
            <w:tcW w:type="dxa" w:w="432"/>
          </w:tcPr>
          <w:p>
            <w:pPr>
              <w:spacing w:after="20"/>
            </w:pPr>
            <w:r/>
            <w:r>
              <w:rPr>
                <w:b w:val="0"/>
                <w:i w:val="0"/>
                <w:sz w:val="15"/>
              </w:rPr>
              <w:t>13</w:t>
            </w:r>
          </w:p>
        </w:tc>
        <w:tc>
          <w:tcPr>
            <w:tcW w:type="dxa" w:w="864"/>
          </w:tcPr>
          <w:p>
            <w:pPr>
              <w:spacing w:after="20"/>
            </w:pPr>
            <w:r/>
            <w:r>
              <w:rPr>
                <w:b w:val="0"/>
                <w:i w:val="0"/>
                <w:sz w:val="15"/>
              </w:rPr>
              <w:t>1.1</w:t>
            </w:r>
          </w:p>
        </w:tc>
        <w:tc>
          <w:tcPr>
            <w:tcW w:type="dxa" w:w="3024"/>
          </w:tcPr>
          <w:p>
            <w:pPr>
              <w:spacing w:after="20"/>
            </w:pPr>
            <w:r/>
            <w:r>
              <w:rPr>
                <w:b w:val="0"/>
                <w:i w:val="0"/>
                <w:sz w:val="15"/>
              </w:rPr>
              <w:t>Plan Supplement cross-reference to Exhibit list</w:t>
            </w:r>
          </w:p>
        </w:tc>
        <w:tc>
          <w:tcPr>
            <w:tcW w:type="dxa" w:w="792"/>
          </w:tcPr>
          <w:p>
            <w:pPr>
              <w:spacing w:after="20"/>
            </w:pPr>
            <w:r/>
            <w:r>
              <w:rPr>
                <w:b w:val="0"/>
                <w:i w:val="0"/>
                <w:sz w:val="15"/>
              </w:rPr>
              <w:t>Co</w:t>
            </w:r>
          </w:p>
        </w:tc>
        <w:tc>
          <w:tcPr>
            <w:tcW w:type="dxa" w:w="4680"/>
          </w:tcPr>
          <w:p>
            <w:pPr>
              <w:spacing w:after="20"/>
            </w:pPr>
            <w:r/>
            <w:r>
              <w:rPr>
                <w:b w:val="0"/>
                <w:i w:val="0"/>
                <w:sz w:val="15"/>
              </w:rPr>
              <w:t>The list does not exist. Reject or fix.</w:t>
            </w:r>
          </w:p>
        </w:tc>
      </w:tr>
      <w:tr>
        <w:tc>
          <w:tcPr>
            <w:tcW w:type="dxa" w:w="432"/>
          </w:tcPr>
          <w:p>
            <w:pPr>
              <w:spacing w:after="20"/>
            </w:pPr>
            <w:r/>
            <w:r>
              <w:rPr>
                <w:b w:val="0"/>
                <w:i w:val="0"/>
                <w:sz w:val="15"/>
              </w:rPr>
              <w:t>14</w:t>
            </w:r>
          </w:p>
        </w:tc>
        <w:tc>
          <w:tcPr>
            <w:tcW w:type="dxa" w:w="864"/>
          </w:tcPr>
          <w:p>
            <w:pPr>
              <w:spacing w:after="20"/>
            </w:pPr>
            <w:r/>
            <w:r>
              <w:rPr>
                <w:b w:val="0"/>
                <w:i w:val="0"/>
                <w:sz w:val="15"/>
              </w:rPr>
              <w:t>1.1</w:t>
            </w:r>
          </w:p>
        </w:tc>
        <w:tc>
          <w:tcPr>
            <w:tcW w:type="dxa" w:w="3024"/>
          </w:tcPr>
          <w:p>
            <w:pPr>
              <w:spacing w:after="20"/>
            </w:pPr>
            <w:r/>
            <w:r>
              <w:rPr>
                <w:b w:val="0"/>
                <w:i w:val="0"/>
                <w:sz w:val="15"/>
              </w:rPr>
              <w:t>GUC pool $18.7M → $28.0M; 75/25; interest</w:t>
            </w:r>
          </w:p>
        </w:tc>
        <w:tc>
          <w:tcPr>
            <w:tcW w:type="dxa" w:w="792"/>
          </w:tcPr>
          <w:p>
            <w:pPr>
              <w:spacing w:after="20"/>
            </w:pPr>
            <w:r/>
            <w:r>
              <w:rPr>
                <w:b w:val="0"/>
                <w:i w:val="0"/>
                <w:sz w:val="15"/>
              </w:rPr>
              <w:t>S</w:t>
            </w:r>
          </w:p>
        </w:tc>
        <w:tc>
          <w:tcPr>
            <w:tcW w:type="dxa" w:w="4680"/>
          </w:tcPr>
          <w:p>
            <w:pPr>
              <w:spacing w:after="20"/>
            </w:pPr>
            <w:r/>
            <w:r>
              <w:rPr>
                <w:b w:val="0"/>
                <w:i w:val="0"/>
                <w:sz w:val="15"/>
              </w:rPr>
              <w:t>Counter within the cash constraint (V.A-1 to A-3).</w:t>
            </w:r>
          </w:p>
        </w:tc>
      </w:tr>
      <w:tr>
        <w:tc>
          <w:tcPr>
            <w:tcW w:type="dxa" w:w="432"/>
          </w:tcPr>
          <w:p>
            <w:pPr>
              <w:spacing w:after="20"/>
            </w:pPr>
            <w:r/>
            <w:r>
              <w:rPr>
                <w:b w:val="0"/>
                <w:i w:val="0"/>
                <w:sz w:val="15"/>
              </w:rPr>
              <w:t>15</w:t>
            </w:r>
          </w:p>
        </w:tc>
        <w:tc>
          <w:tcPr>
            <w:tcW w:type="dxa" w:w="864"/>
          </w:tcPr>
          <w:p>
            <w:pPr>
              <w:spacing w:after="20"/>
            </w:pPr>
            <w:r/>
            <w:r>
              <w:rPr>
                <w:b w:val="0"/>
                <w:i w:val="0"/>
                <w:sz w:val="15"/>
              </w:rPr>
              <w:t>1.1</w:t>
            </w:r>
          </w:p>
        </w:tc>
        <w:tc>
          <w:tcPr>
            <w:tcW w:type="dxa" w:w="3024"/>
          </w:tcPr>
          <w:p>
            <w:pPr>
              <w:spacing w:after="20"/>
            </w:pPr>
            <w:r/>
            <w:r>
              <w:rPr>
                <w:b w:val="0"/>
                <w:i w:val="0"/>
                <w:sz w:val="15"/>
              </w:rPr>
              <w:t>Voting Deadline 5:00 p.m. PT</w:t>
            </w:r>
          </w:p>
        </w:tc>
        <w:tc>
          <w:tcPr>
            <w:tcW w:type="dxa" w:w="792"/>
          </w:tcPr>
          <w:p>
            <w:pPr>
              <w:spacing w:after="20"/>
            </w:pPr>
            <w:r/>
            <w:r>
              <w:rPr>
                <w:b w:val="0"/>
                <w:i w:val="0"/>
                <w:sz w:val="15"/>
              </w:rPr>
              <w:t>Co</w:t>
            </w:r>
          </w:p>
        </w:tc>
        <w:tc>
          <w:tcPr>
            <w:tcW w:type="dxa" w:w="4680"/>
          </w:tcPr>
          <w:p>
            <w:pPr>
              <w:spacing w:after="20"/>
            </w:pPr>
            <w:r/>
            <w:r>
              <w:rPr>
                <w:b w:val="0"/>
                <w:i w:val="0"/>
                <w:sz w:val="15"/>
              </w:rPr>
              <w:t>Accept, subject to the solicitation order.</w:t>
            </w:r>
          </w:p>
        </w:tc>
      </w:tr>
      <w:tr>
        <w:tc>
          <w:tcPr>
            <w:tcW w:type="dxa" w:w="432"/>
          </w:tcPr>
          <w:p>
            <w:pPr>
              <w:spacing w:after="20"/>
            </w:pPr>
            <w:r/>
            <w:r>
              <w:rPr>
                <w:b w:val="0"/>
                <w:i w:val="0"/>
                <w:sz w:val="15"/>
              </w:rPr>
              <w:t>16</w:t>
            </w:r>
          </w:p>
        </w:tc>
        <w:tc>
          <w:tcPr>
            <w:tcW w:type="dxa" w:w="864"/>
          </w:tcPr>
          <w:p>
            <w:pPr>
              <w:spacing w:after="20"/>
            </w:pPr>
            <w:r/>
            <w:r>
              <w:rPr>
                <w:b w:val="0"/>
                <w:i w:val="0"/>
                <w:sz w:val="15"/>
              </w:rPr>
              <w:t>1.2</w:t>
            </w:r>
          </w:p>
        </w:tc>
        <w:tc>
          <w:tcPr>
            <w:tcW w:type="dxa" w:w="3024"/>
          </w:tcPr>
          <w:p>
            <w:pPr>
              <w:spacing w:after="20"/>
            </w:pPr>
            <w:r/>
            <w:r>
              <w:rPr>
                <w:b w:val="0"/>
                <w:i w:val="0"/>
                <w:sz w:val="15"/>
              </w:rPr>
              <w:t>Section/Exhibit reference rule</w:t>
            </w:r>
          </w:p>
        </w:tc>
        <w:tc>
          <w:tcPr>
            <w:tcW w:type="dxa" w:w="792"/>
          </w:tcPr>
          <w:p>
            <w:pPr>
              <w:spacing w:after="20"/>
            </w:pPr>
            <w:r/>
            <w:r>
              <w:rPr>
                <w:b w:val="0"/>
                <w:i w:val="0"/>
                <w:sz w:val="15"/>
              </w:rPr>
              <w:t>Co</w:t>
            </w:r>
          </w:p>
        </w:tc>
        <w:tc>
          <w:tcPr>
            <w:tcW w:type="dxa" w:w="4680"/>
          </w:tcPr>
          <w:p>
            <w:pPr>
              <w:spacing w:after="20"/>
            </w:pPr>
            <w:r/>
            <w:r>
              <w:rPr>
                <w:b w:val="0"/>
                <w:i w:val="0"/>
                <w:sz w:val="15"/>
              </w:rPr>
              <w:t>Redundant; immaterial.</w:t>
            </w:r>
          </w:p>
        </w:tc>
      </w:tr>
      <w:tr>
        <w:tc>
          <w:tcPr>
            <w:tcW w:type="dxa" w:w="432"/>
          </w:tcPr>
          <w:p>
            <w:pPr>
              <w:spacing w:after="20"/>
            </w:pPr>
            <w:r/>
            <w:r>
              <w:rPr>
                <w:b w:val="0"/>
                <w:i w:val="0"/>
                <w:sz w:val="15"/>
              </w:rPr>
              <w:t>17</w:t>
            </w:r>
          </w:p>
        </w:tc>
        <w:tc>
          <w:tcPr>
            <w:tcW w:type="dxa" w:w="864"/>
          </w:tcPr>
          <w:p>
            <w:pPr>
              <w:spacing w:after="20"/>
            </w:pPr>
            <w:r/>
            <w:r>
              <w:rPr>
                <w:b w:val="0"/>
                <w:i w:val="0"/>
                <w:sz w:val="15"/>
              </w:rPr>
              <w:t>2.1(d)</w:t>
            </w:r>
          </w:p>
        </w:tc>
        <w:tc>
          <w:tcPr>
            <w:tcW w:type="dxa" w:w="3024"/>
          </w:tcPr>
          <w:p>
            <w:pPr>
              <w:spacing w:after="20"/>
            </w:pPr>
            <w:r/>
            <w:r>
              <w:rPr>
                <w:b w:val="0"/>
                <w:i w:val="0"/>
                <w:sz w:val="15"/>
              </w:rPr>
              <w:t>Delete retention bonus Administrative Claims</w:t>
            </w:r>
          </w:p>
        </w:tc>
        <w:tc>
          <w:tcPr>
            <w:tcW w:type="dxa" w:w="792"/>
          </w:tcPr>
          <w:p>
            <w:pPr>
              <w:spacing w:after="20"/>
            </w:pPr>
            <w:r/>
            <w:r>
              <w:rPr>
                <w:b w:val="0"/>
                <w:i w:val="0"/>
                <w:sz w:val="15"/>
              </w:rPr>
              <w:t>S</w:t>
            </w:r>
          </w:p>
        </w:tc>
        <w:tc>
          <w:tcPr>
            <w:tcW w:type="dxa" w:w="4680"/>
          </w:tcPr>
          <w:p>
            <w:pPr>
              <w:spacing w:after="20"/>
            </w:pPr>
            <w:r/>
            <w:r>
              <w:rPr>
                <w:b w:val="0"/>
                <w:i w:val="0"/>
                <w:sz w:val="15"/>
              </w:rPr>
              <w:t>Targets a provision not in the Filed Plan; address § 5.8 (V.A-7).</w:t>
            </w:r>
          </w:p>
        </w:tc>
      </w:tr>
      <w:tr>
        <w:tc>
          <w:tcPr>
            <w:tcW w:type="dxa" w:w="432"/>
          </w:tcPr>
          <w:p>
            <w:pPr>
              <w:spacing w:after="20"/>
            </w:pPr>
            <w:r/>
            <w:r>
              <w:rPr>
                <w:b w:val="0"/>
                <w:i w:val="0"/>
                <w:sz w:val="15"/>
              </w:rPr>
              <w:t>18</w:t>
            </w:r>
          </w:p>
        </w:tc>
        <w:tc>
          <w:tcPr>
            <w:tcW w:type="dxa" w:w="864"/>
          </w:tcPr>
          <w:p>
            <w:pPr>
              <w:spacing w:after="20"/>
            </w:pPr>
            <w:r/>
            <w:r>
              <w:rPr>
                <w:b w:val="0"/>
                <w:i w:val="0"/>
                <w:sz w:val="15"/>
              </w:rPr>
              <w:t>3.1</w:t>
            </w:r>
          </w:p>
        </w:tc>
        <w:tc>
          <w:tcPr>
            <w:tcW w:type="dxa" w:w="3024"/>
          </w:tcPr>
          <w:p>
            <w:pPr>
              <w:spacing w:after="20"/>
            </w:pPr>
            <w:r/>
            <w:r>
              <w:rPr>
                <w:b w:val="0"/>
                <w:i w:val="0"/>
                <w:sz w:val="15"/>
              </w:rPr>
              <w:t>Estimated amounts in the classification table</w:t>
            </w:r>
          </w:p>
        </w:tc>
        <w:tc>
          <w:tcPr>
            <w:tcW w:type="dxa" w:w="792"/>
          </w:tcPr>
          <w:p>
            <w:pPr>
              <w:spacing w:after="20"/>
            </w:pPr>
            <w:r/>
            <w:r>
              <w:rPr>
                <w:b w:val="0"/>
                <w:i w:val="0"/>
                <w:sz w:val="15"/>
              </w:rPr>
              <w:t>Co</w:t>
            </w:r>
          </w:p>
        </w:tc>
        <w:tc>
          <w:tcPr>
            <w:tcW w:type="dxa" w:w="4680"/>
          </w:tcPr>
          <w:p>
            <w:pPr>
              <w:spacing w:after="20"/>
            </w:pPr>
            <w:r/>
            <w:r>
              <w:rPr>
                <w:b w:val="0"/>
                <w:i w:val="0"/>
                <w:sz w:val="15"/>
              </w:rPr>
              <w:t>Accept, conformed to seven classes; reject the base reclassification (U-4).</w:t>
            </w:r>
          </w:p>
        </w:tc>
      </w:tr>
      <w:tr>
        <w:tc>
          <w:tcPr>
            <w:tcW w:type="dxa" w:w="432"/>
          </w:tcPr>
          <w:p>
            <w:pPr>
              <w:spacing w:after="20"/>
            </w:pPr>
            <w:r/>
            <w:r>
              <w:rPr>
                <w:b w:val="0"/>
                <w:i w:val="0"/>
                <w:sz w:val="15"/>
              </w:rPr>
              <w:t>19</w:t>
            </w:r>
          </w:p>
        </w:tc>
        <w:tc>
          <w:tcPr>
            <w:tcW w:type="dxa" w:w="864"/>
          </w:tcPr>
          <w:p>
            <w:pPr>
              <w:spacing w:after="20"/>
            </w:pPr>
            <w:r/>
            <w:r>
              <w:rPr>
                <w:b w:val="0"/>
                <w:i w:val="0"/>
                <w:sz w:val="15"/>
              </w:rPr>
              <w:t>4.2</w:t>
            </w:r>
          </w:p>
        </w:tc>
        <w:tc>
          <w:tcPr>
            <w:tcW w:type="dxa" w:w="3024"/>
          </w:tcPr>
          <w:p>
            <w:pPr>
              <w:spacing w:after="20"/>
            </w:pPr>
            <w:r/>
            <w:r>
              <w:rPr>
                <w:b w:val="0"/>
                <w:i w:val="0"/>
                <w:sz w:val="15"/>
              </w:rPr>
              <w:t>Equity 55% → 41.07% (treatment)</w:t>
            </w:r>
          </w:p>
        </w:tc>
        <w:tc>
          <w:tcPr>
            <w:tcW w:type="dxa" w:w="792"/>
          </w:tcPr>
          <w:p>
            <w:pPr>
              <w:spacing w:after="20"/>
            </w:pPr>
            <w:r/>
            <w:r>
              <w:rPr>
                <w:b w:val="0"/>
                <w:i w:val="0"/>
                <w:sz w:val="15"/>
              </w:rPr>
              <w:t>S</w:t>
            </w:r>
          </w:p>
        </w:tc>
        <w:tc>
          <w:tcPr>
            <w:tcW w:type="dxa" w:w="4680"/>
          </w:tcPr>
          <w:p>
            <w:pPr>
              <w:spacing w:after="20"/>
            </w:pPr>
            <w:r/>
            <w:r>
              <w:rPr>
                <w:b w:val="0"/>
                <w:i w:val="0"/>
                <w:sz w:val="15"/>
              </w:rPr>
              <w:t>As #6; also reject the untracked “valued at ~$60M” recital.</w:t>
            </w:r>
          </w:p>
        </w:tc>
      </w:tr>
      <w:tr>
        <w:tc>
          <w:tcPr>
            <w:tcW w:type="dxa" w:w="432"/>
          </w:tcPr>
          <w:p>
            <w:pPr>
              <w:spacing w:after="20"/>
            </w:pPr>
            <w:r/>
            <w:r>
              <w:rPr>
                <w:b w:val="0"/>
                <w:i w:val="0"/>
                <w:sz w:val="15"/>
              </w:rPr>
              <w:t>20</w:t>
            </w:r>
          </w:p>
        </w:tc>
        <w:tc>
          <w:tcPr>
            <w:tcW w:type="dxa" w:w="864"/>
          </w:tcPr>
          <w:p>
            <w:pPr>
              <w:spacing w:after="20"/>
            </w:pPr>
            <w:r/>
            <w:r>
              <w:rPr>
                <w:b w:val="0"/>
                <w:i w:val="0"/>
                <w:sz w:val="15"/>
              </w:rPr>
              <w:t>4.3(a)</w:t>
            </w:r>
          </w:p>
        </w:tc>
        <w:tc>
          <w:tcPr>
            <w:tcW w:type="dxa" w:w="3024"/>
          </w:tcPr>
          <w:p>
            <w:pPr>
              <w:spacing w:after="20"/>
            </w:pPr>
            <w:r/>
            <w:r>
              <w:rPr>
                <w:b w:val="0"/>
                <w:i w:val="0"/>
                <w:sz w:val="15"/>
              </w:rPr>
              <w:t>Effective Date distribution $9.35M → $21.0M</w:t>
            </w:r>
          </w:p>
        </w:tc>
        <w:tc>
          <w:tcPr>
            <w:tcW w:type="dxa" w:w="792"/>
          </w:tcPr>
          <w:p>
            <w:pPr>
              <w:spacing w:after="20"/>
            </w:pPr>
            <w:r/>
            <w:r>
              <w:rPr>
                <w:b w:val="0"/>
                <w:i w:val="0"/>
                <w:sz w:val="15"/>
              </w:rPr>
              <w:t>C</w:t>
            </w:r>
          </w:p>
        </w:tc>
        <w:tc>
          <w:tcPr>
            <w:tcW w:type="dxa" w:w="4680"/>
          </w:tcPr>
          <w:p>
            <w:pPr>
              <w:spacing w:after="20"/>
            </w:pPr>
            <w:r/>
            <w:r>
              <w:rPr>
                <w:b w:val="0"/>
                <w:i w:val="0"/>
                <w:sz w:val="15"/>
              </w:rPr>
              <w:t>Reject; infeasible (VI.A).</w:t>
            </w:r>
          </w:p>
        </w:tc>
      </w:tr>
      <w:tr>
        <w:tc>
          <w:tcPr>
            <w:tcW w:type="dxa" w:w="432"/>
          </w:tcPr>
          <w:p>
            <w:pPr>
              <w:spacing w:after="20"/>
            </w:pPr>
            <w:r/>
            <w:r>
              <w:rPr>
                <w:b w:val="0"/>
                <w:i w:val="0"/>
                <w:sz w:val="15"/>
              </w:rPr>
              <w:t>21</w:t>
            </w:r>
          </w:p>
        </w:tc>
        <w:tc>
          <w:tcPr>
            <w:tcW w:type="dxa" w:w="864"/>
          </w:tcPr>
          <w:p>
            <w:pPr>
              <w:spacing w:after="20"/>
            </w:pPr>
            <w:r/>
            <w:r>
              <w:rPr>
                <w:b w:val="0"/>
                <w:i w:val="0"/>
                <w:sz w:val="15"/>
              </w:rPr>
              <w:t>4.3(b)</w:t>
            </w:r>
          </w:p>
        </w:tc>
        <w:tc>
          <w:tcPr>
            <w:tcW w:type="dxa" w:w="3024"/>
          </w:tcPr>
          <w:p>
            <w:pPr>
              <w:spacing w:after="20"/>
            </w:pPr>
            <w:r/>
            <w:r>
              <w:rPr>
                <w:b w:val="0"/>
                <w:i w:val="0"/>
                <w:sz w:val="15"/>
              </w:rPr>
              <w:t>Anniversary $9.35M → $7.0M plus interest</w:t>
            </w:r>
          </w:p>
        </w:tc>
        <w:tc>
          <w:tcPr>
            <w:tcW w:type="dxa" w:w="792"/>
          </w:tcPr>
          <w:p>
            <w:pPr>
              <w:spacing w:after="20"/>
            </w:pPr>
            <w:r/>
            <w:r>
              <w:rPr>
                <w:b w:val="0"/>
                <w:i w:val="0"/>
                <w:sz w:val="15"/>
              </w:rPr>
              <w:t>C</w:t>
            </w:r>
          </w:p>
        </w:tc>
        <w:tc>
          <w:tcPr>
            <w:tcW w:type="dxa" w:w="4680"/>
          </w:tcPr>
          <w:p>
            <w:pPr>
              <w:spacing w:after="20"/>
            </w:pPr>
            <w:r/>
            <w:r>
              <w:rPr>
                <w:b w:val="0"/>
                <w:i w:val="0"/>
                <w:sz w:val="15"/>
              </w:rPr>
              <w:t>Counter (VI.F).</w:t>
            </w:r>
          </w:p>
        </w:tc>
      </w:tr>
      <w:tr>
        <w:tc>
          <w:tcPr>
            <w:tcW w:type="dxa" w:w="432"/>
          </w:tcPr>
          <w:p>
            <w:pPr>
              <w:spacing w:after="20"/>
            </w:pPr>
            <w:r/>
            <w:r>
              <w:rPr>
                <w:b w:val="0"/>
                <w:i w:val="0"/>
                <w:sz w:val="15"/>
              </w:rPr>
              <w:t>22</w:t>
            </w:r>
          </w:p>
        </w:tc>
        <w:tc>
          <w:tcPr>
            <w:tcW w:type="dxa" w:w="864"/>
          </w:tcPr>
          <w:p>
            <w:pPr>
              <w:spacing w:after="20"/>
            </w:pPr>
            <w:r/>
            <w:r>
              <w:rPr>
                <w:b w:val="0"/>
                <w:i w:val="0"/>
                <w:sz w:val="15"/>
              </w:rPr>
              <w:t>4.3(c)</w:t>
            </w:r>
          </w:p>
        </w:tc>
        <w:tc>
          <w:tcPr>
            <w:tcW w:type="dxa" w:w="3024"/>
          </w:tcPr>
          <w:p>
            <w:pPr>
              <w:spacing w:after="20"/>
            </w:pPr>
            <w:r/>
            <w:r>
              <w:rPr>
                <w:b w:val="0"/>
                <w:i w:val="0"/>
                <w:sz w:val="15"/>
              </w:rPr>
              <w:t>100% of avoidance proceeds to GUCs</w:t>
            </w:r>
          </w:p>
        </w:tc>
        <w:tc>
          <w:tcPr>
            <w:tcW w:type="dxa" w:w="792"/>
          </w:tcPr>
          <w:p>
            <w:pPr>
              <w:spacing w:after="20"/>
            </w:pPr>
            <w:r/>
            <w:r>
              <w:rPr>
                <w:b w:val="0"/>
                <w:i w:val="0"/>
                <w:sz w:val="15"/>
              </w:rPr>
              <w:t>S</w:t>
            </w:r>
          </w:p>
        </w:tc>
        <w:tc>
          <w:tcPr>
            <w:tcW w:type="dxa" w:w="4680"/>
          </w:tcPr>
          <w:p>
            <w:pPr>
              <w:spacing w:after="20"/>
            </w:pPr>
            <w:r/>
            <w:r>
              <w:rPr>
                <w:b w:val="0"/>
                <w:i w:val="0"/>
                <w:sz w:val="15"/>
              </w:rPr>
              <w:t>Counter (V.A-4).</w:t>
            </w:r>
          </w:p>
        </w:tc>
      </w:tr>
      <w:tr>
        <w:tc>
          <w:tcPr>
            <w:tcW w:type="dxa" w:w="432"/>
          </w:tcPr>
          <w:p>
            <w:pPr>
              <w:spacing w:after="20"/>
            </w:pPr>
            <w:r/>
            <w:r>
              <w:rPr>
                <w:b w:val="0"/>
                <w:i w:val="0"/>
                <w:sz w:val="15"/>
              </w:rPr>
              <w:t>23</w:t>
            </w:r>
          </w:p>
        </w:tc>
        <w:tc>
          <w:tcPr>
            <w:tcW w:type="dxa" w:w="864"/>
          </w:tcPr>
          <w:p>
            <w:pPr>
              <w:spacing w:after="20"/>
            </w:pPr>
            <w:r/>
            <w:r>
              <w:rPr>
                <w:b w:val="0"/>
                <w:i w:val="0"/>
                <w:sz w:val="15"/>
              </w:rPr>
              <w:t>5.1</w:t>
            </w:r>
          </w:p>
        </w:tc>
        <w:tc>
          <w:tcPr>
            <w:tcW w:type="dxa" w:w="3024"/>
          </w:tcPr>
          <w:p>
            <w:pPr>
              <w:spacing w:after="20"/>
            </w:pPr>
            <w:r/>
            <w:r>
              <w:rPr>
                <w:b w:val="0"/>
                <w:i w:val="0"/>
                <w:sz w:val="15"/>
              </w:rPr>
              <w:t>Voting eligibility clarification</w:t>
            </w:r>
          </w:p>
        </w:tc>
        <w:tc>
          <w:tcPr>
            <w:tcW w:type="dxa" w:w="792"/>
          </w:tcPr>
          <w:p>
            <w:pPr>
              <w:spacing w:after="20"/>
            </w:pPr>
            <w:r/>
            <w:r>
              <w:rPr>
                <w:b w:val="0"/>
                <w:i w:val="0"/>
                <w:sz w:val="15"/>
              </w:rPr>
              <w:t>Co</w:t>
            </w:r>
          </w:p>
        </w:tc>
        <w:tc>
          <w:tcPr>
            <w:tcW w:type="dxa" w:w="4680"/>
          </w:tcPr>
          <w:p>
            <w:pPr>
              <w:spacing w:after="20"/>
            </w:pPr>
            <w:r/>
            <w:r>
              <w:rPr>
                <w:b w:val="0"/>
                <w:i w:val="0"/>
                <w:sz w:val="15"/>
              </w:rPr>
              <w:t>Surplusage with an ambiguity risk. Reject.</w:t>
            </w:r>
          </w:p>
        </w:tc>
      </w:tr>
      <w:tr>
        <w:tc>
          <w:tcPr>
            <w:tcW w:type="dxa" w:w="432"/>
          </w:tcPr>
          <w:p>
            <w:pPr>
              <w:spacing w:after="20"/>
            </w:pPr>
            <w:r/>
            <w:r>
              <w:rPr>
                <w:b w:val="0"/>
                <w:i w:val="0"/>
                <w:sz w:val="15"/>
              </w:rPr>
              <w:t>24</w:t>
            </w:r>
          </w:p>
        </w:tc>
        <w:tc>
          <w:tcPr>
            <w:tcW w:type="dxa" w:w="864"/>
          </w:tcPr>
          <w:p>
            <w:pPr>
              <w:spacing w:after="20"/>
            </w:pPr>
            <w:r/>
            <w:r>
              <w:rPr>
                <w:b w:val="0"/>
                <w:i w:val="0"/>
                <w:sz w:val="15"/>
              </w:rPr>
              <w:t>6.3</w:t>
            </w:r>
          </w:p>
        </w:tc>
        <w:tc>
          <w:tcPr>
            <w:tcW w:type="dxa" w:w="3024"/>
          </w:tcPr>
          <w:p>
            <w:pPr>
              <w:spacing w:after="20"/>
            </w:pPr>
            <w:r/>
            <w:r>
              <w:rPr>
                <w:b w:val="0"/>
                <w:i w:val="0"/>
                <w:sz w:val="15"/>
              </w:rPr>
              <w:t>Issuance 55/45 → 41.07/58.93</w:t>
            </w:r>
          </w:p>
        </w:tc>
        <w:tc>
          <w:tcPr>
            <w:tcW w:type="dxa" w:w="792"/>
          </w:tcPr>
          <w:p>
            <w:pPr>
              <w:spacing w:after="20"/>
            </w:pPr>
            <w:r/>
            <w:r>
              <w:rPr>
                <w:b w:val="0"/>
                <w:i w:val="0"/>
                <w:sz w:val="15"/>
              </w:rPr>
              <w:t>C</w:t>
            </w:r>
          </w:p>
        </w:tc>
        <w:tc>
          <w:tcPr>
            <w:tcW w:type="dxa" w:w="4680"/>
          </w:tcPr>
          <w:p>
            <w:pPr>
              <w:spacing w:after="20"/>
            </w:pPr>
            <w:r/>
            <w:r>
              <w:rPr>
                <w:b w:val="0"/>
                <w:i w:val="0"/>
                <w:sz w:val="15"/>
              </w:rPr>
              <w:t>As #6; fix the unissued-residual drafting.</w:t>
            </w:r>
          </w:p>
        </w:tc>
      </w:tr>
      <w:tr>
        <w:tc>
          <w:tcPr>
            <w:tcW w:type="dxa" w:w="432"/>
          </w:tcPr>
          <w:p>
            <w:pPr>
              <w:spacing w:after="20"/>
            </w:pPr>
            <w:r/>
            <w:r>
              <w:rPr>
                <w:b w:val="0"/>
                <w:i w:val="0"/>
                <w:sz w:val="15"/>
              </w:rPr>
              <w:t>25</w:t>
            </w:r>
          </w:p>
        </w:tc>
        <w:tc>
          <w:tcPr>
            <w:tcW w:type="dxa" w:w="864"/>
          </w:tcPr>
          <w:p>
            <w:pPr>
              <w:spacing w:after="20"/>
            </w:pPr>
            <w:r/>
            <w:r>
              <w:rPr>
                <w:b w:val="0"/>
                <w:i w:val="0"/>
                <w:sz w:val="15"/>
              </w:rPr>
              <w:t>6.4</w:t>
            </w:r>
          </w:p>
        </w:tc>
        <w:tc>
          <w:tcPr>
            <w:tcW w:type="dxa" w:w="3024"/>
          </w:tcPr>
          <w:p>
            <w:pPr>
              <w:spacing w:after="20"/>
            </w:pPr>
            <w:r/>
            <w:r>
              <w:rPr>
                <w:b w:val="0"/>
                <w:i w:val="0"/>
                <w:sz w:val="15"/>
              </w:rPr>
              <w:t>MIP implementation 7%</w:t>
            </w:r>
          </w:p>
        </w:tc>
        <w:tc>
          <w:tcPr>
            <w:tcW w:type="dxa" w:w="792"/>
          </w:tcPr>
          <w:p>
            <w:pPr>
              <w:spacing w:after="20"/>
            </w:pPr>
            <w:r/>
            <w:r>
              <w:rPr>
                <w:b w:val="0"/>
                <w:i w:val="0"/>
                <w:sz w:val="15"/>
              </w:rPr>
              <w:t>C</w:t>
            </w:r>
          </w:p>
        </w:tc>
        <w:tc>
          <w:tcPr>
            <w:tcW w:type="dxa" w:w="4680"/>
          </w:tcPr>
          <w:p>
            <w:pPr>
              <w:spacing w:after="20"/>
            </w:pPr>
            <w:r/>
            <w:r>
              <w:rPr>
                <w:b w:val="0"/>
                <w:i w:val="0"/>
                <w:sz w:val="15"/>
              </w:rPr>
              <w:t>As #11.</w:t>
            </w:r>
          </w:p>
        </w:tc>
      </w:tr>
      <w:tr>
        <w:tc>
          <w:tcPr>
            <w:tcW w:type="dxa" w:w="432"/>
          </w:tcPr>
          <w:p>
            <w:pPr>
              <w:spacing w:after="20"/>
            </w:pPr>
            <w:r/>
            <w:r>
              <w:rPr>
                <w:b w:val="0"/>
                <w:i w:val="0"/>
                <w:sz w:val="15"/>
              </w:rPr>
              <w:t>26</w:t>
            </w:r>
          </w:p>
        </w:tc>
        <w:tc>
          <w:tcPr>
            <w:tcW w:type="dxa" w:w="864"/>
          </w:tcPr>
          <w:p>
            <w:pPr>
              <w:spacing w:after="20"/>
            </w:pPr>
            <w:r/>
            <w:r>
              <w:rPr>
                <w:b w:val="0"/>
                <w:i w:val="0"/>
                <w:sz w:val="15"/>
              </w:rPr>
              <w:t>6.5</w:t>
            </w:r>
          </w:p>
        </w:tc>
        <w:tc>
          <w:tcPr>
            <w:tcW w:type="dxa" w:w="3024"/>
          </w:tcPr>
          <w:p>
            <w:pPr>
              <w:spacing w:after="20"/>
            </w:pPr>
            <w:r/>
            <w:r>
              <w:rPr>
                <w:b w:val="0"/>
                <w:i w:val="0"/>
                <w:sz w:val="15"/>
              </w:rPr>
              <w:t>Board 3-1-1 → 2-2-1</w:t>
            </w:r>
          </w:p>
        </w:tc>
        <w:tc>
          <w:tcPr>
            <w:tcW w:type="dxa" w:w="792"/>
          </w:tcPr>
          <w:p>
            <w:pPr>
              <w:spacing w:after="20"/>
            </w:pPr>
            <w:r/>
            <w:r>
              <w:rPr>
                <w:b w:val="0"/>
                <w:i w:val="0"/>
                <w:sz w:val="15"/>
              </w:rPr>
              <w:t>C</w:t>
            </w:r>
          </w:p>
        </w:tc>
        <w:tc>
          <w:tcPr>
            <w:tcW w:type="dxa" w:w="4680"/>
          </w:tcPr>
          <w:p>
            <w:pPr>
              <w:spacing w:after="20"/>
            </w:pPr>
            <w:r/>
            <w:r>
              <w:rPr>
                <w:b w:val="0"/>
                <w:i w:val="0"/>
                <w:sz w:val="15"/>
              </w:rPr>
              <w:t>Counter (V.C-1).</w:t>
            </w:r>
          </w:p>
        </w:tc>
      </w:tr>
      <w:tr>
        <w:tc>
          <w:tcPr>
            <w:tcW w:type="dxa" w:w="432"/>
          </w:tcPr>
          <w:p>
            <w:pPr>
              <w:spacing w:after="20"/>
            </w:pPr>
            <w:r/>
            <w:r>
              <w:rPr>
                <w:b w:val="0"/>
                <w:i w:val="0"/>
                <w:sz w:val="15"/>
              </w:rPr>
              <w:t>27</w:t>
            </w:r>
          </w:p>
        </w:tc>
        <w:tc>
          <w:tcPr>
            <w:tcW w:type="dxa" w:w="864"/>
          </w:tcPr>
          <w:p>
            <w:pPr>
              <w:spacing w:after="20"/>
            </w:pPr>
            <w:r/>
            <w:r>
              <w:rPr>
                <w:b w:val="0"/>
                <w:i w:val="0"/>
                <w:sz w:val="15"/>
              </w:rPr>
              <w:t>6.6</w:t>
            </w:r>
          </w:p>
        </w:tc>
        <w:tc>
          <w:tcPr>
            <w:tcW w:type="dxa" w:w="3024"/>
          </w:tcPr>
          <w:p>
            <w:pPr>
              <w:spacing w:after="20"/>
            </w:pPr>
            <w:r/>
            <w:r>
              <w:rPr>
                <w:b w:val="0"/>
                <w:i w:val="0"/>
                <w:sz w:val="15"/>
              </w:rPr>
              <w:t>Retention section stricken</w:t>
            </w:r>
          </w:p>
        </w:tc>
        <w:tc>
          <w:tcPr>
            <w:tcW w:type="dxa" w:w="792"/>
          </w:tcPr>
          <w:p>
            <w:pPr>
              <w:spacing w:after="20"/>
            </w:pPr>
            <w:r/>
            <w:r>
              <w:rPr>
                <w:b w:val="0"/>
                <w:i w:val="0"/>
                <w:sz w:val="15"/>
              </w:rPr>
              <w:t>S</w:t>
            </w:r>
          </w:p>
        </w:tc>
        <w:tc>
          <w:tcPr>
            <w:tcW w:type="dxa" w:w="4680"/>
          </w:tcPr>
          <w:p>
            <w:pPr>
              <w:spacing w:after="20"/>
            </w:pPr>
            <w:r/>
            <w:r>
              <w:rPr>
                <w:b w:val="0"/>
                <w:i w:val="0"/>
                <w:sz w:val="15"/>
              </w:rPr>
              <w:t>Accept-Mod: restructure (V.A-7).</w:t>
            </w:r>
          </w:p>
        </w:tc>
      </w:tr>
      <w:tr>
        <w:tc>
          <w:tcPr>
            <w:tcW w:type="dxa" w:w="432"/>
          </w:tcPr>
          <w:p>
            <w:pPr>
              <w:spacing w:after="20"/>
            </w:pPr>
            <w:r/>
            <w:r>
              <w:rPr>
                <w:b w:val="0"/>
                <w:i w:val="0"/>
                <w:sz w:val="15"/>
              </w:rPr>
              <w:t>28</w:t>
            </w:r>
          </w:p>
        </w:tc>
        <w:tc>
          <w:tcPr>
            <w:tcW w:type="dxa" w:w="864"/>
          </w:tcPr>
          <w:p>
            <w:pPr>
              <w:spacing w:after="20"/>
            </w:pPr>
            <w:r/>
            <w:r>
              <w:rPr>
                <w:b w:val="0"/>
                <w:i w:val="0"/>
                <w:sz w:val="15"/>
              </w:rPr>
              <w:t>6.7(a)</w:t>
            </w:r>
          </w:p>
        </w:tc>
        <w:tc>
          <w:tcPr>
            <w:tcW w:type="dxa" w:w="3024"/>
          </w:tcPr>
          <w:p>
            <w:pPr>
              <w:spacing w:after="20"/>
            </w:pPr>
            <w:r/>
            <w:r>
              <w:rPr>
                <w:b w:val="0"/>
                <w:i w:val="0"/>
                <w:sz w:val="15"/>
              </w:rPr>
              <w:t>Trustee selected by the Committee</w:t>
            </w:r>
          </w:p>
        </w:tc>
        <w:tc>
          <w:tcPr>
            <w:tcW w:type="dxa" w:w="792"/>
          </w:tcPr>
          <w:p>
            <w:pPr>
              <w:spacing w:after="20"/>
            </w:pPr>
            <w:r/>
            <w:r>
              <w:rPr>
                <w:b w:val="0"/>
                <w:i w:val="0"/>
                <w:sz w:val="15"/>
              </w:rPr>
              <w:t>C</w:t>
            </w:r>
          </w:p>
        </w:tc>
        <w:tc>
          <w:tcPr>
            <w:tcW w:type="dxa" w:w="4680"/>
          </w:tcPr>
          <w:p>
            <w:pPr>
              <w:spacing w:after="20"/>
            </w:pPr>
            <w:r/>
            <w:r>
              <w:rPr>
                <w:b w:val="0"/>
                <w:i w:val="0"/>
                <w:sz w:val="15"/>
              </w:rPr>
              <w:t>Counter: independent, joint selection (V.C-2).</w:t>
            </w:r>
          </w:p>
        </w:tc>
      </w:tr>
      <w:tr>
        <w:tc>
          <w:tcPr>
            <w:tcW w:type="dxa" w:w="432"/>
          </w:tcPr>
          <w:p>
            <w:pPr>
              <w:spacing w:after="20"/>
            </w:pPr>
            <w:r/>
            <w:r>
              <w:rPr>
                <w:b w:val="0"/>
                <w:i w:val="0"/>
                <w:sz w:val="15"/>
              </w:rPr>
              <w:t>29</w:t>
            </w:r>
          </w:p>
        </w:tc>
        <w:tc>
          <w:tcPr>
            <w:tcW w:type="dxa" w:w="864"/>
          </w:tcPr>
          <w:p>
            <w:pPr>
              <w:spacing w:after="20"/>
            </w:pPr>
            <w:r/>
            <w:r>
              <w:rPr>
                <w:b w:val="0"/>
                <w:i w:val="0"/>
                <w:sz w:val="15"/>
              </w:rPr>
              <w:t>6.7(c)</w:t>
            </w:r>
          </w:p>
        </w:tc>
        <w:tc>
          <w:tcPr>
            <w:tcW w:type="dxa" w:w="3024"/>
          </w:tcPr>
          <w:p>
            <w:pPr>
              <w:spacing w:after="20"/>
            </w:pPr>
            <w:r/>
            <w:r>
              <w:rPr>
                <w:b w:val="0"/>
                <w:i w:val="0"/>
                <w:sz w:val="15"/>
              </w:rPr>
              <w:t>Trust distributes proceeds to GUCs</w:t>
            </w:r>
          </w:p>
        </w:tc>
        <w:tc>
          <w:tcPr>
            <w:tcW w:type="dxa" w:w="792"/>
          </w:tcPr>
          <w:p>
            <w:pPr>
              <w:spacing w:after="20"/>
            </w:pPr>
            <w:r/>
            <w:r>
              <w:rPr>
                <w:b w:val="0"/>
                <w:i w:val="0"/>
                <w:sz w:val="15"/>
              </w:rPr>
              <w:t>S</w:t>
            </w:r>
          </w:p>
        </w:tc>
        <w:tc>
          <w:tcPr>
            <w:tcW w:type="dxa" w:w="4680"/>
          </w:tcPr>
          <w:p>
            <w:pPr>
              <w:spacing w:after="20"/>
            </w:pPr>
            <w:r/>
            <w:r>
              <w:rPr>
                <w:b w:val="0"/>
                <w:i w:val="0"/>
                <w:sz w:val="15"/>
              </w:rPr>
              <w:t>Counter; mechanics conformed to the agreed split.</w:t>
            </w:r>
          </w:p>
        </w:tc>
      </w:tr>
      <w:tr>
        <w:tc>
          <w:tcPr>
            <w:tcW w:type="dxa" w:w="432"/>
          </w:tcPr>
          <w:p>
            <w:pPr>
              <w:spacing w:after="20"/>
            </w:pPr>
            <w:r/>
            <w:r>
              <w:rPr>
                <w:b w:val="0"/>
                <w:i w:val="0"/>
                <w:sz w:val="15"/>
              </w:rPr>
              <w:t>30</w:t>
            </w:r>
          </w:p>
        </w:tc>
        <w:tc>
          <w:tcPr>
            <w:tcW w:type="dxa" w:w="864"/>
          </w:tcPr>
          <w:p>
            <w:pPr>
              <w:spacing w:after="20"/>
            </w:pPr>
            <w:r/>
            <w:r>
              <w:rPr>
                <w:b w:val="0"/>
                <w:i w:val="0"/>
                <w:sz w:val="15"/>
              </w:rPr>
              <w:t>7.2</w:t>
            </w:r>
          </w:p>
        </w:tc>
        <w:tc>
          <w:tcPr>
            <w:tcW w:type="dxa" w:w="3024"/>
          </w:tcPr>
          <w:p>
            <w:pPr>
              <w:spacing w:after="20"/>
            </w:pPr>
            <w:r/>
            <w:r>
              <w:rPr>
                <w:b w:val="0"/>
                <w:i w:val="0"/>
                <w:sz w:val="15"/>
              </w:rPr>
              <w:t>“Material net burden” rejection standard</w:t>
            </w:r>
          </w:p>
        </w:tc>
        <w:tc>
          <w:tcPr>
            <w:tcW w:type="dxa" w:w="792"/>
          </w:tcPr>
          <w:p>
            <w:pPr>
              <w:spacing w:after="20"/>
            </w:pPr>
            <w:r/>
            <w:r>
              <w:rPr>
                <w:b w:val="0"/>
                <w:i w:val="0"/>
                <w:sz w:val="15"/>
              </w:rPr>
              <w:t>C</w:t>
            </w:r>
          </w:p>
        </w:tc>
        <w:tc>
          <w:tcPr>
            <w:tcW w:type="dxa" w:w="4680"/>
          </w:tcPr>
          <w:p>
            <w:pPr>
              <w:spacing w:after="20"/>
            </w:pPr>
            <w:r/>
            <w:r>
              <w:rPr>
                <w:b w:val="0"/>
                <w:i w:val="0"/>
                <w:sz w:val="15"/>
              </w:rPr>
              <w:t>Reject (V.D-1).</w:t>
            </w:r>
          </w:p>
        </w:tc>
      </w:tr>
      <w:tr>
        <w:tc>
          <w:tcPr>
            <w:tcW w:type="dxa" w:w="432"/>
          </w:tcPr>
          <w:p>
            <w:pPr>
              <w:spacing w:after="20"/>
            </w:pPr>
            <w:r/>
            <w:r>
              <w:rPr>
                <w:b w:val="0"/>
                <w:i w:val="0"/>
                <w:sz w:val="15"/>
              </w:rPr>
              <w:t>31</w:t>
            </w:r>
          </w:p>
        </w:tc>
        <w:tc>
          <w:tcPr>
            <w:tcW w:type="dxa" w:w="864"/>
          </w:tcPr>
          <w:p>
            <w:pPr>
              <w:spacing w:after="20"/>
            </w:pPr>
            <w:r/>
            <w:r>
              <w:rPr>
                <w:b w:val="0"/>
                <w:i w:val="0"/>
                <w:sz w:val="15"/>
              </w:rPr>
              <w:t>8.1</w:t>
            </w:r>
          </w:p>
        </w:tc>
        <w:tc>
          <w:tcPr>
            <w:tcW w:type="dxa" w:w="3024"/>
          </w:tcPr>
          <w:p>
            <w:pPr>
              <w:spacing w:after="20"/>
            </w:pPr>
            <w:r/>
            <w:r>
              <w:rPr>
                <w:b w:val="0"/>
                <w:i w:val="0"/>
                <w:sz w:val="15"/>
              </w:rPr>
              <w:t>Dividend Recap carve-out from Debtor release</w:t>
            </w:r>
          </w:p>
        </w:tc>
        <w:tc>
          <w:tcPr>
            <w:tcW w:type="dxa" w:w="792"/>
          </w:tcPr>
          <w:p>
            <w:pPr>
              <w:spacing w:after="20"/>
            </w:pPr>
            <w:r/>
            <w:r>
              <w:rPr>
                <w:b w:val="0"/>
                <w:i w:val="0"/>
                <w:sz w:val="15"/>
              </w:rPr>
              <w:t>S</w:t>
            </w:r>
          </w:p>
        </w:tc>
        <w:tc>
          <w:tcPr>
            <w:tcW w:type="dxa" w:w="4680"/>
          </w:tcPr>
          <w:p>
            <w:pPr>
              <w:spacing w:after="20"/>
            </w:pPr>
            <w:r/>
            <w:r>
              <w:rPr>
                <w:b w:val="0"/>
                <w:i w:val="0"/>
                <w:sz w:val="15"/>
              </w:rPr>
              <w:t>Counter, with Timberline (V.B-2; VII.2).</w:t>
            </w:r>
          </w:p>
        </w:tc>
      </w:tr>
      <w:tr>
        <w:tc>
          <w:tcPr>
            <w:tcW w:type="dxa" w:w="432"/>
          </w:tcPr>
          <w:p>
            <w:pPr>
              <w:spacing w:after="20"/>
            </w:pPr>
            <w:r/>
            <w:r>
              <w:rPr>
                <w:b w:val="0"/>
                <w:i w:val="0"/>
                <w:sz w:val="15"/>
              </w:rPr>
              <w:t>32</w:t>
            </w:r>
          </w:p>
        </w:tc>
        <w:tc>
          <w:tcPr>
            <w:tcW w:type="dxa" w:w="864"/>
          </w:tcPr>
          <w:p>
            <w:pPr>
              <w:spacing w:after="20"/>
            </w:pPr>
            <w:r/>
            <w:r>
              <w:rPr>
                <w:b w:val="0"/>
                <w:i w:val="0"/>
                <w:sz w:val="15"/>
              </w:rPr>
              <w:t>8.2(b)</w:t>
            </w:r>
          </w:p>
        </w:tc>
        <w:tc>
          <w:tcPr>
            <w:tcW w:type="dxa" w:w="3024"/>
          </w:tcPr>
          <w:p>
            <w:pPr>
              <w:spacing w:after="20"/>
            </w:pPr>
            <w:r/>
            <w:r>
              <w:rPr>
                <w:b w:val="0"/>
                <w:i w:val="0"/>
                <w:sz w:val="15"/>
              </w:rPr>
              <w:t>Strike non-consensual releases</w:t>
            </w:r>
          </w:p>
        </w:tc>
        <w:tc>
          <w:tcPr>
            <w:tcW w:type="dxa" w:w="792"/>
          </w:tcPr>
          <w:p>
            <w:pPr>
              <w:spacing w:after="20"/>
            </w:pPr>
            <w:r/>
            <w:r>
              <w:rPr>
                <w:b w:val="0"/>
                <w:i w:val="0"/>
                <w:sz w:val="15"/>
              </w:rPr>
              <w:t>S</w:t>
            </w:r>
          </w:p>
        </w:tc>
        <w:tc>
          <w:tcPr>
            <w:tcW w:type="dxa" w:w="4680"/>
          </w:tcPr>
          <w:p>
            <w:pPr>
              <w:spacing w:after="20"/>
            </w:pPr>
            <w:r/>
            <w:r>
              <w:rPr>
                <w:b w:val="0"/>
                <w:i w:val="0"/>
                <w:sz w:val="15"/>
              </w:rPr>
              <w:t>Accept; recast as consensual (VII.1).</w:t>
            </w:r>
          </w:p>
        </w:tc>
      </w:tr>
      <w:tr>
        <w:tc>
          <w:tcPr>
            <w:tcW w:type="dxa" w:w="432"/>
          </w:tcPr>
          <w:p>
            <w:pPr>
              <w:spacing w:after="20"/>
            </w:pPr>
            <w:r/>
            <w:r>
              <w:rPr>
                <w:b w:val="0"/>
                <w:i w:val="0"/>
                <w:sz w:val="15"/>
              </w:rPr>
              <w:t>33</w:t>
            </w:r>
          </w:p>
        </w:tc>
        <w:tc>
          <w:tcPr>
            <w:tcW w:type="dxa" w:w="864"/>
          </w:tcPr>
          <w:p>
            <w:pPr>
              <w:spacing w:after="20"/>
            </w:pPr>
            <w:r/>
            <w:r>
              <w:rPr>
                <w:b w:val="0"/>
                <w:i w:val="0"/>
                <w:sz w:val="15"/>
              </w:rPr>
              <w:t>8.4</w:t>
            </w:r>
          </w:p>
        </w:tc>
        <w:tc>
          <w:tcPr>
            <w:tcW w:type="dxa" w:w="3024"/>
          </w:tcPr>
          <w:p>
            <w:pPr>
              <w:spacing w:after="20"/>
            </w:pPr>
            <w:r/>
            <w:r>
              <w:rPr>
                <w:b w:val="0"/>
                <w:i w:val="0"/>
                <w:sz w:val="15"/>
              </w:rPr>
              <w:t>Injunction exception</w:t>
            </w:r>
          </w:p>
        </w:tc>
        <w:tc>
          <w:tcPr>
            <w:tcW w:type="dxa" w:w="792"/>
          </w:tcPr>
          <w:p>
            <w:pPr>
              <w:spacing w:after="20"/>
            </w:pPr>
            <w:r/>
            <w:r>
              <w:rPr>
                <w:b w:val="0"/>
                <w:i w:val="0"/>
                <w:sz w:val="15"/>
              </w:rPr>
              <w:t>C</w:t>
            </w:r>
          </w:p>
        </w:tc>
        <w:tc>
          <w:tcPr>
            <w:tcW w:type="dxa" w:w="4680"/>
          </w:tcPr>
          <w:p>
            <w:pPr>
              <w:spacing w:after="20"/>
            </w:pPr>
            <w:r/>
            <w:r>
              <w:rPr>
                <w:b w:val="0"/>
                <w:i w:val="0"/>
                <w:sz w:val="15"/>
              </w:rPr>
              <w:t>Accept-Mod: estate claims vested in the trust only.</w:t>
            </w:r>
          </w:p>
        </w:tc>
      </w:tr>
      <w:tr>
        <w:tc>
          <w:tcPr>
            <w:tcW w:type="dxa" w:w="432"/>
          </w:tcPr>
          <w:p>
            <w:pPr>
              <w:spacing w:after="20"/>
            </w:pPr>
            <w:r/>
            <w:r>
              <w:rPr>
                <w:b w:val="0"/>
                <w:i w:val="0"/>
                <w:sz w:val="15"/>
              </w:rPr>
              <w:t>34</w:t>
            </w:r>
          </w:p>
        </w:tc>
        <w:tc>
          <w:tcPr>
            <w:tcW w:type="dxa" w:w="864"/>
          </w:tcPr>
          <w:p>
            <w:pPr>
              <w:spacing w:after="20"/>
            </w:pPr>
            <w:r/>
            <w:r>
              <w:rPr>
                <w:b w:val="0"/>
                <w:i w:val="0"/>
                <w:sz w:val="15"/>
              </w:rPr>
              <w:t>9.1(g)</w:t>
            </w:r>
          </w:p>
        </w:tc>
        <w:tc>
          <w:tcPr>
            <w:tcW w:type="dxa" w:w="3024"/>
          </w:tcPr>
          <w:p>
            <w:pPr>
              <w:spacing w:after="20"/>
            </w:pPr>
            <w:r/>
            <w:r>
              <w:rPr>
                <w:b w:val="0"/>
                <w:i w:val="0"/>
                <w:sz w:val="15"/>
              </w:rPr>
              <w:t>Supplemental disclosure condition precedent</w:t>
            </w:r>
          </w:p>
        </w:tc>
        <w:tc>
          <w:tcPr>
            <w:tcW w:type="dxa" w:w="792"/>
          </w:tcPr>
          <w:p>
            <w:pPr>
              <w:spacing w:after="20"/>
            </w:pPr>
            <w:r/>
            <w:r>
              <w:rPr>
                <w:b w:val="0"/>
                <w:i w:val="0"/>
                <w:sz w:val="15"/>
              </w:rPr>
              <w:t>S</w:t>
            </w:r>
          </w:p>
        </w:tc>
        <w:tc>
          <w:tcPr>
            <w:tcW w:type="dxa" w:w="4680"/>
          </w:tcPr>
          <w:p>
            <w:pPr>
              <w:spacing w:after="20"/>
            </w:pPr>
            <w:r/>
            <w:r>
              <w:rPr>
                <w:b w:val="0"/>
                <w:i w:val="0"/>
                <w:sz w:val="15"/>
              </w:rPr>
              <w:t>Reject; offer DS expansion before June 12 (VII.3).</w:t>
            </w:r>
          </w:p>
        </w:tc>
      </w:tr>
      <w:tr>
        <w:tc>
          <w:tcPr>
            <w:tcW w:type="dxa" w:w="432"/>
          </w:tcPr>
          <w:p>
            <w:pPr>
              <w:spacing w:after="20"/>
            </w:pPr>
            <w:r/>
            <w:r>
              <w:rPr>
                <w:b w:val="0"/>
                <w:i w:val="0"/>
                <w:sz w:val="15"/>
              </w:rPr>
              <w:t>35</w:t>
            </w:r>
          </w:p>
        </w:tc>
        <w:tc>
          <w:tcPr>
            <w:tcW w:type="dxa" w:w="864"/>
          </w:tcPr>
          <w:p>
            <w:pPr>
              <w:spacing w:after="20"/>
            </w:pPr>
            <w:r/>
            <w:r>
              <w:rPr>
                <w:b w:val="0"/>
                <w:i w:val="0"/>
                <w:sz w:val="15"/>
              </w:rPr>
              <w:t>9.2</w:t>
            </w:r>
          </w:p>
        </w:tc>
        <w:tc>
          <w:tcPr>
            <w:tcW w:type="dxa" w:w="3024"/>
          </w:tcPr>
          <w:p>
            <w:pPr>
              <w:spacing w:after="20"/>
            </w:pPr>
            <w:r/>
            <w:r>
              <w:rPr>
                <w:b w:val="0"/>
                <w:i w:val="0"/>
                <w:sz w:val="15"/>
              </w:rPr>
              <w:t>Committee veto on waiver</w:t>
            </w:r>
          </w:p>
        </w:tc>
        <w:tc>
          <w:tcPr>
            <w:tcW w:type="dxa" w:w="792"/>
          </w:tcPr>
          <w:p>
            <w:pPr>
              <w:spacing w:after="20"/>
            </w:pPr>
            <w:r/>
            <w:r>
              <w:rPr>
                <w:b w:val="0"/>
                <w:i w:val="0"/>
                <w:sz w:val="15"/>
              </w:rPr>
              <w:t>C</w:t>
            </w:r>
          </w:p>
        </w:tc>
        <w:tc>
          <w:tcPr>
            <w:tcW w:type="dxa" w:w="4680"/>
          </w:tcPr>
          <w:p>
            <w:pPr>
              <w:spacing w:after="20"/>
            </w:pPr>
            <w:r/>
            <w:r>
              <w:rPr>
                <w:b w:val="0"/>
                <w:i w:val="0"/>
                <w:sz w:val="15"/>
              </w:rPr>
              <w:t>Reject.</w:t>
            </w:r>
          </w:p>
        </w:tc>
      </w:tr>
      <w:tr>
        <w:tc>
          <w:tcPr>
            <w:tcW w:type="dxa" w:w="432"/>
          </w:tcPr>
          <w:p>
            <w:pPr>
              <w:spacing w:after="20"/>
            </w:pPr>
            <w:r/>
            <w:r>
              <w:rPr>
                <w:b w:val="0"/>
                <w:i w:val="0"/>
                <w:sz w:val="15"/>
              </w:rPr>
              <w:t>36</w:t>
            </w:r>
          </w:p>
        </w:tc>
        <w:tc>
          <w:tcPr>
            <w:tcW w:type="dxa" w:w="864"/>
          </w:tcPr>
          <w:p>
            <w:pPr>
              <w:spacing w:after="20"/>
            </w:pPr>
            <w:r/>
            <w:r>
              <w:rPr>
                <w:b w:val="0"/>
                <w:i w:val="0"/>
                <w:sz w:val="15"/>
              </w:rPr>
              <w:t>10.3</w:t>
            </w:r>
          </w:p>
        </w:tc>
        <w:tc>
          <w:tcPr>
            <w:tcW w:type="dxa" w:w="3024"/>
          </w:tcPr>
          <w:p>
            <w:pPr>
              <w:spacing w:after="20"/>
            </w:pPr>
            <w:r/>
            <w:r>
              <w:rPr>
                <w:b w:val="0"/>
                <w:i w:val="0"/>
                <w:sz w:val="15"/>
              </w:rPr>
              <w:t>Discharge proviso</w:t>
            </w:r>
          </w:p>
        </w:tc>
        <w:tc>
          <w:tcPr>
            <w:tcW w:type="dxa" w:w="792"/>
          </w:tcPr>
          <w:p>
            <w:pPr>
              <w:spacing w:after="20"/>
            </w:pPr>
            <w:r/>
            <w:r>
              <w:rPr>
                <w:b w:val="0"/>
                <w:i w:val="0"/>
                <w:sz w:val="15"/>
              </w:rPr>
              <w:t>C</w:t>
            </w:r>
          </w:p>
        </w:tc>
        <w:tc>
          <w:tcPr>
            <w:tcW w:type="dxa" w:w="4680"/>
          </w:tcPr>
          <w:p>
            <w:pPr>
              <w:spacing w:after="20"/>
            </w:pPr>
            <w:r/>
            <w:r>
              <w:rPr>
                <w:b w:val="0"/>
                <w:i w:val="0"/>
                <w:sz w:val="15"/>
              </w:rPr>
              <w:t>Reject; risks preserving claims against the Debtor (V.B-6).</w:t>
            </w:r>
          </w:p>
        </w:tc>
      </w:tr>
      <w:tr>
        <w:tc>
          <w:tcPr>
            <w:tcW w:type="dxa" w:w="432"/>
          </w:tcPr>
          <w:p>
            <w:pPr>
              <w:spacing w:after="20"/>
            </w:pPr>
            <w:r/>
            <w:r>
              <w:rPr>
                <w:b w:val="0"/>
                <w:i w:val="0"/>
                <w:sz w:val="15"/>
              </w:rPr>
              <w:t>37</w:t>
            </w:r>
          </w:p>
        </w:tc>
        <w:tc>
          <w:tcPr>
            <w:tcW w:type="dxa" w:w="864"/>
          </w:tcPr>
          <w:p>
            <w:pPr>
              <w:spacing w:after="20"/>
            </w:pPr>
            <w:r/>
            <w:r>
              <w:rPr>
                <w:b w:val="0"/>
                <w:i w:val="0"/>
                <w:sz w:val="15"/>
              </w:rPr>
              <w:t>11.4</w:t>
            </w:r>
          </w:p>
        </w:tc>
        <w:tc>
          <w:tcPr>
            <w:tcW w:type="dxa" w:w="3024"/>
          </w:tcPr>
          <w:p>
            <w:pPr>
              <w:spacing w:after="20"/>
            </w:pPr>
            <w:r/>
            <w:r>
              <w:rPr>
                <w:b w:val="0"/>
                <w:i w:val="0"/>
                <w:sz w:val="15"/>
              </w:rPr>
              <w:t>Jurisdiction over pool disputes</w:t>
            </w:r>
          </w:p>
        </w:tc>
        <w:tc>
          <w:tcPr>
            <w:tcW w:type="dxa" w:w="792"/>
          </w:tcPr>
          <w:p>
            <w:pPr>
              <w:spacing w:after="20"/>
            </w:pPr>
            <w:r/>
            <w:r>
              <w:rPr>
                <w:b w:val="0"/>
                <w:i w:val="0"/>
                <w:sz w:val="15"/>
              </w:rPr>
              <w:t>C</w:t>
            </w:r>
          </w:p>
        </w:tc>
        <w:tc>
          <w:tcPr>
            <w:tcW w:type="dxa" w:w="4680"/>
          </w:tcPr>
          <w:p>
            <w:pPr>
              <w:spacing w:after="20"/>
            </w:pPr>
            <w:r/>
            <w:r>
              <w:rPr>
                <w:b w:val="0"/>
                <w:i w:val="0"/>
                <w:sz w:val="15"/>
              </w:rPr>
              <w:t>Accept if a sharing formula is agreed.</w:t>
            </w:r>
          </w:p>
        </w:tc>
      </w:tr>
      <w:tr>
        <w:tc>
          <w:tcPr>
            <w:tcW w:type="dxa" w:w="432"/>
          </w:tcPr>
          <w:p>
            <w:pPr>
              <w:spacing w:after="20"/>
            </w:pPr>
            <w:r/>
            <w:r>
              <w:rPr>
                <w:b w:val="0"/>
                <w:i w:val="0"/>
                <w:sz w:val="15"/>
              </w:rPr>
              <w:t>38</w:t>
            </w:r>
          </w:p>
        </w:tc>
        <w:tc>
          <w:tcPr>
            <w:tcW w:type="dxa" w:w="864"/>
          </w:tcPr>
          <w:p>
            <w:pPr>
              <w:spacing w:after="20"/>
            </w:pPr>
            <w:r/>
            <w:r>
              <w:rPr>
                <w:b w:val="0"/>
                <w:i w:val="0"/>
                <w:sz w:val="15"/>
              </w:rPr>
              <w:t>11.9</w:t>
            </w:r>
          </w:p>
        </w:tc>
        <w:tc>
          <w:tcPr>
            <w:tcW w:type="dxa" w:w="3024"/>
          </w:tcPr>
          <w:p>
            <w:pPr>
              <w:spacing w:after="20"/>
            </w:pPr>
            <w:r/>
            <w:r>
              <w:rPr>
                <w:b w:val="0"/>
                <w:i w:val="0"/>
                <w:sz w:val="15"/>
              </w:rPr>
              <w:t>Cramdown / absolute priority provision</w:t>
            </w:r>
          </w:p>
        </w:tc>
        <w:tc>
          <w:tcPr>
            <w:tcW w:type="dxa" w:w="792"/>
          </w:tcPr>
          <w:p>
            <w:pPr>
              <w:spacing w:after="20"/>
            </w:pPr>
            <w:r/>
            <w:r>
              <w:rPr>
                <w:b w:val="0"/>
                <w:i w:val="0"/>
                <w:sz w:val="15"/>
              </w:rPr>
              <w:t>S</w:t>
            </w:r>
          </w:p>
        </w:tc>
        <w:tc>
          <w:tcPr>
            <w:tcW w:type="dxa" w:w="4680"/>
          </w:tcPr>
          <w:p>
            <w:pPr>
              <w:spacing w:after="20"/>
            </w:pPr>
            <w:r/>
            <w:r>
              <w:rPr>
                <w:b w:val="0"/>
                <w:i w:val="0"/>
                <w:sz w:val="15"/>
              </w:rPr>
              <w:t>Reject (V.E-1).</w:t>
            </w:r>
          </w:p>
        </w:tc>
      </w:tr>
      <w:tr>
        <w:tc>
          <w:tcPr>
            <w:tcW w:type="dxa" w:w="432"/>
          </w:tcPr>
          <w:p>
            <w:pPr>
              <w:spacing w:after="20"/>
            </w:pPr>
            <w:r/>
            <w:r>
              <w:rPr>
                <w:b w:val="0"/>
                <w:i w:val="0"/>
                <w:sz w:val="15"/>
              </w:rPr>
              <w:t>39</w:t>
            </w:r>
          </w:p>
        </w:tc>
        <w:tc>
          <w:tcPr>
            <w:tcW w:type="dxa" w:w="864"/>
          </w:tcPr>
          <w:p>
            <w:pPr>
              <w:spacing w:after="20"/>
            </w:pPr>
            <w:r/>
            <w:r>
              <w:rPr>
                <w:b w:val="0"/>
                <w:i w:val="0"/>
                <w:sz w:val="15"/>
              </w:rPr>
              <w:t>12.2</w:t>
            </w:r>
          </w:p>
        </w:tc>
        <w:tc>
          <w:tcPr>
            <w:tcW w:type="dxa" w:w="3024"/>
          </w:tcPr>
          <w:p>
            <w:pPr>
              <w:spacing w:after="20"/>
            </w:pPr>
            <w:r/>
            <w:r>
              <w:rPr>
                <w:b w:val="0"/>
                <w:i w:val="0"/>
                <w:sz w:val="15"/>
              </w:rPr>
              <w:t>Plan Supplement to include the supplemental disclosure</w:t>
            </w:r>
          </w:p>
        </w:tc>
        <w:tc>
          <w:tcPr>
            <w:tcW w:type="dxa" w:w="792"/>
          </w:tcPr>
          <w:p>
            <w:pPr>
              <w:spacing w:after="20"/>
            </w:pPr>
            <w:r/>
            <w:r>
              <w:rPr>
                <w:b w:val="0"/>
                <w:i w:val="0"/>
                <w:sz w:val="15"/>
              </w:rPr>
              <w:t>C</w:t>
            </w:r>
          </w:p>
        </w:tc>
        <w:tc>
          <w:tcPr>
            <w:tcW w:type="dxa" w:w="4680"/>
          </w:tcPr>
          <w:p>
            <w:pPr>
              <w:spacing w:after="20"/>
            </w:pPr>
            <w:r/>
            <w:r>
              <w:rPr>
                <w:b w:val="0"/>
                <w:i w:val="0"/>
                <w:sz w:val="15"/>
              </w:rPr>
              <w:t>Reject.</w:t>
            </w:r>
          </w:p>
        </w:tc>
      </w:tr>
      <w:tr>
        <w:tc>
          <w:tcPr>
            <w:tcW w:type="dxa" w:w="432"/>
          </w:tcPr>
          <w:p>
            <w:pPr>
              <w:spacing w:after="20"/>
            </w:pPr>
            <w:r/>
            <w:r>
              <w:rPr>
                <w:b w:val="0"/>
                <w:i w:val="0"/>
                <w:sz w:val="15"/>
              </w:rPr>
              <w:t>40</w:t>
            </w:r>
          </w:p>
        </w:tc>
        <w:tc>
          <w:tcPr>
            <w:tcW w:type="dxa" w:w="864"/>
          </w:tcPr>
          <w:p>
            <w:pPr>
              <w:spacing w:after="20"/>
            </w:pPr>
            <w:r/>
            <w:r>
              <w:rPr>
                <w:b w:val="0"/>
                <w:i w:val="0"/>
                <w:sz w:val="15"/>
              </w:rPr>
              <w:t>12.5</w:t>
            </w:r>
          </w:p>
        </w:tc>
        <w:tc>
          <w:tcPr>
            <w:tcW w:type="dxa" w:w="3024"/>
          </w:tcPr>
          <w:p>
            <w:pPr>
              <w:spacing w:after="20"/>
            </w:pPr>
            <w:r/>
            <w:r>
              <w:rPr>
                <w:b w:val="0"/>
                <w:i w:val="0"/>
                <w:sz w:val="15"/>
              </w:rPr>
              <w:t>Notice email addresses</w:t>
            </w:r>
          </w:p>
        </w:tc>
        <w:tc>
          <w:tcPr>
            <w:tcW w:type="dxa" w:w="792"/>
          </w:tcPr>
          <w:p>
            <w:pPr>
              <w:spacing w:after="20"/>
            </w:pPr>
            <w:r/>
            <w:r>
              <w:rPr>
                <w:b w:val="0"/>
                <w:i w:val="0"/>
                <w:sz w:val="15"/>
              </w:rPr>
              <w:t>Co</w:t>
            </w:r>
          </w:p>
        </w:tc>
        <w:tc>
          <w:tcPr>
            <w:tcW w:type="dxa" w:w="4680"/>
          </w:tcPr>
          <w:p>
            <w:pPr>
              <w:spacing w:after="20"/>
            </w:pPr>
            <w:r/>
            <w:r>
              <w:rPr>
                <w:b w:val="0"/>
                <w:i w:val="0"/>
                <w:sz w:val="15"/>
              </w:rPr>
              <w:t>Accept after verification; conform the addresses (U-17).</w:t>
            </w:r>
          </w:p>
        </w:tc>
      </w:tr>
      <w:tr>
        <w:tc>
          <w:tcPr>
            <w:tcW w:type="dxa" w:w="432"/>
          </w:tcPr>
          <w:p>
            <w:pPr>
              <w:spacing w:after="20"/>
            </w:pPr>
            <w:r/>
            <w:r>
              <w:rPr>
                <w:b w:val="0"/>
                <w:i w:val="0"/>
                <w:sz w:val="15"/>
              </w:rPr>
              <w:t>41</w:t>
            </w:r>
          </w:p>
        </w:tc>
        <w:tc>
          <w:tcPr>
            <w:tcW w:type="dxa" w:w="864"/>
          </w:tcPr>
          <w:p>
            <w:pPr>
              <w:spacing w:after="20"/>
            </w:pPr>
            <w:r/>
            <w:r>
              <w:rPr>
                <w:b w:val="0"/>
                <w:i w:val="0"/>
                <w:sz w:val="15"/>
              </w:rPr>
              <w:t>12.8</w:t>
            </w:r>
          </w:p>
        </w:tc>
        <w:tc>
          <w:tcPr>
            <w:tcW w:type="dxa" w:w="3024"/>
          </w:tcPr>
          <w:p>
            <w:pPr>
              <w:spacing w:after="20"/>
            </w:pPr>
            <w:r/>
            <w:r>
              <w:rPr>
                <w:b w:val="0"/>
                <w:i w:val="0"/>
                <w:sz w:val="15"/>
              </w:rPr>
              <w:t>Committee reservation of rights</w:t>
            </w:r>
          </w:p>
        </w:tc>
        <w:tc>
          <w:tcPr>
            <w:tcW w:type="dxa" w:w="792"/>
          </w:tcPr>
          <w:p>
            <w:pPr>
              <w:spacing w:after="20"/>
            </w:pPr>
            <w:r/>
            <w:r>
              <w:rPr>
                <w:b w:val="0"/>
                <w:i w:val="0"/>
                <w:sz w:val="15"/>
              </w:rPr>
              <w:t>C</w:t>
            </w:r>
          </w:p>
        </w:tc>
        <w:tc>
          <w:tcPr>
            <w:tcW w:type="dxa" w:w="4680"/>
          </w:tcPr>
          <w:p>
            <w:pPr>
              <w:spacing w:after="20"/>
            </w:pPr>
            <w:r/>
            <w:r>
              <w:rPr>
                <w:b w:val="0"/>
                <w:i w:val="0"/>
                <w:sz w:val="15"/>
              </w:rPr>
              <w:t>Reject in the plan text.</w:t>
            </w:r>
          </w:p>
        </w:tc>
      </w:tr>
      <w:tr>
        <w:tc>
          <w:tcPr>
            <w:tcW w:type="dxa" w:w="432"/>
          </w:tcPr>
          <w:p>
            <w:pPr>
              <w:spacing w:after="20"/>
            </w:pPr>
            <w:r/>
            <w:r>
              <w:rPr>
                <w:b w:val="0"/>
                <w:i w:val="0"/>
                <w:sz w:val="15"/>
              </w:rPr>
              <w:t>42</w:t>
            </w:r>
          </w:p>
        </w:tc>
        <w:tc>
          <w:tcPr>
            <w:tcW w:type="dxa" w:w="864"/>
          </w:tcPr>
          <w:p>
            <w:pPr>
              <w:spacing w:after="20"/>
            </w:pPr>
            <w:r/>
            <w:r>
              <w:rPr>
                <w:b w:val="0"/>
                <w:i w:val="0"/>
                <w:sz w:val="15"/>
              </w:rPr>
              <w:t>Ex. C</w:t>
            </w:r>
          </w:p>
        </w:tc>
        <w:tc>
          <w:tcPr>
            <w:tcW w:type="dxa" w:w="3024"/>
          </w:tcPr>
          <w:p>
            <w:pPr>
              <w:spacing w:after="20"/>
            </w:pPr>
            <w:r/>
            <w:r>
              <w:rPr>
                <w:b w:val="0"/>
                <w:i w:val="0"/>
                <w:sz w:val="15"/>
              </w:rPr>
              <w:t>“Olypmnic” → “Olympic”</w:t>
            </w:r>
          </w:p>
        </w:tc>
        <w:tc>
          <w:tcPr>
            <w:tcW w:type="dxa" w:w="792"/>
          </w:tcPr>
          <w:p>
            <w:pPr>
              <w:spacing w:after="20"/>
            </w:pPr>
            <w:r/>
            <w:r>
              <w:rPr>
                <w:b w:val="0"/>
                <w:i w:val="0"/>
                <w:sz w:val="15"/>
              </w:rPr>
              <w:t>X</w:t>
            </w:r>
          </w:p>
        </w:tc>
        <w:tc>
          <w:tcPr>
            <w:tcW w:type="dxa" w:w="4680"/>
          </w:tcPr>
          <w:p>
            <w:pPr>
              <w:spacing w:after="20"/>
            </w:pPr>
            <w:r/>
            <w:r>
              <w:rPr>
                <w:b w:val="0"/>
                <w:i w:val="0"/>
                <w:sz w:val="15"/>
              </w:rPr>
              <w:t>Error not present in the filed Ex. C. Moot.</w:t>
            </w:r>
          </w:p>
        </w:tc>
      </w:tr>
      <w:tr>
        <w:tc>
          <w:tcPr>
            <w:tcW w:type="dxa" w:w="432"/>
          </w:tcPr>
          <w:p>
            <w:pPr>
              <w:spacing w:after="20"/>
            </w:pPr>
            <w:r/>
            <w:r>
              <w:rPr>
                <w:b w:val="0"/>
                <w:i w:val="0"/>
                <w:sz w:val="15"/>
              </w:rPr>
              <w:t>43</w:t>
            </w:r>
          </w:p>
        </w:tc>
        <w:tc>
          <w:tcPr>
            <w:tcW w:type="dxa" w:w="864"/>
          </w:tcPr>
          <w:p>
            <w:pPr>
              <w:spacing w:after="20"/>
            </w:pPr>
            <w:r/>
            <w:r>
              <w:rPr>
                <w:b w:val="0"/>
                <w:i w:val="0"/>
                <w:sz w:val="15"/>
              </w:rPr>
              <w:t>Ex. C</w:t>
            </w:r>
          </w:p>
        </w:tc>
        <w:tc>
          <w:tcPr>
            <w:tcW w:type="dxa" w:w="3024"/>
          </w:tcPr>
          <w:p>
            <w:pPr>
              <w:spacing w:after="20"/>
            </w:pPr>
            <w:r/>
            <w:r>
              <w:rPr>
                <w:b w:val="0"/>
                <w:i w:val="0"/>
                <w:sz w:val="15"/>
              </w:rPr>
              <w:t>Olympic date 2019 → 2020</w:t>
            </w:r>
          </w:p>
        </w:tc>
        <w:tc>
          <w:tcPr>
            <w:tcW w:type="dxa" w:w="792"/>
          </w:tcPr>
          <w:p>
            <w:pPr>
              <w:spacing w:after="20"/>
            </w:pPr>
            <w:r/>
            <w:r>
              <w:rPr>
                <w:b w:val="0"/>
                <w:i w:val="0"/>
                <w:sz w:val="15"/>
              </w:rPr>
              <w:t>X</w:t>
            </w:r>
          </w:p>
        </w:tc>
        <w:tc>
          <w:tcPr>
            <w:tcW w:type="dxa" w:w="4680"/>
          </w:tcPr>
          <w:p>
            <w:pPr>
              <w:spacing w:after="20"/>
            </w:pPr>
            <w:r/>
            <w:r>
              <w:rPr>
                <w:b w:val="0"/>
                <w:i w:val="0"/>
                <w:sz w:val="15"/>
              </w:rPr>
              <w:t>Contradicts Filed Plan § 8.1(a) and Ex. C. Verify before any change.</w:t>
            </w:r>
          </w:p>
        </w:tc>
      </w:tr>
      <w:tr>
        <w:tc>
          <w:tcPr>
            <w:tcW w:type="dxa" w:w="432"/>
          </w:tcPr>
          <w:p>
            <w:pPr>
              <w:spacing w:after="20"/>
            </w:pPr>
            <w:r/>
            <w:r>
              <w:rPr>
                <w:b w:val="0"/>
                <w:i w:val="0"/>
                <w:sz w:val="15"/>
              </w:rPr>
              <w:t>44</w:t>
            </w:r>
          </w:p>
        </w:tc>
        <w:tc>
          <w:tcPr>
            <w:tcW w:type="dxa" w:w="864"/>
          </w:tcPr>
          <w:p>
            <w:pPr>
              <w:spacing w:after="20"/>
            </w:pPr>
            <w:r/>
            <w:r>
              <w:rPr>
                <w:b w:val="0"/>
                <w:i w:val="0"/>
                <w:sz w:val="15"/>
              </w:rPr>
              <w:t>Ex. C</w:t>
            </w:r>
          </w:p>
        </w:tc>
        <w:tc>
          <w:tcPr>
            <w:tcW w:type="dxa" w:w="3024"/>
          </w:tcPr>
          <w:p>
            <w:pPr>
              <w:spacing w:after="20"/>
            </w:pPr>
            <w:r/>
            <w:r>
              <w:rPr>
                <w:b w:val="0"/>
                <w:i w:val="0"/>
                <w:sz w:val="15"/>
              </w:rPr>
              <w:t>“Industiral” → “Industrial”</w:t>
            </w:r>
          </w:p>
        </w:tc>
        <w:tc>
          <w:tcPr>
            <w:tcW w:type="dxa" w:w="792"/>
          </w:tcPr>
          <w:p>
            <w:pPr>
              <w:spacing w:after="20"/>
            </w:pPr>
            <w:r/>
            <w:r>
              <w:rPr>
                <w:b w:val="0"/>
                <w:i w:val="0"/>
                <w:sz w:val="15"/>
              </w:rPr>
              <w:t>X</w:t>
            </w:r>
          </w:p>
        </w:tc>
        <w:tc>
          <w:tcPr>
            <w:tcW w:type="dxa" w:w="4680"/>
          </w:tcPr>
          <w:p>
            <w:pPr>
              <w:spacing w:after="20"/>
            </w:pPr>
            <w:r/>
            <w:r>
              <w:rPr>
                <w:b w:val="0"/>
                <w:i w:val="0"/>
                <w:sz w:val="15"/>
              </w:rPr>
              <w:t>Error not present in the filed Ex. C. Moot.</w:t>
            </w:r>
          </w:p>
        </w:tc>
      </w:tr>
      <w:tr>
        <w:tc>
          <w:tcPr>
            <w:tcW w:type="dxa" w:w="432"/>
          </w:tcPr>
          <w:p>
            <w:pPr>
              <w:spacing w:after="20"/>
            </w:pPr>
            <w:r/>
            <w:r>
              <w:rPr>
                <w:b w:val="0"/>
                <w:i w:val="0"/>
                <w:sz w:val="15"/>
              </w:rPr>
              <w:t>45</w:t>
            </w:r>
          </w:p>
        </w:tc>
        <w:tc>
          <w:tcPr>
            <w:tcW w:type="dxa" w:w="864"/>
          </w:tcPr>
          <w:p>
            <w:pPr>
              <w:spacing w:after="20"/>
            </w:pPr>
            <w:r/>
            <w:r>
              <w:rPr>
                <w:b w:val="0"/>
                <w:i w:val="0"/>
                <w:sz w:val="15"/>
              </w:rPr>
              <w:t>Ex. C</w:t>
            </w:r>
          </w:p>
        </w:tc>
        <w:tc>
          <w:tcPr>
            <w:tcW w:type="dxa" w:w="3024"/>
          </w:tcPr>
          <w:p>
            <w:pPr>
              <w:spacing w:after="20"/>
            </w:pPr>
            <w:r/>
            <w:r>
              <w:rPr>
                <w:b w:val="0"/>
                <w:i w:val="0"/>
                <w:sz w:val="15"/>
              </w:rPr>
              <w:t>Deschutes River Environmental $180K → $108K</w:t>
            </w:r>
          </w:p>
        </w:tc>
        <w:tc>
          <w:tcPr>
            <w:tcW w:type="dxa" w:w="792"/>
          </w:tcPr>
          <w:p>
            <w:pPr>
              <w:spacing w:after="20"/>
            </w:pPr>
            <w:r/>
            <w:r>
              <w:rPr>
                <w:b w:val="0"/>
                <w:i w:val="0"/>
                <w:sz w:val="15"/>
              </w:rPr>
              <w:t>X</w:t>
            </w:r>
          </w:p>
        </w:tc>
        <w:tc>
          <w:tcPr>
            <w:tcW w:type="dxa" w:w="4680"/>
          </w:tcPr>
          <w:p>
            <w:pPr>
              <w:spacing w:after="20"/>
            </w:pPr>
            <w:r/>
            <w:r>
              <w:rPr>
                <w:b w:val="0"/>
                <w:i w:val="0"/>
                <w:sz w:val="15"/>
              </w:rPr>
              <w:t>Not on the filed Ex. C; not disclosed in the Transmittal. Reject or verify.</w:t>
            </w:r>
          </w:p>
        </w:tc>
      </w:tr>
      <w:tr>
        <w:tc>
          <w:tcPr>
            <w:tcW w:type="dxa" w:w="432"/>
          </w:tcPr>
          <w:p>
            <w:pPr>
              <w:spacing w:after="20"/>
            </w:pPr>
            <w:r/>
            <w:r>
              <w:rPr>
                <w:b w:val="0"/>
                <w:i w:val="0"/>
                <w:sz w:val="15"/>
              </w:rPr>
              <w:t>46</w:t>
            </w:r>
          </w:p>
        </w:tc>
        <w:tc>
          <w:tcPr>
            <w:tcW w:type="dxa" w:w="864"/>
          </w:tcPr>
          <w:p>
            <w:pPr>
              <w:spacing w:after="20"/>
            </w:pPr>
            <w:r/>
            <w:r>
              <w:rPr>
                <w:b w:val="0"/>
                <w:i w:val="0"/>
                <w:sz w:val="15"/>
              </w:rPr>
              <w:t>5.3</w:t>
            </w:r>
          </w:p>
        </w:tc>
        <w:tc>
          <w:tcPr>
            <w:tcW w:type="dxa" w:w="3024"/>
          </w:tcPr>
          <w:p>
            <w:pPr>
              <w:spacing w:after="20"/>
            </w:pPr>
            <w:r/>
            <w:r>
              <w:rPr>
                <w:b w:val="0"/>
                <w:i w:val="0"/>
                <w:sz w:val="15"/>
              </w:rPr>
              <w:t>Cross-reference to § 11.9</w:t>
            </w:r>
          </w:p>
        </w:tc>
        <w:tc>
          <w:tcPr>
            <w:tcW w:type="dxa" w:w="792"/>
          </w:tcPr>
          <w:p>
            <w:pPr>
              <w:spacing w:after="20"/>
            </w:pPr>
            <w:r/>
            <w:r>
              <w:rPr>
                <w:b w:val="0"/>
                <w:i w:val="0"/>
                <w:sz w:val="15"/>
              </w:rPr>
              <w:t>C</w:t>
            </w:r>
          </w:p>
        </w:tc>
        <w:tc>
          <w:tcPr>
            <w:tcW w:type="dxa" w:w="4680"/>
          </w:tcPr>
          <w:p>
            <w:pPr>
              <w:spacing w:after="20"/>
            </w:pPr>
            <w:r/>
            <w:r>
              <w:rPr>
                <w:b w:val="0"/>
                <w:i w:val="0"/>
                <w:sz w:val="15"/>
              </w:rPr>
              <w:t>Reject with § 11.9.</w:t>
            </w:r>
          </w:p>
        </w:tc>
      </w:tr>
      <w:tr>
        <w:tc>
          <w:tcPr>
            <w:tcW w:type="dxa" w:w="432"/>
          </w:tcPr>
          <w:p>
            <w:pPr>
              <w:spacing w:after="20"/>
            </w:pPr>
            <w:r/>
            <w:r>
              <w:rPr>
                <w:b w:val="0"/>
                <w:i w:val="0"/>
                <w:sz w:val="15"/>
              </w:rPr>
              <w:t>47</w:t>
            </w:r>
          </w:p>
        </w:tc>
        <w:tc>
          <w:tcPr>
            <w:tcW w:type="dxa" w:w="864"/>
          </w:tcPr>
          <w:p>
            <w:pPr>
              <w:spacing w:after="20"/>
            </w:pPr>
            <w:r/>
            <w:r>
              <w:rPr>
                <w:b w:val="0"/>
                <w:i w:val="0"/>
                <w:sz w:val="15"/>
              </w:rPr>
              <w:t>1.1</w:t>
            </w:r>
          </w:p>
        </w:tc>
        <w:tc>
          <w:tcPr>
            <w:tcW w:type="dxa" w:w="3024"/>
          </w:tcPr>
          <w:p>
            <w:pPr>
              <w:spacing w:after="20"/>
            </w:pPr>
            <w:r/>
            <w:r>
              <w:rPr>
                <w:b w:val="0"/>
                <w:i w:val="0"/>
                <w:sz w:val="15"/>
              </w:rPr>
              <w:t>Released Parties: Timberline carve-out</w:t>
            </w:r>
          </w:p>
        </w:tc>
        <w:tc>
          <w:tcPr>
            <w:tcW w:type="dxa" w:w="792"/>
          </w:tcPr>
          <w:p>
            <w:pPr>
              <w:spacing w:after="20"/>
            </w:pPr>
            <w:r/>
            <w:r>
              <w:rPr>
                <w:b w:val="0"/>
                <w:i w:val="0"/>
                <w:sz w:val="15"/>
              </w:rPr>
              <w:t>C</w:t>
            </w:r>
          </w:p>
        </w:tc>
        <w:tc>
          <w:tcPr>
            <w:tcW w:type="dxa" w:w="4680"/>
          </w:tcPr>
          <w:p>
            <w:pPr>
              <w:spacing w:after="20"/>
            </w:pPr>
            <w:r/>
            <w:r>
              <w:rPr>
                <w:b w:val="0"/>
                <w:i w:val="0"/>
                <w:sz w:val="15"/>
              </w:rPr>
              <w:t>See #31. Note that the base definition already omits Timberline and First Meridian (U-5).</w:t>
            </w:r>
          </w:p>
        </w:tc>
      </w:tr>
    </w:tbl>
    <w:p>
      <w:pPr>
        <w:spacing w:after="40"/>
      </w:pPr>
    </w:p>
    <w:p>
      <w:pPr>
        <w:spacing w:after="120"/>
      </w:pPr>
      <w:r>
        <w:rPr>
          <w:b w:val="0"/>
          <w:i w:val="0"/>
          <w:sz w:val="18"/>
        </w:rPr>
        <w:t>Tally on our review: of the 47 logged changes, about 14 are acceptable as drafted or with conforming edits. Of the 15 labeled cosmetic, at least 4 are substantive or erroneous (#1, #3, #7, #13). All four Exhibit C items are moot, unsupported, or contradicted by the Filed Plan. The untracked deviations in Section III are additional to these 47.</w:t>
      </w:r>
    </w:p>
    <w:p>
      <w:pPr>
        <w:spacing w:after="120"/>
        <w:jc w:val="center"/>
      </w:pPr>
      <w:r>
        <w:rPr>
          <w:b w:val="0"/>
          <w:i/>
          <w:sz w:val="18"/>
        </w:rPr>
        <w:t>— End of Report —</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Privileged &amp; Confidential — Attorney Work Product — Plan Deviation Report (Cascadia Timber Holdings, Case No. 25-30412-MLE)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