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18"/>
        </w:rPr>
        <w:t>PRIVILEGED AND CONFIDENTIAL — ATTORNEY-CLIENT COMMUNICATION / ATTORNEY WORK PRODUCT</w:t>
        <w:br/>
        <w:t>PREPARED IN CONNECTION WITH SETTLEMENT NEGOTIATIONS — SUBJECT TO FRE 408</w:t>
      </w:r>
    </w:p>
    <w:p>
      <w:pPr>
        <w:spacing w:after="0"/>
        <w:jc w:val="center"/>
      </w:pPr>
      <w:r>
        <w:rPr>
          <w:b/>
          <w:i w:val="0"/>
          <w:sz w:val="28"/>
        </w:rPr>
        <w:t>ASHFORD PIERCE LLP</w:t>
      </w:r>
    </w:p>
    <w:p>
      <w:pPr>
        <w:jc w:val="center"/>
      </w:pPr>
      <w:r>
        <w:rPr>
          <w:b/>
          <w:i w:val="0"/>
          <w:sz w:val="24"/>
        </w:rPr>
        <w:t>MEMORANDUM</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1152"/>
            <w:shd w:val="clear" w:color="auto" w:fill="FFFFFF"/>
          </w:tcPr>
          <w:p>
            <w:r/>
            <w:r>
              <w:rPr>
                <w:b/>
                <w:color w:val="FFFFFF"/>
                <w:sz w:val="20"/>
              </w:rPr>
            </w:r>
          </w:p>
        </w:tc>
        <w:tc>
          <w:tcPr>
            <w:tcW w:type="dxa" w:w="8208"/>
            <w:shd w:val="clear" w:color="auto" w:fill="FFFFFF"/>
          </w:tcPr>
          <w:p>
            <w:r/>
            <w:r>
              <w:rPr>
                <w:b/>
                <w:color w:val="FFFFFF"/>
                <w:sz w:val="20"/>
              </w:rPr>
            </w:r>
          </w:p>
        </w:tc>
      </w:tr>
      <w:tr>
        <w:tc>
          <w:tcPr>
            <w:tcW w:type="dxa" w:w="1152"/>
          </w:tcPr>
          <w:p>
            <w:pPr>
              <w:spacing w:after="20"/>
            </w:pPr>
            <w:r/>
            <w:r>
              <w:rPr>
                <w:b w:val="0"/>
                <w:i w:val="0"/>
                <w:sz w:val="20"/>
              </w:rPr>
              <w:t>TO:</w:t>
            </w:r>
          </w:p>
        </w:tc>
        <w:tc>
          <w:tcPr>
            <w:tcW w:type="dxa" w:w="8208"/>
          </w:tcPr>
          <w:p>
            <w:pPr>
              <w:spacing w:after="20"/>
            </w:pPr>
            <w:r/>
            <w:r>
              <w:rPr>
                <w:b w:val="0"/>
                <w:i w:val="0"/>
                <w:sz w:val="20"/>
              </w:rPr>
              <w:t>Claire E. Vasquez, Partner</w:t>
            </w:r>
          </w:p>
        </w:tc>
      </w:tr>
      <w:tr>
        <w:tc>
          <w:tcPr>
            <w:tcW w:type="dxa" w:w="1152"/>
          </w:tcPr>
          <w:p>
            <w:pPr>
              <w:spacing w:after="20"/>
            </w:pPr>
            <w:r/>
            <w:r>
              <w:rPr>
                <w:b w:val="0"/>
                <w:i w:val="0"/>
                <w:sz w:val="20"/>
              </w:rPr>
              <w:t>CC:</w:t>
            </w:r>
          </w:p>
        </w:tc>
        <w:tc>
          <w:tcPr>
            <w:tcW w:type="dxa" w:w="8208"/>
          </w:tcPr>
          <w:p>
            <w:pPr>
              <w:spacing w:after="20"/>
            </w:pPr>
            <w:r/>
            <w:r>
              <w:rPr>
                <w:b w:val="0"/>
                <w:i w:val="0"/>
                <w:sz w:val="20"/>
              </w:rPr>
              <w:t>Susan K. Pratt, General Counsel, Ridgeline Hospitality Group, Inc.; David R. Nakamura, Chief Financial Officer; Allison W. Cheng, Managing Director, Pendleton Hargrave &amp; Co. (economic sections)</w:t>
            </w:r>
          </w:p>
        </w:tc>
      </w:tr>
      <w:tr>
        <w:tc>
          <w:tcPr>
            <w:tcW w:type="dxa" w:w="1152"/>
          </w:tcPr>
          <w:p>
            <w:pPr>
              <w:spacing w:after="20"/>
            </w:pPr>
            <w:r/>
            <w:r>
              <w:rPr>
                <w:b w:val="0"/>
                <w:i w:val="0"/>
                <w:sz w:val="20"/>
              </w:rPr>
              <w:t>FROM:</w:t>
            </w:r>
          </w:p>
        </w:tc>
        <w:tc>
          <w:tcPr>
            <w:tcW w:type="dxa" w:w="8208"/>
          </w:tcPr>
          <w:p>
            <w:pPr>
              <w:spacing w:after="20"/>
            </w:pPr>
            <w:r/>
            <w:r>
              <w:rPr>
                <w:b w:val="0"/>
                <w:i w:val="0"/>
                <w:sz w:val="20"/>
              </w:rPr>
              <w:t>Ridgeline Restructuring Deal Team (Associate Team)</w:t>
            </w:r>
          </w:p>
        </w:tc>
      </w:tr>
      <w:tr>
        <w:tc>
          <w:tcPr>
            <w:tcW w:type="dxa" w:w="1152"/>
          </w:tcPr>
          <w:p>
            <w:pPr>
              <w:spacing w:after="20"/>
            </w:pPr>
            <w:r/>
            <w:r>
              <w:rPr>
                <w:b w:val="0"/>
                <w:i w:val="0"/>
                <w:sz w:val="20"/>
              </w:rPr>
              <w:t>DATE:</w:t>
            </w:r>
          </w:p>
        </w:tc>
        <w:tc>
          <w:tcPr>
            <w:tcW w:type="dxa" w:w="8208"/>
          </w:tcPr>
          <w:p>
            <w:pPr>
              <w:spacing w:after="20"/>
            </w:pPr>
            <w:r/>
            <w:r>
              <w:rPr>
                <w:b w:val="0"/>
                <w:i w:val="0"/>
                <w:sz w:val="20"/>
              </w:rPr>
              <w:t>April 3, 2025</w:t>
            </w:r>
          </w:p>
        </w:tc>
      </w:tr>
      <w:tr>
        <w:tc>
          <w:tcPr>
            <w:tcW w:type="dxa" w:w="1152"/>
          </w:tcPr>
          <w:p>
            <w:pPr>
              <w:spacing w:after="20"/>
            </w:pPr>
            <w:r/>
            <w:r>
              <w:rPr>
                <w:b w:val="0"/>
                <w:i w:val="0"/>
                <w:sz w:val="20"/>
              </w:rPr>
              <w:t>RE:</w:t>
            </w:r>
          </w:p>
        </w:tc>
        <w:tc>
          <w:tcPr>
            <w:tcW w:type="dxa" w:w="8208"/>
          </w:tcPr>
          <w:p>
            <w:pPr>
              <w:spacing w:after="20"/>
            </w:pPr>
            <w:r/>
            <w:r>
              <w:rPr>
                <w:b w:val="0"/>
                <w:i w:val="0"/>
                <w:sz w:val="20"/>
              </w:rPr>
              <w:t>Ridgeline Hospitality Group, Inc. — Analysis of the Ad Hoc Group’s April 2, 2025 Markup of the Restructuring Support Agreement; Economic Impact, Red-Line Issues, and Recommended Responses</w:t>
            </w:r>
          </w:p>
        </w:tc>
      </w:tr>
    </w:tbl>
    <w:p>
      <w:pPr>
        <w:spacing w:after="40"/>
      </w:pPr>
    </w:p>
    <w:p>
      <w:pPr>
        <w:pStyle w:val="Heading1"/>
      </w:pPr>
      <w:r>
        <w:t>I. Executive Summary</w:t>
      </w:r>
    </w:p>
    <w:p>
      <w:pPr>
        <w:jc w:val="both"/>
      </w:pPr>
      <w:r>
        <w:rPr>
          <w:b w:val="0"/>
          <w:i w:val="0"/>
        </w:rPr>
        <w:t>Sternwick &amp; Calloway’s April 2 markup (the “</w:t>
      </w:r>
      <w:r>
        <w:rPr>
          <w:b/>
          <w:i w:val="0"/>
        </w:rPr>
        <w:t>Markup</w:t>
      </w:r>
      <w:r>
        <w:rPr>
          <w:b w:val="0"/>
          <w:i w:val="0"/>
        </w:rPr>
        <w:t>”) of our March 17 RSA draft (the “</w:t>
      </w:r>
      <w:r>
        <w:rPr>
          <w:b/>
          <w:i w:val="0"/>
        </w:rPr>
        <w:t>Company Draft</w:t>
      </w:r>
      <w:r>
        <w:rPr>
          <w:b w:val="0"/>
          <w:i w:val="0"/>
        </w:rPr>
        <w:t>”) is not an executable basis for the RSA. Measured against the March 14 Negotiating Framework memorandum (the “</w:t>
      </w:r>
      <w:r>
        <w:rPr>
          <w:b/>
          <w:i w:val="0"/>
        </w:rPr>
        <w:t>Framework</w:t>
      </w:r>
      <w:r>
        <w:rPr>
          <w:b w:val="0"/>
          <w:i w:val="0"/>
        </w:rPr>
        <w:t xml:space="preserve">”), the Markup crosses </w:t>
      </w:r>
      <w:r>
        <w:rPr>
          <w:b/>
          <w:i w:val="0"/>
        </w:rPr>
        <w:t>25 of the 26</w:t>
      </w:r>
      <w:r>
        <w:rPr>
          <w:b w:val="0"/>
          <w:i w:val="0"/>
        </w:rPr>
        <w:t xml:space="preserve"> red-line or limit positions catalogued in Framework §VII; the only one it does not cross (the 3-business-day filing milestone) sits exactly at our floor. It also contains a number of significant changes that are untracked or that the cover email does not mention, and the cover email misdescribes several of the tracked changes. Our principal conclusions:</w:t>
      </w:r>
    </w:p>
    <w:p>
      <w:pPr>
        <w:pStyle w:val="ListBullet"/>
        <w:spacing w:after="60"/>
      </w:pPr>
      <w:r>
        <w:rPr>
          <w:b/>
          <w:i w:val="0"/>
        </w:rPr>
        <w:t>Economics move decisively to the first lien, and within the first lien to the DIP-lending members.</w:t>
      </w:r>
      <w:r>
        <w:rPr>
          <w:b w:val="0"/>
          <w:i w:val="0"/>
        </w:rPr>
        <w:t xml:space="preserve"> On Pendleton Hargrave’s April 2 schedule, pro forma equity value falls from $502.5M to $341.25M (–$161.25M, a constant reduction at every TEV), second lien recovery falls from 15.9% to 7.2% and unsecured recovery from 10.1% to 4.6% (base TEV $1.3B), and MIP value roughly halves ($50.3M to $25.6M). On Pendleton’s methodology the Markup actually </w:t>
      </w:r>
      <w:r>
        <w:rPr>
          <w:b/>
          <w:i w:val="0"/>
        </w:rPr>
        <w:t>lowers</w:t>
      </w:r>
      <w:r>
        <w:rPr>
          <w:b w:val="0"/>
          <w:i w:val="0"/>
        </w:rPr>
        <w:t xml:space="preserve"> total first lien class recovery ($956.8M to $921.2M) while adding $8.75M of DIP fees and ~$1.3M of incremental DIP interest payable only to the DIP lenders — a point we can use with the 37.6% of first lien holders outside the Ad Hoc Group. (We believe the schedule overstates the value leakage and recommend a re-run; see Part III.B.)</w:t>
      </w:r>
    </w:p>
    <w:p>
      <w:pPr>
        <w:pStyle w:val="ListBullet"/>
        <w:spacing w:after="60"/>
      </w:pPr>
      <w:r>
        <w:rPr>
          <w:b/>
          <w:i w:val="0"/>
        </w:rPr>
        <w:t>Undisclosed economic change: the unsecured warrants were cut</w:t>
      </w:r>
      <w:r>
        <w:rPr>
          <w:b w:val="0"/>
          <w:i w:val="0"/>
        </w:rPr>
        <w:t xml:space="preserve"> from 3% struck at $1.3B TEV to 2% struck at $1.4B TEV (Markup §6.04(b); Term Sheet). The cover email does not mention it and Pendleton’s schedule records the warrants as “unchanged.”</w:t>
      </w:r>
    </w:p>
    <w:p>
      <w:pPr>
        <w:pStyle w:val="ListBullet"/>
        <w:spacing w:after="60"/>
      </w:pPr>
      <w:r>
        <w:rPr>
          <w:b/>
          <w:i w:val="0"/>
        </w:rPr>
        <w:t>The 2.5% equity gap.</w:t>
      </w:r>
      <w:r>
        <w:rPr>
          <w:b w:val="0"/>
          <w:i w:val="0"/>
        </w:rPr>
        <w:t xml:space="preserve"> The Markup’s equity table states a 100% total, but 78% + 8% + 4% + 7.5% = 97.5%. The cover email says the “remaining 10%” is “reserved for the MIP and rights offering backstop,” but neither document contains a rights offering or backstop. This is precisely the “unallocated equity / rights offering pool” scenario the Framework (§IV.A) told us to watch for.</w:t>
      </w:r>
    </w:p>
    <w:p>
      <w:pPr>
        <w:pStyle w:val="ListBullet"/>
        <w:spacing w:after="60"/>
      </w:pPr>
      <w:r>
        <w:rPr>
          <w:b/>
          <w:i w:val="0"/>
        </w:rPr>
        <w:t>Structural provisions that would make the RSA a one-way option for the lenders:</w:t>
      </w:r>
      <w:r>
        <w:rPr>
          <w:b w:val="0"/>
          <w:i w:val="0"/>
        </w:rPr>
        <w:t xml:space="preserve"> (i) deletion (untracked) of the lenders’ covenant not to exercise remedies, plus a new §13.12 reserving the right to enforce remedies, </w:t>
      </w:r>
      <w:r>
        <w:rPr>
          <w:b/>
          <w:i w:val="0"/>
        </w:rPr>
        <w:t>credit bid in a §363 sale</w:t>
      </w:r>
      <w:r>
        <w:rPr>
          <w:b w:val="0"/>
          <w:i w:val="0"/>
        </w:rPr>
        <w:t xml:space="preserve">, and object to filings, alongside a tracked change to the recitals contemplating a “plan of reorganization </w:t>
      </w:r>
      <w:r>
        <w:rPr>
          <w:b/>
          <w:i w:val="0"/>
        </w:rPr>
        <w:t>or liquidation</w:t>
      </w:r>
      <w:r>
        <w:rPr>
          <w:b w:val="0"/>
          <w:i w:val="0"/>
        </w:rPr>
        <w:t>”; (ii) a permitted-transfer basket of 15% with no joinder, which could cut locked-up first lien support from 62.4% to ~53.0% of the class; (iii) a hair-trigger termination architecture (compressed milestones, 5-business-day cures, extensions only in the lenders’ “sole and absolute discretion,” a $40M trailing liquidity trigger with no cure, a new termination right for any “materially inconsistent” filing, and new flat MAC and “Solvency” representations brought down at the RSA Effective Date); and (iv) the untracked deletion of the Company’s right to terminate if the DIP lenders fail to fund.</w:t>
      </w:r>
    </w:p>
    <w:p>
      <w:pPr>
        <w:pStyle w:val="ListBullet"/>
        <w:spacing w:after="60"/>
      </w:pPr>
      <w:r>
        <w:rPr>
          <w:b/>
          <w:i w:val="0"/>
        </w:rPr>
        <w:t>Fiduciary out effectively disabled</w:t>
      </w:r>
      <w:r>
        <w:rPr>
          <w:b w:val="0"/>
          <w:i w:val="0"/>
        </w:rPr>
        <w:t xml:space="preserve"> (10-business-day notice; mandatory disclosure of the counterparty and terms; a 15% numerical “better recovery” hurdle; a 15-business-day match with information parity; and an untracked change from “consultation with” to “written advice of” counsel). Every element crosses a hard red line in Framework §III.A.</w:t>
      </w:r>
    </w:p>
    <w:p>
      <w:pPr>
        <w:pStyle w:val="ListBullet"/>
        <w:spacing w:after="60"/>
      </w:pPr>
      <w:r>
        <w:rPr>
          <w:b/>
          <w:i w:val="0"/>
        </w:rPr>
        <w:t>Pre-petition board observers</w:t>
      </w:r>
      <w:r>
        <w:rPr>
          <w:b w:val="0"/>
          <w:i w:val="0"/>
        </w:rPr>
        <w:t xml:space="preserve"> with notice, board materials and attendance while the lenders keep trading. The Framework treats this as non-negotiable (§IV.C, §VII), and the provision raises equitable subordination, insider/MNPI, privilege-waiver and confidentiality concerns, including the observers being in the room for any fiduciary-out deliberations.</w:t>
      </w:r>
    </w:p>
    <w:p>
      <w:pPr>
        <w:pStyle w:val="ListBullet"/>
        <w:spacing w:after="60"/>
      </w:pPr>
      <w:r>
        <w:rPr>
          <w:b/>
          <w:i w:val="0"/>
        </w:rPr>
        <w:t>Third-party releases</w:t>
      </w:r>
      <w:r>
        <w:rPr>
          <w:b w:val="0"/>
          <w:i w:val="0"/>
        </w:rPr>
        <w:t xml:space="preserve"> that bind abstaining, deemed-accepting and rejecting holders unless they opt out, and that bind “all holders of Claims and Interests.” After *Harrington v. Purdue Pharma L.P.*, 603 U.S. 204 (2024), non-consensual third-party releases are not available in chapter 11, and Delaware practice on opt-out “consent” is unsettled. As drafted, the provision is a confirmation risk that the Markup then turns into a milestone and termination risk.</w:t>
      </w:r>
    </w:p>
    <w:p>
      <w:pPr>
        <w:jc w:val="both"/>
      </w:pPr>
      <w:r>
        <w:rPr>
          <w:b/>
          <w:i w:val="0"/>
        </w:rPr>
        <w:t>Recommended posture.</w:t>
      </w:r>
      <w:r>
        <w:rPr>
          <w:b w:val="0"/>
          <w:i w:val="0"/>
        </w:rPr>
        <w:t xml:space="preserve"> We recommend that the Company (1) send a short process note reserving rights and asking Sternwick to (a) re-run the redline against our March 17 draft (the Markup was evidently compared against a different base; see Part II.B) and (b) answer the clarification items in Part VII; (2) brief the Board, through Ms. Pratt and Ms. Holloway, before any movement on a red-line item (Framework §III, §VI.6); and (3) respond with a Company turn and issues list that </w:t>
      </w:r>
      <w:r>
        <w:rPr>
          <w:b/>
          <w:i w:val="0"/>
        </w:rPr>
        <w:t>uses the Framework’s flexibility as currency</w:t>
      </w:r>
      <w:r>
        <w:rPr>
          <w:b w:val="0"/>
          <w:i w:val="0"/>
        </w:rPr>
        <w:t>: 1L equity up to 75% (2L 10% / unsecured 5%), exit term loan up to $625M, DIP pricing up to SOFR + 725, DIP fees capped at $3M, a DIP-to-exit conversion of up to $100M, a 7-business-day joinder window, a lender-majority post-emergence board, and acceptance of the 3-business-day filing milestone. In exchange we should require withdrawal of the observer rights, §13.12 and the permitted-transfer basket, restoration of the fiduciary out, carveout, MIP and milestone positions, and a consensual-only release construct. Part VI sets out the proposed package and fallbacks.</w:t>
      </w:r>
    </w:p>
    <w:p>
      <w:pPr>
        <w:pStyle w:val="Heading1"/>
      </w:pPr>
      <w:r>
        <w:t>II. Documents Reviewed; Reliability of the Markup</w:t>
      </w:r>
    </w:p>
    <w:p>
      <w:pPr>
        <w:pStyle w:val="Heading2"/>
      </w:pPr>
      <w:r>
        <w:t>A. Documents</w:t>
      </w:r>
    </w:p>
    <w:p>
      <w:pPr>
        <w:pStyle w:val="ListBullet"/>
        <w:spacing w:after="60"/>
      </w:pPr>
      <w:r>
        <w:rPr>
          <w:b w:val="0"/>
          <w:i w:val="0"/>
        </w:rPr>
        <w:t>Company Draft RSA (Ashford Pierce, March 17, 2025), including Exhibit A (Restructuring Term Sheet), Exhibit B (DIP summary), Exhibit C (Joinder), Schedules 1–2.</w:t>
      </w:r>
    </w:p>
    <w:p>
      <w:pPr>
        <w:pStyle w:val="ListBullet"/>
        <w:spacing w:after="60"/>
      </w:pPr>
      <w:r>
        <w:rPr>
          <w:b w:val="0"/>
          <w:i w:val="0"/>
        </w:rPr>
        <w:t>Ad Hoc Group Markup of the RSA (Sternwick &amp; Calloway, April 2, 2025), including revised Exhibits A–D and Schedules 1–2.</w:t>
      </w:r>
    </w:p>
    <w:p>
      <w:pPr>
        <w:pStyle w:val="ListBullet"/>
        <w:spacing w:after="60"/>
      </w:pPr>
      <w:r>
        <w:rPr>
          <w:b w:val="0"/>
          <w:i w:val="0"/>
        </w:rPr>
        <w:t>Company DIP Facility Term Sheet dated March 17, 2025 (Exhibit B as circulated) (the “</w:t>
      </w:r>
      <w:r>
        <w:rPr>
          <w:b/>
          <w:i w:val="0"/>
        </w:rPr>
        <w:t>DIP Term Sheet</w:t>
      </w:r>
      <w:r>
        <w:rPr>
          <w:b w:val="0"/>
          <w:i w:val="0"/>
        </w:rPr>
        <w:t>”).</w:t>
      </w:r>
    </w:p>
    <w:p>
      <w:pPr>
        <w:pStyle w:val="ListBullet"/>
        <w:spacing w:after="60"/>
      </w:pPr>
      <w:r>
        <w:rPr>
          <w:b w:val="0"/>
          <w:i w:val="0"/>
        </w:rPr>
        <w:t>Transmittal email from Jonathan M. Garvey to Claire E. Vasquez dated April 2, 2025, and the March 17 cover email (the “</w:t>
      </w:r>
      <w:r>
        <w:rPr>
          <w:b/>
          <w:i w:val="0"/>
        </w:rPr>
        <w:t>Cover Email</w:t>
      </w:r>
      <w:r>
        <w:rPr>
          <w:b w:val="0"/>
          <w:i w:val="0"/>
        </w:rPr>
        <w:t>”).</w:t>
      </w:r>
    </w:p>
    <w:p>
      <w:pPr>
        <w:pStyle w:val="ListBullet"/>
        <w:spacing w:after="60"/>
      </w:pPr>
      <w:r>
        <w:rPr>
          <w:b w:val="0"/>
          <w:i w:val="0"/>
        </w:rPr>
        <w:t>Pendleton Hargrave Capital Structure Summary &amp; Recovery Analysis (March 17, updated April 2, 2025) (the “</w:t>
      </w:r>
      <w:r>
        <w:rPr>
          <w:b/>
          <w:i w:val="0"/>
        </w:rPr>
        <w:t>Pendleton Schedule</w:t>
      </w:r>
      <w:r>
        <w:rPr>
          <w:b w:val="0"/>
          <w:i w:val="0"/>
        </w:rPr>
        <w:t>”).</w:t>
      </w:r>
    </w:p>
    <w:p>
      <w:pPr>
        <w:pStyle w:val="ListBullet"/>
        <w:spacing w:after="60"/>
      </w:pPr>
      <w:r>
        <w:rPr>
          <w:b w:val="0"/>
          <w:i w:val="0"/>
        </w:rPr>
        <w:t>Ashford Pierce Negotiating Framework memorandum dated March 14, 2025 (the “</w:t>
      </w:r>
      <w:r>
        <w:rPr>
          <w:b/>
          <w:i w:val="0"/>
        </w:rPr>
        <w:t>Framework</w:t>
      </w:r>
      <w:r>
        <w:rPr>
          <w:b w:val="0"/>
          <w:i w:val="0"/>
        </w:rPr>
        <w:t>”).</w:t>
      </w:r>
    </w:p>
    <w:p>
      <w:pPr>
        <w:pStyle w:val="Heading2"/>
      </w:pPr>
      <w:r>
        <w:t>B. The Markup’s tracked changes are not a reliable comparison against our draft</w:t>
      </w:r>
    </w:p>
    <w:p>
      <w:pPr>
        <w:jc w:val="both"/>
      </w:pPr>
      <w:r>
        <w:rPr>
          <w:b w:val="0"/>
          <w:i w:val="0"/>
        </w:rPr>
        <w:t>The Cover Email describes “approximately 47 changes, the substantial majority of which are conforming, clarifying, or definitional.” That description is not reliable, and the Markup should be treated as a new draft rather than as a redline of ours:</w:t>
      </w:r>
    </w:p>
    <w:p>
      <w:pPr>
        <w:pStyle w:val="ListBullet"/>
        <w:spacing w:after="60"/>
      </w:pPr>
      <w:r>
        <w:rPr>
          <w:b/>
          <w:i w:val="0"/>
        </w:rPr>
        <w:t>Different base document.</w:t>
      </w:r>
      <w:r>
        <w:rPr>
          <w:b w:val="0"/>
          <w:i w:val="0"/>
        </w:rPr>
        <w:t xml:space="preserve"> The Markup is organized in Articles I–XIII with different defined terms (e.g., “Consenting First Lien Lenders,” “Pro Forma Equity Interests,” Exhibit D Joinder), and its struck text frequently does not appear in the Company Draft at all. Examples: “$75,000,000 of the DIP Facility commitments shall be rolled up into the Exit Facility” (our draft rolls up $75M of </w:t>
      </w:r>
      <w:r>
        <w:rPr>
          <w:b/>
          <w:i w:val="0"/>
        </w:rPr>
        <w:t>prepetition</w:t>
      </w:r>
      <w:r>
        <w:rPr>
          <w:b w:val="0"/>
          <w:i w:val="0"/>
        </w:rPr>
        <w:t xml:space="preserve"> first lien claims into the DIP; Company Draft §2.03, DIP Term Sheet §4.1); budget updates “every four (4) weeks” (our RSA term sheet says bi-weekly); stay relief “having a material value” (our §6.02(g) says $25,000,000); and a Default Rate of “SOFR + 850” (consistent with our DIP Term Sheet but not stated in the RSA).</w:t>
      </w:r>
    </w:p>
    <w:p>
      <w:pPr>
        <w:pStyle w:val="ListBullet"/>
        <w:spacing w:after="60"/>
      </w:pPr>
      <w:r>
        <w:rPr>
          <w:b/>
          <w:i w:val="0"/>
        </w:rPr>
        <w:t>Untracked substantive changes.</w:t>
      </w:r>
      <w:r>
        <w:rPr>
          <w:b w:val="0"/>
          <w:i w:val="0"/>
        </w:rPr>
        <w:t xml:space="preserve"> Our side-by-side review found at least 20 substantive differences from the Company Draft that carry no revision marks (catalogued in Part IV.J). They include the deletion of the lenders’ no-remedies covenant, the Company’s DIP-funding termination right, the release carve-outs for fraud, willful misconduct and gross negligence, the competitor exclusion from “Qualified Transferee,” the management-continuity covenant and the Section 13(d) “no group” acknowledgment, and the shrinking of Schedule 1 from ten Company Parties to four.</w:t>
      </w:r>
    </w:p>
    <w:p>
      <w:pPr>
        <w:pStyle w:val="ListBullet"/>
        <w:spacing w:after="60"/>
      </w:pPr>
      <w:r>
        <w:rPr>
          <w:b/>
          <w:i w:val="0"/>
        </w:rPr>
        <w:t>Mischaracterizations in the Cover Email</w:t>
      </w:r>
      <w:r>
        <w:rPr>
          <w:b w:val="0"/>
          <w:i w:val="0"/>
        </w:rPr>
        <w:t xml:space="preserve"> (detailed in Part V.A). Examples: the MIP is described as “up from 5%” when it was cut from 10% to 7.5%; the observer rights are described as running “between RSA execution and emergence” when Markup §11.02 ends them on the Petition Date; and the warrant cut, the carveout reduction, the liquidity trigger and the §13.12 reservation are not mentioned at all.</w:t>
      </w:r>
    </w:p>
    <w:p>
      <w:pPr>
        <w:jc w:val="both"/>
      </w:pPr>
      <w:r>
        <w:rPr>
          <w:b/>
          <w:i w:val="0"/>
        </w:rPr>
        <w:t>Recommendation:</w:t>
      </w:r>
      <w:r>
        <w:rPr>
          <w:b w:val="0"/>
          <w:i w:val="0"/>
        </w:rPr>
        <w:t xml:space="preserve"> Ask Sternwick for a full comparison against the March 17 Ashford Pierce draft, and run our own compare in parallel. Our turn should go back as a redline against </w:t>
      </w:r>
      <w:r>
        <w:rPr>
          <w:b/>
          <w:i w:val="0"/>
        </w:rPr>
        <w:t>our</w:t>
      </w:r>
      <w:r>
        <w:rPr>
          <w:b w:val="0"/>
          <w:i w:val="0"/>
        </w:rPr>
        <w:t xml:space="preserve"> March 17 draft so that every departure is visible to the Board and, later, to the Court and the U.S. Trustee.</w:t>
      </w:r>
    </w:p>
    <w:p>
      <w:pPr>
        <w:pStyle w:val="Heading1"/>
      </w:pPr>
      <w:r>
        <w:t>III. Economic Impact Analysis</w:t>
      </w:r>
    </w:p>
    <w:p>
      <w:pPr>
        <w:pStyle w:val="Heading2"/>
      </w:pPr>
      <w:r>
        <w:t>A. Headline economic terms against the Framework</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584"/>
            <w:shd w:val="clear" w:color="auto" w:fill="1F2A44"/>
          </w:tcPr>
          <w:p>
            <w:r/>
            <w:r>
              <w:rPr>
                <w:b/>
                <w:color w:val="FFFFFF"/>
                <w:sz w:val="17"/>
              </w:rPr>
              <w:t>Term</w:t>
            </w:r>
          </w:p>
        </w:tc>
        <w:tc>
          <w:tcPr>
            <w:tcW w:type="dxa" w:w="1944"/>
            <w:shd w:val="clear" w:color="auto" w:fill="1F2A44"/>
          </w:tcPr>
          <w:p>
            <w:r/>
            <w:r>
              <w:rPr>
                <w:b/>
                <w:color w:val="FFFFFF"/>
                <w:sz w:val="17"/>
              </w:rPr>
              <w:t>Company Draft (3/17)</w:t>
            </w:r>
          </w:p>
        </w:tc>
        <w:tc>
          <w:tcPr>
            <w:tcW w:type="dxa" w:w="2160"/>
            <w:shd w:val="clear" w:color="auto" w:fill="1F2A44"/>
          </w:tcPr>
          <w:p>
            <w:r/>
            <w:r>
              <w:rPr>
                <w:b/>
                <w:color w:val="FFFFFF"/>
                <w:sz w:val="17"/>
              </w:rPr>
              <w:t>Markup (4/2)</w:t>
            </w:r>
          </w:p>
        </w:tc>
        <w:tc>
          <w:tcPr>
            <w:tcW w:type="dxa" w:w="2232"/>
            <w:shd w:val="clear" w:color="auto" w:fill="1F2A44"/>
          </w:tcPr>
          <w:p>
            <w:r/>
            <w:r>
              <w:rPr>
                <w:b/>
                <w:color w:val="FFFFFF"/>
                <w:sz w:val="17"/>
              </w:rPr>
              <w:t>Framework position / limit</w:t>
            </w:r>
          </w:p>
        </w:tc>
        <w:tc>
          <w:tcPr>
            <w:tcW w:type="dxa" w:w="1440"/>
            <w:shd w:val="clear" w:color="auto" w:fill="1F2A44"/>
          </w:tcPr>
          <w:p>
            <w:r/>
            <w:r>
              <w:rPr>
                <w:b/>
                <w:color w:val="FFFFFF"/>
                <w:sz w:val="17"/>
              </w:rPr>
              <w:t>Status</w:t>
            </w:r>
          </w:p>
        </w:tc>
      </w:tr>
      <w:tr>
        <w:tc>
          <w:tcPr>
            <w:tcW w:type="dxa" w:w="1584"/>
          </w:tcPr>
          <w:p>
            <w:pPr>
              <w:spacing w:after="20"/>
            </w:pPr>
            <w:r/>
            <w:r>
              <w:rPr>
                <w:b w:val="0"/>
                <w:i w:val="0"/>
                <w:sz w:val="17"/>
              </w:rPr>
              <w:t>1L Exit Term Loan</w:t>
            </w:r>
          </w:p>
        </w:tc>
        <w:tc>
          <w:tcPr>
            <w:tcW w:type="dxa" w:w="1944"/>
          </w:tcPr>
          <w:p>
            <w:pPr>
              <w:spacing w:after="20"/>
            </w:pPr>
            <w:r/>
            <w:r>
              <w:rPr>
                <w:b w:val="0"/>
                <w:i w:val="0"/>
                <w:sz w:val="17"/>
              </w:rPr>
              <w:t>$595.0M (50% of face)</w:t>
            </w:r>
          </w:p>
        </w:tc>
        <w:tc>
          <w:tcPr>
            <w:tcW w:type="dxa" w:w="2160"/>
          </w:tcPr>
          <w:p>
            <w:pPr>
              <w:spacing w:after="20"/>
            </w:pPr>
            <w:r/>
            <w:r>
              <w:rPr>
                <w:b w:val="0"/>
                <w:i w:val="0"/>
                <w:sz w:val="17"/>
              </w:rPr>
              <w:t>$655.0M (55%; $654.5M rounded up)</w:t>
            </w:r>
          </w:p>
        </w:tc>
        <w:tc>
          <w:tcPr>
            <w:tcW w:type="dxa" w:w="2232"/>
          </w:tcPr>
          <w:p>
            <w:pPr>
              <w:spacing w:after="20"/>
            </w:pPr>
            <w:r/>
            <w:r>
              <w:rPr>
                <w:b w:val="0"/>
                <w:i w:val="0"/>
                <w:sz w:val="17"/>
              </w:rPr>
              <w:t>Flex to $625M; limit $650M</w:t>
            </w:r>
          </w:p>
        </w:tc>
        <w:tc>
          <w:tcPr>
            <w:tcW w:type="dxa" w:w="1440"/>
          </w:tcPr>
          <w:p>
            <w:pPr>
              <w:spacing w:after="20"/>
            </w:pPr>
            <w:r/>
            <w:r>
              <w:rPr>
                <w:b/>
                <w:i w:val="0"/>
                <w:sz w:val="17"/>
              </w:rPr>
              <w:t>Exceeds limit</w:t>
            </w:r>
          </w:p>
        </w:tc>
      </w:tr>
      <w:tr>
        <w:tc>
          <w:tcPr>
            <w:tcW w:type="dxa" w:w="1584"/>
            <w:shd w:val="clear" w:color="auto" w:fill="EEF1F6"/>
          </w:tcPr>
          <w:p>
            <w:pPr>
              <w:spacing w:after="20"/>
            </w:pPr>
            <w:r/>
            <w:r>
              <w:rPr>
                <w:b w:val="0"/>
                <w:i w:val="0"/>
                <w:sz w:val="17"/>
              </w:rPr>
              <w:t>1L equity</w:t>
            </w:r>
          </w:p>
        </w:tc>
        <w:tc>
          <w:tcPr>
            <w:tcW w:type="dxa" w:w="1944"/>
            <w:shd w:val="clear" w:color="auto" w:fill="EEF1F6"/>
          </w:tcPr>
          <w:p>
            <w:pPr>
              <w:spacing w:after="20"/>
            </w:pPr>
            <w:r/>
            <w:r>
              <w:rPr>
                <w:b w:val="0"/>
                <w:i w:val="0"/>
                <w:sz w:val="17"/>
              </w:rPr>
              <w:t>72%</w:t>
            </w:r>
          </w:p>
        </w:tc>
        <w:tc>
          <w:tcPr>
            <w:tcW w:type="dxa" w:w="2160"/>
            <w:shd w:val="clear" w:color="auto" w:fill="EEF1F6"/>
          </w:tcPr>
          <w:p>
            <w:pPr>
              <w:spacing w:after="20"/>
            </w:pPr>
            <w:r/>
            <w:r>
              <w:rPr>
                <w:b w:val="0"/>
                <w:i w:val="0"/>
                <w:sz w:val="17"/>
              </w:rPr>
              <w:t>78%</w:t>
            </w:r>
          </w:p>
        </w:tc>
        <w:tc>
          <w:tcPr>
            <w:tcW w:type="dxa" w:w="2232"/>
            <w:shd w:val="clear" w:color="auto" w:fill="EEF1F6"/>
          </w:tcPr>
          <w:p>
            <w:pPr>
              <w:spacing w:after="20"/>
            </w:pPr>
            <w:r/>
            <w:r>
              <w:rPr>
                <w:b w:val="0"/>
                <w:i w:val="0"/>
                <w:sz w:val="17"/>
              </w:rPr>
              <w:t>Flex to 75%; not above 75%</w:t>
            </w:r>
          </w:p>
        </w:tc>
        <w:tc>
          <w:tcPr>
            <w:tcW w:type="dxa" w:w="1440"/>
            <w:shd w:val="clear" w:color="auto" w:fill="EEF1F6"/>
          </w:tcPr>
          <w:p>
            <w:pPr>
              <w:spacing w:after="20"/>
            </w:pPr>
            <w:r/>
            <w:r>
              <w:rPr>
                <w:b/>
                <w:i w:val="0"/>
                <w:sz w:val="17"/>
              </w:rPr>
              <w:t>Exceeds limit</w:t>
            </w:r>
          </w:p>
        </w:tc>
      </w:tr>
      <w:tr>
        <w:tc>
          <w:tcPr>
            <w:tcW w:type="dxa" w:w="1584"/>
          </w:tcPr>
          <w:p>
            <w:pPr>
              <w:spacing w:after="20"/>
            </w:pPr>
            <w:r/>
            <w:r>
              <w:rPr>
                <w:b w:val="0"/>
                <w:i w:val="0"/>
                <w:sz w:val="17"/>
              </w:rPr>
              <w:t>2L equity</w:t>
            </w:r>
          </w:p>
        </w:tc>
        <w:tc>
          <w:tcPr>
            <w:tcW w:type="dxa" w:w="1944"/>
          </w:tcPr>
          <w:p>
            <w:pPr>
              <w:spacing w:after="20"/>
            </w:pPr>
            <w:r/>
            <w:r>
              <w:rPr>
                <w:b w:val="0"/>
                <w:i w:val="0"/>
                <w:sz w:val="17"/>
              </w:rPr>
              <w:t>12%</w:t>
            </w:r>
          </w:p>
        </w:tc>
        <w:tc>
          <w:tcPr>
            <w:tcW w:type="dxa" w:w="2160"/>
          </w:tcPr>
          <w:p>
            <w:pPr>
              <w:spacing w:after="20"/>
            </w:pPr>
            <w:r/>
            <w:r>
              <w:rPr>
                <w:b w:val="0"/>
                <w:i w:val="0"/>
                <w:sz w:val="17"/>
              </w:rPr>
              <w:t>8%</w:t>
            </w:r>
          </w:p>
        </w:tc>
        <w:tc>
          <w:tcPr>
            <w:tcW w:type="dxa" w:w="2232"/>
          </w:tcPr>
          <w:p>
            <w:pPr>
              <w:spacing w:after="20"/>
            </w:pPr>
            <w:r/>
            <w:r>
              <w:rPr>
                <w:b w:val="0"/>
                <w:i w:val="0"/>
                <w:sz w:val="17"/>
              </w:rPr>
              <w:t>Not below 10% (cramdown risk)</w:t>
            </w:r>
          </w:p>
        </w:tc>
        <w:tc>
          <w:tcPr>
            <w:tcW w:type="dxa" w:w="1440"/>
          </w:tcPr>
          <w:p>
            <w:pPr>
              <w:spacing w:after="20"/>
            </w:pPr>
            <w:r/>
            <w:r>
              <w:rPr>
                <w:b/>
                <w:i w:val="0"/>
                <w:sz w:val="17"/>
              </w:rPr>
              <w:t>Below floor</w:t>
            </w:r>
          </w:p>
        </w:tc>
      </w:tr>
      <w:tr>
        <w:tc>
          <w:tcPr>
            <w:tcW w:type="dxa" w:w="1584"/>
            <w:shd w:val="clear" w:color="auto" w:fill="EEF1F6"/>
          </w:tcPr>
          <w:p>
            <w:pPr>
              <w:spacing w:after="20"/>
            </w:pPr>
            <w:r/>
            <w:r>
              <w:rPr>
                <w:b w:val="0"/>
                <w:i w:val="0"/>
                <w:sz w:val="17"/>
              </w:rPr>
              <w:t>Unsecured equity</w:t>
            </w:r>
          </w:p>
        </w:tc>
        <w:tc>
          <w:tcPr>
            <w:tcW w:type="dxa" w:w="1944"/>
            <w:shd w:val="clear" w:color="auto" w:fill="EEF1F6"/>
          </w:tcPr>
          <w:p>
            <w:pPr>
              <w:spacing w:after="20"/>
            </w:pPr>
            <w:r/>
            <w:r>
              <w:rPr>
                <w:b w:val="0"/>
                <w:i w:val="0"/>
                <w:sz w:val="17"/>
              </w:rPr>
              <w:t>6%</w:t>
            </w:r>
          </w:p>
        </w:tc>
        <w:tc>
          <w:tcPr>
            <w:tcW w:type="dxa" w:w="2160"/>
            <w:shd w:val="clear" w:color="auto" w:fill="EEF1F6"/>
          </w:tcPr>
          <w:p>
            <w:pPr>
              <w:spacing w:after="20"/>
            </w:pPr>
            <w:r/>
            <w:r>
              <w:rPr>
                <w:b w:val="0"/>
                <w:i w:val="0"/>
                <w:sz w:val="17"/>
              </w:rPr>
              <w:t>4%</w:t>
            </w:r>
          </w:p>
        </w:tc>
        <w:tc>
          <w:tcPr>
            <w:tcW w:type="dxa" w:w="2232"/>
            <w:shd w:val="clear" w:color="auto" w:fill="EEF1F6"/>
          </w:tcPr>
          <w:p>
            <w:pPr>
              <w:spacing w:after="20"/>
            </w:pPr>
            <w:r/>
            <w:r>
              <w:rPr>
                <w:b w:val="0"/>
                <w:i w:val="0"/>
                <w:sz w:val="17"/>
              </w:rPr>
              <w:t>Not below 5%</w:t>
            </w:r>
          </w:p>
        </w:tc>
        <w:tc>
          <w:tcPr>
            <w:tcW w:type="dxa" w:w="1440"/>
            <w:shd w:val="clear" w:color="auto" w:fill="EEF1F6"/>
          </w:tcPr>
          <w:p>
            <w:pPr>
              <w:spacing w:after="20"/>
            </w:pPr>
            <w:r/>
            <w:r>
              <w:rPr>
                <w:b/>
                <w:i w:val="0"/>
                <w:sz w:val="17"/>
              </w:rPr>
              <w:t>Below floor</w:t>
            </w:r>
          </w:p>
        </w:tc>
      </w:tr>
      <w:tr>
        <w:tc>
          <w:tcPr>
            <w:tcW w:type="dxa" w:w="1584"/>
          </w:tcPr>
          <w:p>
            <w:pPr>
              <w:spacing w:after="20"/>
            </w:pPr>
            <w:r/>
            <w:r>
              <w:rPr>
                <w:b w:val="0"/>
                <w:i w:val="0"/>
                <w:sz w:val="17"/>
              </w:rPr>
              <w:t>Unsecured warrants</w:t>
            </w:r>
          </w:p>
        </w:tc>
        <w:tc>
          <w:tcPr>
            <w:tcW w:type="dxa" w:w="1944"/>
          </w:tcPr>
          <w:p>
            <w:pPr>
              <w:spacing w:after="20"/>
            </w:pPr>
            <w:r/>
            <w:r>
              <w:rPr>
                <w:b w:val="0"/>
                <w:i w:val="0"/>
                <w:sz w:val="17"/>
              </w:rPr>
              <w:t>3% @ $1.3B TEV</w:t>
            </w:r>
          </w:p>
        </w:tc>
        <w:tc>
          <w:tcPr>
            <w:tcW w:type="dxa" w:w="2160"/>
          </w:tcPr>
          <w:p>
            <w:pPr>
              <w:spacing w:after="20"/>
            </w:pPr>
            <w:r/>
            <w:r>
              <w:rPr>
                <w:b w:val="0"/>
                <w:i w:val="0"/>
                <w:sz w:val="17"/>
              </w:rPr>
              <w:t>2% @ $1.4B TEV; 5-year term</w:t>
            </w:r>
          </w:p>
        </w:tc>
        <w:tc>
          <w:tcPr>
            <w:tcW w:type="dxa" w:w="2232"/>
          </w:tcPr>
          <w:p>
            <w:pPr>
              <w:spacing w:after="20"/>
            </w:pPr>
            <w:r/>
            <w:r>
              <w:rPr>
                <w:b w:val="0"/>
                <w:i w:val="0"/>
                <w:sz w:val="17"/>
              </w:rPr>
              <w:t>Not addressed (new issue)</w:t>
            </w:r>
          </w:p>
        </w:tc>
        <w:tc>
          <w:tcPr>
            <w:tcW w:type="dxa" w:w="1440"/>
          </w:tcPr>
          <w:p>
            <w:pPr>
              <w:spacing w:after="20"/>
            </w:pPr>
            <w:r/>
            <w:r>
              <w:rPr>
                <w:b/>
                <w:i w:val="0"/>
                <w:sz w:val="17"/>
              </w:rPr>
              <w:t>Undisclosed cut</w:t>
            </w:r>
          </w:p>
        </w:tc>
      </w:tr>
      <w:tr>
        <w:tc>
          <w:tcPr>
            <w:tcW w:type="dxa" w:w="1584"/>
            <w:shd w:val="clear" w:color="auto" w:fill="EEF1F6"/>
          </w:tcPr>
          <w:p>
            <w:pPr>
              <w:spacing w:after="20"/>
            </w:pPr>
            <w:r/>
            <w:r>
              <w:rPr>
                <w:b w:val="0"/>
                <w:i w:val="0"/>
                <w:sz w:val="17"/>
              </w:rPr>
              <w:t>MIP pool</w:t>
            </w:r>
          </w:p>
        </w:tc>
        <w:tc>
          <w:tcPr>
            <w:tcW w:type="dxa" w:w="1944"/>
            <w:shd w:val="clear" w:color="auto" w:fill="EEF1F6"/>
          </w:tcPr>
          <w:p>
            <w:pPr>
              <w:spacing w:after="20"/>
            </w:pPr>
            <w:r/>
            <w:r>
              <w:rPr>
                <w:b w:val="0"/>
                <w:i w:val="0"/>
                <w:sz w:val="17"/>
              </w:rPr>
              <w:t>Up to 10%</w:t>
            </w:r>
          </w:p>
        </w:tc>
        <w:tc>
          <w:tcPr>
            <w:tcW w:type="dxa" w:w="2160"/>
            <w:shd w:val="clear" w:color="auto" w:fill="EEF1F6"/>
          </w:tcPr>
          <w:p>
            <w:pPr>
              <w:spacing w:after="20"/>
            </w:pPr>
            <w:r/>
            <w:r>
              <w:rPr>
                <w:b w:val="0"/>
                <w:i w:val="0"/>
                <w:sz w:val="17"/>
              </w:rPr>
              <w:t>Up to 7.5%</w:t>
            </w:r>
          </w:p>
        </w:tc>
        <w:tc>
          <w:tcPr>
            <w:tcW w:type="dxa" w:w="2232"/>
            <w:shd w:val="clear" w:color="auto" w:fill="EEF1F6"/>
          </w:tcPr>
          <w:p>
            <w:pPr>
              <w:spacing w:after="20"/>
            </w:pPr>
            <w:r/>
            <w:r>
              <w:rPr>
                <w:b w:val="0"/>
                <w:i w:val="0"/>
                <w:sz w:val="17"/>
              </w:rPr>
              <w:t>Not below 8.5%</w:t>
            </w:r>
          </w:p>
        </w:tc>
        <w:tc>
          <w:tcPr>
            <w:tcW w:type="dxa" w:w="1440"/>
            <w:shd w:val="clear" w:color="auto" w:fill="EEF1F6"/>
          </w:tcPr>
          <w:p>
            <w:pPr>
              <w:spacing w:after="20"/>
            </w:pPr>
            <w:r/>
            <w:r>
              <w:rPr>
                <w:b/>
                <w:i w:val="0"/>
                <w:sz w:val="17"/>
              </w:rPr>
              <w:t>Red line</w:t>
            </w:r>
          </w:p>
        </w:tc>
      </w:tr>
      <w:tr>
        <w:tc>
          <w:tcPr>
            <w:tcW w:type="dxa" w:w="1584"/>
          </w:tcPr>
          <w:p>
            <w:pPr>
              <w:spacing w:after="20"/>
            </w:pPr>
            <w:r/>
            <w:r>
              <w:rPr>
                <w:b w:val="0"/>
                <w:i w:val="0"/>
                <w:sz w:val="17"/>
              </w:rPr>
              <w:t>MIP vesting</w:t>
            </w:r>
          </w:p>
        </w:tc>
        <w:tc>
          <w:tcPr>
            <w:tcW w:type="dxa" w:w="1944"/>
          </w:tcPr>
          <w:p>
            <w:pPr>
              <w:spacing w:after="20"/>
            </w:pPr>
            <w:r/>
            <w:r>
              <w:rPr>
                <w:b w:val="0"/>
                <w:i w:val="0"/>
                <w:sz w:val="17"/>
              </w:rPr>
              <w:t>50% at emergence; 50% time-based, 3 yrs</w:t>
            </w:r>
          </w:p>
        </w:tc>
        <w:tc>
          <w:tcPr>
            <w:tcW w:type="dxa" w:w="2160"/>
          </w:tcPr>
          <w:p>
            <w:pPr>
              <w:spacing w:after="20"/>
            </w:pPr>
            <w:r/>
            <w:r>
              <w:rPr>
                <w:b w:val="0"/>
                <w:i w:val="0"/>
                <w:sz w:val="17"/>
              </w:rPr>
              <w:t>25% at emergence; 75% performance-based, 4 yrs</w:t>
            </w:r>
          </w:p>
        </w:tc>
        <w:tc>
          <w:tcPr>
            <w:tcW w:type="dxa" w:w="2232"/>
          </w:tcPr>
          <w:p>
            <w:pPr>
              <w:spacing w:after="20"/>
            </w:pPr>
            <w:r/>
            <w:r>
              <w:rPr>
                <w:b w:val="0"/>
                <w:i w:val="0"/>
                <w:sz w:val="17"/>
              </w:rPr>
              <w:t>≥40% at emergence; not predominantly performance; ≤3 yrs</w:t>
            </w:r>
          </w:p>
        </w:tc>
        <w:tc>
          <w:tcPr>
            <w:tcW w:type="dxa" w:w="1440"/>
          </w:tcPr>
          <w:p>
            <w:pPr>
              <w:spacing w:after="20"/>
            </w:pPr>
            <w:r/>
            <w:r>
              <w:rPr>
                <w:b/>
                <w:i w:val="0"/>
                <w:sz w:val="17"/>
              </w:rPr>
              <w:t>Red line (x3)</w:t>
            </w:r>
          </w:p>
        </w:tc>
      </w:tr>
      <w:tr>
        <w:tc>
          <w:tcPr>
            <w:tcW w:type="dxa" w:w="1584"/>
            <w:shd w:val="clear" w:color="auto" w:fill="EEF1F6"/>
          </w:tcPr>
          <w:p>
            <w:pPr>
              <w:spacing w:after="20"/>
            </w:pPr>
            <w:r/>
            <w:r>
              <w:rPr>
                <w:b w:val="0"/>
                <w:i w:val="0"/>
                <w:sz w:val="17"/>
              </w:rPr>
              <w:t>Equity total</w:t>
            </w:r>
          </w:p>
        </w:tc>
        <w:tc>
          <w:tcPr>
            <w:tcW w:type="dxa" w:w="1944"/>
            <w:shd w:val="clear" w:color="auto" w:fill="EEF1F6"/>
          </w:tcPr>
          <w:p>
            <w:pPr>
              <w:spacing w:after="20"/>
            </w:pPr>
            <w:r/>
            <w:r>
              <w:rPr>
                <w:b w:val="0"/>
                <w:i w:val="0"/>
                <w:sz w:val="17"/>
              </w:rPr>
              <w:t>72+12+6+10 = 100%</w:t>
            </w:r>
          </w:p>
        </w:tc>
        <w:tc>
          <w:tcPr>
            <w:tcW w:type="dxa" w:w="2160"/>
            <w:shd w:val="clear" w:color="auto" w:fill="EEF1F6"/>
          </w:tcPr>
          <w:p>
            <w:pPr>
              <w:spacing w:after="20"/>
            </w:pPr>
            <w:r/>
            <w:r>
              <w:rPr>
                <w:b w:val="0"/>
                <w:i w:val="0"/>
                <w:sz w:val="17"/>
              </w:rPr>
              <w:t>78+8+4+7.5 = 97.5% (table says 100%)</w:t>
            </w:r>
          </w:p>
        </w:tc>
        <w:tc>
          <w:tcPr>
            <w:tcW w:type="dxa" w:w="2232"/>
            <w:shd w:val="clear" w:color="auto" w:fill="EEF1F6"/>
          </w:tcPr>
          <w:p>
            <w:pPr>
              <w:spacing w:after="20"/>
            </w:pPr>
            <w:r/>
            <w:r>
              <w:rPr>
                <w:b w:val="0"/>
                <w:i w:val="0"/>
                <w:sz w:val="17"/>
              </w:rPr>
              <w:t>Must reconcile to 100%; no separate pools</w:t>
            </w:r>
          </w:p>
        </w:tc>
        <w:tc>
          <w:tcPr>
            <w:tcW w:type="dxa" w:w="1440"/>
            <w:shd w:val="clear" w:color="auto" w:fill="EEF1F6"/>
          </w:tcPr>
          <w:p>
            <w:pPr>
              <w:spacing w:after="20"/>
            </w:pPr>
            <w:r/>
            <w:r>
              <w:rPr>
                <w:b/>
                <w:i w:val="0"/>
                <w:sz w:val="17"/>
              </w:rPr>
              <w:t>2.5% unallocated</w:t>
            </w:r>
          </w:p>
        </w:tc>
      </w:tr>
      <w:tr>
        <w:tc>
          <w:tcPr>
            <w:tcW w:type="dxa" w:w="1584"/>
          </w:tcPr>
          <w:p>
            <w:pPr>
              <w:spacing w:after="20"/>
            </w:pPr>
            <w:r/>
            <w:r>
              <w:rPr>
                <w:b w:val="0"/>
                <w:i w:val="0"/>
                <w:sz w:val="17"/>
              </w:rPr>
              <w:t>DIP rate</w:t>
            </w:r>
          </w:p>
        </w:tc>
        <w:tc>
          <w:tcPr>
            <w:tcW w:type="dxa" w:w="1944"/>
          </w:tcPr>
          <w:p>
            <w:pPr>
              <w:spacing w:after="20"/>
            </w:pPr>
            <w:r/>
            <w:r>
              <w:rPr>
                <w:b w:val="0"/>
                <w:i w:val="0"/>
                <w:sz w:val="17"/>
              </w:rPr>
              <w:t>SOFR + 650</w:t>
            </w:r>
          </w:p>
        </w:tc>
        <w:tc>
          <w:tcPr>
            <w:tcW w:type="dxa" w:w="2160"/>
          </w:tcPr>
          <w:p>
            <w:pPr>
              <w:spacing w:after="20"/>
            </w:pPr>
            <w:r/>
            <w:r>
              <w:rPr>
                <w:b w:val="0"/>
                <w:i w:val="0"/>
                <w:sz w:val="17"/>
              </w:rPr>
              <w:t>SOFR + 800 (default +1,000)</w:t>
            </w:r>
          </w:p>
        </w:tc>
        <w:tc>
          <w:tcPr>
            <w:tcW w:type="dxa" w:w="2232"/>
          </w:tcPr>
          <w:p>
            <w:pPr>
              <w:spacing w:after="20"/>
            </w:pPr>
            <w:r/>
            <w:r>
              <w:rPr>
                <w:b w:val="0"/>
                <w:i w:val="0"/>
                <w:sz w:val="17"/>
              </w:rPr>
              <w:t>Not above SOFR + 725</w:t>
            </w:r>
          </w:p>
        </w:tc>
        <w:tc>
          <w:tcPr>
            <w:tcW w:type="dxa" w:w="1440"/>
          </w:tcPr>
          <w:p>
            <w:pPr>
              <w:spacing w:after="20"/>
            </w:pPr>
            <w:r/>
            <w:r>
              <w:rPr>
                <w:b/>
                <w:i w:val="0"/>
                <w:sz w:val="17"/>
              </w:rPr>
              <w:t>Red line</w:t>
            </w:r>
          </w:p>
        </w:tc>
      </w:tr>
      <w:tr>
        <w:tc>
          <w:tcPr>
            <w:tcW w:type="dxa" w:w="1584"/>
            <w:shd w:val="clear" w:color="auto" w:fill="EEF1F6"/>
          </w:tcPr>
          <w:p>
            <w:pPr>
              <w:spacing w:after="20"/>
            </w:pPr>
            <w:r/>
            <w:r>
              <w:rPr>
                <w:b w:val="0"/>
                <w:i w:val="0"/>
                <w:sz w:val="17"/>
              </w:rPr>
              <w:t>DIP fees</w:t>
            </w:r>
          </w:p>
        </w:tc>
        <w:tc>
          <w:tcPr>
            <w:tcW w:type="dxa" w:w="1944"/>
            <w:shd w:val="clear" w:color="auto" w:fill="EEF1F6"/>
          </w:tcPr>
          <w:p>
            <w:pPr>
              <w:spacing w:after="20"/>
            </w:pPr>
            <w:r/>
            <w:r>
              <w:rPr>
                <w:b w:val="0"/>
                <w:i w:val="0"/>
                <w:sz w:val="17"/>
              </w:rPr>
              <w:t>None</w:t>
            </w:r>
          </w:p>
        </w:tc>
        <w:tc>
          <w:tcPr>
            <w:tcW w:type="dxa" w:w="2160"/>
            <w:shd w:val="clear" w:color="auto" w:fill="EEF1F6"/>
          </w:tcPr>
          <w:p>
            <w:pPr>
              <w:spacing w:after="20"/>
            </w:pPr>
            <w:r/>
            <w:r>
              <w:rPr>
                <w:b w:val="0"/>
                <w:i w:val="0"/>
                <w:sz w:val="17"/>
              </w:rPr>
              <w:t>3% upfront ($5.25M) + 2% exit ($3.50M) = $8.75M</w:t>
            </w:r>
          </w:p>
        </w:tc>
        <w:tc>
          <w:tcPr>
            <w:tcW w:type="dxa" w:w="2232"/>
            <w:shd w:val="clear" w:color="auto" w:fill="EEF1F6"/>
          </w:tcPr>
          <w:p>
            <w:pPr>
              <w:spacing w:after="20"/>
            </w:pPr>
            <w:r/>
            <w:r>
              <w:rPr>
                <w:b w:val="0"/>
                <w:i w:val="0"/>
                <w:sz w:val="17"/>
              </w:rPr>
              <w:t>Upfront ≤1.5%; resist exit fee; combined ≤$3M</w:t>
            </w:r>
          </w:p>
        </w:tc>
        <w:tc>
          <w:tcPr>
            <w:tcW w:type="dxa" w:w="1440"/>
            <w:shd w:val="clear" w:color="auto" w:fill="EEF1F6"/>
          </w:tcPr>
          <w:p>
            <w:pPr>
              <w:spacing w:after="20"/>
            </w:pPr>
            <w:r/>
            <w:r>
              <w:rPr>
                <w:b/>
                <w:i w:val="0"/>
                <w:sz w:val="17"/>
              </w:rPr>
              <w:t>Red line</w:t>
            </w:r>
          </w:p>
        </w:tc>
      </w:tr>
      <w:tr>
        <w:tc>
          <w:tcPr>
            <w:tcW w:type="dxa" w:w="1584"/>
          </w:tcPr>
          <w:p>
            <w:pPr>
              <w:spacing w:after="20"/>
            </w:pPr>
            <w:r/>
            <w:r>
              <w:rPr>
                <w:b w:val="0"/>
                <w:i w:val="0"/>
                <w:sz w:val="17"/>
              </w:rPr>
              <w:t>DIP roll-up</w:t>
            </w:r>
          </w:p>
        </w:tc>
        <w:tc>
          <w:tcPr>
            <w:tcW w:type="dxa" w:w="1944"/>
          </w:tcPr>
          <w:p>
            <w:pPr>
              <w:spacing w:after="20"/>
            </w:pPr>
            <w:r/>
            <w:r>
              <w:rPr>
                <w:b w:val="0"/>
                <w:i w:val="0"/>
                <w:sz w:val="17"/>
              </w:rPr>
              <w:t>$75M</w:t>
            </w:r>
          </w:p>
        </w:tc>
        <w:tc>
          <w:tcPr>
            <w:tcW w:type="dxa" w:w="2160"/>
          </w:tcPr>
          <w:p>
            <w:pPr>
              <w:spacing w:after="20"/>
            </w:pPr>
            <w:r/>
            <w:r>
              <w:rPr>
                <w:b w:val="0"/>
                <w:i w:val="0"/>
                <w:sz w:val="17"/>
              </w:rPr>
              <w:t>$175M (100%) into Exit Facility</w:t>
            </w:r>
          </w:p>
        </w:tc>
        <w:tc>
          <w:tcPr>
            <w:tcW w:type="dxa" w:w="2232"/>
          </w:tcPr>
          <w:p>
            <w:pPr>
              <w:spacing w:after="20"/>
            </w:pPr>
            <w:r/>
            <w:r>
              <w:rPr>
                <w:b w:val="0"/>
                <w:i w:val="0"/>
                <w:sz w:val="17"/>
              </w:rPr>
              <w:t>Not above $100M</w:t>
            </w:r>
          </w:p>
        </w:tc>
        <w:tc>
          <w:tcPr>
            <w:tcW w:type="dxa" w:w="1440"/>
          </w:tcPr>
          <w:p>
            <w:pPr>
              <w:spacing w:after="20"/>
            </w:pPr>
            <w:r/>
            <w:r>
              <w:rPr>
                <w:b/>
                <w:i w:val="0"/>
                <w:sz w:val="17"/>
              </w:rPr>
              <w:t>Red line</w:t>
            </w:r>
          </w:p>
        </w:tc>
      </w:tr>
      <w:tr>
        <w:tc>
          <w:tcPr>
            <w:tcW w:type="dxa" w:w="1584"/>
            <w:shd w:val="clear" w:color="auto" w:fill="EEF1F6"/>
          </w:tcPr>
          <w:p>
            <w:pPr>
              <w:spacing w:after="20"/>
            </w:pPr>
            <w:r/>
            <w:r>
              <w:rPr>
                <w:b w:val="0"/>
                <w:i w:val="0"/>
                <w:sz w:val="17"/>
              </w:rPr>
              <w:t>Carveout</w:t>
            </w:r>
          </w:p>
        </w:tc>
        <w:tc>
          <w:tcPr>
            <w:tcW w:type="dxa" w:w="1944"/>
            <w:shd w:val="clear" w:color="auto" w:fill="EEF1F6"/>
          </w:tcPr>
          <w:p>
            <w:pPr>
              <w:spacing w:after="20"/>
            </w:pPr>
            <w:r/>
            <w:r>
              <w:rPr>
                <w:b w:val="0"/>
                <w:i w:val="0"/>
                <w:sz w:val="17"/>
              </w:rPr>
              <w:t>$15.0M debtor / $7.5M committee ($22.5M)</w:t>
            </w:r>
          </w:p>
        </w:tc>
        <w:tc>
          <w:tcPr>
            <w:tcW w:type="dxa" w:w="2160"/>
            <w:shd w:val="clear" w:color="auto" w:fill="EEF1F6"/>
          </w:tcPr>
          <w:p>
            <w:pPr>
              <w:spacing w:after="20"/>
            </w:pPr>
            <w:r/>
            <w:r>
              <w:rPr>
                <w:b w:val="0"/>
                <w:i w:val="0"/>
                <w:sz w:val="17"/>
              </w:rPr>
              <w:t>$10.0M / $5.0M ($15.0M) + “sole source” cap</w:t>
            </w:r>
          </w:p>
        </w:tc>
        <w:tc>
          <w:tcPr>
            <w:tcW w:type="dxa" w:w="2232"/>
            <w:shd w:val="clear" w:color="auto" w:fill="EEF1F6"/>
          </w:tcPr>
          <w:p>
            <w:pPr>
              <w:spacing w:after="20"/>
            </w:pPr>
            <w:r/>
            <w:r>
              <w:rPr>
                <w:b w:val="0"/>
                <w:i w:val="0"/>
                <w:sz w:val="17"/>
              </w:rPr>
              <w:t>Not below $12.5M / $6.0M</w:t>
            </w:r>
          </w:p>
        </w:tc>
        <w:tc>
          <w:tcPr>
            <w:tcW w:type="dxa" w:w="1440"/>
            <w:shd w:val="clear" w:color="auto" w:fill="EEF1F6"/>
          </w:tcPr>
          <w:p>
            <w:pPr>
              <w:spacing w:after="20"/>
            </w:pPr>
            <w:r/>
            <w:r>
              <w:rPr>
                <w:b/>
                <w:i w:val="0"/>
                <w:sz w:val="17"/>
              </w:rPr>
              <w:t>Red line</w:t>
            </w:r>
          </w:p>
        </w:tc>
      </w:tr>
    </w:tbl>
    <w:p>
      <w:pPr>
        <w:spacing w:after="40"/>
      </w:pPr>
    </w:p>
    <w:p>
      <w:pPr>
        <w:pStyle w:val="Heading2"/>
      </w:pPr>
      <w:r>
        <w:t>B. Recovery waterfall (Pendleton Schedule, as modeled)</w:t>
      </w:r>
    </w:p>
    <w:p>
      <w:pPr>
        <w:jc w:val="both"/>
      </w:pPr>
      <w:r>
        <w:rPr>
          <w:b w:val="0"/>
          <w:i w:val="0"/>
        </w:rPr>
        <w:t>The table reproduces Pendleton’s April 2 base case (TEV $1.3B, about 6.9x FY2024 EBITDA of $187.3M) and its sensitivities. Pro forma equity value falls by $161.25M at every TEV because the change is driven entirely by deductions: +$60.0M exit term loan, +$100.0M additional roll-up, +$8.75M DIP fees, and –$7.5M carveout.</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2880"/>
            <w:shd w:val="clear" w:color="auto" w:fill="1F2A44"/>
          </w:tcPr>
          <w:p>
            <w:r/>
            <w:r>
              <w:rPr>
                <w:b/>
                <w:color w:val="FFFFFF"/>
                <w:sz w:val="17"/>
              </w:rPr>
              <w:t>$M (recovery %)</w:t>
            </w:r>
          </w:p>
        </w:tc>
        <w:tc>
          <w:tcPr>
            <w:tcW w:type="dxa" w:w="1008"/>
            <w:shd w:val="clear" w:color="auto" w:fill="1F2A44"/>
          </w:tcPr>
          <w:p>
            <w:r/>
            <w:r>
              <w:rPr>
                <w:b/>
                <w:color w:val="FFFFFF"/>
                <w:sz w:val="17"/>
              </w:rPr>
              <w:t>Claim</w:t>
            </w:r>
          </w:p>
        </w:tc>
        <w:tc>
          <w:tcPr>
            <w:tcW w:type="dxa" w:w="1944"/>
            <w:shd w:val="clear" w:color="auto" w:fill="1F2A44"/>
          </w:tcPr>
          <w:p>
            <w:r/>
            <w:r>
              <w:rPr>
                <w:b/>
                <w:color w:val="FFFFFF"/>
                <w:sz w:val="17"/>
              </w:rPr>
              <w:t>Company Draft</w:t>
            </w:r>
          </w:p>
        </w:tc>
        <w:tc>
          <w:tcPr>
            <w:tcW w:type="dxa" w:w="1944"/>
            <w:shd w:val="clear" w:color="auto" w:fill="1F2A44"/>
          </w:tcPr>
          <w:p>
            <w:r/>
            <w:r>
              <w:rPr>
                <w:b/>
                <w:color w:val="FFFFFF"/>
                <w:sz w:val="17"/>
              </w:rPr>
              <w:t>Markup</w:t>
            </w:r>
          </w:p>
        </w:tc>
        <w:tc>
          <w:tcPr>
            <w:tcW w:type="dxa" w:w="1584"/>
            <w:shd w:val="clear" w:color="auto" w:fill="1F2A44"/>
          </w:tcPr>
          <w:p>
            <w:r/>
            <w:r>
              <w:rPr>
                <w:b/>
                <w:color w:val="FFFFFF"/>
                <w:sz w:val="17"/>
              </w:rPr>
              <w:t>Delta</w:t>
            </w:r>
          </w:p>
        </w:tc>
      </w:tr>
      <w:tr>
        <w:tc>
          <w:tcPr>
            <w:tcW w:type="dxa" w:w="2880"/>
          </w:tcPr>
          <w:p>
            <w:pPr>
              <w:spacing w:after="20"/>
            </w:pPr>
            <w:r/>
            <w:r>
              <w:rPr>
                <w:b w:val="0"/>
                <w:i w:val="0"/>
                <w:sz w:val="17"/>
              </w:rPr>
              <w:t>Pro forma equity value</w:t>
            </w:r>
          </w:p>
        </w:tc>
        <w:tc>
          <w:tcPr>
            <w:tcW w:type="dxa" w:w="1008"/>
          </w:tcPr>
          <w:p>
            <w:pPr>
              <w:spacing w:after="20"/>
            </w:pPr>
            <w:r/>
            <w:r>
              <w:rPr>
                <w:b w:val="0"/>
                <w:i w:val="0"/>
                <w:sz w:val="17"/>
              </w:rPr>
              <w:t>—</w:t>
            </w:r>
          </w:p>
        </w:tc>
        <w:tc>
          <w:tcPr>
            <w:tcW w:type="dxa" w:w="1944"/>
          </w:tcPr>
          <w:p>
            <w:pPr>
              <w:spacing w:after="20"/>
            </w:pPr>
            <w:r/>
            <w:r>
              <w:rPr>
                <w:b w:val="0"/>
                <w:i w:val="0"/>
                <w:sz w:val="17"/>
              </w:rPr>
              <w:t>$502.5</w:t>
            </w:r>
          </w:p>
        </w:tc>
        <w:tc>
          <w:tcPr>
            <w:tcW w:type="dxa" w:w="1944"/>
          </w:tcPr>
          <w:p>
            <w:pPr>
              <w:spacing w:after="20"/>
            </w:pPr>
            <w:r/>
            <w:r>
              <w:rPr>
                <w:b w:val="0"/>
                <w:i w:val="0"/>
                <w:sz w:val="17"/>
              </w:rPr>
              <w:t>$341.25</w:t>
            </w:r>
          </w:p>
        </w:tc>
        <w:tc>
          <w:tcPr>
            <w:tcW w:type="dxa" w:w="1584"/>
          </w:tcPr>
          <w:p>
            <w:pPr>
              <w:spacing w:after="20"/>
            </w:pPr>
            <w:r/>
            <w:r>
              <w:rPr>
                <w:b w:val="0"/>
                <w:i w:val="0"/>
                <w:sz w:val="17"/>
              </w:rPr>
              <w:t>($161.25)</w:t>
            </w:r>
          </w:p>
        </w:tc>
      </w:tr>
      <w:tr>
        <w:tc>
          <w:tcPr>
            <w:tcW w:type="dxa" w:w="2880"/>
            <w:shd w:val="clear" w:color="auto" w:fill="EEF1F6"/>
          </w:tcPr>
          <w:p>
            <w:pPr>
              <w:spacing w:after="20"/>
            </w:pPr>
            <w:r/>
            <w:r>
              <w:rPr>
                <w:b w:val="0"/>
                <w:i w:val="0"/>
                <w:sz w:val="17"/>
              </w:rPr>
              <w:t>1L total (exit TL + equity)</w:t>
            </w:r>
          </w:p>
        </w:tc>
        <w:tc>
          <w:tcPr>
            <w:tcW w:type="dxa" w:w="1008"/>
            <w:shd w:val="clear" w:color="auto" w:fill="EEF1F6"/>
          </w:tcPr>
          <w:p>
            <w:pPr>
              <w:spacing w:after="20"/>
            </w:pPr>
            <w:r/>
            <w:r>
              <w:rPr>
                <w:b w:val="0"/>
                <w:i w:val="0"/>
                <w:sz w:val="17"/>
              </w:rPr>
              <w:t>$1,190.0</w:t>
            </w:r>
          </w:p>
        </w:tc>
        <w:tc>
          <w:tcPr>
            <w:tcW w:type="dxa" w:w="1944"/>
            <w:shd w:val="clear" w:color="auto" w:fill="EEF1F6"/>
          </w:tcPr>
          <w:p>
            <w:pPr>
              <w:spacing w:after="20"/>
            </w:pPr>
            <w:r/>
            <w:r>
              <w:rPr>
                <w:b w:val="0"/>
                <w:i w:val="0"/>
                <w:sz w:val="17"/>
              </w:rPr>
              <w:t>$956.8 (80.4%)</w:t>
            </w:r>
          </w:p>
        </w:tc>
        <w:tc>
          <w:tcPr>
            <w:tcW w:type="dxa" w:w="1944"/>
            <w:shd w:val="clear" w:color="auto" w:fill="EEF1F6"/>
          </w:tcPr>
          <w:p>
            <w:pPr>
              <w:spacing w:after="20"/>
            </w:pPr>
            <w:r/>
            <w:r>
              <w:rPr>
                <w:b w:val="0"/>
                <w:i w:val="0"/>
                <w:sz w:val="17"/>
              </w:rPr>
              <w:t>$921.2 (77.4%)</w:t>
            </w:r>
          </w:p>
        </w:tc>
        <w:tc>
          <w:tcPr>
            <w:tcW w:type="dxa" w:w="1584"/>
            <w:shd w:val="clear" w:color="auto" w:fill="EEF1F6"/>
          </w:tcPr>
          <w:p>
            <w:pPr>
              <w:spacing w:after="20"/>
            </w:pPr>
            <w:r/>
            <w:r>
              <w:rPr>
                <w:b w:val="0"/>
                <w:i w:val="0"/>
                <w:sz w:val="17"/>
              </w:rPr>
              <w:t>($35.6) / –3.0 pp</w:t>
            </w:r>
          </w:p>
        </w:tc>
      </w:tr>
      <w:tr>
        <w:tc>
          <w:tcPr>
            <w:tcW w:type="dxa" w:w="2880"/>
          </w:tcPr>
          <w:p>
            <w:pPr>
              <w:spacing w:after="20"/>
            </w:pPr>
            <w:r/>
            <w:r>
              <w:rPr>
                <w:b w:val="0"/>
                <w:i w:val="0"/>
                <w:sz w:val="17"/>
              </w:rPr>
              <w:t xml:space="preserve">  of which exit TL</w:t>
            </w:r>
          </w:p>
        </w:tc>
        <w:tc>
          <w:tcPr>
            <w:tcW w:type="dxa" w:w="1008"/>
          </w:tcPr>
          <w:p>
            <w:pPr>
              <w:spacing w:after="20"/>
            </w:pPr>
            <w:r/>
          </w:p>
        </w:tc>
        <w:tc>
          <w:tcPr>
            <w:tcW w:type="dxa" w:w="1944"/>
          </w:tcPr>
          <w:p>
            <w:pPr>
              <w:spacing w:after="20"/>
            </w:pPr>
            <w:r/>
            <w:r>
              <w:rPr>
                <w:b w:val="0"/>
                <w:i w:val="0"/>
                <w:sz w:val="17"/>
              </w:rPr>
              <w:t>$595.0</w:t>
            </w:r>
          </w:p>
        </w:tc>
        <w:tc>
          <w:tcPr>
            <w:tcW w:type="dxa" w:w="1944"/>
          </w:tcPr>
          <w:p>
            <w:pPr>
              <w:spacing w:after="20"/>
            </w:pPr>
            <w:r/>
            <w:r>
              <w:rPr>
                <w:b w:val="0"/>
                <w:i w:val="0"/>
                <w:sz w:val="17"/>
              </w:rPr>
              <w:t>$655.0</w:t>
            </w:r>
          </w:p>
        </w:tc>
        <w:tc>
          <w:tcPr>
            <w:tcW w:type="dxa" w:w="1584"/>
          </w:tcPr>
          <w:p>
            <w:pPr>
              <w:spacing w:after="20"/>
            </w:pPr>
            <w:r/>
            <w:r>
              <w:rPr>
                <w:b w:val="0"/>
                <w:i w:val="0"/>
                <w:sz w:val="17"/>
              </w:rPr>
              <w:t>+$60.0</w:t>
            </w:r>
          </w:p>
        </w:tc>
      </w:tr>
      <w:tr>
        <w:tc>
          <w:tcPr>
            <w:tcW w:type="dxa" w:w="2880"/>
            <w:shd w:val="clear" w:color="auto" w:fill="EEF1F6"/>
          </w:tcPr>
          <w:p>
            <w:pPr>
              <w:spacing w:after="20"/>
            </w:pPr>
            <w:r/>
            <w:r>
              <w:rPr>
                <w:b w:val="0"/>
                <w:i w:val="0"/>
                <w:sz w:val="17"/>
              </w:rPr>
              <w:t xml:space="preserve">  of which equity</w:t>
            </w:r>
          </w:p>
        </w:tc>
        <w:tc>
          <w:tcPr>
            <w:tcW w:type="dxa" w:w="1008"/>
            <w:shd w:val="clear" w:color="auto" w:fill="EEF1F6"/>
          </w:tcPr>
          <w:p>
            <w:pPr>
              <w:spacing w:after="20"/>
            </w:pPr>
            <w:r/>
          </w:p>
        </w:tc>
        <w:tc>
          <w:tcPr>
            <w:tcW w:type="dxa" w:w="1944"/>
            <w:shd w:val="clear" w:color="auto" w:fill="EEF1F6"/>
          </w:tcPr>
          <w:p>
            <w:pPr>
              <w:spacing w:after="20"/>
            </w:pPr>
            <w:r/>
            <w:r>
              <w:rPr>
                <w:b w:val="0"/>
                <w:i w:val="0"/>
                <w:sz w:val="17"/>
              </w:rPr>
              <w:t>$361.8 (72%)</w:t>
            </w:r>
          </w:p>
        </w:tc>
        <w:tc>
          <w:tcPr>
            <w:tcW w:type="dxa" w:w="1944"/>
            <w:shd w:val="clear" w:color="auto" w:fill="EEF1F6"/>
          </w:tcPr>
          <w:p>
            <w:pPr>
              <w:spacing w:after="20"/>
            </w:pPr>
            <w:r/>
            <w:r>
              <w:rPr>
                <w:b w:val="0"/>
                <w:i w:val="0"/>
                <w:sz w:val="17"/>
              </w:rPr>
              <w:t>$266.2 (78%)</w:t>
            </w:r>
          </w:p>
        </w:tc>
        <w:tc>
          <w:tcPr>
            <w:tcW w:type="dxa" w:w="1584"/>
            <w:shd w:val="clear" w:color="auto" w:fill="EEF1F6"/>
          </w:tcPr>
          <w:p>
            <w:pPr>
              <w:spacing w:after="20"/>
            </w:pPr>
            <w:r/>
            <w:r>
              <w:rPr>
                <w:b w:val="0"/>
                <w:i w:val="0"/>
                <w:sz w:val="17"/>
              </w:rPr>
              <w:t>($95.6)</w:t>
            </w:r>
          </w:p>
        </w:tc>
      </w:tr>
      <w:tr>
        <w:tc>
          <w:tcPr>
            <w:tcW w:type="dxa" w:w="2880"/>
          </w:tcPr>
          <w:p>
            <w:pPr>
              <w:spacing w:after="20"/>
            </w:pPr>
            <w:r/>
            <w:r>
              <w:rPr>
                <w:b w:val="0"/>
                <w:i w:val="0"/>
                <w:sz w:val="17"/>
              </w:rPr>
              <w:t>2L notes (equity)</w:t>
            </w:r>
          </w:p>
        </w:tc>
        <w:tc>
          <w:tcPr>
            <w:tcW w:type="dxa" w:w="1008"/>
          </w:tcPr>
          <w:p>
            <w:pPr>
              <w:spacing w:after="20"/>
            </w:pPr>
            <w:r/>
            <w:r>
              <w:rPr>
                <w:b w:val="0"/>
                <w:i w:val="0"/>
                <w:sz w:val="17"/>
              </w:rPr>
              <w:t>$380.0</w:t>
            </w:r>
          </w:p>
        </w:tc>
        <w:tc>
          <w:tcPr>
            <w:tcW w:type="dxa" w:w="1944"/>
          </w:tcPr>
          <w:p>
            <w:pPr>
              <w:spacing w:after="20"/>
            </w:pPr>
            <w:r/>
            <w:r>
              <w:rPr>
                <w:b w:val="0"/>
                <w:i w:val="0"/>
                <w:sz w:val="17"/>
              </w:rPr>
              <w:t>$60.3 (15.9%)</w:t>
            </w:r>
          </w:p>
        </w:tc>
        <w:tc>
          <w:tcPr>
            <w:tcW w:type="dxa" w:w="1944"/>
          </w:tcPr>
          <w:p>
            <w:pPr>
              <w:spacing w:after="20"/>
            </w:pPr>
            <w:r/>
            <w:r>
              <w:rPr>
                <w:b w:val="0"/>
                <w:i w:val="0"/>
                <w:sz w:val="17"/>
              </w:rPr>
              <w:t>$27.3 (7.2%)</w:t>
            </w:r>
          </w:p>
        </w:tc>
        <w:tc>
          <w:tcPr>
            <w:tcW w:type="dxa" w:w="1584"/>
          </w:tcPr>
          <w:p>
            <w:pPr>
              <w:spacing w:after="20"/>
            </w:pPr>
            <w:r/>
            <w:r>
              <w:rPr>
                <w:b w:val="0"/>
                <w:i w:val="0"/>
                <w:sz w:val="17"/>
              </w:rPr>
              <w:t>($33.0) / –8.7 pp (–55%)</w:t>
            </w:r>
          </w:p>
        </w:tc>
      </w:tr>
      <w:tr>
        <w:tc>
          <w:tcPr>
            <w:tcW w:type="dxa" w:w="2880"/>
            <w:shd w:val="clear" w:color="auto" w:fill="EEF1F6"/>
          </w:tcPr>
          <w:p>
            <w:pPr>
              <w:spacing w:after="20"/>
            </w:pPr>
            <w:r/>
            <w:r>
              <w:rPr>
                <w:b w:val="0"/>
                <w:i w:val="0"/>
                <w:sz w:val="17"/>
              </w:rPr>
              <w:t>Unsecured notes (equity, excl. warrants)</w:t>
            </w:r>
          </w:p>
        </w:tc>
        <w:tc>
          <w:tcPr>
            <w:tcW w:type="dxa" w:w="1008"/>
            <w:shd w:val="clear" w:color="auto" w:fill="EEF1F6"/>
          </w:tcPr>
          <w:p>
            <w:pPr>
              <w:spacing w:after="20"/>
            </w:pPr>
            <w:r/>
            <w:r>
              <w:rPr>
                <w:b w:val="0"/>
                <w:i w:val="0"/>
                <w:sz w:val="17"/>
              </w:rPr>
              <w:t>$300.0</w:t>
            </w:r>
          </w:p>
        </w:tc>
        <w:tc>
          <w:tcPr>
            <w:tcW w:type="dxa" w:w="1944"/>
            <w:shd w:val="clear" w:color="auto" w:fill="EEF1F6"/>
          </w:tcPr>
          <w:p>
            <w:pPr>
              <w:spacing w:after="20"/>
            </w:pPr>
            <w:r/>
            <w:r>
              <w:rPr>
                <w:b w:val="0"/>
                <w:i w:val="0"/>
                <w:sz w:val="17"/>
              </w:rPr>
              <w:t>$30.2 (10.1%)</w:t>
            </w:r>
          </w:p>
        </w:tc>
        <w:tc>
          <w:tcPr>
            <w:tcW w:type="dxa" w:w="1944"/>
            <w:shd w:val="clear" w:color="auto" w:fill="EEF1F6"/>
          </w:tcPr>
          <w:p>
            <w:pPr>
              <w:spacing w:after="20"/>
            </w:pPr>
            <w:r/>
            <w:r>
              <w:rPr>
                <w:b w:val="0"/>
                <w:i w:val="0"/>
                <w:sz w:val="17"/>
              </w:rPr>
              <w:t>$13.7 (4.6%)</w:t>
            </w:r>
          </w:p>
        </w:tc>
        <w:tc>
          <w:tcPr>
            <w:tcW w:type="dxa" w:w="1584"/>
            <w:shd w:val="clear" w:color="auto" w:fill="EEF1F6"/>
          </w:tcPr>
          <w:p>
            <w:pPr>
              <w:spacing w:after="20"/>
            </w:pPr>
            <w:r/>
            <w:r>
              <w:rPr>
                <w:b w:val="0"/>
                <w:i w:val="0"/>
                <w:sz w:val="17"/>
              </w:rPr>
              <w:t>($16.5) / –5.5 pp (–55%)</w:t>
            </w:r>
          </w:p>
        </w:tc>
      </w:tr>
      <w:tr>
        <w:tc>
          <w:tcPr>
            <w:tcW w:type="dxa" w:w="2880"/>
          </w:tcPr>
          <w:p>
            <w:pPr>
              <w:spacing w:after="20"/>
            </w:pPr>
            <w:r/>
            <w:r>
              <w:rPr>
                <w:b w:val="0"/>
                <w:i w:val="0"/>
                <w:sz w:val="17"/>
              </w:rPr>
              <w:t>MIP pool value</w:t>
            </w:r>
          </w:p>
        </w:tc>
        <w:tc>
          <w:tcPr>
            <w:tcW w:type="dxa" w:w="1008"/>
          </w:tcPr>
          <w:p>
            <w:pPr>
              <w:spacing w:after="20"/>
            </w:pPr>
            <w:r/>
            <w:r>
              <w:rPr>
                <w:b w:val="0"/>
                <w:i w:val="0"/>
                <w:sz w:val="17"/>
              </w:rPr>
              <w:t>—</w:t>
            </w:r>
          </w:p>
        </w:tc>
        <w:tc>
          <w:tcPr>
            <w:tcW w:type="dxa" w:w="1944"/>
          </w:tcPr>
          <w:p>
            <w:pPr>
              <w:spacing w:after="20"/>
            </w:pPr>
            <w:r/>
            <w:r>
              <w:rPr>
                <w:b w:val="0"/>
                <w:i w:val="0"/>
                <w:sz w:val="17"/>
              </w:rPr>
              <w:t>$50.3 (10%)</w:t>
            </w:r>
          </w:p>
        </w:tc>
        <w:tc>
          <w:tcPr>
            <w:tcW w:type="dxa" w:w="1944"/>
          </w:tcPr>
          <w:p>
            <w:pPr>
              <w:spacing w:after="20"/>
            </w:pPr>
            <w:r/>
            <w:r>
              <w:rPr>
                <w:b w:val="0"/>
                <w:i w:val="0"/>
                <w:sz w:val="17"/>
              </w:rPr>
              <w:t>$25.6 (7.5%)</w:t>
            </w:r>
          </w:p>
        </w:tc>
        <w:tc>
          <w:tcPr>
            <w:tcW w:type="dxa" w:w="1584"/>
          </w:tcPr>
          <w:p>
            <w:pPr>
              <w:spacing w:after="20"/>
            </w:pPr>
            <w:r/>
            <w:r>
              <w:rPr>
                <w:b w:val="0"/>
                <w:i w:val="0"/>
                <w:sz w:val="17"/>
              </w:rPr>
              <w:t>($24.7)</w:t>
            </w:r>
          </w:p>
        </w:tc>
      </w:tr>
      <w:tr>
        <w:tc>
          <w:tcPr>
            <w:tcW w:type="dxa" w:w="2880"/>
            <w:shd w:val="clear" w:color="auto" w:fill="EEF1F6"/>
          </w:tcPr>
          <w:p>
            <w:pPr>
              <w:spacing w:after="20"/>
            </w:pPr>
            <w:r/>
            <w:r>
              <w:rPr>
                <w:b w:val="0"/>
                <w:i w:val="0"/>
                <w:sz w:val="17"/>
              </w:rPr>
              <w:t>Unallocated equity</w:t>
            </w:r>
          </w:p>
        </w:tc>
        <w:tc>
          <w:tcPr>
            <w:tcW w:type="dxa" w:w="1008"/>
            <w:shd w:val="clear" w:color="auto" w:fill="EEF1F6"/>
          </w:tcPr>
          <w:p>
            <w:pPr>
              <w:spacing w:after="20"/>
            </w:pPr>
            <w:r/>
            <w:r>
              <w:rPr>
                <w:b w:val="0"/>
                <w:i w:val="0"/>
                <w:sz w:val="17"/>
              </w:rPr>
              <w:t>—</w:t>
            </w:r>
          </w:p>
        </w:tc>
        <w:tc>
          <w:tcPr>
            <w:tcW w:type="dxa" w:w="1944"/>
            <w:shd w:val="clear" w:color="auto" w:fill="EEF1F6"/>
          </w:tcPr>
          <w:p>
            <w:pPr>
              <w:spacing w:after="20"/>
            </w:pPr>
            <w:r/>
            <w:r>
              <w:rPr>
                <w:b w:val="0"/>
                <w:i w:val="0"/>
                <w:sz w:val="17"/>
              </w:rPr>
              <w:t>$0.0</w:t>
            </w:r>
          </w:p>
        </w:tc>
        <w:tc>
          <w:tcPr>
            <w:tcW w:type="dxa" w:w="1944"/>
            <w:shd w:val="clear" w:color="auto" w:fill="EEF1F6"/>
          </w:tcPr>
          <w:p>
            <w:pPr>
              <w:spacing w:after="20"/>
            </w:pPr>
            <w:r/>
            <w:r>
              <w:rPr>
                <w:b w:val="0"/>
                <w:i w:val="0"/>
                <w:sz w:val="17"/>
              </w:rPr>
              <w:t>$8.5 (2.5%)</w:t>
            </w:r>
          </w:p>
        </w:tc>
        <w:tc>
          <w:tcPr>
            <w:tcW w:type="dxa" w:w="1584"/>
            <w:shd w:val="clear" w:color="auto" w:fill="EEF1F6"/>
          </w:tcPr>
          <w:p>
            <w:pPr>
              <w:spacing w:after="20"/>
            </w:pPr>
            <w:r/>
            <w:r>
              <w:rPr>
                <w:b w:val="0"/>
                <w:i w:val="0"/>
                <w:sz w:val="17"/>
              </w:rPr>
              <w:t>+$8.5</w:t>
            </w:r>
          </w:p>
        </w:tc>
      </w:tr>
      <w:tr>
        <w:tc>
          <w:tcPr>
            <w:tcW w:type="dxa" w:w="2880"/>
          </w:tcPr>
          <w:p>
            <w:pPr>
              <w:spacing w:after="20"/>
            </w:pPr>
            <w:r/>
            <w:r>
              <w:rPr>
                <w:b w:val="0"/>
                <w:i w:val="0"/>
                <w:sz w:val="17"/>
              </w:rPr>
              <w:t>DIP lenders: fees + incremental interest</w:t>
            </w:r>
          </w:p>
        </w:tc>
        <w:tc>
          <w:tcPr>
            <w:tcW w:type="dxa" w:w="1008"/>
          </w:tcPr>
          <w:p>
            <w:pPr>
              <w:spacing w:after="20"/>
            </w:pPr>
            <w:r/>
            <w:r>
              <w:rPr>
                <w:b w:val="0"/>
                <w:i w:val="0"/>
                <w:sz w:val="17"/>
              </w:rPr>
              <w:t>—</w:t>
            </w:r>
          </w:p>
        </w:tc>
        <w:tc>
          <w:tcPr>
            <w:tcW w:type="dxa" w:w="1944"/>
          </w:tcPr>
          <w:p>
            <w:pPr>
              <w:spacing w:after="20"/>
            </w:pPr>
            <w:r/>
            <w:r>
              <w:rPr>
                <w:b w:val="0"/>
                <w:i w:val="0"/>
                <w:sz w:val="17"/>
              </w:rPr>
              <w:t>$0.0</w:t>
            </w:r>
          </w:p>
        </w:tc>
        <w:tc>
          <w:tcPr>
            <w:tcW w:type="dxa" w:w="1944"/>
          </w:tcPr>
          <w:p>
            <w:pPr>
              <w:spacing w:after="20"/>
            </w:pPr>
            <w:r/>
            <w:r>
              <w:rPr>
                <w:b w:val="0"/>
                <w:i w:val="0"/>
                <w:sz w:val="17"/>
              </w:rPr>
              <w:t>$8.75 + ~$1.3</w:t>
            </w:r>
          </w:p>
        </w:tc>
        <w:tc>
          <w:tcPr>
            <w:tcW w:type="dxa" w:w="1584"/>
          </w:tcPr>
          <w:p>
            <w:pPr>
              <w:spacing w:after="20"/>
            </w:pPr>
            <w:r/>
            <w:r>
              <w:rPr>
                <w:b w:val="0"/>
                <w:i w:val="0"/>
                <w:sz w:val="17"/>
              </w:rPr>
              <w:t>+~$10.1</w:t>
            </w:r>
          </w:p>
        </w:tc>
      </w:tr>
      <w:tr>
        <w:tc>
          <w:tcPr>
            <w:tcW w:type="dxa" w:w="2880"/>
            <w:shd w:val="clear" w:color="auto" w:fill="EEF1F6"/>
          </w:tcPr>
          <w:p>
            <w:pPr>
              <w:spacing w:after="20"/>
            </w:pPr>
            <w:r/>
            <w:r>
              <w:rPr>
                <w:b w:val="0"/>
                <w:i w:val="0"/>
                <w:sz w:val="17"/>
              </w:rPr>
              <w:t>Downside TEV $1.1B: 1L / 2L / Unsec.</w:t>
            </w:r>
          </w:p>
        </w:tc>
        <w:tc>
          <w:tcPr>
            <w:tcW w:type="dxa" w:w="1008"/>
            <w:shd w:val="clear" w:color="auto" w:fill="EEF1F6"/>
          </w:tcPr>
          <w:p>
            <w:pPr>
              <w:spacing w:after="20"/>
            </w:pPr>
            <w:r/>
          </w:p>
        </w:tc>
        <w:tc>
          <w:tcPr>
            <w:tcW w:type="dxa" w:w="1944"/>
            <w:shd w:val="clear" w:color="auto" w:fill="EEF1F6"/>
          </w:tcPr>
          <w:p>
            <w:pPr>
              <w:spacing w:after="20"/>
            </w:pPr>
            <w:r/>
            <w:r>
              <w:rPr>
                <w:b w:val="0"/>
                <w:i w:val="0"/>
                <w:sz w:val="17"/>
              </w:rPr>
              <w:t>$812.8 / $36.3 / $18.2</w:t>
            </w:r>
          </w:p>
        </w:tc>
        <w:tc>
          <w:tcPr>
            <w:tcW w:type="dxa" w:w="1944"/>
            <w:shd w:val="clear" w:color="auto" w:fill="EEF1F6"/>
          </w:tcPr>
          <w:p>
            <w:pPr>
              <w:spacing w:after="20"/>
            </w:pPr>
            <w:r/>
            <w:r>
              <w:rPr>
                <w:b w:val="0"/>
                <w:i w:val="0"/>
                <w:sz w:val="17"/>
              </w:rPr>
              <w:t>$765.2 / $11.3 / $5.7</w:t>
            </w:r>
          </w:p>
        </w:tc>
        <w:tc>
          <w:tcPr>
            <w:tcW w:type="dxa" w:w="1584"/>
            <w:shd w:val="clear" w:color="auto" w:fill="EEF1F6"/>
          </w:tcPr>
          <w:p>
            <w:pPr>
              <w:spacing w:after="20"/>
            </w:pPr>
            <w:r/>
            <w:r>
              <w:rPr>
                <w:b w:val="0"/>
                <w:i w:val="0"/>
                <w:sz w:val="17"/>
              </w:rPr>
              <w:t>2L –69%; Unsec. –69%</w:t>
            </w:r>
          </w:p>
        </w:tc>
      </w:tr>
      <w:tr>
        <w:tc>
          <w:tcPr>
            <w:tcW w:type="dxa" w:w="2880"/>
          </w:tcPr>
          <w:p>
            <w:pPr>
              <w:spacing w:after="20"/>
            </w:pPr>
            <w:r/>
            <w:r>
              <w:rPr>
                <w:b w:val="0"/>
                <w:i w:val="0"/>
                <w:sz w:val="17"/>
              </w:rPr>
              <w:t>Upside TEV $1.5B: 1L / 2L / Unsec.</w:t>
            </w:r>
          </w:p>
        </w:tc>
        <w:tc>
          <w:tcPr>
            <w:tcW w:type="dxa" w:w="1008"/>
          </w:tcPr>
          <w:p>
            <w:pPr>
              <w:spacing w:after="20"/>
            </w:pPr>
            <w:r/>
          </w:p>
        </w:tc>
        <w:tc>
          <w:tcPr>
            <w:tcW w:type="dxa" w:w="1944"/>
          </w:tcPr>
          <w:p>
            <w:pPr>
              <w:spacing w:after="20"/>
            </w:pPr>
            <w:r/>
            <w:r>
              <w:rPr>
                <w:b w:val="0"/>
                <w:i w:val="0"/>
                <w:sz w:val="17"/>
              </w:rPr>
              <w:t>$1,100.8 / $84.3 / $42.2</w:t>
            </w:r>
          </w:p>
        </w:tc>
        <w:tc>
          <w:tcPr>
            <w:tcW w:type="dxa" w:w="1944"/>
          </w:tcPr>
          <w:p>
            <w:pPr>
              <w:spacing w:after="20"/>
            </w:pPr>
            <w:r/>
            <w:r>
              <w:rPr>
                <w:b w:val="0"/>
                <w:i w:val="0"/>
                <w:sz w:val="17"/>
              </w:rPr>
              <w:t>$1,077.2 / $43.3 / $21.7</w:t>
            </w:r>
          </w:p>
        </w:tc>
        <w:tc>
          <w:tcPr>
            <w:tcW w:type="dxa" w:w="1584"/>
          </w:tcPr>
          <w:p>
            <w:pPr>
              <w:spacing w:after="20"/>
            </w:pPr>
            <w:r/>
            <w:r>
              <w:rPr>
                <w:b w:val="0"/>
                <w:i w:val="0"/>
                <w:sz w:val="17"/>
              </w:rPr>
              <w:t>2L –49%; Unsec. –49%</w:t>
            </w:r>
          </w:p>
        </w:tc>
      </w:tr>
    </w:tbl>
    <w:p>
      <w:pPr>
        <w:spacing w:after="40"/>
      </w:pPr>
    </w:p>
    <w:p>
      <w:pPr>
        <w:pStyle w:val="Heading2"/>
      </w:pPr>
      <w:r>
        <w:t>C. Our observations on the Pendleton Schedule (requested re-run)</w:t>
      </w:r>
    </w:p>
    <w:p>
      <w:pPr>
        <w:pStyle w:val="ListBullet"/>
        <w:spacing w:after="60"/>
      </w:pPr>
      <w:r>
        <w:rPr>
          <w:b/>
          <w:i w:val="0"/>
        </w:rPr>
        <w:t>DIP takeout is not modeled consistently.</w:t>
      </w:r>
      <w:r>
        <w:rPr>
          <w:b w:val="0"/>
          <w:i w:val="0"/>
        </w:rPr>
        <w:t xml:space="preserve"> For the Company Draft case the Schedule deducts only the $75M roll-up. Under DIP Term Sheet §4.3, though, the remaining $175M of DIP obligations is to be “repaid in full in cash from available sources” at emergence, and the Company’s $68M of cash cannot cover that, so it implies additional exit financing. If both cases bear the full $175M DIP takeout, Company Draft equity value is about </w:t>
      </w:r>
      <w:r>
        <w:rPr>
          <w:b/>
          <w:i w:val="0"/>
        </w:rPr>
        <w:t>$402.5M</w:t>
      </w:r>
      <w:r>
        <w:rPr>
          <w:b w:val="0"/>
          <w:i w:val="0"/>
        </w:rPr>
        <w:t xml:space="preserve"> (not $502.5M) and the true incremental leakage in the Markup is about </w:t>
      </w:r>
      <w:r>
        <w:rPr>
          <w:b/>
          <w:i w:val="0"/>
        </w:rPr>
        <w:t>$61.25M</w:t>
      </w:r>
      <w:r>
        <w:rPr>
          <w:b w:val="0"/>
          <w:i w:val="0"/>
        </w:rPr>
        <w:t xml:space="preserve"> ($60.0M exit TL + $8.75M fees – $7.5M carveout), plus ~$1.3M of incremental interest. On that like-for-like basis the Markup </w:t>
      </w:r>
      <w:r>
        <w:rPr>
          <w:b/>
          <w:i w:val="0"/>
        </w:rPr>
        <w:t>increases</w:t>
      </w:r>
      <w:r>
        <w:rPr>
          <w:b w:val="0"/>
          <w:i w:val="0"/>
        </w:rPr>
        <w:t xml:space="preserve"> 1L class recovery (about $884.8M / 74.4% to $921.2M / 77.4%) and </w:t>
      </w:r>
      <w:r>
        <w:rPr>
          <w:b/>
          <w:i w:val="0"/>
        </w:rPr>
        <w:t>cuts</w:t>
      </w:r>
      <w:r>
        <w:rPr>
          <w:b w:val="0"/>
          <w:i w:val="0"/>
        </w:rPr>
        <w:t xml:space="preserve"> 2L recovery from about $48.3M (12.7%) to $27.3M (7.2%) and unsecured from about $24.2M (8.1%) to $13.7M (4.6%), each roughly –43%. Either way, the Markup is primarily a </w:t>
      </w:r>
      <w:r>
        <w:rPr>
          <w:b/>
          <w:i w:val="0"/>
        </w:rPr>
        <w:t>reallocation</w:t>
      </w:r>
      <w:r>
        <w:rPr>
          <w:b w:val="0"/>
          <w:i w:val="0"/>
        </w:rPr>
        <w:t xml:space="preserve"> from the junior classes and management to the first lien. We need Pendleton’s view before we cite numbers to Clearbridge.</w:t>
      </w:r>
    </w:p>
    <w:p>
      <w:pPr>
        <w:pStyle w:val="ListBullet"/>
        <w:spacing w:after="60"/>
      </w:pPr>
      <w:r>
        <w:rPr>
          <w:b/>
          <w:i w:val="0"/>
        </w:rPr>
        <w:t>Our own documents are inconsistent on the roll-up.</w:t>
      </w:r>
      <w:r>
        <w:rPr>
          <w:b w:val="0"/>
          <w:i w:val="0"/>
        </w:rPr>
        <w:t xml:space="preserve"> RSA §2.03 and DIP Term Sheet §§4.1–4.2 describe a $75M roll-up of </w:t>
      </w:r>
      <w:r>
        <w:rPr>
          <w:b/>
          <w:i w:val="0"/>
        </w:rPr>
        <w:t>prepetition</w:t>
      </w:r>
      <w:r>
        <w:rPr>
          <w:b w:val="0"/>
          <w:i w:val="0"/>
        </w:rPr>
        <w:t xml:space="preserve"> 1L claims into the DIP (total DIP claims $250M). DIP Term Sheet §4.3 converts $75M of DIP obligations into the exit term loan and says that $75M is part of the $595M exit term loan. But Term Sheet §II.B distributes the full $595M exit term loan to 1L holders, and the Pendleton Schedule adds the $75M on top. We should fix this in our turn: specify whether the $595M is all takeback paper, how the DIP is taken out, and how 1L class claims are reduced by any rolled-up amount (to avoid double recovery).</w:t>
      </w:r>
    </w:p>
    <w:p>
      <w:pPr>
        <w:pStyle w:val="ListBullet"/>
        <w:spacing w:after="60"/>
      </w:pPr>
      <w:r>
        <w:rPr>
          <w:b/>
          <w:i w:val="0"/>
        </w:rPr>
        <w:t>Warrants.</w:t>
      </w:r>
      <w:r>
        <w:rPr>
          <w:b w:val="0"/>
          <w:i w:val="0"/>
        </w:rPr>
        <w:t xml:space="preserve"> Pendleton row 36 (“no change to warrants”) is wrong. Illustratively, at the $1.5B upside TEV the intrinsic value of the unsecured warrants falls from about $6.0M (3% × [$702.5M – $502.5M]) to about $2.0M (2% × [$541.25M – $441.25M]). At the $1.3B base case the Markup warrants are out of the money (an equity value of about $441M is required, against $341M at emergence).</w:t>
      </w:r>
    </w:p>
    <w:p>
      <w:pPr>
        <w:pStyle w:val="ListBullet"/>
        <w:spacing w:after="60"/>
      </w:pPr>
      <w:r>
        <w:rPr>
          <w:b/>
          <w:i w:val="0"/>
        </w:rPr>
        <w:t>MIP treatment.</w:t>
      </w:r>
      <w:r>
        <w:rPr>
          <w:b w:val="0"/>
          <w:i w:val="0"/>
        </w:rPr>
        <w:t xml:space="preserve"> The Schedule treats the MIP as a 10% / 7.5% slice of 100%, while both drafts describe creditor allocations as “subject to dilution by” the MIP (the Schedule’s Debt Detail rows 17–18 compute effective post-dilution percentages). The definitive documents should adopt one convention, and the Plan’s equity table must foot to 100%.</w:t>
      </w:r>
    </w:p>
    <w:p>
      <w:pPr>
        <w:pStyle w:val="ListBullet"/>
        <w:spacing w:after="60"/>
      </w:pPr>
      <w:r>
        <w:rPr>
          <w:b/>
          <w:i w:val="0"/>
        </w:rPr>
        <w:t>Scrivener items.</w:t>
      </w:r>
      <w:r>
        <w:rPr>
          <w:b w:val="0"/>
          <w:i w:val="0"/>
        </w:rPr>
        <w:t xml:space="preserve"> The Schedule lists the brands as “Ridgeline Suites, Crestview Hotels, PeakStay Select,” while every legal document uses “Aldersgate Hotels.” The Schedule and the Cover Email identify the largest holder as Redstone Capital Management LP, while the Company Draft preamble, Schedule 2, the Framework and the DIP Term Sheet say Hollcroft Capital Management LP (and our signature block says Redstone). These must be reconciled before execution.</w:t>
      </w:r>
    </w:p>
    <w:p>
      <w:pPr>
        <w:pStyle w:val="Heading2"/>
      </w:pPr>
      <w:r>
        <w:t>D. Recoveries against trading levels</w:t>
      </w:r>
    </w:p>
    <w:p>
      <w:pPr>
        <w:jc w:val="both"/>
      </w:pPr>
      <w:r>
        <w:rPr>
          <w:b w:val="0"/>
          <w:i w:val="0"/>
        </w:rPr>
        <w:t>The Cover Email argues that junior recoveries are “generous” given trading levels (2L about 28 cents; unsecured about 8 cents). The numbers do not support that argument. Under the Markup, base-case 2L recovery (7.2%) is about one-quarter of where the 2L notes trade, and unsecured recovery (4.6% plus out-of-the-money warrants) is a little over half of where those notes trade. The market is pricing either a higher TEV or the juniors’ litigation leverage. For the Board, that gap is the clearest sign that the Markup invites a valuation fight in which the 2L would contest TEV, priming, the releases and feasibility, and a prepack timetable cannot accommodate that fight.</w:t>
      </w:r>
    </w:p>
    <w:p>
      <w:pPr>
        <w:pStyle w:val="Heading2"/>
      </w:pPr>
      <w:r>
        <w:t>E. DIP cost and emergence leverage</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04"/>
            <w:shd w:val="clear" w:color="auto" w:fill="1F2A44"/>
          </w:tcPr>
          <w:p>
            <w:r/>
            <w:r>
              <w:rPr>
                <w:b/>
                <w:color w:val="FFFFFF"/>
                <w:sz w:val="17"/>
              </w:rPr>
              <w:t>Item</w:t>
            </w:r>
          </w:p>
        </w:tc>
        <w:tc>
          <w:tcPr>
            <w:tcW w:type="dxa" w:w="1944"/>
            <w:shd w:val="clear" w:color="auto" w:fill="1F2A44"/>
          </w:tcPr>
          <w:p>
            <w:r/>
            <w:r>
              <w:rPr>
                <w:b/>
                <w:color w:val="FFFFFF"/>
                <w:sz w:val="17"/>
              </w:rPr>
              <w:t>Company Draft</w:t>
            </w:r>
          </w:p>
        </w:tc>
        <w:tc>
          <w:tcPr>
            <w:tcW w:type="dxa" w:w="1944"/>
            <w:shd w:val="clear" w:color="auto" w:fill="1F2A44"/>
          </w:tcPr>
          <w:p>
            <w:r/>
            <w:r>
              <w:rPr>
                <w:b/>
                <w:color w:val="FFFFFF"/>
                <w:sz w:val="17"/>
              </w:rPr>
              <w:t>Markup</w:t>
            </w:r>
          </w:p>
        </w:tc>
        <w:tc>
          <w:tcPr>
            <w:tcW w:type="dxa" w:w="3168"/>
            <w:shd w:val="clear" w:color="auto" w:fill="1F2A44"/>
          </w:tcPr>
          <w:p>
            <w:r/>
            <w:r>
              <w:rPr>
                <w:b/>
                <w:color w:val="FFFFFF"/>
                <w:sz w:val="17"/>
              </w:rPr>
              <w:t>Comment</w:t>
            </w:r>
          </w:p>
        </w:tc>
      </w:tr>
      <w:tr>
        <w:tc>
          <w:tcPr>
            <w:tcW w:type="dxa" w:w="2304"/>
          </w:tcPr>
          <w:p>
            <w:pPr>
              <w:spacing w:after="20"/>
            </w:pPr>
            <w:r/>
            <w:r>
              <w:rPr>
                <w:b w:val="0"/>
                <w:i w:val="0"/>
                <w:sz w:val="17"/>
              </w:rPr>
              <w:t>Spread on $175M (6-month term)</w:t>
            </w:r>
          </w:p>
        </w:tc>
        <w:tc>
          <w:tcPr>
            <w:tcW w:type="dxa" w:w="1944"/>
          </w:tcPr>
          <w:p>
            <w:pPr>
              <w:spacing w:after="20"/>
            </w:pPr>
            <w:r/>
            <w:r>
              <w:rPr>
                <w:b w:val="0"/>
                <w:i w:val="0"/>
                <w:sz w:val="17"/>
              </w:rPr>
              <w:t>SOFR + 650</w:t>
            </w:r>
          </w:p>
        </w:tc>
        <w:tc>
          <w:tcPr>
            <w:tcW w:type="dxa" w:w="1944"/>
          </w:tcPr>
          <w:p>
            <w:pPr>
              <w:spacing w:after="20"/>
            </w:pPr>
            <w:r/>
            <w:r>
              <w:rPr>
                <w:b w:val="0"/>
                <w:i w:val="0"/>
                <w:sz w:val="17"/>
              </w:rPr>
              <w:t>SOFR + 800</w:t>
            </w:r>
          </w:p>
        </w:tc>
        <w:tc>
          <w:tcPr>
            <w:tcW w:type="dxa" w:w="3168"/>
          </w:tcPr>
          <w:p>
            <w:pPr>
              <w:spacing w:after="20"/>
            </w:pPr>
            <w:r/>
            <w:r>
              <w:rPr>
                <w:b w:val="0"/>
                <w:i w:val="0"/>
                <w:sz w:val="17"/>
              </w:rPr>
              <w:t>+150 bps ≈ +$2.625M/yr; ≈ +$1.31M over 6 months</w:t>
            </w:r>
          </w:p>
        </w:tc>
      </w:tr>
      <w:tr>
        <w:tc>
          <w:tcPr>
            <w:tcW w:type="dxa" w:w="2304"/>
            <w:shd w:val="clear" w:color="auto" w:fill="EEF1F6"/>
          </w:tcPr>
          <w:p>
            <w:pPr>
              <w:spacing w:after="20"/>
            </w:pPr>
            <w:r/>
            <w:r>
              <w:rPr>
                <w:b w:val="0"/>
                <w:i w:val="0"/>
                <w:sz w:val="17"/>
              </w:rPr>
              <w:t>Upfront / exit fees</w:t>
            </w:r>
          </w:p>
        </w:tc>
        <w:tc>
          <w:tcPr>
            <w:tcW w:type="dxa" w:w="1944"/>
            <w:shd w:val="clear" w:color="auto" w:fill="EEF1F6"/>
          </w:tcPr>
          <w:p>
            <w:pPr>
              <w:spacing w:after="20"/>
            </w:pPr>
            <w:r/>
            <w:r>
              <w:rPr>
                <w:b w:val="0"/>
                <w:i w:val="0"/>
                <w:sz w:val="17"/>
              </w:rPr>
              <w:t>$0 / $0</w:t>
            </w:r>
          </w:p>
        </w:tc>
        <w:tc>
          <w:tcPr>
            <w:tcW w:type="dxa" w:w="1944"/>
            <w:shd w:val="clear" w:color="auto" w:fill="EEF1F6"/>
          </w:tcPr>
          <w:p>
            <w:pPr>
              <w:spacing w:after="20"/>
            </w:pPr>
            <w:r/>
            <w:r>
              <w:rPr>
                <w:b w:val="0"/>
                <w:i w:val="0"/>
                <w:sz w:val="17"/>
              </w:rPr>
              <w:t>$5.25M / $3.50M</w:t>
            </w:r>
          </w:p>
        </w:tc>
        <w:tc>
          <w:tcPr>
            <w:tcW w:type="dxa" w:w="3168"/>
            <w:shd w:val="clear" w:color="auto" w:fill="EEF1F6"/>
          </w:tcPr>
          <w:p>
            <w:pPr>
              <w:spacing w:after="20"/>
            </w:pPr>
            <w:r/>
            <w:r>
              <w:rPr>
                <w:b w:val="0"/>
                <w:i w:val="0"/>
                <w:sz w:val="17"/>
              </w:rPr>
              <w:t>Exit fee is payable even when the DIP converts into exit paper rather than being repaid</w:t>
            </w:r>
          </w:p>
        </w:tc>
      </w:tr>
      <w:tr>
        <w:tc>
          <w:tcPr>
            <w:tcW w:type="dxa" w:w="2304"/>
          </w:tcPr>
          <w:p>
            <w:pPr>
              <w:spacing w:after="20"/>
            </w:pPr>
            <w:r/>
            <w:r>
              <w:rPr>
                <w:b w:val="0"/>
                <w:i w:val="0"/>
                <w:sz w:val="17"/>
              </w:rPr>
              <w:t>Incremental cost to estate</w:t>
            </w:r>
          </w:p>
        </w:tc>
        <w:tc>
          <w:tcPr>
            <w:tcW w:type="dxa" w:w="1944"/>
          </w:tcPr>
          <w:p>
            <w:pPr>
              <w:spacing w:after="20"/>
            </w:pPr>
            <w:r/>
            <w:r>
              <w:rPr>
                <w:b w:val="0"/>
                <w:i w:val="0"/>
                <w:sz w:val="17"/>
              </w:rPr>
              <w:t>—</w:t>
            </w:r>
          </w:p>
        </w:tc>
        <w:tc>
          <w:tcPr>
            <w:tcW w:type="dxa" w:w="1944"/>
          </w:tcPr>
          <w:p>
            <w:pPr>
              <w:spacing w:after="20"/>
            </w:pPr>
            <w:r/>
            <w:r>
              <w:rPr>
                <w:b w:val="0"/>
                <w:i w:val="0"/>
                <w:sz w:val="17"/>
              </w:rPr>
              <w:t>≈ $10.1M</w:t>
            </w:r>
          </w:p>
        </w:tc>
        <w:tc>
          <w:tcPr>
            <w:tcW w:type="dxa" w:w="3168"/>
          </w:tcPr>
          <w:p>
            <w:pPr>
              <w:spacing w:after="20"/>
            </w:pPr>
            <w:r/>
            <w:r>
              <w:rPr>
                <w:b w:val="0"/>
                <w:i w:val="0"/>
                <w:sz w:val="17"/>
              </w:rPr>
              <w:t>Pendleton: $8.75M fees + ~$1.3M interest</w:t>
            </w:r>
          </w:p>
        </w:tc>
      </w:tr>
      <w:tr>
        <w:tc>
          <w:tcPr>
            <w:tcW w:type="dxa" w:w="2304"/>
            <w:shd w:val="clear" w:color="auto" w:fill="EEF1F6"/>
          </w:tcPr>
          <w:p>
            <w:pPr>
              <w:spacing w:after="20"/>
            </w:pPr>
            <w:r/>
            <w:r>
              <w:rPr>
                <w:b w:val="0"/>
                <w:i w:val="0"/>
                <w:sz w:val="17"/>
              </w:rPr>
              <w:t>Total DIP cost (interest + fees)</w:t>
            </w:r>
          </w:p>
        </w:tc>
        <w:tc>
          <w:tcPr>
            <w:tcW w:type="dxa" w:w="1944"/>
            <w:shd w:val="clear" w:color="auto" w:fill="EEF1F6"/>
          </w:tcPr>
          <w:p>
            <w:pPr>
              <w:spacing w:after="20"/>
            </w:pPr>
            <w:r/>
            <w:r>
              <w:rPr>
                <w:b w:val="0"/>
                <w:i w:val="0"/>
                <w:sz w:val="17"/>
              </w:rPr>
              <w:t>≈ $17–18M (Pendleton)</w:t>
            </w:r>
          </w:p>
        </w:tc>
        <w:tc>
          <w:tcPr>
            <w:tcW w:type="dxa" w:w="1944"/>
            <w:shd w:val="clear" w:color="auto" w:fill="EEF1F6"/>
          </w:tcPr>
          <w:p>
            <w:pPr>
              <w:spacing w:after="20"/>
            </w:pPr>
            <w:r/>
            <w:r>
              <w:rPr>
                <w:b w:val="0"/>
                <w:i w:val="0"/>
                <w:sz w:val="17"/>
              </w:rPr>
              <w:t>≈ $27–28M (est.)</w:t>
            </w:r>
          </w:p>
        </w:tc>
        <w:tc>
          <w:tcPr>
            <w:tcW w:type="dxa" w:w="3168"/>
            <w:shd w:val="clear" w:color="auto" w:fill="EEF1F6"/>
          </w:tcPr>
          <w:p>
            <w:pPr>
              <w:spacing w:after="20"/>
            </w:pPr>
            <w:r/>
            <w:r>
              <w:rPr>
                <w:b w:val="0"/>
                <w:i w:val="0"/>
                <w:sz w:val="17"/>
              </w:rPr>
              <w:t>Framework ceiling $22–23M; Pendleton to re-run (the base included interest on the $75M rolled-up claims)</w:t>
            </w:r>
          </w:p>
        </w:tc>
      </w:tr>
      <w:tr>
        <w:tc>
          <w:tcPr>
            <w:tcW w:type="dxa" w:w="2304"/>
          </w:tcPr>
          <w:p>
            <w:pPr>
              <w:spacing w:after="20"/>
            </w:pPr>
            <w:r/>
            <w:r>
              <w:rPr>
                <w:b w:val="0"/>
                <w:i w:val="0"/>
                <w:sz w:val="17"/>
              </w:rPr>
              <w:t>Exit TL / FY2024 EBITDA</w:t>
            </w:r>
          </w:p>
        </w:tc>
        <w:tc>
          <w:tcPr>
            <w:tcW w:type="dxa" w:w="1944"/>
          </w:tcPr>
          <w:p>
            <w:pPr>
              <w:spacing w:after="20"/>
            </w:pPr>
            <w:r/>
            <w:r>
              <w:rPr>
                <w:b w:val="0"/>
                <w:i w:val="0"/>
                <w:sz w:val="17"/>
              </w:rPr>
              <w:t>$595M = 3.18x</w:t>
            </w:r>
          </w:p>
        </w:tc>
        <w:tc>
          <w:tcPr>
            <w:tcW w:type="dxa" w:w="1944"/>
          </w:tcPr>
          <w:p>
            <w:pPr>
              <w:spacing w:after="20"/>
            </w:pPr>
            <w:r/>
            <w:r>
              <w:rPr>
                <w:b w:val="0"/>
                <w:i w:val="0"/>
                <w:sz w:val="17"/>
              </w:rPr>
              <w:t>$655M = 3.50x</w:t>
            </w:r>
          </w:p>
        </w:tc>
        <w:tc>
          <w:tcPr>
            <w:tcW w:type="dxa" w:w="3168"/>
          </w:tcPr>
          <w:p>
            <w:pPr>
              <w:spacing w:after="20"/>
            </w:pPr>
            <w:r/>
            <w:r>
              <w:rPr>
                <w:b w:val="0"/>
                <w:i w:val="0"/>
                <w:sz w:val="17"/>
              </w:rPr>
              <w:t>Framework: &gt;$650M exceeds the 3.5x sustainability ceiling</w:t>
            </w:r>
          </w:p>
        </w:tc>
      </w:tr>
      <w:tr>
        <w:tc>
          <w:tcPr>
            <w:tcW w:type="dxa" w:w="2304"/>
            <w:shd w:val="clear" w:color="auto" w:fill="EEF1F6"/>
          </w:tcPr>
          <w:p>
            <w:pPr>
              <w:spacing w:after="20"/>
            </w:pPr>
            <w:r/>
            <w:r>
              <w:rPr>
                <w:b w:val="0"/>
                <w:i w:val="0"/>
                <w:sz w:val="17"/>
              </w:rPr>
              <w:t>Exit TL + rolled DIP</w:t>
            </w:r>
          </w:p>
        </w:tc>
        <w:tc>
          <w:tcPr>
            <w:tcW w:type="dxa" w:w="1944"/>
            <w:shd w:val="clear" w:color="auto" w:fill="EEF1F6"/>
          </w:tcPr>
          <w:p>
            <w:pPr>
              <w:spacing w:after="20"/>
            </w:pPr>
            <w:r/>
            <w:r>
              <w:rPr>
                <w:b w:val="0"/>
                <w:i w:val="0"/>
                <w:sz w:val="17"/>
              </w:rPr>
              <w:t>$670M = 3.58x (as modeled)</w:t>
            </w:r>
          </w:p>
        </w:tc>
        <w:tc>
          <w:tcPr>
            <w:tcW w:type="dxa" w:w="1944"/>
            <w:shd w:val="clear" w:color="auto" w:fill="EEF1F6"/>
          </w:tcPr>
          <w:p>
            <w:pPr>
              <w:spacing w:after="20"/>
            </w:pPr>
            <w:r/>
            <w:r>
              <w:rPr>
                <w:b w:val="0"/>
                <w:i w:val="0"/>
                <w:sz w:val="17"/>
              </w:rPr>
              <w:t>$830M = 4.43x</w:t>
            </w:r>
          </w:p>
        </w:tc>
        <w:tc>
          <w:tcPr>
            <w:tcW w:type="dxa" w:w="3168"/>
            <w:shd w:val="clear" w:color="auto" w:fill="EEF1F6"/>
          </w:tcPr>
          <w:p>
            <w:pPr>
              <w:spacing w:after="20"/>
            </w:pPr>
            <w:r/>
            <w:r>
              <w:rPr>
                <w:b w:val="0"/>
                <w:i w:val="0"/>
                <w:sz w:val="17"/>
              </w:rPr>
              <w:t>Markup Term Sheet: total exit debt $830M</w:t>
            </w:r>
          </w:p>
        </w:tc>
      </w:tr>
      <w:tr>
        <w:tc>
          <w:tcPr>
            <w:tcW w:type="dxa" w:w="2304"/>
          </w:tcPr>
          <w:p>
            <w:pPr>
              <w:spacing w:after="20"/>
            </w:pPr>
            <w:r/>
            <w:r>
              <w:rPr>
                <w:b w:val="0"/>
                <w:i w:val="0"/>
                <w:sz w:val="17"/>
              </w:rPr>
              <w:t>Plus ABL ($80M)</w:t>
            </w:r>
          </w:p>
        </w:tc>
        <w:tc>
          <w:tcPr>
            <w:tcW w:type="dxa" w:w="1944"/>
          </w:tcPr>
          <w:p>
            <w:pPr>
              <w:spacing w:after="20"/>
            </w:pPr>
            <w:r/>
            <w:r>
              <w:rPr>
                <w:b w:val="0"/>
                <w:i w:val="0"/>
                <w:sz w:val="17"/>
              </w:rPr>
              <w:t>$750M = 4.00x</w:t>
            </w:r>
          </w:p>
        </w:tc>
        <w:tc>
          <w:tcPr>
            <w:tcW w:type="dxa" w:w="1944"/>
          </w:tcPr>
          <w:p>
            <w:pPr>
              <w:spacing w:after="20"/>
            </w:pPr>
            <w:r/>
            <w:r>
              <w:rPr>
                <w:b w:val="0"/>
                <w:i w:val="0"/>
                <w:sz w:val="17"/>
              </w:rPr>
              <w:t>$910M = 4.86x</w:t>
            </w:r>
          </w:p>
        </w:tc>
        <w:tc>
          <w:tcPr>
            <w:tcW w:type="dxa" w:w="3168"/>
          </w:tcPr>
          <w:p>
            <w:pPr>
              <w:spacing w:after="20"/>
            </w:pPr>
            <w:r/>
            <w:r>
              <w:rPr>
                <w:b w:val="0"/>
                <w:i w:val="0"/>
                <w:sz w:val="17"/>
              </w:rPr>
              <w:t>Feasibility (§1129(a)(11)) and “Chapter 22” risk</w:t>
            </w:r>
          </w:p>
        </w:tc>
      </w:tr>
    </w:tbl>
    <w:p>
      <w:pPr>
        <w:spacing w:after="40"/>
      </w:pPr>
    </w:p>
    <w:p>
      <w:pPr>
        <w:pStyle w:val="Heading2"/>
      </w:pPr>
      <w:r>
        <w:t>F. Plan voting arithmetic and lock-up integrity</w:t>
      </w:r>
    </w:p>
    <w:p>
      <w:pPr>
        <w:pStyle w:val="ListBullet"/>
        <w:spacing w:after="60"/>
      </w:pPr>
      <w:r>
        <w:rPr>
          <w:b w:val="0"/>
          <w:i w:val="0"/>
        </w:rPr>
        <w:t xml:space="preserve">Class acceptance under §1126(c) requires two-thirds in amount and more than one-half in number of the 1L claims </w:t>
      </w:r>
      <w:r>
        <w:rPr>
          <w:b/>
          <w:i w:val="0"/>
        </w:rPr>
        <w:t>actually voted</w:t>
      </w:r>
      <w:r>
        <w:rPr>
          <w:b w:val="0"/>
          <w:i w:val="0"/>
        </w:rPr>
        <w:t xml:space="preserve">. If every 1L holder votes, acceptance requires about </w:t>
      </w:r>
      <w:r>
        <w:rPr>
          <w:b/>
          <w:i w:val="0"/>
        </w:rPr>
        <w:t>$793.3M</w:t>
      </w:r>
      <w:r>
        <w:rPr>
          <w:b w:val="0"/>
          <w:i w:val="0"/>
        </w:rPr>
        <w:t xml:space="preserve">; the Ad Hoc Group’s $742.6M (62.4%) is about </w:t>
      </w:r>
      <w:r>
        <w:rPr>
          <w:b/>
          <w:i w:val="0"/>
        </w:rPr>
        <w:t>$50.7M short</w:t>
      </w:r>
      <w:r>
        <w:rPr>
          <w:b w:val="0"/>
          <w:i w:val="0"/>
        </w:rPr>
        <w:t>. The lock-up is therefore already thin.</w:t>
      </w:r>
    </w:p>
    <w:p>
      <w:pPr>
        <w:pStyle w:val="ListBullet"/>
        <w:spacing w:after="60"/>
      </w:pPr>
      <w:r>
        <w:rPr>
          <w:b w:val="0"/>
          <w:i w:val="0"/>
        </w:rPr>
        <w:t xml:space="preserve">The Markup’s 15% permitted-transfer basket (§8.01(c)) would let up to about </w:t>
      </w:r>
      <w:r>
        <w:rPr>
          <w:b/>
          <w:i w:val="0"/>
        </w:rPr>
        <w:t>$111.4M</w:t>
      </w:r>
      <w:r>
        <w:rPr>
          <w:b w:val="0"/>
          <w:i w:val="0"/>
        </w:rPr>
        <w:t xml:space="preserve"> of claims leave the lock-up without a joinder, reducing locked support to about </w:t>
      </w:r>
      <w:r>
        <w:rPr>
          <w:b/>
          <w:i w:val="0"/>
        </w:rPr>
        <w:t>$631.2M (53.0% of the class)</w:t>
      </w:r>
      <w:r>
        <w:rPr>
          <w:b w:val="0"/>
          <w:i w:val="0"/>
        </w:rPr>
        <w:t xml:space="preserve"> and making the 1L class vote — the Plan’s only plausible accepting impaired class under §1129(a)(10) — dependent on non-party holders.</w:t>
      </w:r>
    </w:p>
    <w:p>
      <w:pPr>
        <w:pStyle w:val="ListBullet"/>
        <w:spacing w:after="60"/>
      </w:pPr>
      <w:r>
        <w:rPr>
          <w:b w:val="0"/>
          <w:i w:val="0"/>
        </w:rPr>
        <w:t>“Required Consenting Lenders” means 66⅔% of Ad Hoc holdings (about $495.1M). Redstone/Hollcroft ($218.5M), Garrison Creek ($167.2M) and Northvane ($112.8M) together hold $498.5M (67.1%), so the top three control every consent, waiver and termination right the Markup expands.</w:t>
      </w:r>
    </w:p>
    <w:p>
      <w:pPr>
        <w:pStyle w:val="ListBullet"/>
        <w:spacing w:after="60"/>
      </w:pPr>
      <w:r>
        <w:rPr>
          <w:b w:val="0"/>
          <w:i w:val="0"/>
        </w:rPr>
        <w:t>Distributional point for the turn: the Markup shifts value from the 1L class as a whole (which the non-Ad Hoc 37.6% share) to DIP-lender-only economics (fees, pricing and the roll-up). If DIP participation is not offered pro rata to all 1L holders, expect §1123(a)(4) equal-treatment objections and pressure from non-consenting 1L holders. That is a further reason to resist the fee and roll-up package.</w:t>
      </w:r>
    </w:p>
    <w:p>
      <w:pPr>
        <w:pStyle w:val="Heading1"/>
      </w:pPr>
      <w:r>
        <w:t>IV. Issue-by-Issue Analysis and Recommended Responses</w:t>
      </w:r>
    </w:p>
    <w:p>
      <w:pPr>
        <w:jc w:val="both"/>
      </w:pPr>
      <w:r>
        <w:rPr>
          <w:b w:val="0"/>
          <w:i w:val="0"/>
        </w:rPr>
        <w:t xml:space="preserve">Each change is classified against the Framework as </w:t>
      </w:r>
      <w:r>
        <w:rPr>
          <w:b/>
          <w:i w:val="0"/>
        </w:rPr>
        <w:t>RED</w:t>
      </w:r>
      <w:r>
        <w:rPr>
          <w:b w:val="0"/>
          <w:i w:val="0"/>
        </w:rPr>
        <w:t xml:space="preserve"> (a red-line item under Framework §III or a “must not” limit), </w:t>
      </w:r>
      <w:r>
        <w:rPr>
          <w:b/>
          <w:i w:val="0"/>
        </w:rPr>
        <w:t>FLEX</w:t>
      </w:r>
      <w:r>
        <w:rPr>
          <w:b w:val="0"/>
          <w:i w:val="0"/>
        </w:rPr>
        <w:t xml:space="preserve"> (an area of flexibility under Framework §IV), or </w:t>
      </w:r>
      <w:r>
        <w:rPr>
          <w:b/>
          <w:i w:val="0"/>
        </w:rPr>
        <w:t>NEW</w:t>
      </w:r>
      <w:r>
        <w:rPr>
          <w:b w:val="0"/>
          <w:i w:val="0"/>
        </w:rPr>
        <w:t xml:space="preserve"> (not addressed in the Framework). Responses are Accept, Reject, or Counter. Section references are to the Markup unless noted (“CD” = Company Draft; “DIP TS” = March 17 DIP Term Sheet). Proposed rider language for the key counters is in Appendix B.</w:t>
      </w:r>
    </w:p>
    <w:p>
      <w:pPr>
        <w:pStyle w:val="Heading2"/>
      </w:pPr>
      <w:r>
        <w:t>A. Plan Economics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656"/>
            <w:shd w:val="clear" w:color="auto" w:fill="1F2A44"/>
          </w:tcPr>
          <w:p>
            <w:r/>
            <w:r>
              <w:rPr>
                <w:b/>
                <w:color w:val="FFFFFF"/>
                <w:sz w:val="16"/>
              </w:rPr>
              <w:t>Provision / Class</w:t>
            </w:r>
          </w:p>
        </w:tc>
        <w:tc>
          <w:tcPr>
            <w:tcW w:type="dxa" w:w="2808"/>
            <w:shd w:val="clear" w:color="auto" w:fill="1F2A44"/>
          </w:tcPr>
          <w:p>
            <w:r/>
            <w:r>
              <w:rPr>
                <w:b/>
                <w:color w:val="FFFFFF"/>
                <w:sz w:val="16"/>
              </w:rPr>
              <w:t>Change (CD → Markup)</w:t>
            </w:r>
          </w:p>
        </w:tc>
        <w:tc>
          <w:tcPr>
            <w:tcW w:type="dxa" w:w="2808"/>
            <w:shd w:val="clear" w:color="auto" w:fill="1F2A44"/>
          </w:tcPr>
          <w:p>
            <w:r/>
            <w:r>
              <w:rPr>
                <w:b/>
                <w:color w:val="FFFFFF"/>
                <w:sz w:val="16"/>
              </w:rPr>
              <w:t>Assessment</w:t>
            </w:r>
          </w:p>
        </w:tc>
        <w:tc>
          <w:tcPr>
            <w:tcW w:type="dxa" w:w="2088"/>
            <w:shd w:val="clear" w:color="auto" w:fill="1F2A44"/>
          </w:tcPr>
          <w:p>
            <w:r/>
            <w:r>
              <w:rPr>
                <w:b/>
                <w:color w:val="FFFFFF"/>
                <w:sz w:val="16"/>
              </w:rPr>
              <w:t>Recommended Response</w:t>
            </w:r>
          </w:p>
        </w:tc>
      </w:tr>
      <w:tr>
        <w:tc>
          <w:tcPr>
            <w:tcW w:type="dxa" w:w="1656"/>
          </w:tcPr>
          <w:p>
            <w:pPr>
              <w:spacing w:after="20"/>
            </w:pPr>
            <w:r/>
            <w:r>
              <w:rPr>
                <w:b w:val="0"/>
                <w:i w:val="0"/>
                <w:sz w:val="16"/>
              </w:rPr>
              <w:t>A1. 1L treatment</w:t>
            </w:r>
          </w:p>
          <w:p>
            <w:pPr>
              <w:spacing w:after="20"/>
            </w:pPr>
            <w:r>
              <w:rPr>
                <w:b w:val="0"/>
                <w:i w:val="0"/>
                <w:sz w:val="16"/>
              </w:rPr>
              <w:t>§6.02; Ex. A</w:t>
            </w:r>
          </w:p>
          <w:p>
            <w:pPr>
              <w:spacing w:after="20"/>
            </w:pPr>
            <w:r>
              <w:rPr>
                <w:b w:val="0"/>
                <w:i w:val="0"/>
                <w:sz w:val="16"/>
              </w:rPr>
              <w:t>RED / FLEX</w:t>
            </w:r>
          </w:p>
        </w:tc>
        <w:tc>
          <w:tcPr>
            <w:tcW w:type="dxa" w:w="2808"/>
          </w:tcPr>
          <w:p>
            <w:pPr>
              <w:spacing w:after="20"/>
            </w:pPr>
            <w:r/>
            <w:r>
              <w:rPr>
                <w:b w:val="0"/>
                <w:i w:val="0"/>
                <w:sz w:val="16"/>
              </w:rPr>
              <w:t>Exit TL $595M → $655M (55% of face); 1L equity 72% → 78%.</w:t>
            </w:r>
          </w:p>
        </w:tc>
        <w:tc>
          <w:tcPr>
            <w:tcW w:type="dxa" w:w="2808"/>
          </w:tcPr>
          <w:p>
            <w:pPr>
              <w:spacing w:after="20"/>
            </w:pPr>
            <w:r/>
            <w:r>
              <w:rPr>
                <w:b w:val="0"/>
                <w:i w:val="0"/>
                <w:sz w:val="16"/>
              </w:rPr>
              <w:t>Both exceed the Framework limits ($650M; 75%). Exit TL alone reaches 3.50x; with the rolled DIP, total exit debt is $830M (4.43x). The Markup does not specify exit TL pricing, maturity or covenants.</w:t>
            </w:r>
          </w:p>
        </w:tc>
        <w:tc>
          <w:tcPr>
            <w:tcW w:type="dxa" w:w="2088"/>
          </w:tcPr>
          <w:p>
            <w:pPr>
              <w:spacing w:after="20"/>
            </w:pPr>
            <w:r/>
            <w:r>
              <w:rPr>
                <w:b/>
                <w:i w:val="0"/>
                <w:sz w:val="16"/>
              </w:rPr>
              <w:t>Counter:</w:t>
            </w:r>
            <w:r>
              <w:rPr>
                <w:b w:val="0"/>
                <w:i w:val="0"/>
                <w:sz w:val="16"/>
              </w:rPr>
              <w:t xml:space="preserve"> 75% equity; exit TL $625M (hold $650M as Board-approved fallback). Add exit TL key terms to Ex. A.</w:t>
            </w:r>
          </w:p>
        </w:tc>
      </w:tr>
      <w:tr>
        <w:tc>
          <w:tcPr>
            <w:tcW w:type="dxa" w:w="1656"/>
            <w:shd w:val="clear" w:color="auto" w:fill="EEF1F6"/>
          </w:tcPr>
          <w:p>
            <w:pPr>
              <w:spacing w:after="20"/>
            </w:pPr>
            <w:r/>
            <w:r>
              <w:rPr>
                <w:b w:val="0"/>
                <w:i w:val="0"/>
                <w:sz w:val="16"/>
              </w:rPr>
              <w:t>A2. 2L treatment</w:t>
            </w:r>
          </w:p>
          <w:p>
            <w:pPr>
              <w:spacing w:after="20"/>
            </w:pPr>
            <w:r>
              <w:rPr>
                <w:b w:val="0"/>
                <w:i w:val="0"/>
                <w:sz w:val="16"/>
              </w:rPr>
              <w:t>§6.03</w:t>
            </w:r>
          </w:p>
          <w:p>
            <w:pPr>
              <w:spacing w:after="20"/>
            </w:pPr>
            <w:r>
              <w:rPr>
                <w:b w:val="0"/>
                <w:i w:val="0"/>
                <w:sz w:val="16"/>
              </w:rPr>
              <w:t>FLEX</w:t>
            </w:r>
          </w:p>
        </w:tc>
        <w:tc>
          <w:tcPr>
            <w:tcW w:type="dxa" w:w="2808"/>
            <w:shd w:val="clear" w:color="auto" w:fill="EEF1F6"/>
          </w:tcPr>
          <w:p>
            <w:pPr>
              <w:spacing w:after="20"/>
            </w:pPr>
            <w:r/>
            <w:r>
              <w:rPr>
                <w:b w:val="0"/>
                <w:i w:val="0"/>
                <w:sz w:val="16"/>
              </w:rPr>
              <w:t>12% → 8% of equity.</w:t>
            </w:r>
          </w:p>
        </w:tc>
        <w:tc>
          <w:tcPr>
            <w:tcW w:type="dxa" w:w="2808"/>
            <w:shd w:val="clear" w:color="auto" w:fill="EEF1F6"/>
          </w:tcPr>
          <w:p>
            <w:pPr>
              <w:spacing w:after="20"/>
            </w:pPr>
            <w:r/>
            <w:r>
              <w:rPr>
                <w:b w:val="0"/>
                <w:i w:val="0"/>
                <w:sz w:val="16"/>
              </w:rPr>
              <w:t>Below the 10% level at which the Framework expects contested confirmation/§1129(b) cramdown. Recovery of 7.2% vs. a 28-cent trading price invites a valuation fight.</w:t>
            </w:r>
          </w:p>
        </w:tc>
        <w:tc>
          <w:tcPr>
            <w:tcW w:type="dxa" w:w="2088"/>
            <w:shd w:val="clear" w:color="auto" w:fill="EEF1F6"/>
          </w:tcPr>
          <w:p>
            <w:pPr>
              <w:spacing w:after="20"/>
            </w:pPr>
            <w:r/>
            <w:r>
              <w:rPr>
                <w:b/>
                <w:i w:val="0"/>
                <w:sz w:val="16"/>
              </w:rPr>
              <w:t>Counter:</w:t>
            </w:r>
            <w:r>
              <w:rPr>
                <w:b w:val="0"/>
                <w:i w:val="0"/>
                <w:sz w:val="16"/>
              </w:rPr>
              <w:t xml:space="preserve"> 10% (only as part of the 75% 1L package). Engage Kelton Harris &amp; Roe (Part VI.C).</w:t>
            </w:r>
          </w:p>
        </w:tc>
      </w:tr>
      <w:tr>
        <w:tc>
          <w:tcPr>
            <w:tcW w:type="dxa" w:w="1656"/>
          </w:tcPr>
          <w:p>
            <w:pPr>
              <w:spacing w:after="20"/>
            </w:pPr>
            <w:r/>
            <w:r>
              <w:rPr>
                <w:b w:val="0"/>
                <w:i w:val="0"/>
                <w:sz w:val="16"/>
              </w:rPr>
              <w:t>A3. Unsecured treatment</w:t>
            </w:r>
          </w:p>
          <w:p>
            <w:pPr>
              <w:spacing w:after="20"/>
            </w:pPr>
            <w:r>
              <w:rPr>
                <w:b w:val="0"/>
                <w:i w:val="0"/>
                <w:sz w:val="16"/>
              </w:rPr>
              <w:t>§6.04(a)</w:t>
            </w:r>
          </w:p>
          <w:p>
            <w:pPr>
              <w:spacing w:after="20"/>
            </w:pPr>
            <w:r>
              <w:rPr>
                <w:b w:val="0"/>
                <w:i w:val="0"/>
                <w:sz w:val="16"/>
              </w:rPr>
              <w:t>FLEX</w:t>
            </w:r>
          </w:p>
        </w:tc>
        <w:tc>
          <w:tcPr>
            <w:tcW w:type="dxa" w:w="2808"/>
          </w:tcPr>
          <w:p>
            <w:pPr>
              <w:spacing w:after="20"/>
            </w:pPr>
            <w:r/>
            <w:r>
              <w:rPr>
                <w:b w:val="0"/>
                <w:i w:val="0"/>
                <w:sz w:val="16"/>
              </w:rPr>
              <w:t>6% → 4% of equity.</w:t>
            </w:r>
          </w:p>
        </w:tc>
        <w:tc>
          <w:tcPr>
            <w:tcW w:type="dxa" w:w="2808"/>
          </w:tcPr>
          <w:p>
            <w:pPr>
              <w:spacing w:after="20"/>
            </w:pPr>
            <w:r/>
            <w:r>
              <w:rPr>
                <w:b w:val="0"/>
                <w:i w:val="0"/>
                <w:sz w:val="16"/>
              </w:rPr>
              <w:t>Below the 5% level at which the Framework expects an organized unsecured group (Atlas as trustee).</w:t>
            </w:r>
          </w:p>
        </w:tc>
        <w:tc>
          <w:tcPr>
            <w:tcW w:type="dxa" w:w="2088"/>
          </w:tcPr>
          <w:p>
            <w:pPr>
              <w:spacing w:after="20"/>
            </w:pPr>
            <w:r/>
            <w:r>
              <w:rPr>
                <w:b/>
                <w:i w:val="0"/>
                <w:sz w:val="16"/>
              </w:rPr>
              <w:t>Counter:</w:t>
            </w:r>
            <w:r>
              <w:rPr>
                <w:b w:val="0"/>
                <w:i w:val="0"/>
                <w:sz w:val="16"/>
              </w:rPr>
              <w:t xml:space="preserve"> 5%.</w:t>
            </w:r>
          </w:p>
        </w:tc>
      </w:tr>
      <w:tr>
        <w:tc>
          <w:tcPr>
            <w:tcW w:type="dxa" w:w="1656"/>
            <w:shd w:val="clear" w:color="auto" w:fill="EEF1F6"/>
          </w:tcPr>
          <w:p>
            <w:pPr>
              <w:spacing w:after="20"/>
            </w:pPr>
            <w:r/>
            <w:r>
              <w:rPr>
                <w:b w:val="0"/>
                <w:i w:val="0"/>
                <w:sz w:val="16"/>
              </w:rPr>
              <w:t>A4. Warrants</w:t>
            </w:r>
          </w:p>
          <w:p>
            <w:pPr>
              <w:spacing w:after="20"/>
            </w:pPr>
            <w:r>
              <w:rPr>
                <w:b w:val="0"/>
                <w:i w:val="0"/>
                <w:sz w:val="16"/>
              </w:rPr>
              <w:t>§6.04(b); Ex. A</w:t>
            </w:r>
          </w:p>
          <w:p>
            <w:pPr>
              <w:spacing w:after="20"/>
            </w:pPr>
            <w:r>
              <w:rPr>
                <w:b w:val="0"/>
                <w:i w:val="0"/>
                <w:sz w:val="16"/>
              </w:rPr>
              <w:t>NEW</w:t>
            </w:r>
          </w:p>
        </w:tc>
        <w:tc>
          <w:tcPr>
            <w:tcW w:type="dxa" w:w="2808"/>
            <w:shd w:val="clear" w:color="auto" w:fill="EEF1F6"/>
          </w:tcPr>
          <w:p>
            <w:pPr>
              <w:spacing w:after="20"/>
            </w:pPr>
            <w:r/>
            <w:r>
              <w:rPr>
                <w:b w:val="0"/>
                <w:i w:val="0"/>
                <w:sz w:val="16"/>
              </w:rPr>
              <w:t>3% struck at $1.3B TEV → 2% struck at $1.4B TEV; adds a 5-year term.</w:t>
            </w:r>
          </w:p>
        </w:tc>
        <w:tc>
          <w:tcPr>
            <w:tcW w:type="dxa" w:w="2808"/>
            <w:shd w:val="clear" w:color="auto" w:fill="EEF1F6"/>
          </w:tcPr>
          <w:p>
            <w:pPr>
              <w:spacing w:after="20"/>
            </w:pPr>
            <w:r/>
            <w:r>
              <w:rPr>
                <w:b w:val="0"/>
                <w:i w:val="0"/>
                <w:sz w:val="16"/>
              </w:rPr>
              <w:t>Not disclosed in the Cover Email; Pendleton records it as unchanged. Out of the money at emergence on the base case.</w:t>
            </w:r>
          </w:p>
        </w:tc>
        <w:tc>
          <w:tcPr>
            <w:tcW w:type="dxa" w:w="2088"/>
            <w:shd w:val="clear" w:color="auto" w:fill="EEF1F6"/>
          </w:tcPr>
          <w:p>
            <w:pPr>
              <w:spacing w:after="20"/>
            </w:pPr>
            <w:r/>
            <w:r>
              <w:rPr>
                <w:b/>
                <w:i w:val="0"/>
                <w:sz w:val="16"/>
              </w:rPr>
              <w:t>Reject</w:t>
            </w:r>
            <w:r>
              <w:rPr>
                <w:b w:val="0"/>
                <w:i w:val="0"/>
                <w:sz w:val="16"/>
              </w:rPr>
              <w:t xml:space="preserve"> the size and strike changes; restore 3% @ $1.3B. </w:t>
            </w:r>
            <w:r>
              <w:rPr>
                <w:b/>
                <w:i w:val="0"/>
                <w:sz w:val="16"/>
              </w:rPr>
              <w:t>Accept</w:t>
            </w:r>
            <w:r>
              <w:rPr>
                <w:b w:val="0"/>
                <w:i w:val="0"/>
                <w:sz w:val="16"/>
              </w:rPr>
              <w:t xml:space="preserve"> the 5-year term (a helpful clarification).</w:t>
            </w:r>
          </w:p>
        </w:tc>
      </w:tr>
      <w:tr>
        <w:tc>
          <w:tcPr>
            <w:tcW w:type="dxa" w:w="1656"/>
          </w:tcPr>
          <w:p>
            <w:pPr>
              <w:spacing w:after="20"/>
            </w:pPr>
            <w:r/>
            <w:r>
              <w:rPr>
                <w:b w:val="0"/>
                <w:i w:val="0"/>
                <w:sz w:val="16"/>
              </w:rPr>
              <w:t>A5. MIP</w:t>
            </w:r>
          </w:p>
          <w:p>
            <w:pPr>
              <w:spacing w:after="20"/>
            </w:pPr>
            <w:r>
              <w:rPr>
                <w:b w:val="0"/>
                <w:i w:val="0"/>
                <w:sz w:val="16"/>
              </w:rPr>
              <w:t>§1.01; §6.05</w:t>
            </w:r>
          </w:p>
          <w:p>
            <w:pPr>
              <w:spacing w:after="20"/>
            </w:pPr>
            <w:r>
              <w:rPr>
                <w:b w:val="0"/>
                <w:i w:val="0"/>
                <w:sz w:val="16"/>
              </w:rPr>
              <w:t>RED</w:t>
            </w:r>
          </w:p>
        </w:tc>
        <w:tc>
          <w:tcPr>
            <w:tcW w:type="dxa" w:w="2808"/>
          </w:tcPr>
          <w:p>
            <w:pPr>
              <w:spacing w:after="20"/>
            </w:pPr>
            <w:r/>
            <w:r>
              <w:rPr>
                <w:b w:val="0"/>
                <w:i w:val="0"/>
                <w:sz w:val="16"/>
              </w:rPr>
              <w:t>Pool 10% → 7.5%. Vesting 50% at emergence + 50% time-based over 3 yrs → 25% at emergence + 75% performance-based over 4 yrs; metrics set by the New Board in consultation with RCL.</w:t>
            </w:r>
          </w:p>
        </w:tc>
        <w:tc>
          <w:tcPr>
            <w:tcW w:type="dxa" w:w="2808"/>
          </w:tcPr>
          <w:p>
            <w:pPr>
              <w:spacing w:after="20"/>
            </w:pPr>
            <w:r/>
            <w:r>
              <w:rPr>
                <w:b w:val="0"/>
                <w:i w:val="0"/>
                <w:sz w:val="16"/>
              </w:rPr>
              <w:t>Crosses all four MIP red lines (size ≥8.5%; ≥40% at emergence; not predominantly performance-based; ≤3 yrs). The Cover Email’s “up from 5%” is wrong. Leaving the metrics to a lender-controlled board is the coercion risk flagged in Framework §III.E.</w:t>
            </w:r>
          </w:p>
        </w:tc>
        <w:tc>
          <w:tcPr>
            <w:tcW w:type="dxa" w:w="2088"/>
          </w:tcPr>
          <w:p>
            <w:pPr>
              <w:spacing w:after="20"/>
            </w:pPr>
            <w:r/>
            <w:r>
              <w:rPr>
                <w:b/>
                <w:i w:val="0"/>
                <w:sz w:val="16"/>
              </w:rPr>
              <w:t>Reject.</w:t>
            </w:r>
            <w:r>
              <w:rPr>
                <w:b w:val="0"/>
                <w:i w:val="0"/>
                <w:sz w:val="16"/>
              </w:rPr>
              <w:t xml:space="preserve"> Restore 10% (floor 8.5%) and ≥40% vesting at emergence. Fallback: remainder 50% time / 50% performance over 3 yrs, with metrics fixed in the Plan Supplement with Company consent.</w:t>
            </w:r>
          </w:p>
        </w:tc>
      </w:tr>
      <w:tr>
        <w:tc>
          <w:tcPr>
            <w:tcW w:type="dxa" w:w="1656"/>
            <w:shd w:val="clear" w:color="auto" w:fill="EEF1F6"/>
          </w:tcPr>
          <w:p>
            <w:pPr>
              <w:spacing w:after="20"/>
            </w:pPr>
            <w:r/>
            <w:r>
              <w:rPr>
                <w:b w:val="0"/>
                <w:i w:val="0"/>
                <w:sz w:val="16"/>
              </w:rPr>
              <w:t>A6. Equity reconciliation</w:t>
            </w:r>
          </w:p>
          <w:p>
            <w:pPr>
              <w:spacing w:after="20"/>
            </w:pPr>
            <w:r>
              <w:rPr>
                <w:b w:val="0"/>
                <w:i w:val="0"/>
                <w:sz w:val="16"/>
              </w:rPr>
              <w:t>§6.06</w:t>
            </w:r>
          </w:p>
          <w:p>
            <w:pPr>
              <w:spacing w:after="20"/>
            </w:pPr>
            <w:r>
              <w:rPr>
                <w:b w:val="0"/>
                <w:i w:val="0"/>
                <w:sz w:val="16"/>
              </w:rPr>
              <w:t>RED (Framework §IV.A)</w:t>
            </w:r>
          </w:p>
        </w:tc>
        <w:tc>
          <w:tcPr>
            <w:tcW w:type="dxa" w:w="2808"/>
            <w:shd w:val="clear" w:color="auto" w:fill="EEF1F6"/>
          </w:tcPr>
          <w:p>
            <w:pPr>
              <w:spacing w:after="20"/>
            </w:pPr>
            <w:r/>
            <w:r>
              <w:rPr>
                <w:b w:val="0"/>
                <w:i w:val="0"/>
                <w:sz w:val="16"/>
              </w:rPr>
              <w:t>Table says “Total 100%” but the Markup allocations sum to 97.5%. The Cover Email refers to a “rights offering backstop” that appears nowhere.</w:t>
            </w:r>
          </w:p>
        </w:tc>
        <w:tc>
          <w:tcPr>
            <w:tcW w:type="dxa" w:w="2808"/>
            <w:shd w:val="clear" w:color="auto" w:fill="EEF1F6"/>
          </w:tcPr>
          <w:p>
            <w:pPr>
              <w:spacing w:after="20"/>
            </w:pPr>
            <w:r/>
            <w:r>
              <w:rPr>
                <w:b w:val="0"/>
                <w:i w:val="0"/>
                <w:sz w:val="16"/>
              </w:rPr>
              <w:t>A 2.5% unallocated pool is about $8.5M at base TEV and could be used later for a backstop premium to Ad Hoc members.</w:t>
            </w:r>
          </w:p>
        </w:tc>
        <w:tc>
          <w:tcPr>
            <w:tcW w:type="dxa" w:w="2088"/>
            <w:shd w:val="clear" w:color="auto" w:fill="EEF1F6"/>
          </w:tcPr>
          <w:p>
            <w:pPr>
              <w:spacing w:after="20"/>
            </w:pPr>
            <w:r/>
            <w:r>
              <w:rPr>
                <w:b/>
                <w:i w:val="0"/>
                <w:sz w:val="16"/>
              </w:rPr>
              <w:t>Reject.</w:t>
            </w:r>
            <w:r>
              <w:rPr>
                <w:b w:val="0"/>
                <w:i w:val="0"/>
                <w:sz w:val="16"/>
              </w:rPr>
              <w:t xml:space="preserve"> The equity table must foot to 100%. No rights offering or backstop without a separately negotiated term sheet; any residual goes to the MIP or junior classes.</w:t>
            </w:r>
          </w:p>
        </w:tc>
      </w:tr>
      <w:tr>
        <w:tc>
          <w:tcPr>
            <w:tcW w:type="dxa" w:w="1656"/>
          </w:tcPr>
          <w:p>
            <w:pPr>
              <w:spacing w:after="20"/>
            </w:pPr>
            <w:r/>
            <w:r>
              <w:rPr>
                <w:b w:val="0"/>
                <w:i w:val="0"/>
                <w:sz w:val="16"/>
              </w:rPr>
              <w:t>A7. Professional Fee Carveout</w:t>
            </w:r>
          </w:p>
          <w:p>
            <w:pPr>
              <w:spacing w:after="20"/>
            </w:pPr>
            <w:r>
              <w:rPr>
                <w:b w:val="0"/>
                <w:i w:val="0"/>
                <w:sz w:val="16"/>
              </w:rPr>
              <w:t>§1.01; §5.02; Ex. A/B</w:t>
            </w:r>
          </w:p>
          <w:p>
            <w:pPr>
              <w:spacing w:after="20"/>
            </w:pPr>
            <w:r>
              <w:rPr>
                <w:b w:val="0"/>
                <w:i w:val="0"/>
                <w:sz w:val="16"/>
              </w:rPr>
              <w:t>RED</w:t>
            </w:r>
          </w:p>
        </w:tc>
        <w:tc>
          <w:tcPr>
            <w:tcW w:type="dxa" w:w="2808"/>
          </w:tcPr>
          <w:p>
            <w:pPr>
              <w:spacing w:after="20"/>
            </w:pPr>
            <w:r/>
            <w:r>
              <w:rPr>
                <w:b w:val="0"/>
                <w:i w:val="0"/>
                <w:sz w:val="16"/>
              </w:rPr>
              <w:t>$15.0M/$7.5M → $10.0M/$5.0M. Adds that the carveout is the “sole source” of payment for fees above the DIP Budget, and that nothing above the carveout is payable without RCL and DIP Lender consent. Deletes (untracked) CD §12.03 (“not subject to reduction”; a condition to any DIP order).</w:t>
            </w:r>
          </w:p>
        </w:tc>
        <w:tc>
          <w:tcPr>
            <w:tcW w:type="dxa" w:w="2808"/>
          </w:tcPr>
          <w:p>
            <w:pPr>
              <w:spacing w:after="20"/>
            </w:pPr>
            <w:r/>
            <w:r>
              <w:rPr>
                <w:b w:val="0"/>
                <w:i w:val="0"/>
                <w:sz w:val="16"/>
              </w:rPr>
              <w:t>Below the $12.5M/$6.0M floors. The “sole source” language operates as an overall fee cap that conflicts with §§330/331 allowance and invites U.S. Trustee objection. It also squeezes the $1.5M committee investigation budget (DIP TS §9.3).</w:t>
            </w:r>
          </w:p>
        </w:tc>
        <w:tc>
          <w:tcPr>
            <w:tcW w:type="dxa" w:w="2088"/>
          </w:tcPr>
          <w:p>
            <w:pPr>
              <w:spacing w:after="20"/>
            </w:pPr>
            <w:r/>
            <w:r>
              <w:rPr>
                <w:b/>
                <w:i w:val="0"/>
                <w:sz w:val="16"/>
              </w:rPr>
              <w:t>Reject.</w:t>
            </w:r>
            <w:r>
              <w:rPr>
                <w:b w:val="0"/>
                <w:i w:val="0"/>
                <w:sz w:val="16"/>
              </w:rPr>
              <w:t xml:space="preserve"> Restore $22.5M (floor $12.5M/$6.0M), delete the “sole source” and excess-consent sentences, and restore CD §12.03.</w:t>
            </w:r>
          </w:p>
        </w:tc>
      </w:tr>
    </w:tbl>
    <w:p>
      <w:pPr>
        <w:spacing w:after="40"/>
      </w:pPr>
    </w:p>
    <w:p>
      <w:pPr>
        <w:pStyle w:val="Heading2"/>
      </w:pPr>
      <w:r>
        <w:t>B. DIP Financing</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656"/>
            <w:shd w:val="clear" w:color="auto" w:fill="1F2A44"/>
          </w:tcPr>
          <w:p>
            <w:r/>
            <w:r>
              <w:rPr>
                <w:b/>
                <w:color w:val="FFFFFF"/>
                <w:sz w:val="16"/>
              </w:rPr>
              <w:t>Provision / Class</w:t>
            </w:r>
          </w:p>
        </w:tc>
        <w:tc>
          <w:tcPr>
            <w:tcW w:type="dxa" w:w="2808"/>
            <w:shd w:val="clear" w:color="auto" w:fill="1F2A44"/>
          </w:tcPr>
          <w:p>
            <w:r/>
            <w:r>
              <w:rPr>
                <w:b/>
                <w:color w:val="FFFFFF"/>
                <w:sz w:val="16"/>
              </w:rPr>
              <w:t>Change (CD → Markup)</w:t>
            </w:r>
          </w:p>
        </w:tc>
        <w:tc>
          <w:tcPr>
            <w:tcW w:type="dxa" w:w="2808"/>
            <w:shd w:val="clear" w:color="auto" w:fill="1F2A44"/>
          </w:tcPr>
          <w:p>
            <w:r/>
            <w:r>
              <w:rPr>
                <w:b/>
                <w:color w:val="FFFFFF"/>
                <w:sz w:val="16"/>
              </w:rPr>
              <w:t>Assessment</w:t>
            </w:r>
          </w:p>
        </w:tc>
        <w:tc>
          <w:tcPr>
            <w:tcW w:type="dxa" w:w="2088"/>
            <w:shd w:val="clear" w:color="auto" w:fill="1F2A44"/>
          </w:tcPr>
          <w:p>
            <w:r/>
            <w:r>
              <w:rPr>
                <w:b/>
                <w:color w:val="FFFFFF"/>
                <w:sz w:val="16"/>
              </w:rPr>
              <w:t>Recommended Response</w:t>
            </w:r>
          </w:p>
        </w:tc>
      </w:tr>
      <w:tr>
        <w:tc>
          <w:tcPr>
            <w:tcW w:type="dxa" w:w="1656"/>
          </w:tcPr>
          <w:p>
            <w:pPr>
              <w:spacing w:after="20"/>
            </w:pPr>
            <w:r/>
            <w:r>
              <w:rPr>
                <w:b w:val="0"/>
                <w:i w:val="0"/>
                <w:sz w:val="16"/>
              </w:rPr>
              <w:t>B1. Pricing</w:t>
            </w:r>
          </w:p>
          <w:p>
            <w:pPr>
              <w:spacing w:after="20"/>
            </w:pPr>
            <w:r>
              <w:rPr>
                <w:b w:val="0"/>
                <w:i w:val="0"/>
                <w:sz w:val="16"/>
              </w:rPr>
              <w:t>§5.01(b); Ex. B</w:t>
            </w:r>
          </w:p>
          <w:p>
            <w:pPr>
              <w:spacing w:after="20"/>
            </w:pPr>
            <w:r>
              <w:rPr>
                <w:b w:val="0"/>
                <w:i w:val="0"/>
                <w:sz w:val="16"/>
              </w:rPr>
              <w:t>RED</w:t>
            </w:r>
          </w:p>
        </w:tc>
        <w:tc>
          <w:tcPr>
            <w:tcW w:type="dxa" w:w="2808"/>
          </w:tcPr>
          <w:p>
            <w:pPr>
              <w:spacing w:after="20"/>
            </w:pPr>
            <w:r/>
            <w:r>
              <w:rPr>
                <w:b w:val="0"/>
                <w:i w:val="0"/>
                <w:sz w:val="16"/>
              </w:rPr>
              <w:t>SOFR + 650 → SOFR + 800; default rate SOFR + 850 → SOFR + 1,000.</w:t>
            </w:r>
          </w:p>
        </w:tc>
        <w:tc>
          <w:tcPr>
            <w:tcW w:type="dxa" w:w="2808"/>
          </w:tcPr>
          <w:p>
            <w:pPr>
              <w:spacing w:after="20"/>
            </w:pPr>
            <w:r/>
            <w:r>
              <w:rPr>
                <w:b w:val="0"/>
                <w:i w:val="0"/>
                <w:sz w:val="16"/>
              </w:rPr>
              <w:t>Above the SOFR + 725 maximum. Pendleton comparables put hospitality DIPs at SOFR + 450–700.</w:t>
            </w:r>
          </w:p>
        </w:tc>
        <w:tc>
          <w:tcPr>
            <w:tcW w:type="dxa" w:w="2088"/>
          </w:tcPr>
          <w:p>
            <w:pPr>
              <w:spacing w:after="20"/>
            </w:pPr>
            <w:r/>
            <w:r>
              <w:rPr>
                <w:b/>
                <w:i w:val="0"/>
                <w:sz w:val="16"/>
              </w:rPr>
              <w:t>Counter:</w:t>
            </w:r>
            <w:r>
              <w:rPr>
                <w:b w:val="0"/>
                <w:i w:val="0"/>
                <w:sz w:val="16"/>
              </w:rPr>
              <w:t xml:space="preserve"> SOFR + 700; hold SOFR + 725. Retain the 1.00% SOFR floor (DIP TS §3.1).</w:t>
            </w:r>
          </w:p>
        </w:tc>
      </w:tr>
      <w:tr>
        <w:tc>
          <w:tcPr>
            <w:tcW w:type="dxa" w:w="1656"/>
            <w:shd w:val="clear" w:color="auto" w:fill="EEF1F6"/>
          </w:tcPr>
          <w:p>
            <w:pPr>
              <w:spacing w:after="20"/>
            </w:pPr>
            <w:r/>
            <w:r>
              <w:rPr>
                <w:b w:val="0"/>
                <w:i w:val="0"/>
                <w:sz w:val="16"/>
              </w:rPr>
              <w:t>B2. Fees</w:t>
            </w:r>
          </w:p>
          <w:p>
            <w:pPr>
              <w:spacing w:after="20"/>
            </w:pPr>
            <w:r>
              <w:rPr>
                <w:b w:val="0"/>
                <w:i w:val="0"/>
                <w:sz w:val="16"/>
              </w:rPr>
              <w:t>§5.01(c)–(d)</w:t>
            </w:r>
          </w:p>
          <w:p>
            <w:pPr>
              <w:spacing w:after="20"/>
            </w:pPr>
            <w:r>
              <w:rPr>
                <w:b w:val="0"/>
                <w:i w:val="0"/>
                <w:sz w:val="16"/>
              </w:rPr>
              <w:t>RED</w:t>
            </w:r>
          </w:p>
        </w:tc>
        <w:tc>
          <w:tcPr>
            <w:tcW w:type="dxa" w:w="2808"/>
            <w:shd w:val="clear" w:color="auto" w:fill="EEF1F6"/>
          </w:tcPr>
          <w:p>
            <w:pPr>
              <w:spacing w:after="20"/>
            </w:pPr>
            <w:r/>
            <w:r>
              <w:rPr>
                <w:b w:val="0"/>
                <w:i w:val="0"/>
                <w:sz w:val="16"/>
              </w:rPr>
              <w:t>None → 3.00% upfront ($5.25M) + 2.00% exit ($3.50M).</w:t>
            </w:r>
          </w:p>
        </w:tc>
        <w:tc>
          <w:tcPr>
            <w:tcW w:type="dxa" w:w="2808"/>
            <w:shd w:val="clear" w:color="auto" w:fill="EEF1F6"/>
          </w:tcPr>
          <w:p>
            <w:pPr>
              <w:spacing w:after="20"/>
            </w:pPr>
            <w:r/>
            <w:r>
              <w:rPr>
                <w:b w:val="0"/>
                <w:i w:val="0"/>
                <w:sz w:val="16"/>
              </w:rPr>
              <w:t>Total $8.75M vs. the $3M cap. The exit fee is payable on the Effective Date even when the DIP is converted into exit loans, i.e., a fee on a non-cash takeout, and it rewards a longer case.</w:t>
            </w:r>
          </w:p>
        </w:tc>
        <w:tc>
          <w:tcPr>
            <w:tcW w:type="dxa" w:w="2088"/>
            <w:shd w:val="clear" w:color="auto" w:fill="EEF1F6"/>
          </w:tcPr>
          <w:p>
            <w:pPr>
              <w:spacing w:after="20"/>
            </w:pPr>
            <w:r/>
            <w:r>
              <w:rPr>
                <w:b/>
                <w:i w:val="0"/>
                <w:sz w:val="16"/>
              </w:rPr>
              <w:t>Counter:</w:t>
            </w:r>
            <w:r>
              <w:rPr>
                <w:b w:val="0"/>
                <w:i w:val="0"/>
                <w:sz w:val="16"/>
              </w:rPr>
              <w:t xml:space="preserve"> upfront fee ≤1.5% ($2.625M) and no exit fee (or an exit fee waived on conversion), combined ≤$3M. Delete the 1% commitment fee if an upfront fee is agreed.</w:t>
            </w:r>
          </w:p>
        </w:tc>
      </w:tr>
      <w:tr>
        <w:tc>
          <w:tcPr>
            <w:tcW w:type="dxa" w:w="1656"/>
          </w:tcPr>
          <w:p>
            <w:pPr>
              <w:spacing w:after="20"/>
            </w:pPr>
            <w:r/>
            <w:r>
              <w:rPr>
                <w:b w:val="0"/>
                <w:i w:val="0"/>
                <w:sz w:val="16"/>
              </w:rPr>
              <w:t>B3. Roll-up / conversion</w:t>
            </w:r>
          </w:p>
          <w:p>
            <w:pPr>
              <w:spacing w:after="20"/>
            </w:pPr>
            <w:r>
              <w:rPr>
                <w:b w:val="0"/>
                <w:i w:val="0"/>
                <w:sz w:val="16"/>
              </w:rPr>
              <w:t>§5.01(e); Ex. A/B</w:t>
            </w:r>
          </w:p>
          <w:p>
            <w:pPr>
              <w:spacing w:after="20"/>
            </w:pPr>
            <w:r>
              <w:rPr>
                <w:b w:val="0"/>
                <w:i w:val="0"/>
                <w:sz w:val="16"/>
              </w:rPr>
              <w:t>RED</w:t>
            </w:r>
          </w:p>
        </w:tc>
        <w:tc>
          <w:tcPr>
            <w:tcW w:type="dxa" w:w="2808"/>
          </w:tcPr>
          <w:p>
            <w:pPr>
              <w:spacing w:after="20"/>
            </w:pPr>
            <w:r/>
            <w:r>
              <w:rPr>
                <w:b w:val="0"/>
                <w:i w:val="0"/>
                <w:sz w:val="16"/>
              </w:rPr>
              <w:t>$75M → $175M (100%) “rolled up into the Exit Facility.”</w:t>
            </w:r>
          </w:p>
        </w:tc>
        <w:tc>
          <w:tcPr>
            <w:tcW w:type="dxa" w:w="2808"/>
          </w:tcPr>
          <w:p>
            <w:pPr>
              <w:spacing w:after="20"/>
            </w:pPr>
            <w:r/>
            <w:r>
              <w:rPr>
                <w:b w:val="0"/>
                <w:i w:val="0"/>
                <w:sz w:val="16"/>
              </w:rPr>
              <w:t>Above the $100M cap. A full roll-up is the provision most likely to draw committee/U.S. Trustee objection; Del. Bankr. L.R. 4001-2 requires roll-ups to be highlighted and they are disfavored on an interim basis. The Markup also silently changes the concept (see Part III.C).</w:t>
            </w:r>
          </w:p>
        </w:tc>
        <w:tc>
          <w:tcPr>
            <w:tcW w:type="dxa" w:w="2088"/>
          </w:tcPr>
          <w:p>
            <w:pPr>
              <w:spacing w:after="20"/>
            </w:pPr>
            <w:r/>
            <w:r>
              <w:rPr>
                <w:b/>
                <w:i w:val="0"/>
                <w:sz w:val="16"/>
              </w:rPr>
              <w:t>Counter:</w:t>
            </w:r>
            <w:r>
              <w:rPr>
                <w:b w:val="0"/>
                <w:i w:val="0"/>
                <w:sz w:val="16"/>
              </w:rPr>
              <w:t xml:space="preserve"> conversion of up to $100M of DIP obligations into exit term loans at emergence; the balance repaid or refinanced at the Company’s option. No roll-up relief in the interim order. Clarify that no prepetition 1L claims are elevated.</w:t>
            </w:r>
          </w:p>
        </w:tc>
      </w:tr>
      <w:tr>
        <w:tc>
          <w:tcPr>
            <w:tcW w:type="dxa" w:w="1656"/>
            <w:shd w:val="clear" w:color="auto" w:fill="EEF1F6"/>
          </w:tcPr>
          <w:p>
            <w:pPr>
              <w:spacing w:after="20"/>
            </w:pPr>
            <w:r/>
            <w:r>
              <w:rPr>
                <w:b w:val="0"/>
                <w:i w:val="0"/>
                <w:sz w:val="16"/>
              </w:rPr>
              <w:t>B4. Total DIP cost</w:t>
            </w:r>
          </w:p>
          <w:p>
            <w:pPr>
              <w:spacing w:after="20"/>
            </w:pPr>
            <w:r>
              <w:rPr>
                <w:b w:val="0"/>
                <w:i w:val="0"/>
                <w:sz w:val="16"/>
              </w:rPr>
              <w:t>RED</w:t>
            </w:r>
          </w:p>
        </w:tc>
        <w:tc>
          <w:tcPr>
            <w:tcW w:type="dxa" w:w="2808"/>
            <w:shd w:val="clear" w:color="auto" w:fill="EEF1F6"/>
          </w:tcPr>
          <w:p>
            <w:pPr>
              <w:spacing w:after="20"/>
            </w:pPr>
            <w:r/>
            <w:r>
              <w:rPr>
                <w:b w:val="0"/>
                <w:i w:val="0"/>
                <w:sz w:val="16"/>
              </w:rPr>
              <w:t>≈ $17–18M → ≈ $27–28M (est.).</w:t>
            </w:r>
          </w:p>
        </w:tc>
        <w:tc>
          <w:tcPr>
            <w:tcW w:type="dxa" w:w="2808"/>
            <w:shd w:val="clear" w:color="auto" w:fill="EEF1F6"/>
          </w:tcPr>
          <w:p>
            <w:pPr>
              <w:spacing w:after="20"/>
            </w:pPr>
            <w:r/>
            <w:r>
              <w:rPr>
                <w:b w:val="0"/>
                <w:i w:val="0"/>
                <w:sz w:val="16"/>
              </w:rPr>
              <w:t>Exceeds the $22–23M ceiling; a §364 approval risk.</w:t>
            </w:r>
          </w:p>
        </w:tc>
        <w:tc>
          <w:tcPr>
            <w:tcW w:type="dxa" w:w="2088"/>
            <w:shd w:val="clear" w:color="auto" w:fill="EEF1F6"/>
          </w:tcPr>
          <w:p>
            <w:pPr>
              <w:spacing w:after="20"/>
            </w:pPr>
            <w:r/>
            <w:r>
              <w:rPr>
                <w:b w:val="0"/>
                <w:i w:val="0"/>
                <w:sz w:val="16"/>
              </w:rPr>
              <w:t>Address through B1–B3; Pendleton to re-run.</w:t>
            </w:r>
          </w:p>
        </w:tc>
      </w:tr>
      <w:tr>
        <w:tc>
          <w:tcPr>
            <w:tcW w:type="dxa" w:w="1656"/>
          </w:tcPr>
          <w:p>
            <w:pPr>
              <w:spacing w:after="20"/>
            </w:pPr>
            <w:r/>
            <w:r>
              <w:rPr>
                <w:b w:val="0"/>
                <w:i w:val="0"/>
                <w:sz w:val="16"/>
              </w:rPr>
              <w:t>B5. Budget / variance</w:t>
            </w:r>
          </w:p>
          <w:p>
            <w:pPr>
              <w:spacing w:after="20"/>
            </w:pPr>
            <w:r>
              <w:rPr>
                <w:b w:val="0"/>
                <w:i w:val="0"/>
                <w:sz w:val="16"/>
              </w:rPr>
              <w:t>§5.01(h); Ex. B</w:t>
            </w:r>
          </w:p>
          <w:p>
            <w:pPr>
              <w:spacing w:after="20"/>
            </w:pPr>
            <w:r>
              <w:rPr>
                <w:b w:val="0"/>
                <w:i w:val="0"/>
                <w:sz w:val="16"/>
              </w:rPr>
              <w:t>NEW</w:t>
            </w:r>
          </w:p>
        </w:tc>
        <w:tc>
          <w:tcPr>
            <w:tcW w:type="dxa" w:w="2808"/>
          </w:tcPr>
          <w:p>
            <w:pPr>
              <w:spacing w:after="20"/>
            </w:pPr>
            <w:r/>
            <w:r>
              <w:rPr>
                <w:b w:val="0"/>
                <w:i w:val="0"/>
                <w:sz w:val="16"/>
              </w:rPr>
              <w:t>Updates every 2 weeks; any adverse variance &gt;10% is an Event of Default, with no cure. (CD RSA: ±15% line item / ±10% aggregate; DIP TS §7.1: receipts ≥85%, disbursements ≤115%, rolling 4-week test, cure in the next period.)</w:t>
            </w:r>
          </w:p>
        </w:tc>
        <w:tc>
          <w:tcPr>
            <w:tcW w:type="dxa" w:w="2808"/>
          </w:tcPr>
          <w:p>
            <w:pPr>
              <w:spacing w:after="20"/>
            </w:pPr>
            <w:r/>
            <w:r>
              <w:rPr>
                <w:b w:val="0"/>
                <w:i w:val="0"/>
                <w:sz w:val="16"/>
              </w:rPr>
              <w:t>A single 10% test with no cure, together with RSA termination on DIP default, is a hair trigger in a seasonal business heading into the summer peak.</w:t>
            </w:r>
          </w:p>
        </w:tc>
        <w:tc>
          <w:tcPr>
            <w:tcW w:type="dxa" w:w="2088"/>
          </w:tcPr>
          <w:p>
            <w:pPr>
              <w:spacing w:after="20"/>
            </w:pPr>
            <w:r/>
            <w:r>
              <w:rPr>
                <w:b/>
                <w:i w:val="0"/>
                <w:sz w:val="16"/>
              </w:rPr>
              <w:t>Counter:</w:t>
            </w:r>
            <w:r>
              <w:rPr>
                <w:b w:val="0"/>
                <w:i w:val="0"/>
                <w:sz w:val="16"/>
              </w:rPr>
              <w:t xml:space="preserve"> DIP TS §7.1 construct (85%/115%, rolling 4 weeks, professional fees and adequate protection excluded, one-period cure). Accept bi-weekly updates. Fix our own internal inconsistency.</w:t>
            </w:r>
          </w:p>
        </w:tc>
      </w:tr>
      <w:tr>
        <w:tc>
          <w:tcPr>
            <w:tcW w:type="dxa" w:w="1656"/>
            <w:shd w:val="clear" w:color="auto" w:fill="EEF1F6"/>
          </w:tcPr>
          <w:p>
            <w:pPr>
              <w:spacing w:after="20"/>
            </w:pPr>
            <w:r/>
            <w:r>
              <w:rPr>
                <w:b w:val="0"/>
                <w:i w:val="0"/>
                <w:sz w:val="16"/>
              </w:rPr>
              <w:t>B6. DIP Agent</w:t>
            </w:r>
          </w:p>
          <w:p>
            <w:pPr>
              <w:spacing w:after="20"/>
            </w:pPr>
            <w:r>
              <w:rPr>
                <w:b w:val="0"/>
                <w:i w:val="0"/>
                <w:sz w:val="16"/>
              </w:rPr>
              <w:t>Ex. B</w:t>
            </w:r>
          </w:p>
          <w:p>
            <w:pPr>
              <w:spacing w:after="20"/>
            </w:pPr>
            <w:r>
              <w:rPr>
                <w:b w:val="0"/>
                <w:i w:val="0"/>
                <w:sz w:val="16"/>
              </w:rPr>
              <w:t>NEW</w:t>
            </w:r>
          </w:p>
        </w:tc>
        <w:tc>
          <w:tcPr>
            <w:tcW w:type="dxa" w:w="2808"/>
            <w:shd w:val="clear" w:color="auto" w:fill="EEF1F6"/>
          </w:tcPr>
          <w:p>
            <w:pPr>
              <w:spacing w:after="20"/>
            </w:pPr>
            <w:r/>
            <w:r>
              <w:rPr>
                <w:b w:val="0"/>
                <w:i w:val="0"/>
                <w:sz w:val="16"/>
              </w:rPr>
              <w:t>Briarwood (or a designee with Borrower consent) → “to be designated by the Required Consenting Lenders.”</w:t>
            </w:r>
          </w:p>
        </w:tc>
        <w:tc>
          <w:tcPr>
            <w:tcW w:type="dxa" w:w="2808"/>
            <w:shd w:val="clear" w:color="auto" w:fill="EEF1F6"/>
          </w:tcPr>
          <w:p>
            <w:pPr>
              <w:spacing w:after="20"/>
            </w:pPr>
            <w:r/>
            <w:r>
              <w:rPr>
                <w:b w:val="0"/>
                <w:i w:val="0"/>
                <w:sz w:val="16"/>
              </w:rPr>
              <w:t>Removes the Company’s consent.</w:t>
            </w:r>
          </w:p>
        </w:tc>
        <w:tc>
          <w:tcPr>
            <w:tcW w:type="dxa" w:w="2088"/>
            <w:shd w:val="clear" w:color="auto" w:fill="EEF1F6"/>
          </w:tcPr>
          <w:p>
            <w:pPr>
              <w:spacing w:after="20"/>
            </w:pPr>
            <w:r/>
            <w:r>
              <w:rPr>
                <w:b/>
                <w:i w:val="0"/>
                <w:sz w:val="16"/>
              </w:rPr>
              <w:t>Counter:</w:t>
            </w:r>
            <w:r>
              <w:rPr>
                <w:b w:val="0"/>
                <w:i w:val="0"/>
                <w:sz w:val="16"/>
              </w:rPr>
              <w:t xml:space="preserve"> Briarwood, or a designee reasonably acceptable to the Company.</w:t>
            </w:r>
          </w:p>
        </w:tc>
      </w:tr>
      <w:tr>
        <w:tc>
          <w:tcPr>
            <w:tcW w:type="dxa" w:w="1656"/>
          </w:tcPr>
          <w:p>
            <w:pPr>
              <w:spacing w:after="20"/>
            </w:pPr>
            <w:r/>
            <w:r>
              <w:rPr>
                <w:b w:val="0"/>
                <w:i w:val="0"/>
                <w:sz w:val="16"/>
              </w:rPr>
              <w:t>B7. Abbreviated Exhibit B</w:t>
            </w:r>
          </w:p>
          <w:p>
            <w:pPr>
              <w:spacing w:after="20"/>
            </w:pPr>
            <w:r>
              <w:rPr>
                <w:b w:val="0"/>
                <w:i w:val="0"/>
                <w:sz w:val="16"/>
              </w:rPr>
              <w:t>NEW</w:t>
            </w:r>
          </w:p>
        </w:tc>
        <w:tc>
          <w:tcPr>
            <w:tcW w:type="dxa" w:w="2808"/>
          </w:tcPr>
          <w:p>
            <w:pPr>
              <w:spacing w:after="20"/>
            </w:pPr>
            <w:r/>
            <w:r>
              <w:rPr>
                <w:b w:val="0"/>
                <w:i w:val="0"/>
                <w:sz w:val="16"/>
              </w:rPr>
              <w:t>The Markup’s Exhibit B is a one-page table that omits key protections in the full DIP TS.</w:t>
            </w:r>
          </w:p>
        </w:tc>
        <w:tc>
          <w:tcPr>
            <w:tcW w:type="dxa" w:w="2808"/>
          </w:tcPr>
          <w:p>
            <w:pPr>
              <w:spacing w:after="20"/>
            </w:pPr>
            <w:r/>
            <w:r>
              <w:rPr>
                <w:b w:val="0"/>
                <w:i w:val="0"/>
                <w:sz w:val="16"/>
              </w:rPr>
              <w:t>Omitted: 2L adequate protection (DIP TS §10.2), which is needed to prime the 2L under §364(d)(1)(B) absent consent; 5-business-day remedies notice (§15.2); $1.5M investigation budget (§9.3); Disqualified Lender list (§18.2); sacred rights (§18.3); prepayment without premium (§6.3); two-draw structure (§2.3).</w:t>
            </w:r>
          </w:p>
        </w:tc>
        <w:tc>
          <w:tcPr>
            <w:tcW w:type="dxa" w:w="2088"/>
          </w:tcPr>
          <w:p>
            <w:pPr>
              <w:spacing w:after="20"/>
            </w:pPr>
            <w:r/>
            <w:r>
              <w:rPr>
                <w:b/>
                <w:i w:val="0"/>
                <w:sz w:val="16"/>
              </w:rPr>
              <w:t>Reject.</w:t>
            </w:r>
            <w:r>
              <w:rPr>
                <w:b w:val="0"/>
                <w:i w:val="0"/>
                <w:sz w:val="16"/>
              </w:rPr>
              <w:t xml:space="preserve"> The full March 17 DIP TS remains Exhibit B, conformed only for agreed economic changes.</w:t>
            </w:r>
          </w:p>
        </w:tc>
      </w:tr>
      <w:tr>
        <w:tc>
          <w:tcPr>
            <w:tcW w:type="dxa" w:w="1656"/>
            <w:shd w:val="clear" w:color="auto" w:fill="EEF1F6"/>
          </w:tcPr>
          <w:p>
            <w:pPr>
              <w:spacing w:after="20"/>
            </w:pPr>
            <w:r/>
            <w:r>
              <w:rPr>
                <w:b w:val="0"/>
                <w:i w:val="0"/>
                <w:sz w:val="16"/>
              </w:rPr>
              <w:t>B8. Interim order / DIP motion</w:t>
            </w:r>
          </w:p>
          <w:p>
            <w:pPr>
              <w:spacing w:after="20"/>
            </w:pPr>
            <w:r>
              <w:rPr>
                <w:b w:val="0"/>
                <w:i w:val="0"/>
                <w:sz w:val="16"/>
              </w:rPr>
              <w:t>§2.04; §4.01(b)</w:t>
            </w:r>
          </w:p>
          <w:p>
            <w:pPr>
              <w:spacing w:after="20"/>
            </w:pPr>
            <w:r>
              <w:rPr>
                <w:b w:val="0"/>
                <w:i w:val="0"/>
                <w:sz w:val="16"/>
              </w:rPr>
              <w:t>NEW</w:t>
            </w:r>
          </w:p>
        </w:tc>
        <w:tc>
          <w:tcPr>
            <w:tcW w:type="dxa" w:w="2808"/>
            <w:shd w:val="clear" w:color="auto" w:fill="EEF1F6"/>
          </w:tcPr>
          <w:p>
            <w:pPr>
              <w:spacing w:after="20"/>
            </w:pPr>
            <w:r/>
            <w:r>
              <w:rPr>
                <w:b w:val="0"/>
                <w:i w:val="0"/>
                <w:sz w:val="16"/>
              </w:rPr>
              <w:t>Interim DIP order deadline 3 BD → 5 BD; DIP motion to be filed within 2 BD of the Petition Date.</w:t>
            </w:r>
          </w:p>
        </w:tc>
        <w:tc>
          <w:tcPr>
            <w:tcW w:type="dxa" w:w="2808"/>
            <w:shd w:val="clear" w:color="auto" w:fill="EEF1F6"/>
          </w:tcPr>
          <w:p>
            <w:pPr>
              <w:spacing w:after="20"/>
            </w:pPr>
            <w:r/>
            <w:r>
              <w:rPr>
                <w:b w:val="0"/>
                <w:i w:val="0"/>
                <w:sz w:val="16"/>
              </w:rPr>
              <w:t>Gives the Company more time; the DIP motion will be a first-day filing in any event.</w:t>
            </w:r>
          </w:p>
        </w:tc>
        <w:tc>
          <w:tcPr>
            <w:tcW w:type="dxa" w:w="2088"/>
            <w:shd w:val="clear" w:color="auto" w:fill="EEF1F6"/>
          </w:tcPr>
          <w:p>
            <w:pPr>
              <w:spacing w:after="20"/>
            </w:pPr>
            <w:r/>
            <w:r>
              <w:rPr>
                <w:b/>
                <w:i w:val="0"/>
                <w:sz w:val="16"/>
              </w:rPr>
              <w:t>Accept.</w:t>
            </w:r>
          </w:p>
        </w:tc>
      </w:tr>
      <w:tr>
        <w:tc>
          <w:tcPr>
            <w:tcW w:type="dxa" w:w="1656"/>
          </w:tcPr>
          <w:p>
            <w:pPr>
              <w:spacing w:after="20"/>
            </w:pPr>
            <w:r/>
            <w:r>
              <w:rPr>
                <w:b w:val="0"/>
                <w:i w:val="0"/>
                <w:sz w:val="16"/>
              </w:rPr>
              <w:t>B9. Adequate protection; Ad Hoc fees</w:t>
            </w:r>
          </w:p>
          <w:p>
            <w:pPr>
              <w:spacing w:after="20"/>
            </w:pPr>
            <w:r>
              <w:rPr>
                <w:b w:val="0"/>
                <w:i w:val="0"/>
                <w:sz w:val="16"/>
              </w:rPr>
              <w:t>Ex. B; CD §12</w:t>
            </w:r>
          </w:p>
          <w:p>
            <w:pPr>
              <w:spacing w:after="20"/>
            </w:pPr>
            <w:r>
              <w:rPr>
                <w:b w:val="0"/>
                <w:i w:val="0"/>
                <w:sz w:val="16"/>
              </w:rPr>
              <w:t>NEW</w:t>
            </w:r>
          </w:p>
        </w:tc>
        <w:tc>
          <w:tcPr>
            <w:tcW w:type="dxa" w:w="2808"/>
          </w:tcPr>
          <w:p>
            <w:pPr>
              <w:spacing w:after="20"/>
            </w:pPr>
            <w:r/>
            <w:r>
              <w:rPr>
                <w:b w:val="0"/>
                <w:i w:val="0"/>
                <w:sz w:val="16"/>
              </w:rPr>
              <w:t>The 1L adequate protection package drops the payment of Ad Hoc professional fees (CD Ex. B), and the Markup contains no counterpart to CD §12 (fees and expenses).</w:t>
            </w:r>
          </w:p>
        </w:tc>
        <w:tc>
          <w:tcPr>
            <w:tcW w:type="dxa" w:w="2808"/>
          </w:tcPr>
          <w:p>
            <w:pPr>
              <w:spacing w:after="20"/>
            </w:pPr>
            <w:r/>
            <w:r>
              <w:rPr>
                <w:b w:val="0"/>
                <w:i w:val="0"/>
                <w:sz w:val="16"/>
              </w:rPr>
              <w:t>Facially Company-favorable, but probably an oversight; DIP TS §§11.1(h) and 18.4 still make fees a condition to funding.</w:t>
            </w:r>
          </w:p>
        </w:tc>
        <w:tc>
          <w:tcPr>
            <w:tcW w:type="dxa" w:w="2088"/>
          </w:tcPr>
          <w:p>
            <w:pPr>
              <w:spacing w:after="20"/>
            </w:pPr>
            <w:r/>
            <w:r>
              <w:rPr>
                <w:b/>
                <w:i w:val="0"/>
                <w:sz w:val="16"/>
              </w:rPr>
              <w:t>No action now.</w:t>
            </w:r>
            <w:r>
              <w:rPr>
                <w:b w:val="0"/>
                <w:i w:val="0"/>
                <w:sz w:val="16"/>
              </w:rPr>
              <w:t xml:space="preserve"> Do not volunteer. Confirm the intended mechanics when papering the DIP.</w:t>
            </w:r>
          </w:p>
        </w:tc>
      </w:tr>
    </w:tbl>
    <w:p>
      <w:pPr>
        <w:spacing w:after="40"/>
      </w:pPr>
    </w:p>
    <w:p>
      <w:pPr>
        <w:pStyle w:val="Heading2"/>
      </w:pPr>
      <w:r>
        <w:t>C. Milestones and Termination</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656"/>
            <w:shd w:val="clear" w:color="auto" w:fill="1F2A44"/>
          </w:tcPr>
          <w:p>
            <w:r/>
            <w:r>
              <w:rPr>
                <w:b/>
                <w:color w:val="FFFFFF"/>
                <w:sz w:val="16"/>
              </w:rPr>
              <w:t>Provision / Class</w:t>
            </w:r>
          </w:p>
        </w:tc>
        <w:tc>
          <w:tcPr>
            <w:tcW w:type="dxa" w:w="2808"/>
            <w:shd w:val="clear" w:color="auto" w:fill="1F2A44"/>
          </w:tcPr>
          <w:p>
            <w:r/>
            <w:r>
              <w:rPr>
                <w:b/>
                <w:color w:val="FFFFFF"/>
                <w:sz w:val="16"/>
              </w:rPr>
              <w:t>Change (CD → Markup)</w:t>
            </w:r>
          </w:p>
        </w:tc>
        <w:tc>
          <w:tcPr>
            <w:tcW w:type="dxa" w:w="2808"/>
            <w:shd w:val="clear" w:color="auto" w:fill="1F2A44"/>
          </w:tcPr>
          <w:p>
            <w:r/>
            <w:r>
              <w:rPr>
                <w:b/>
                <w:color w:val="FFFFFF"/>
                <w:sz w:val="16"/>
              </w:rPr>
              <w:t>Assessment</w:t>
            </w:r>
          </w:p>
        </w:tc>
        <w:tc>
          <w:tcPr>
            <w:tcW w:type="dxa" w:w="2088"/>
            <w:shd w:val="clear" w:color="auto" w:fill="1F2A44"/>
          </w:tcPr>
          <w:p>
            <w:r/>
            <w:r>
              <w:rPr>
                <w:b/>
                <w:color w:val="FFFFFF"/>
                <w:sz w:val="16"/>
              </w:rPr>
              <w:t>Recommended Response</w:t>
            </w:r>
          </w:p>
        </w:tc>
      </w:tr>
      <w:tr>
        <w:tc>
          <w:tcPr>
            <w:tcW w:type="dxa" w:w="1656"/>
          </w:tcPr>
          <w:p>
            <w:pPr>
              <w:spacing w:after="20"/>
            </w:pPr>
            <w:r/>
            <w:r>
              <w:rPr>
                <w:b w:val="0"/>
                <w:i w:val="0"/>
                <w:sz w:val="16"/>
              </w:rPr>
              <w:t>C1. Filing milestone</w:t>
            </w:r>
          </w:p>
          <w:p>
            <w:pPr>
              <w:spacing w:after="20"/>
            </w:pPr>
            <w:r>
              <w:rPr>
                <w:b w:val="0"/>
                <w:i w:val="0"/>
                <w:sz w:val="16"/>
              </w:rPr>
              <w:t>§4.01(a)</w:t>
            </w:r>
          </w:p>
          <w:p>
            <w:pPr>
              <w:spacing w:after="20"/>
            </w:pPr>
            <w:r>
              <w:rPr>
                <w:b w:val="0"/>
                <w:i w:val="0"/>
                <w:sz w:val="16"/>
              </w:rPr>
              <w:t>RED (at floor)</w:t>
            </w:r>
          </w:p>
        </w:tc>
        <w:tc>
          <w:tcPr>
            <w:tcW w:type="dxa" w:w="2808"/>
          </w:tcPr>
          <w:p>
            <w:pPr>
              <w:spacing w:after="20"/>
            </w:pPr>
            <w:r/>
            <w:r>
              <w:rPr>
                <w:b w:val="0"/>
                <w:i w:val="0"/>
                <w:sz w:val="16"/>
              </w:rPr>
              <w:t>5 BD → 3 BD after the RSA Effective Date.</w:t>
            </w:r>
          </w:p>
        </w:tc>
        <w:tc>
          <w:tcPr>
            <w:tcW w:type="dxa" w:w="2808"/>
          </w:tcPr>
          <w:p>
            <w:pPr>
              <w:spacing w:after="20"/>
            </w:pPr>
            <w:r/>
            <w:r>
              <w:rPr>
                <w:b w:val="0"/>
                <w:i w:val="0"/>
                <w:sz w:val="16"/>
              </w:rPr>
              <w:t>At the Framework floor. Matches the April 17 target (April 14 + 3 BD). Requires first-day papers to be final at signing.</w:t>
            </w:r>
          </w:p>
        </w:tc>
        <w:tc>
          <w:tcPr>
            <w:tcW w:type="dxa" w:w="2088"/>
          </w:tcPr>
          <w:p>
            <w:pPr>
              <w:spacing w:after="20"/>
            </w:pPr>
            <w:r/>
            <w:r>
              <w:rPr>
                <w:b/>
                <w:i w:val="0"/>
                <w:sz w:val="16"/>
              </w:rPr>
              <w:t>Accept as a trade</w:t>
            </w:r>
            <w:r>
              <w:rPr>
                <w:b w:val="0"/>
                <w:i w:val="0"/>
                <w:sz w:val="16"/>
              </w:rPr>
              <w:t>, conditioned on the other milestones being restored.</w:t>
            </w:r>
          </w:p>
        </w:tc>
      </w:tr>
      <w:tr>
        <w:tc>
          <w:tcPr>
            <w:tcW w:type="dxa" w:w="1656"/>
            <w:shd w:val="clear" w:color="auto" w:fill="EEF1F6"/>
          </w:tcPr>
          <w:p>
            <w:pPr>
              <w:spacing w:after="20"/>
            </w:pPr>
            <w:r/>
            <w:r>
              <w:rPr>
                <w:b w:val="0"/>
                <w:i w:val="0"/>
                <w:sz w:val="16"/>
              </w:rPr>
              <w:t>C2. Case milestones</w:t>
            </w:r>
          </w:p>
          <w:p>
            <w:pPr>
              <w:spacing w:after="20"/>
            </w:pPr>
            <w:r>
              <w:rPr>
                <w:b w:val="0"/>
                <w:i w:val="0"/>
                <w:sz w:val="16"/>
              </w:rPr>
              <w:t>§4.01(c)–(f)</w:t>
            </w:r>
          </w:p>
          <w:p>
            <w:pPr>
              <w:spacing w:after="20"/>
            </w:pPr>
            <w:r>
              <w:rPr>
                <w:b w:val="0"/>
                <w:i w:val="0"/>
                <w:sz w:val="16"/>
              </w:rPr>
              <w:t>RED</w:t>
            </w:r>
          </w:p>
        </w:tc>
        <w:tc>
          <w:tcPr>
            <w:tcW w:type="dxa" w:w="2808"/>
            <w:shd w:val="clear" w:color="auto" w:fill="EEF1F6"/>
          </w:tcPr>
          <w:p>
            <w:pPr>
              <w:spacing w:after="20"/>
            </w:pPr>
            <w:r/>
            <w:r>
              <w:rPr>
                <w:b w:val="0"/>
                <w:i w:val="0"/>
                <w:sz w:val="16"/>
              </w:rPr>
              <w:t>DS filing 45 → 30 days; DS approval 90 → 75; Confirmation 135 → 110; Emergence 165 → 140 (dates in Appendix A).</w:t>
            </w:r>
          </w:p>
        </w:tc>
        <w:tc>
          <w:tcPr>
            <w:tcW w:type="dxa" w:w="2808"/>
            <w:shd w:val="clear" w:color="auto" w:fill="EEF1F6"/>
          </w:tcPr>
          <w:p>
            <w:pPr>
              <w:spacing w:after="20"/>
            </w:pPr>
            <w:r/>
            <w:r>
              <w:rPr>
                <w:b w:val="0"/>
                <w:i w:val="0"/>
                <w:sz w:val="16"/>
              </w:rPr>
              <w:t>Each is below the Framework floor (40/80/120/150). The 30-day DS deadline (May 17, a Saturday) is unrealistic. The Markup also drops CD §2.02’s prepetition solicitation, so the case is no longer a true prepack.</w:t>
            </w:r>
          </w:p>
        </w:tc>
        <w:tc>
          <w:tcPr>
            <w:tcW w:type="dxa" w:w="2088"/>
            <w:shd w:val="clear" w:color="auto" w:fill="EEF1F6"/>
          </w:tcPr>
          <w:p>
            <w:pPr>
              <w:spacing w:after="20"/>
            </w:pPr>
            <w:r/>
            <w:r>
              <w:rPr>
                <w:b/>
                <w:i w:val="0"/>
                <w:sz w:val="16"/>
              </w:rPr>
              <w:t>Counter:</w:t>
            </w:r>
            <w:r>
              <w:rPr>
                <w:b w:val="0"/>
                <w:i w:val="0"/>
                <w:sz w:val="16"/>
              </w:rPr>
              <w:t xml:space="preserve"> open at 45/90/135/165; floor 40/80/120/150. Alternatively, if solicitation is completed prepetition, offer a combined DS/confirmation hearing in exchange for restoring the cure and extension terms.</w:t>
            </w:r>
          </w:p>
        </w:tc>
      </w:tr>
      <w:tr>
        <w:tc>
          <w:tcPr>
            <w:tcW w:type="dxa" w:w="1656"/>
          </w:tcPr>
          <w:p>
            <w:pPr>
              <w:spacing w:after="20"/>
            </w:pPr>
            <w:r/>
            <w:r>
              <w:rPr>
                <w:b w:val="0"/>
                <w:i w:val="0"/>
                <w:sz w:val="16"/>
              </w:rPr>
              <w:t>C3. Extensions</w:t>
            </w:r>
          </w:p>
          <w:p>
            <w:pPr>
              <w:spacing w:after="20"/>
            </w:pPr>
            <w:r>
              <w:rPr>
                <w:b w:val="0"/>
                <w:i w:val="0"/>
                <w:sz w:val="16"/>
              </w:rPr>
              <w:t>§4.01; §4.02</w:t>
            </w:r>
          </w:p>
          <w:p>
            <w:pPr>
              <w:spacing w:after="20"/>
            </w:pPr>
            <w:r>
              <w:rPr>
                <w:b w:val="0"/>
                <w:i w:val="0"/>
                <w:sz w:val="16"/>
              </w:rPr>
              <w:t>NEW</w:t>
            </w:r>
          </w:p>
        </w:tc>
        <w:tc>
          <w:tcPr>
            <w:tcW w:type="dxa" w:w="2808"/>
          </w:tcPr>
          <w:p>
            <w:pPr>
              <w:spacing w:after="20"/>
            </w:pPr>
            <w:r/>
            <w:r>
              <w:rPr>
                <w:b w:val="0"/>
                <w:i w:val="0"/>
                <w:sz w:val="16"/>
              </w:rPr>
              <w:t>Mutual agreement → RCL “sole and absolute discretion”; adds “Time being of the essence.”</w:t>
            </w:r>
          </w:p>
        </w:tc>
        <w:tc>
          <w:tcPr>
            <w:tcW w:type="dxa" w:w="2808"/>
          </w:tcPr>
          <w:p>
            <w:pPr>
              <w:spacing w:after="20"/>
            </w:pPr>
            <w:r/>
            <w:r>
              <w:rPr>
                <w:b w:val="0"/>
                <w:i w:val="0"/>
                <w:sz w:val="16"/>
              </w:rPr>
              <w:t>Turns every missed milestone into an option for the lenders to terminate.</w:t>
            </w:r>
          </w:p>
        </w:tc>
        <w:tc>
          <w:tcPr>
            <w:tcW w:type="dxa" w:w="2088"/>
          </w:tcPr>
          <w:p>
            <w:pPr>
              <w:spacing w:after="20"/>
            </w:pPr>
            <w:r/>
            <w:r>
              <w:rPr>
                <w:b/>
                <w:i w:val="0"/>
                <w:sz w:val="16"/>
              </w:rPr>
              <w:t>Reject.</w:t>
            </w:r>
            <w:r>
              <w:rPr>
                <w:b w:val="0"/>
                <w:i w:val="0"/>
                <w:sz w:val="16"/>
              </w:rPr>
              <w:t xml:space="preserve"> Extension by the Company with RCL consent, not to be unreasonably withheld. Automatic tolling where the delay results from Court availability. Delete “time of the essence.”</w:t>
            </w:r>
          </w:p>
        </w:tc>
      </w:tr>
      <w:tr>
        <w:tc>
          <w:tcPr>
            <w:tcW w:type="dxa" w:w="1656"/>
            <w:shd w:val="clear" w:color="auto" w:fill="EEF1F6"/>
          </w:tcPr>
          <w:p>
            <w:pPr>
              <w:spacing w:after="20"/>
            </w:pPr>
            <w:r/>
            <w:r>
              <w:rPr>
                <w:b w:val="0"/>
                <w:i w:val="0"/>
                <w:sz w:val="16"/>
              </w:rPr>
              <w:t>C4. Cure periods</w:t>
            </w:r>
          </w:p>
          <w:p>
            <w:pPr>
              <w:spacing w:after="20"/>
            </w:pPr>
            <w:r>
              <w:rPr>
                <w:b w:val="0"/>
                <w:i w:val="0"/>
                <w:sz w:val="16"/>
              </w:rPr>
              <w:t>§9.02(a),(e); §9.03(a),(e)</w:t>
            </w:r>
          </w:p>
          <w:p>
            <w:pPr>
              <w:spacing w:after="20"/>
            </w:pPr>
            <w:r>
              <w:rPr>
                <w:b w:val="0"/>
                <w:i w:val="0"/>
                <w:sz w:val="16"/>
              </w:rPr>
              <w:t>RED</w:t>
            </w:r>
          </w:p>
        </w:tc>
        <w:tc>
          <w:tcPr>
            <w:tcW w:type="dxa" w:w="2808"/>
            <w:shd w:val="clear" w:color="auto" w:fill="EEF1F6"/>
          </w:tcPr>
          <w:p>
            <w:pPr>
              <w:spacing w:after="20"/>
            </w:pPr>
            <w:r/>
            <w:r>
              <w:rPr>
                <w:b w:val="0"/>
                <w:i w:val="0"/>
                <w:sz w:val="16"/>
              </w:rPr>
              <w:t>10 BD → 5 BD (milestone and breach cures, both directions).</w:t>
            </w:r>
          </w:p>
        </w:tc>
        <w:tc>
          <w:tcPr>
            <w:tcW w:type="dxa" w:w="2808"/>
            <w:shd w:val="clear" w:color="auto" w:fill="EEF1F6"/>
          </w:tcPr>
          <w:p>
            <w:pPr>
              <w:spacing w:after="20"/>
            </w:pPr>
            <w:r/>
            <w:r>
              <w:rPr>
                <w:b w:val="0"/>
                <w:i w:val="0"/>
                <w:sz w:val="16"/>
              </w:rPr>
              <w:t>Below the 7-BD floor.</w:t>
            </w:r>
          </w:p>
        </w:tc>
        <w:tc>
          <w:tcPr>
            <w:tcW w:type="dxa" w:w="2088"/>
            <w:shd w:val="clear" w:color="auto" w:fill="EEF1F6"/>
          </w:tcPr>
          <w:p>
            <w:pPr>
              <w:spacing w:after="20"/>
            </w:pPr>
            <w:r/>
            <w:r>
              <w:rPr>
                <w:b/>
                <w:i w:val="0"/>
                <w:sz w:val="16"/>
              </w:rPr>
              <w:t>Counter:</w:t>
            </w:r>
            <w:r>
              <w:rPr>
                <w:b w:val="0"/>
                <w:i w:val="0"/>
                <w:sz w:val="16"/>
              </w:rPr>
              <w:t xml:space="preserve"> 10 BD; floor 7 BD.</w:t>
            </w:r>
          </w:p>
        </w:tc>
      </w:tr>
      <w:tr>
        <w:tc>
          <w:tcPr>
            <w:tcW w:type="dxa" w:w="1656"/>
          </w:tcPr>
          <w:p>
            <w:pPr>
              <w:spacing w:after="20"/>
            </w:pPr>
            <w:r/>
            <w:r>
              <w:rPr>
                <w:b w:val="0"/>
                <w:i w:val="0"/>
                <w:sz w:val="16"/>
              </w:rPr>
              <w:t>C5. Liquidity trigger</w:t>
            </w:r>
          </w:p>
          <w:p>
            <w:pPr>
              <w:spacing w:after="20"/>
            </w:pPr>
            <w:r>
              <w:rPr>
                <w:b w:val="0"/>
                <w:i w:val="0"/>
                <w:sz w:val="16"/>
              </w:rPr>
              <w:t>§1.01; §9.03(h); Ex. B</w:t>
            </w:r>
          </w:p>
          <w:p>
            <w:pPr>
              <w:spacing w:after="20"/>
            </w:pPr>
            <w:r>
              <w:rPr>
                <w:b w:val="0"/>
                <w:i w:val="0"/>
                <w:sz w:val="16"/>
              </w:rPr>
              <w:t>RED</w:t>
            </w:r>
          </w:p>
        </w:tc>
        <w:tc>
          <w:tcPr>
            <w:tcW w:type="dxa" w:w="2808"/>
          </w:tcPr>
          <w:p>
            <w:pPr>
              <w:spacing w:after="20"/>
            </w:pPr>
            <w:r/>
            <w:r>
              <w:rPr>
                <w:b w:val="0"/>
                <w:i w:val="0"/>
                <w:sz w:val="16"/>
              </w:rPr>
              <w:t>New termination right if trailing 4-week average Liquidity is below $40M, tested weekly, with no cure. Liquidity includes ABL availability.</w:t>
            </w:r>
          </w:p>
        </w:tc>
        <w:tc>
          <w:tcPr>
            <w:tcW w:type="dxa" w:w="2808"/>
          </w:tcPr>
          <w:p>
            <w:pPr>
              <w:spacing w:after="20"/>
            </w:pPr>
            <w:r/>
            <w:r>
              <w:rPr>
                <w:b w:val="0"/>
                <w:i w:val="0"/>
                <w:sz w:val="16"/>
              </w:rPr>
              <w:t xml:space="preserve">Above the Framework’s $30M / trailing 30-day maximum. The ABL matures </w:t>
            </w:r>
            <w:r>
              <w:rPr>
                <w:b/>
                <w:i w:val="0"/>
                <w:sz w:val="16"/>
              </w:rPr>
              <w:t>June 15, 2025</w:t>
            </w:r>
            <w:r>
              <w:rPr>
                <w:b w:val="0"/>
                <w:i w:val="0"/>
                <w:sz w:val="16"/>
              </w:rPr>
              <w:t xml:space="preserve"> (day 59 of the case); unless it is extended or replaced, the $45M of ABL availability drops out of Liquidity mid-case and before the summer peak. It also duplicates the DIP TS §14(h) $30M covenant.</w:t>
            </w:r>
          </w:p>
        </w:tc>
        <w:tc>
          <w:tcPr>
            <w:tcW w:type="dxa" w:w="2088"/>
          </w:tcPr>
          <w:p>
            <w:pPr>
              <w:spacing w:after="20"/>
            </w:pPr>
            <w:r/>
            <w:r>
              <w:rPr>
                <w:b/>
                <w:i w:val="0"/>
                <w:sz w:val="16"/>
              </w:rPr>
              <w:t>Reject</w:t>
            </w:r>
            <w:r>
              <w:rPr>
                <w:b w:val="0"/>
                <w:i w:val="0"/>
                <w:sz w:val="16"/>
              </w:rPr>
              <w:t xml:space="preserve"> (DIP covenant suffices). Fallback: $30M, trailing 30-day average, counting undrawn DIP commitments and excluding the effect of ABL maturity, with a 5-BD cure.</w:t>
            </w:r>
          </w:p>
        </w:tc>
      </w:tr>
      <w:tr>
        <w:tc>
          <w:tcPr>
            <w:tcW w:type="dxa" w:w="1656"/>
            <w:shd w:val="clear" w:color="auto" w:fill="EEF1F6"/>
          </w:tcPr>
          <w:p>
            <w:pPr>
              <w:spacing w:after="20"/>
            </w:pPr>
            <w:r/>
            <w:r>
              <w:rPr>
                <w:b w:val="0"/>
                <w:i w:val="0"/>
                <w:sz w:val="16"/>
              </w:rPr>
              <w:t>C6. Stay relief trigger</w:t>
            </w:r>
          </w:p>
          <w:p>
            <w:pPr>
              <w:spacing w:after="20"/>
            </w:pPr>
            <w:r>
              <w:rPr>
                <w:b w:val="0"/>
                <w:i w:val="0"/>
                <w:sz w:val="16"/>
              </w:rPr>
              <w:t>§9.03(g)</w:t>
            </w:r>
          </w:p>
          <w:p>
            <w:pPr>
              <w:spacing w:after="20"/>
            </w:pPr>
            <w:r>
              <w:rPr>
                <w:b w:val="0"/>
                <w:i w:val="0"/>
                <w:sz w:val="16"/>
              </w:rPr>
              <w:t>NEW</w:t>
            </w:r>
          </w:p>
        </w:tc>
        <w:tc>
          <w:tcPr>
            <w:tcW w:type="dxa" w:w="2808"/>
            <w:shd w:val="clear" w:color="auto" w:fill="EEF1F6"/>
          </w:tcPr>
          <w:p>
            <w:pPr>
              <w:spacing w:after="20"/>
            </w:pPr>
            <w:r/>
            <w:r>
              <w:rPr>
                <w:b w:val="0"/>
                <w:i w:val="0"/>
                <w:sz w:val="16"/>
              </w:rPr>
              <w:t>$25M (CD §6.02(g)) → $10M (tracked against “material value”).</w:t>
            </w:r>
          </w:p>
        </w:tc>
        <w:tc>
          <w:tcPr>
            <w:tcW w:type="dxa" w:w="2808"/>
            <w:shd w:val="clear" w:color="auto" w:fill="EEF1F6"/>
          </w:tcPr>
          <w:p>
            <w:pPr>
              <w:spacing w:after="20"/>
            </w:pPr>
            <w:r/>
            <w:r>
              <w:rPr>
                <w:b w:val="0"/>
                <w:i w:val="0"/>
                <w:sz w:val="16"/>
              </w:rPr>
              <w:t>Low threshold for a 214-property portfolio, e.g., ordinary-course lift-stay motions on individual properties or insurance-backed claims.</w:t>
            </w:r>
          </w:p>
        </w:tc>
        <w:tc>
          <w:tcPr>
            <w:tcW w:type="dxa" w:w="2088"/>
            <w:shd w:val="clear" w:color="auto" w:fill="EEF1F6"/>
          </w:tcPr>
          <w:p>
            <w:pPr>
              <w:spacing w:after="20"/>
            </w:pPr>
            <w:r/>
            <w:r>
              <w:rPr>
                <w:b/>
                <w:i w:val="0"/>
                <w:sz w:val="16"/>
              </w:rPr>
              <w:t>Counter:</w:t>
            </w:r>
            <w:r>
              <w:rPr>
                <w:b w:val="0"/>
                <w:i w:val="0"/>
                <w:sz w:val="16"/>
              </w:rPr>
              <w:t xml:space="preserve"> $25M; exclude stay relief for ordinary-course insured claims.</w:t>
            </w:r>
          </w:p>
        </w:tc>
      </w:tr>
      <w:tr>
        <w:tc>
          <w:tcPr>
            <w:tcW w:type="dxa" w:w="1656"/>
          </w:tcPr>
          <w:p>
            <w:pPr>
              <w:spacing w:after="20"/>
            </w:pPr>
            <w:r/>
            <w:r>
              <w:rPr>
                <w:b w:val="0"/>
                <w:i w:val="0"/>
                <w:sz w:val="16"/>
              </w:rPr>
              <w:t>C7. Inconsistent-filing trigger</w:t>
            </w:r>
          </w:p>
          <w:p>
            <w:pPr>
              <w:spacing w:after="20"/>
            </w:pPr>
            <w:r>
              <w:rPr>
                <w:b w:val="0"/>
                <w:i w:val="0"/>
                <w:sz w:val="16"/>
              </w:rPr>
              <w:t>§9.03(j)</w:t>
            </w:r>
          </w:p>
          <w:p>
            <w:pPr>
              <w:spacing w:after="20"/>
            </w:pPr>
            <w:r>
              <w:rPr>
                <w:b w:val="0"/>
                <w:i w:val="0"/>
                <w:sz w:val="16"/>
              </w:rPr>
              <w:t>NEW</w:t>
            </w:r>
          </w:p>
        </w:tc>
        <w:tc>
          <w:tcPr>
            <w:tcW w:type="dxa" w:w="2808"/>
          </w:tcPr>
          <w:p>
            <w:pPr>
              <w:spacing w:after="20"/>
            </w:pPr>
            <w:r/>
            <w:r>
              <w:rPr>
                <w:b w:val="0"/>
                <w:i w:val="0"/>
                <w:sz w:val="16"/>
              </w:rPr>
              <w:t>New termination right if any Company filing is “materially inconsistent” with the RSA without RCL consent.</w:t>
            </w:r>
          </w:p>
        </w:tc>
        <w:tc>
          <w:tcPr>
            <w:tcW w:type="dxa" w:w="2808"/>
          </w:tcPr>
          <w:p>
            <w:pPr>
              <w:spacing w:after="20"/>
            </w:pPr>
            <w:r/>
            <w:r>
              <w:rPr>
                <w:b w:val="0"/>
                <w:i w:val="0"/>
                <w:sz w:val="16"/>
              </w:rPr>
              <w:t>Combined with “acceptable” (not “reasonably acceptable”) consent standards, this is a hair trigger.</w:t>
            </w:r>
          </w:p>
        </w:tc>
        <w:tc>
          <w:tcPr>
            <w:tcW w:type="dxa" w:w="2088"/>
          </w:tcPr>
          <w:p>
            <w:pPr>
              <w:spacing w:after="20"/>
            </w:pPr>
            <w:r/>
            <w:r>
              <w:rPr>
                <w:b/>
                <w:i w:val="0"/>
                <w:sz w:val="16"/>
              </w:rPr>
              <w:t>Counter:</w:t>
            </w:r>
            <w:r>
              <w:rPr>
                <w:b w:val="0"/>
                <w:i w:val="0"/>
                <w:sz w:val="16"/>
              </w:rPr>
              <w:t xml:space="preserve"> limit to filings materially inconsistent with the Term Sheet economics that are not withdrawn within 5 BD after notice.</w:t>
            </w:r>
          </w:p>
        </w:tc>
      </w:tr>
      <w:tr>
        <w:tc>
          <w:tcPr>
            <w:tcW w:type="dxa" w:w="1656"/>
            <w:shd w:val="clear" w:color="auto" w:fill="EEF1F6"/>
          </w:tcPr>
          <w:p>
            <w:pPr>
              <w:spacing w:after="20"/>
            </w:pPr>
            <w:r/>
            <w:r>
              <w:rPr>
                <w:b w:val="0"/>
                <w:i w:val="0"/>
                <w:sz w:val="16"/>
              </w:rPr>
              <w:t>C8. Company termination rights</w:t>
            </w:r>
          </w:p>
          <w:p>
            <w:pPr>
              <w:spacing w:after="20"/>
            </w:pPr>
            <w:r>
              <w:rPr>
                <w:b w:val="0"/>
                <w:i w:val="0"/>
                <w:sz w:val="16"/>
              </w:rPr>
              <w:t>§9.02(a); CD §6.01(a),(d)</w:t>
            </w:r>
          </w:p>
          <w:p>
            <w:pPr>
              <w:spacing w:after="20"/>
            </w:pPr>
            <w:r>
              <w:rPr>
                <w:b w:val="0"/>
                <w:i w:val="0"/>
                <w:sz w:val="16"/>
              </w:rPr>
              <w:t>NEW (untracked)</w:t>
            </w:r>
          </w:p>
        </w:tc>
        <w:tc>
          <w:tcPr>
            <w:tcW w:type="dxa" w:w="2808"/>
            <w:shd w:val="clear" w:color="auto" w:fill="EEF1F6"/>
          </w:tcPr>
          <w:p>
            <w:pPr>
              <w:spacing w:after="20"/>
            </w:pPr>
            <w:r/>
            <w:r>
              <w:rPr>
                <w:b w:val="0"/>
                <w:i w:val="0"/>
                <w:sz w:val="16"/>
              </w:rPr>
              <w:t>Breach by “any Consenting Lender” → breach by the “Required Consenting Lenders.” The Company’s right to terminate if the DIP Lenders fail to fund (CD §6.01(d)) is deleted.</w:t>
            </w:r>
          </w:p>
        </w:tc>
        <w:tc>
          <w:tcPr>
            <w:tcW w:type="dxa" w:w="2808"/>
            <w:shd w:val="clear" w:color="auto" w:fill="EEF1F6"/>
          </w:tcPr>
          <w:p>
            <w:pPr>
              <w:spacing w:after="20"/>
            </w:pPr>
            <w:r/>
            <w:r>
              <w:rPr>
                <w:b w:val="0"/>
                <w:i w:val="0"/>
                <w:sz w:val="16"/>
              </w:rPr>
              <w:t>A defaulting lender, or DIP lenders who refuse to fund, would leave the Company locked in. This is a serious asymmetry.</w:t>
            </w:r>
          </w:p>
        </w:tc>
        <w:tc>
          <w:tcPr>
            <w:tcW w:type="dxa" w:w="2088"/>
            <w:shd w:val="clear" w:color="auto" w:fill="EEF1F6"/>
          </w:tcPr>
          <w:p>
            <w:pPr>
              <w:spacing w:after="20"/>
            </w:pPr>
            <w:r/>
            <w:r>
              <w:rPr>
                <w:b/>
                <w:i w:val="0"/>
                <w:sz w:val="16"/>
              </w:rPr>
              <w:t>Reject.</w:t>
            </w:r>
            <w:r>
              <w:rPr>
                <w:b w:val="0"/>
                <w:i w:val="0"/>
                <w:sz w:val="16"/>
              </w:rPr>
              <w:t xml:space="preserve"> Restore CD §6.01(a) and (d), and add automatic termination if the DIP is not funded within 2 BD after entry of the interim order.</w:t>
            </w:r>
          </w:p>
        </w:tc>
      </w:tr>
      <w:tr>
        <w:tc>
          <w:tcPr>
            <w:tcW w:type="dxa" w:w="1656"/>
          </w:tcPr>
          <w:p>
            <w:pPr>
              <w:spacing w:after="20"/>
            </w:pPr>
            <w:r/>
            <w:r>
              <w:rPr>
                <w:b w:val="0"/>
                <w:i w:val="0"/>
                <w:sz w:val="16"/>
              </w:rPr>
              <w:t>C9. Governmental order</w:t>
            </w:r>
          </w:p>
          <w:p>
            <w:pPr>
              <w:spacing w:after="20"/>
            </w:pPr>
            <w:r>
              <w:rPr>
                <w:b w:val="0"/>
                <w:i w:val="0"/>
                <w:sz w:val="16"/>
              </w:rPr>
              <w:t>§9.02(f)</w:t>
            </w:r>
          </w:p>
          <w:p>
            <w:pPr>
              <w:spacing w:after="20"/>
            </w:pPr>
            <w:r>
              <w:rPr>
                <w:b w:val="0"/>
                <w:i w:val="0"/>
                <w:sz w:val="16"/>
              </w:rPr>
              <w:t>NEW</w:t>
            </w:r>
          </w:p>
        </w:tc>
        <w:tc>
          <w:tcPr>
            <w:tcW w:type="dxa" w:w="2808"/>
          </w:tcPr>
          <w:p>
            <w:pPr>
              <w:spacing w:after="20"/>
            </w:pPr>
            <w:r/>
            <w:r>
              <w:rPr>
                <w:b w:val="0"/>
                <w:i w:val="0"/>
                <w:sz w:val="16"/>
              </w:rPr>
              <w:t>Company may terminate on a final order prohibiting the transactions.</w:t>
            </w:r>
          </w:p>
        </w:tc>
        <w:tc>
          <w:tcPr>
            <w:tcW w:type="dxa" w:w="2808"/>
          </w:tcPr>
          <w:p>
            <w:pPr>
              <w:spacing w:after="20"/>
            </w:pPr>
            <w:r/>
            <w:r>
              <w:rPr>
                <w:b w:val="0"/>
                <w:i w:val="0"/>
                <w:sz w:val="16"/>
              </w:rPr>
              <w:t>Customary.</w:t>
            </w:r>
          </w:p>
        </w:tc>
        <w:tc>
          <w:tcPr>
            <w:tcW w:type="dxa" w:w="2088"/>
          </w:tcPr>
          <w:p>
            <w:pPr>
              <w:spacing w:after="20"/>
            </w:pPr>
            <w:r/>
            <w:r>
              <w:rPr>
                <w:b/>
                <w:i w:val="0"/>
                <w:sz w:val="16"/>
              </w:rPr>
              <w:t>Accept</w:t>
            </w:r>
            <w:r>
              <w:rPr>
                <w:b w:val="0"/>
                <w:i w:val="0"/>
                <w:sz w:val="16"/>
              </w:rPr>
              <w:t xml:space="preserve"> (make it mutual).</w:t>
            </w:r>
          </w:p>
        </w:tc>
      </w:tr>
      <w:tr>
        <w:tc>
          <w:tcPr>
            <w:tcW w:type="dxa" w:w="1656"/>
            <w:shd w:val="clear" w:color="auto" w:fill="EEF1F6"/>
          </w:tcPr>
          <w:p>
            <w:pPr>
              <w:spacing w:after="20"/>
            </w:pPr>
            <w:r/>
            <w:r>
              <w:rPr>
                <w:b w:val="0"/>
                <w:i w:val="0"/>
                <w:sz w:val="16"/>
              </w:rPr>
              <w:t>C10. Effect of termination</w:t>
            </w:r>
          </w:p>
          <w:p>
            <w:pPr>
              <w:spacing w:after="20"/>
            </w:pPr>
            <w:r>
              <w:rPr>
                <w:b w:val="0"/>
                <w:i w:val="0"/>
                <w:sz w:val="16"/>
              </w:rPr>
              <w:t>§9.04; CD §6.04</w:t>
            </w:r>
          </w:p>
          <w:p>
            <w:pPr>
              <w:spacing w:after="20"/>
            </w:pPr>
            <w:r>
              <w:rPr>
                <w:b w:val="0"/>
                <w:i w:val="0"/>
                <w:sz w:val="16"/>
              </w:rPr>
              <w:t>NEW</w:t>
            </w:r>
          </w:p>
        </w:tc>
        <w:tc>
          <w:tcPr>
            <w:tcW w:type="dxa" w:w="2808"/>
            <w:shd w:val="clear" w:color="auto" w:fill="EEF1F6"/>
          </w:tcPr>
          <w:p>
            <w:pPr>
              <w:spacing w:after="20"/>
            </w:pPr>
            <w:r/>
            <w:r>
              <w:rPr>
                <w:b w:val="0"/>
                <w:i w:val="0"/>
                <w:sz w:val="16"/>
              </w:rPr>
              <w:t>Garbled clause (c) (“and except for liability arising from any material breach”) expands surviving liability from willful breach to any material breach. Survival list omits fees. CD §6.04(d) vote revocation deleted.</w:t>
            </w:r>
          </w:p>
        </w:tc>
        <w:tc>
          <w:tcPr>
            <w:tcW w:type="dxa" w:w="2808"/>
            <w:shd w:val="clear" w:color="auto" w:fill="EEF1F6"/>
          </w:tcPr>
          <w:p>
            <w:pPr>
              <w:spacing w:after="20"/>
            </w:pPr>
            <w:r/>
            <w:r>
              <w:rPr>
                <w:b w:val="0"/>
                <w:i w:val="0"/>
                <w:sz w:val="16"/>
              </w:rPr>
              <w:t>Drafting error with substantive effect.</w:t>
            </w:r>
          </w:p>
        </w:tc>
        <w:tc>
          <w:tcPr>
            <w:tcW w:type="dxa" w:w="2088"/>
            <w:shd w:val="clear" w:color="auto" w:fill="EEF1F6"/>
          </w:tcPr>
          <w:p>
            <w:pPr>
              <w:spacing w:after="20"/>
            </w:pPr>
            <w:r/>
            <w:r>
              <w:rPr>
                <w:b/>
                <w:i w:val="0"/>
                <w:sz w:val="16"/>
              </w:rPr>
              <w:t>Counter:</w:t>
            </w:r>
            <w:r>
              <w:rPr>
                <w:b w:val="0"/>
                <w:i w:val="0"/>
                <w:sz w:val="16"/>
              </w:rPr>
              <w:t xml:space="preserve"> restore CD §6.04 (willful/intentional breach only; survival of fees, governing law and miscellaneous).</w:t>
            </w:r>
          </w:p>
        </w:tc>
      </w:tr>
    </w:tbl>
    <w:p>
      <w:pPr>
        <w:spacing w:after="40"/>
      </w:pPr>
    </w:p>
    <w:p>
      <w:pPr>
        <w:pStyle w:val="Heading2"/>
      </w:pPr>
      <w:r>
        <w:t>D. Fiduciary Out and Alternative Transactions (Framework §III.A — hard red line)</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656"/>
            <w:shd w:val="clear" w:color="auto" w:fill="1F2A44"/>
          </w:tcPr>
          <w:p>
            <w:r/>
            <w:r>
              <w:rPr>
                <w:b/>
                <w:color w:val="FFFFFF"/>
                <w:sz w:val="16"/>
              </w:rPr>
              <w:t>Provision / Class</w:t>
            </w:r>
          </w:p>
        </w:tc>
        <w:tc>
          <w:tcPr>
            <w:tcW w:type="dxa" w:w="2808"/>
            <w:shd w:val="clear" w:color="auto" w:fill="1F2A44"/>
          </w:tcPr>
          <w:p>
            <w:r/>
            <w:r>
              <w:rPr>
                <w:b/>
                <w:color w:val="FFFFFF"/>
                <w:sz w:val="16"/>
              </w:rPr>
              <w:t>Change (CD → Markup)</w:t>
            </w:r>
          </w:p>
        </w:tc>
        <w:tc>
          <w:tcPr>
            <w:tcW w:type="dxa" w:w="2808"/>
            <w:shd w:val="clear" w:color="auto" w:fill="1F2A44"/>
          </w:tcPr>
          <w:p>
            <w:r/>
            <w:r>
              <w:rPr>
                <w:b/>
                <w:color w:val="FFFFFF"/>
                <w:sz w:val="16"/>
              </w:rPr>
              <w:t>Assessment</w:t>
            </w:r>
          </w:p>
        </w:tc>
        <w:tc>
          <w:tcPr>
            <w:tcW w:type="dxa" w:w="2088"/>
            <w:shd w:val="clear" w:color="auto" w:fill="1F2A44"/>
          </w:tcPr>
          <w:p>
            <w:r/>
            <w:r>
              <w:rPr>
                <w:b/>
                <w:color w:val="FFFFFF"/>
                <w:sz w:val="16"/>
              </w:rPr>
              <w:t>Recommended Response</w:t>
            </w:r>
          </w:p>
        </w:tc>
      </w:tr>
      <w:tr>
        <w:tc>
          <w:tcPr>
            <w:tcW w:type="dxa" w:w="1656"/>
          </w:tcPr>
          <w:p>
            <w:pPr>
              <w:spacing w:after="20"/>
            </w:pPr>
            <w:r/>
            <w:r>
              <w:rPr>
                <w:b w:val="0"/>
                <w:i w:val="0"/>
                <w:sz w:val="16"/>
              </w:rPr>
              <w:t>D1. Notice period</w:t>
            </w:r>
          </w:p>
          <w:p>
            <w:pPr>
              <w:spacing w:after="20"/>
            </w:pPr>
            <w:r>
              <w:rPr>
                <w:b w:val="0"/>
                <w:i w:val="0"/>
                <w:sz w:val="16"/>
              </w:rPr>
              <w:t>§7.01(b)</w:t>
            </w:r>
          </w:p>
        </w:tc>
        <w:tc>
          <w:tcPr>
            <w:tcW w:type="dxa" w:w="2808"/>
          </w:tcPr>
          <w:p>
            <w:pPr>
              <w:spacing w:after="20"/>
            </w:pPr>
            <w:r/>
            <w:r>
              <w:rPr>
                <w:b w:val="0"/>
                <w:i w:val="0"/>
                <w:sz w:val="16"/>
              </w:rPr>
              <w:t>5 BD → 10 BD; notice goes to counsel.</w:t>
            </w:r>
          </w:p>
        </w:tc>
        <w:tc>
          <w:tcPr>
            <w:tcW w:type="dxa" w:w="2808"/>
          </w:tcPr>
          <w:p>
            <w:pPr>
              <w:spacing w:after="20"/>
            </w:pPr>
            <w:r/>
            <w:r>
              <w:rPr>
                <w:b w:val="0"/>
                <w:i w:val="0"/>
                <w:sz w:val="16"/>
              </w:rPr>
              <w:t>Crosses the ≤5 BD red line; gives the lenders a blocking window.</w:t>
            </w:r>
          </w:p>
        </w:tc>
        <w:tc>
          <w:tcPr>
            <w:tcW w:type="dxa" w:w="2088"/>
          </w:tcPr>
          <w:p>
            <w:pPr>
              <w:spacing w:after="20"/>
            </w:pPr>
            <w:r/>
            <w:r>
              <w:rPr>
                <w:b/>
                <w:i w:val="0"/>
                <w:sz w:val="16"/>
              </w:rPr>
              <w:t>Reject.</w:t>
            </w:r>
            <w:r>
              <w:rPr>
                <w:b w:val="0"/>
                <w:i w:val="0"/>
                <w:sz w:val="16"/>
              </w:rPr>
              <w:t xml:space="preserve"> 5 BD. Accept delivery to counsel.</w:t>
            </w:r>
          </w:p>
        </w:tc>
      </w:tr>
      <w:tr>
        <w:tc>
          <w:tcPr>
            <w:tcW w:type="dxa" w:w="1656"/>
            <w:shd w:val="clear" w:color="auto" w:fill="EEF1F6"/>
          </w:tcPr>
          <w:p>
            <w:pPr>
              <w:spacing w:after="20"/>
            </w:pPr>
            <w:r/>
            <w:r>
              <w:rPr>
                <w:b w:val="0"/>
                <w:i w:val="0"/>
                <w:sz w:val="16"/>
              </w:rPr>
              <w:t>D2. Disclosure</w:t>
            </w:r>
          </w:p>
          <w:p>
            <w:pPr>
              <w:spacing w:after="20"/>
            </w:pPr>
            <w:r>
              <w:rPr>
                <w:b w:val="0"/>
                <w:i w:val="0"/>
                <w:sz w:val="16"/>
              </w:rPr>
              <w:t>§7.01(c)</w:t>
            </w:r>
          </w:p>
        </w:tc>
        <w:tc>
          <w:tcPr>
            <w:tcW w:type="dxa" w:w="2808"/>
            <w:shd w:val="clear" w:color="auto" w:fill="EEF1F6"/>
          </w:tcPr>
          <w:p>
            <w:pPr>
              <w:spacing w:after="20"/>
            </w:pPr>
            <w:r/>
            <w:r>
              <w:rPr>
                <w:b w:val="0"/>
                <w:i w:val="0"/>
                <w:sz w:val="16"/>
              </w:rPr>
              <w:t xml:space="preserve">New: notice must describe the facts, any Alternative Transaction or proposal, the </w:t>
            </w:r>
            <w:r>
              <w:rPr>
                <w:b/>
                <w:i w:val="0"/>
                <w:sz w:val="16"/>
              </w:rPr>
              <w:t>identity of the counterparty</w:t>
            </w:r>
            <w:r>
              <w:rPr>
                <w:b w:val="0"/>
                <w:i w:val="0"/>
                <w:sz w:val="16"/>
              </w:rPr>
              <w:t xml:space="preserve"> and the material terms.</w:t>
            </w:r>
          </w:p>
        </w:tc>
        <w:tc>
          <w:tcPr>
            <w:tcW w:type="dxa" w:w="2808"/>
            <w:shd w:val="clear" w:color="auto" w:fill="EEF1F6"/>
          </w:tcPr>
          <w:p>
            <w:pPr>
              <w:spacing w:after="20"/>
            </w:pPr>
            <w:r/>
            <w:r>
              <w:rPr>
                <w:b w:val="0"/>
                <w:i w:val="0"/>
                <w:sz w:val="16"/>
              </w:rPr>
              <w:t>Crosses the no-disclosure red line, chills bidders and hands the lenders competitive intelligence. CD §7(a) expressly excluded it.</w:t>
            </w:r>
          </w:p>
        </w:tc>
        <w:tc>
          <w:tcPr>
            <w:tcW w:type="dxa" w:w="2088"/>
            <w:shd w:val="clear" w:color="auto" w:fill="EEF1F6"/>
          </w:tcPr>
          <w:p>
            <w:pPr>
              <w:spacing w:after="20"/>
            </w:pPr>
            <w:r/>
            <w:r>
              <w:rPr>
                <w:b/>
                <w:i w:val="0"/>
                <w:sz w:val="16"/>
              </w:rPr>
              <w:t>Reject.</w:t>
            </w:r>
            <w:r>
              <w:rPr>
                <w:b w:val="0"/>
                <w:i w:val="0"/>
                <w:sz w:val="16"/>
              </w:rPr>
              <w:t xml:space="preserve"> Restore CD §7(a) (general basis only).</w:t>
            </w:r>
          </w:p>
        </w:tc>
      </w:tr>
      <w:tr>
        <w:tc>
          <w:tcPr>
            <w:tcW w:type="dxa" w:w="1656"/>
          </w:tcPr>
          <w:p>
            <w:pPr>
              <w:spacing w:after="20"/>
            </w:pPr>
            <w:r/>
            <w:r>
              <w:rPr>
                <w:b w:val="0"/>
                <w:i w:val="0"/>
                <w:sz w:val="16"/>
              </w:rPr>
              <w:t>D3. Standard</w:t>
            </w:r>
          </w:p>
          <w:p>
            <w:pPr>
              <w:spacing w:after="20"/>
            </w:pPr>
            <w:r>
              <w:rPr>
                <w:b w:val="0"/>
                <w:i w:val="0"/>
                <w:sz w:val="16"/>
              </w:rPr>
              <w:t>§7.01(a) (untracked)</w:t>
            </w:r>
          </w:p>
        </w:tc>
        <w:tc>
          <w:tcPr>
            <w:tcW w:type="dxa" w:w="2808"/>
          </w:tcPr>
          <w:p>
            <w:pPr>
              <w:spacing w:after="20"/>
            </w:pPr>
            <w:r/>
            <w:r>
              <w:rPr>
                <w:b w:val="0"/>
                <w:i w:val="0"/>
                <w:sz w:val="16"/>
              </w:rPr>
              <w:t>“After consultation with outside legal counsel” → “upon the written advice of outside legal counsel.”</w:t>
            </w:r>
          </w:p>
        </w:tc>
        <w:tc>
          <w:tcPr>
            <w:tcW w:type="dxa" w:w="2808"/>
          </w:tcPr>
          <w:p>
            <w:pPr>
              <w:spacing w:after="20"/>
            </w:pPr>
            <w:r/>
            <w:r>
              <w:rPr>
                <w:b w:val="0"/>
                <w:i w:val="0"/>
                <w:sz w:val="16"/>
              </w:rPr>
              <w:t>Creates a documentary condition to exercising fiduciary duties and a privilege-waiver issue if the advice is later put at issue.</w:t>
            </w:r>
          </w:p>
        </w:tc>
        <w:tc>
          <w:tcPr>
            <w:tcW w:type="dxa" w:w="2088"/>
          </w:tcPr>
          <w:p>
            <w:pPr>
              <w:spacing w:after="20"/>
            </w:pPr>
            <w:r/>
            <w:r>
              <w:rPr>
                <w:b/>
                <w:i w:val="0"/>
                <w:sz w:val="16"/>
              </w:rPr>
              <w:t>Reject.</w:t>
            </w:r>
            <w:r>
              <w:rPr>
                <w:b w:val="0"/>
                <w:i w:val="0"/>
                <w:sz w:val="16"/>
              </w:rPr>
              <w:t xml:space="preserve"> Restore “in good faith, after consultation with outside legal counsel.”</w:t>
            </w:r>
          </w:p>
        </w:tc>
      </w:tr>
      <w:tr>
        <w:tc>
          <w:tcPr>
            <w:tcW w:type="dxa" w:w="1656"/>
            <w:shd w:val="clear" w:color="auto" w:fill="EEF1F6"/>
          </w:tcPr>
          <w:p>
            <w:pPr>
              <w:spacing w:after="20"/>
            </w:pPr>
            <w:r/>
            <w:r>
              <w:rPr>
                <w:b w:val="0"/>
                <w:i w:val="0"/>
                <w:sz w:val="16"/>
              </w:rPr>
              <w:t>D4. Alternative Transaction threshold</w:t>
            </w:r>
          </w:p>
          <w:p>
            <w:pPr>
              <w:spacing w:after="20"/>
            </w:pPr>
            <w:r>
              <w:rPr>
                <w:b w:val="0"/>
                <w:i w:val="0"/>
                <w:sz w:val="16"/>
              </w:rPr>
              <w:t>§1.01; §7.02(a)</w:t>
            </w:r>
          </w:p>
        </w:tc>
        <w:tc>
          <w:tcPr>
            <w:tcW w:type="dxa" w:w="2808"/>
            <w:shd w:val="clear" w:color="auto" w:fill="EEF1F6"/>
          </w:tcPr>
          <w:p>
            <w:pPr>
              <w:spacing w:after="20"/>
            </w:pPr>
            <w:r/>
            <w:r>
              <w:rPr>
                <w:b w:val="0"/>
                <w:i w:val="0"/>
                <w:sz w:val="16"/>
              </w:rPr>
              <w:t xml:space="preserve">“Materially better recovery to stakeholders” → a recovery to the estate at least </w:t>
            </w:r>
            <w:r>
              <w:rPr>
                <w:b/>
                <w:i w:val="0"/>
                <w:sz w:val="16"/>
              </w:rPr>
              <w:t>15% greater</w:t>
            </w:r>
            <w:r>
              <w:rPr>
                <w:b w:val="0"/>
                <w:i w:val="0"/>
                <w:sz w:val="16"/>
              </w:rPr>
              <w:t>. The definition says the determination is made by the RCL; §7.02(a) says the Company decides in consultation with its financial advisor.</w:t>
            </w:r>
          </w:p>
        </w:tc>
        <w:tc>
          <w:tcPr>
            <w:tcW w:type="dxa" w:w="2808"/>
            <w:shd w:val="clear" w:color="auto" w:fill="EEF1F6"/>
          </w:tcPr>
          <w:p>
            <w:pPr>
              <w:spacing w:after="20"/>
            </w:pPr>
            <w:r/>
            <w:r>
              <w:rPr>
                <w:b w:val="0"/>
                <w:i w:val="0"/>
                <w:sz w:val="16"/>
              </w:rPr>
              <w:t>Crosses the no-numerical-threshold red line. At $1.3B TEV, 15% means roughly $195M of incremental value. “Recovery to the estate” is undefined, and the two provisions conflict on who decides. Delaware directors cannot contract away their fiduciary duties (*Omnicare, Inc. v. NCS Healthcare, Inc.*, 818 A.2d 914 (Del. 2003); *Paramount Commc’ns Inc. v. QVC Network Inc.*, 637 A.2d 34 (Del. 1994)), and bankruptcy courts scrutinize lock-ups without workable outs (*cf. In re Innkeepers USA Trust*, 442 B.R. 227 (Bankr. S.D.N.Y. 2010)).</w:t>
            </w:r>
          </w:p>
        </w:tc>
        <w:tc>
          <w:tcPr>
            <w:tcW w:type="dxa" w:w="2088"/>
            <w:shd w:val="clear" w:color="auto" w:fill="EEF1F6"/>
          </w:tcPr>
          <w:p>
            <w:pPr>
              <w:spacing w:after="20"/>
            </w:pPr>
            <w:r/>
            <w:r>
              <w:rPr>
                <w:b/>
                <w:i w:val="0"/>
                <w:sz w:val="16"/>
              </w:rPr>
              <w:t>Reject.</w:t>
            </w:r>
            <w:r>
              <w:rPr>
                <w:b w:val="0"/>
                <w:i w:val="0"/>
                <w:sz w:val="16"/>
              </w:rPr>
              <w:t xml:space="preserve"> Restore “materially better,” as determined by the Board in good faith after consultation with Pendleton and counsel, taking into account certainty, timing and conditionality.</w:t>
            </w:r>
          </w:p>
        </w:tc>
      </w:tr>
      <w:tr>
        <w:tc>
          <w:tcPr>
            <w:tcW w:type="dxa" w:w="1656"/>
          </w:tcPr>
          <w:p>
            <w:pPr>
              <w:spacing w:after="20"/>
            </w:pPr>
            <w:r/>
            <w:r>
              <w:rPr>
                <w:b w:val="0"/>
                <w:i w:val="0"/>
                <w:sz w:val="16"/>
              </w:rPr>
              <w:t>D5. Matching right</w:t>
            </w:r>
          </w:p>
          <w:p>
            <w:pPr>
              <w:spacing w:after="20"/>
            </w:pPr>
            <w:r>
              <w:rPr>
                <w:b w:val="0"/>
                <w:i w:val="0"/>
                <w:sz w:val="16"/>
              </w:rPr>
              <w:t>§7.02(b) (partly untracked)</w:t>
            </w:r>
          </w:p>
        </w:tc>
        <w:tc>
          <w:tcPr>
            <w:tcW w:type="dxa" w:w="2808"/>
          </w:tcPr>
          <w:p>
            <w:pPr>
              <w:spacing w:after="20"/>
            </w:pPr>
            <w:r/>
            <w:r>
              <w:rPr>
                <w:b w:val="0"/>
                <w:i w:val="0"/>
                <w:sz w:val="16"/>
              </w:rPr>
              <w:t>10 BD → 15 BD; adds information parity (including non-public information given to the counterparty) and a ban on exclusivity with the counterparty. The Board’s determination that a match is “comparable or better” (CD §7(b)(iv)) is deleted, so the RCL decide for themselves whether they have matched.</w:t>
            </w:r>
          </w:p>
        </w:tc>
        <w:tc>
          <w:tcPr>
            <w:tcW w:type="dxa" w:w="2808"/>
          </w:tcPr>
          <w:p>
            <w:pPr>
              <w:spacing w:after="20"/>
            </w:pPr>
            <w:r/>
            <w:r>
              <w:rPr>
                <w:b w:val="0"/>
                <w:i w:val="0"/>
                <w:sz w:val="16"/>
              </w:rPr>
              <w:t>Each element crosses a red line or removes Board control.</w:t>
            </w:r>
          </w:p>
        </w:tc>
        <w:tc>
          <w:tcPr>
            <w:tcW w:type="dxa" w:w="2088"/>
          </w:tcPr>
          <w:p>
            <w:pPr>
              <w:spacing w:after="20"/>
            </w:pPr>
            <w:r/>
            <w:r>
              <w:rPr>
                <w:b/>
                <w:i w:val="0"/>
                <w:sz w:val="16"/>
              </w:rPr>
              <w:t>Reject.</w:t>
            </w:r>
            <w:r>
              <w:rPr>
                <w:b w:val="0"/>
                <w:i w:val="0"/>
                <w:sz w:val="16"/>
              </w:rPr>
              <w:t xml:space="preserve"> 10 BD; the Board determines whether the match is comparable; no information parity. Confirm that no break-up fee is sought (none appears).</w:t>
            </w:r>
          </w:p>
        </w:tc>
      </w:tr>
    </w:tbl>
    <w:p>
      <w:pPr>
        <w:spacing w:after="40"/>
      </w:pPr>
    </w:p>
    <w:p>
      <w:pPr>
        <w:pStyle w:val="Heading2"/>
      </w:pPr>
      <w:r>
        <w:t>E. Governance, Observers and Company Covenants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656"/>
            <w:shd w:val="clear" w:color="auto" w:fill="1F2A44"/>
          </w:tcPr>
          <w:p>
            <w:r/>
            <w:r>
              <w:rPr>
                <w:b/>
                <w:color w:val="FFFFFF"/>
                <w:sz w:val="16"/>
              </w:rPr>
              <w:t>Provision / Class</w:t>
            </w:r>
          </w:p>
        </w:tc>
        <w:tc>
          <w:tcPr>
            <w:tcW w:type="dxa" w:w="2808"/>
            <w:shd w:val="clear" w:color="auto" w:fill="1F2A44"/>
          </w:tcPr>
          <w:p>
            <w:r/>
            <w:r>
              <w:rPr>
                <w:b/>
                <w:color w:val="FFFFFF"/>
                <w:sz w:val="16"/>
              </w:rPr>
              <w:t>Change (CD → Markup)</w:t>
            </w:r>
          </w:p>
        </w:tc>
        <w:tc>
          <w:tcPr>
            <w:tcW w:type="dxa" w:w="2808"/>
            <w:shd w:val="clear" w:color="auto" w:fill="1F2A44"/>
          </w:tcPr>
          <w:p>
            <w:r/>
            <w:r>
              <w:rPr>
                <w:b/>
                <w:color w:val="FFFFFF"/>
                <w:sz w:val="16"/>
              </w:rPr>
              <w:t>Assessment</w:t>
            </w:r>
          </w:p>
        </w:tc>
        <w:tc>
          <w:tcPr>
            <w:tcW w:type="dxa" w:w="2088"/>
            <w:shd w:val="clear" w:color="auto" w:fill="1F2A44"/>
          </w:tcPr>
          <w:p>
            <w:r/>
            <w:r>
              <w:rPr>
                <w:b/>
                <w:color w:val="FFFFFF"/>
                <w:sz w:val="16"/>
              </w:rPr>
              <w:t>Recommended Response</w:t>
            </w:r>
          </w:p>
        </w:tc>
      </w:tr>
      <w:tr>
        <w:tc>
          <w:tcPr>
            <w:tcW w:type="dxa" w:w="1656"/>
          </w:tcPr>
          <w:p>
            <w:pPr>
              <w:spacing w:after="20"/>
            </w:pPr>
            <w:r/>
            <w:r>
              <w:rPr>
                <w:b w:val="0"/>
                <w:i w:val="0"/>
                <w:sz w:val="16"/>
              </w:rPr>
              <w:t>E1. Pre-petition Board Observers</w:t>
            </w:r>
          </w:p>
          <w:p>
            <w:pPr>
              <w:spacing w:after="20"/>
            </w:pPr>
            <w:r>
              <w:rPr>
                <w:b w:val="0"/>
                <w:i w:val="0"/>
                <w:sz w:val="16"/>
              </w:rPr>
              <w:t>§3.01(h); §11.02</w:t>
            </w:r>
          </w:p>
          <w:p>
            <w:pPr>
              <w:spacing w:after="20"/>
            </w:pPr>
            <w:r>
              <w:rPr>
                <w:b w:val="0"/>
                <w:i w:val="0"/>
                <w:sz w:val="16"/>
              </w:rPr>
              <w:t>RED</w:t>
            </w:r>
          </w:p>
        </w:tc>
        <w:tc>
          <w:tcPr>
            <w:tcW w:type="dxa" w:w="2808"/>
          </w:tcPr>
          <w:p>
            <w:pPr>
              <w:spacing w:after="20"/>
            </w:pPr>
            <w:r/>
            <w:r>
              <w:rPr>
                <w:b w:val="0"/>
                <w:i w:val="0"/>
                <w:sz w:val="16"/>
              </w:rPr>
              <w:t>New: two RCL-designated observers from the RSA Effective Date to the Petition Date, with 2 BD notice of every board/committee meeting, contemporaneous board materials and attendance rights. Lenders may keep trading behind “information barriers.”</w:t>
            </w:r>
          </w:p>
        </w:tc>
        <w:tc>
          <w:tcPr>
            <w:tcW w:type="dxa" w:w="2808"/>
          </w:tcPr>
          <w:p>
            <w:pPr>
              <w:spacing w:after="20"/>
            </w:pPr>
            <w:r/>
            <w:r>
              <w:rPr>
                <w:b w:val="0"/>
                <w:i w:val="0"/>
                <w:sz w:val="16"/>
              </w:rPr>
              <w:t>Framework §IV.C: not acceptable. Risks: (i) insider/control arguments supporting equitable subordination (§510(c)) and lender-liability claims; (ii) MNPI and trading (Rule 10b-5), aggravated by the untracked deletion of the CD §14.10 “no group” acknowledgment; (iii) waiver of privilege over board deliberations, including RSA strategy; (iv) observers present for fiduciary-out deliberations, which defeats D1–D5; (v) the 2-BD notice requirement impedes emergency meetings. Because filing is due 3 BD after signing, the right is worth little to the lenders.</w:t>
            </w:r>
          </w:p>
        </w:tc>
        <w:tc>
          <w:tcPr>
            <w:tcW w:type="dxa" w:w="2088"/>
          </w:tcPr>
          <w:p>
            <w:pPr>
              <w:spacing w:after="20"/>
            </w:pPr>
            <w:r/>
            <w:r>
              <w:rPr>
                <w:b/>
                <w:i w:val="0"/>
                <w:sz w:val="16"/>
              </w:rPr>
              <w:t>Reject.</w:t>
            </w:r>
            <w:r>
              <w:rPr>
                <w:b w:val="0"/>
                <w:i w:val="0"/>
                <w:sz w:val="16"/>
              </w:rPr>
              <w:t xml:space="preserve"> Offer instead advisor-level (Sternwick/Clearbridge) diligence calls with management and the reporting package under NDA, with no board access. Restore the CD §14.10 “no group” language.</w:t>
            </w:r>
          </w:p>
        </w:tc>
      </w:tr>
      <w:tr>
        <w:tc>
          <w:tcPr>
            <w:tcW w:type="dxa" w:w="1656"/>
            <w:shd w:val="clear" w:color="auto" w:fill="EEF1F6"/>
          </w:tcPr>
          <w:p>
            <w:pPr>
              <w:spacing w:after="20"/>
            </w:pPr>
            <w:r/>
            <w:r>
              <w:rPr>
                <w:b w:val="0"/>
                <w:i w:val="0"/>
                <w:sz w:val="16"/>
              </w:rPr>
              <w:t>E2. Post-emergence board</w:t>
            </w:r>
          </w:p>
          <w:p>
            <w:pPr>
              <w:spacing w:after="20"/>
            </w:pPr>
            <w:r>
              <w:rPr>
                <w:b w:val="0"/>
                <w:i w:val="0"/>
                <w:sz w:val="16"/>
              </w:rPr>
              <w:t>§11.01; Ex. A</w:t>
            </w:r>
          </w:p>
          <w:p>
            <w:pPr>
              <w:spacing w:after="20"/>
            </w:pPr>
            <w:r>
              <w:rPr>
                <w:b w:val="0"/>
                <w:i w:val="0"/>
                <w:sz w:val="16"/>
              </w:rPr>
              <w:t>FLEX</w:t>
            </w:r>
          </w:p>
        </w:tc>
        <w:tc>
          <w:tcPr>
            <w:tcW w:type="dxa" w:w="2808"/>
            <w:shd w:val="clear" w:color="auto" w:fill="EEF1F6"/>
          </w:tcPr>
          <w:p>
            <w:pPr>
              <w:spacing w:after="20"/>
            </w:pPr>
            <w:r/>
            <w:r>
              <w:rPr>
                <w:b w:val="0"/>
                <w:i w:val="0"/>
                <w:sz w:val="16"/>
              </w:rPr>
              <w:t>“Determined by the Company in consultation with RCL” (CD §11.01) → 7 members: 4 lender designees, 1 2L designee, the CEO, and 1 independent mutually agreed.</w:t>
            </w:r>
          </w:p>
        </w:tc>
        <w:tc>
          <w:tcPr>
            <w:tcW w:type="dxa" w:w="2808"/>
            <w:shd w:val="clear" w:color="auto" w:fill="EEF1F6"/>
          </w:tcPr>
          <w:p>
            <w:pPr>
              <w:spacing w:after="20"/>
            </w:pPr>
            <w:r/>
            <w:r>
              <w:rPr>
                <w:b w:val="0"/>
                <w:i w:val="0"/>
                <w:sz w:val="16"/>
              </w:rPr>
              <w:t>Within Framework §IV.C flexibility (lender majority, management seat, 1–2 independents).</w:t>
            </w:r>
          </w:p>
        </w:tc>
        <w:tc>
          <w:tcPr>
            <w:tcW w:type="dxa" w:w="2088"/>
            <w:shd w:val="clear" w:color="auto" w:fill="EEF1F6"/>
          </w:tcPr>
          <w:p>
            <w:pPr>
              <w:spacing w:after="20"/>
            </w:pPr>
            <w:r/>
            <w:r>
              <w:rPr>
                <w:b/>
                <w:i w:val="0"/>
                <w:sz w:val="16"/>
              </w:rPr>
              <w:t>Accept with modifications:</w:t>
            </w:r>
            <w:r>
              <w:rPr>
                <w:b w:val="0"/>
                <w:i w:val="0"/>
                <w:sz w:val="16"/>
              </w:rPr>
              <w:t xml:space="preserve"> a second independent (e.g., 4 lender + 2 independent + CEO, with the 2L seat drawn from the independents if the 2L class accepts); an independent audit committee; designations by the Plan Supplement deadline.</w:t>
            </w:r>
          </w:p>
        </w:tc>
      </w:tr>
      <w:tr>
        <w:tc>
          <w:tcPr>
            <w:tcW w:type="dxa" w:w="1656"/>
          </w:tcPr>
          <w:p>
            <w:pPr>
              <w:spacing w:after="20"/>
            </w:pPr>
            <w:r/>
            <w:r>
              <w:rPr>
                <w:b w:val="0"/>
                <w:i w:val="0"/>
                <w:sz w:val="16"/>
              </w:rPr>
              <w:t>E3. Management continuity</w:t>
            </w:r>
          </w:p>
          <w:p>
            <w:pPr>
              <w:spacing w:after="20"/>
            </w:pPr>
            <w:r>
              <w:rPr>
                <w:b w:val="0"/>
                <w:i w:val="0"/>
                <w:sz w:val="16"/>
              </w:rPr>
              <w:t>CD §11.02 (deleted, untracked)</w:t>
            </w:r>
          </w:p>
        </w:tc>
        <w:tc>
          <w:tcPr>
            <w:tcW w:type="dxa" w:w="2808"/>
          </w:tcPr>
          <w:p>
            <w:pPr>
              <w:spacing w:after="20"/>
            </w:pPr>
            <w:r/>
            <w:r>
              <w:rPr>
                <w:b w:val="0"/>
                <w:i w:val="0"/>
                <w:sz w:val="16"/>
              </w:rPr>
              <w:t>Deletes the covenant that current officers continue through the Effective Date and receive good-faith new employment agreements.</w:t>
            </w:r>
          </w:p>
        </w:tc>
        <w:tc>
          <w:tcPr>
            <w:tcW w:type="dxa" w:w="2808"/>
          </w:tcPr>
          <w:p>
            <w:pPr>
              <w:spacing w:after="20"/>
            </w:pPr>
            <w:r/>
            <w:r>
              <w:rPr>
                <w:b w:val="0"/>
                <w:i w:val="0"/>
                <w:sz w:val="16"/>
              </w:rPr>
              <w:t>Retention risk, compounded by A5.</w:t>
            </w:r>
          </w:p>
        </w:tc>
        <w:tc>
          <w:tcPr>
            <w:tcW w:type="dxa" w:w="2088"/>
          </w:tcPr>
          <w:p>
            <w:pPr>
              <w:spacing w:after="20"/>
            </w:pPr>
            <w:r/>
            <w:r>
              <w:rPr>
                <w:b/>
                <w:i w:val="0"/>
                <w:sz w:val="16"/>
              </w:rPr>
              <w:t>Reject.</w:t>
            </w:r>
            <w:r>
              <w:rPr>
                <w:b w:val="0"/>
                <w:i w:val="0"/>
                <w:sz w:val="16"/>
              </w:rPr>
              <w:t xml:space="preserve"> Restore CD §11.02.</w:t>
            </w:r>
          </w:p>
        </w:tc>
      </w:tr>
      <w:tr>
        <w:tc>
          <w:tcPr>
            <w:tcW w:type="dxa" w:w="1656"/>
            <w:shd w:val="clear" w:color="auto" w:fill="EEF1F6"/>
          </w:tcPr>
          <w:p>
            <w:pPr>
              <w:spacing w:after="20"/>
            </w:pPr>
            <w:r/>
            <w:r>
              <w:rPr>
                <w:b w:val="0"/>
                <w:i w:val="0"/>
                <w:sz w:val="16"/>
              </w:rPr>
              <w:t>E4. Efforts / consent standards</w:t>
            </w:r>
          </w:p>
          <w:p>
            <w:pPr>
              <w:spacing w:after="20"/>
            </w:pPr>
            <w:r>
              <w:rPr>
                <w:b w:val="0"/>
                <w:i w:val="0"/>
                <w:sz w:val="16"/>
              </w:rPr>
              <w:t>§§1.01, 2.02, 2.03, 3.01(a),(c),(e)</w:t>
            </w:r>
          </w:p>
          <w:p>
            <w:pPr>
              <w:spacing w:after="20"/>
            </w:pPr>
            <w:r>
              <w:rPr>
                <w:b w:val="0"/>
                <w:i w:val="0"/>
                <w:sz w:val="16"/>
              </w:rPr>
              <w:t>NEW (partly untracked)</w:t>
            </w:r>
          </w:p>
        </w:tc>
        <w:tc>
          <w:tcPr>
            <w:tcW w:type="dxa" w:w="2808"/>
            <w:shd w:val="clear" w:color="auto" w:fill="EEF1F6"/>
          </w:tcPr>
          <w:p>
            <w:pPr>
              <w:spacing w:after="20"/>
            </w:pPr>
            <w:r/>
            <w:r>
              <w:rPr>
                <w:b w:val="0"/>
                <w:i w:val="0"/>
                <w:sz w:val="16"/>
              </w:rPr>
              <w:t>“Commercially reasonable efforts” → “reasonable best efforts and in consultation with RCL.” Plan, DS, Confirmation Order and DIP Credit Agreement must be “acceptable” (not “reasonably acceptable”) to RCL. Adds “or fail to take any action.”</w:t>
            </w:r>
          </w:p>
        </w:tc>
        <w:tc>
          <w:tcPr>
            <w:tcW w:type="dxa" w:w="2808"/>
            <w:shd w:val="clear" w:color="auto" w:fill="EEF1F6"/>
          </w:tcPr>
          <w:p>
            <w:pPr>
              <w:spacing w:after="20"/>
            </w:pPr>
            <w:r/>
            <w:r>
              <w:rPr>
                <w:b w:val="0"/>
                <w:i w:val="0"/>
                <w:sz w:val="16"/>
              </w:rPr>
              <w:t>Gives the lenders a discretionary veto over every Definitive Document; with C7, any disagreement becomes a termination right.</w:t>
            </w:r>
          </w:p>
        </w:tc>
        <w:tc>
          <w:tcPr>
            <w:tcW w:type="dxa" w:w="2088"/>
            <w:shd w:val="clear" w:color="auto" w:fill="EEF1F6"/>
          </w:tcPr>
          <w:p>
            <w:pPr>
              <w:spacing w:after="20"/>
            </w:pPr>
            <w:r/>
            <w:r>
              <w:rPr>
                <w:b/>
                <w:i w:val="0"/>
                <w:sz w:val="16"/>
              </w:rPr>
              <w:t>Counter:</w:t>
            </w:r>
            <w:r>
              <w:rPr>
                <w:b w:val="0"/>
                <w:i w:val="0"/>
                <w:sz w:val="16"/>
              </w:rPr>
              <w:t xml:space="preserve"> commercially reasonable efforts; “reasonably acceptable” throughout; consultation rights on material pleadings are acceptable.</w:t>
            </w:r>
          </w:p>
        </w:tc>
      </w:tr>
      <w:tr>
        <w:tc>
          <w:tcPr>
            <w:tcW w:type="dxa" w:w="1656"/>
          </w:tcPr>
          <w:p>
            <w:pPr>
              <w:spacing w:after="20"/>
            </w:pPr>
            <w:r/>
            <w:r>
              <w:rPr>
                <w:b w:val="0"/>
                <w:i w:val="0"/>
                <w:sz w:val="16"/>
              </w:rPr>
              <w:t>E5. Exclusivity</w:t>
            </w:r>
          </w:p>
          <w:p>
            <w:pPr>
              <w:spacing w:after="20"/>
            </w:pPr>
            <w:r>
              <w:rPr>
                <w:b w:val="0"/>
                <w:i w:val="0"/>
                <w:sz w:val="16"/>
              </w:rPr>
              <w:t>§3.01(g)</w:t>
            </w:r>
          </w:p>
          <w:p>
            <w:pPr>
              <w:spacing w:after="20"/>
            </w:pPr>
            <w:r>
              <w:rPr>
                <w:b w:val="0"/>
                <w:i w:val="0"/>
                <w:sz w:val="16"/>
              </w:rPr>
              <w:t>NEW</w:t>
            </w:r>
          </w:p>
        </w:tc>
        <w:tc>
          <w:tcPr>
            <w:tcW w:type="dxa" w:w="2808"/>
          </w:tcPr>
          <w:p>
            <w:pPr>
              <w:spacing w:after="20"/>
            </w:pPr>
            <w:r/>
            <w:r>
              <w:rPr>
                <w:b w:val="0"/>
                <w:i w:val="0"/>
                <w:sz w:val="16"/>
              </w:rPr>
              <w:t>Company must support “any motion by the RCL” to extend exclusivity under §1121.</w:t>
            </w:r>
          </w:p>
        </w:tc>
        <w:tc>
          <w:tcPr>
            <w:tcW w:type="dxa" w:w="2808"/>
          </w:tcPr>
          <w:p>
            <w:pPr>
              <w:spacing w:after="20"/>
            </w:pPr>
            <w:r/>
            <w:r>
              <w:rPr>
                <w:b w:val="0"/>
                <w:i w:val="0"/>
                <w:sz w:val="16"/>
              </w:rPr>
              <w:t>Exclusivity belongs to the debtor; probably a drafting error, but it could be read to let the lenders steer exclusivity.</w:t>
            </w:r>
          </w:p>
        </w:tc>
        <w:tc>
          <w:tcPr>
            <w:tcW w:type="dxa" w:w="2088"/>
          </w:tcPr>
          <w:p>
            <w:pPr>
              <w:spacing w:after="20"/>
            </w:pPr>
            <w:r/>
            <w:r>
              <w:rPr>
                <w:b/>
                <w:i w:val="0"/>
                <w:sz w:val="16"/>
              </w:rPr>
              <w:t>Counter:</w:t>
            </w:r>
            <w:r>
              <w:rPr>
                <w:b w:val="0"/>
                <w:i w:val="0"/>
                <w:sz w:val="16"/>
              </w:rPr>
              <w:t xml:space="preserve"> the Company will seek extensions and the lenders will support them.</w:t>
            </w:r>
          </w:p>
        </w:tc>
      </w:tr>
      <w:tr>
        <w:tc>
          <w:tcPr>
            <w:tcW w:type="dxa" w:w="1656"/>
            <w:shd w:val="clear" w:color="auto" w:fill="EEF1F6"/>
          </w:tcPr>
          <w:p>
            <w:pPr>
              <w:spacing w:after="20"/>
            </w:pPr>
            <w:r/>
            <w:r>
              <w:rPr>
                <w:b w:val="0"/>
                <w:i w:val="0"/>
                <w:sz w:val="16"/>
              </w:rPr>
              <w:t>E6. Information</w:t>
            </w:r>
          </w:p>
          <w:p>
            <w:pPr>
              <w:spacing w:after="20"/>
            </w:pPr>
            <w:r>
              <w:rPr>
                <w:b w:val="0"/>
                <w:i w:val="0"/>
                <w:sz w:val="16"/>
              </w:rPr>
              <w:t>§3.01(f)</w:t>
            </w:r>
          </w:p>
          <w:p>
            <w:pPr>
              <w:spacing w:after="20"/>
            </w:pPr>
            <w:r>
              <w:rPr>
                <w:b w:val="0"/>
                <w:i w:val="0"/>
                <w:sz w:val="16"/>
              </w:rPr>
              <w:t>NEW</w:t>
            </w:r>
          </w:p>
        </w:tc>
        <w:tc>
          <w:tcPr>
            <w:tcW w:type="dxa" w:w="2808"/>
            <w:shd w:val="clear" w:color="auto" w:fill="EEF1F6"/>
          </w:tcPr>
          <w:p>
            <w:pPr>
              <w:spacing w:after="20"/>
            </w:pPr>
            <w:r/>
            <w:r>
              <w:rPr>
                <w:b w:val="0"/>
                <w:i w:val="0"/>
                <w:sz w:val="16"/>
              </w:rPr>
              <w:t>Adds weekly cash flow projections and variance reports.</w:t>
            </w:r>
          </w:p>
        </w:tc>
        <w:tc>
          <w:tcPr>
            <w:tcW w:type="dxa" w:w="2808"/>
            <w:shd w:val="clear" w:color="auto" w:fill="EEF1F6"/>
          </w:tcPr>
          <w:p>
            <w:pPr>
              <w:spacing w:after="20"/>
            </w:pPr>
            <w:r/>
            <w:r>
              <w:rPr>
                <w:b w:val="0"/>
                <w:i w:val="0"/>
                <w:sz w:val="16"/>
              </w:rPr>
              <w:t>Already required under DIP TS §7.2.</w:t>
            </w:r>
          </w:p>
        </w:tc>
        <w:tc>
          <w:tcPr>
            <w:tcW w:type="dxa" w:w="2088"/>
            <w:shd w:val="clear" w:color="auto" w:fill="EEF1F6"/>
          </w:tcPr>
          <w:p>
            <w:pPr>
              <w:spacing w:after="20"/>
            </w:pPr>
            <w:r/>
            <w:r>
              <w:rPr>
                <w:b/>
                <w:i w:val="0"/>
                <w:sz w:val="16"/>
              </w:rPr>
              <w:t>Accept.</w:t>
            </w:r>
          </w:p>
        </w:tc>
      </w:tr>
    </w:tbl>
    <w:p>
      <w:pPr>
        <w:spacing w:after="40"/>
      </w:pPr>
    </w:p>
    <w:p>
      <w:pPr>
        <w:pStyle w:val="Heading2"/>
      </w:pPr>
      <w:r>
        <w:t>F. Releases and Injunction</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656"/>
            <w:shd w:val="clear" w:color="auto" w:fill="1F2A44"/>
          </w:tcPr>
          <w:p>
            <w:r/>
            <w:r>
              <w:rPr>
                <w:b/>
                <w:color w:val="FFFFFF"/>
                <w:sz w:val="16"/>
              </w:rPr>
              <w:t>Provision / Class</w:t>
            </w:r>
          </w:p>
        </w:tc>
        <w:tc>
          <w:tcPr>
            <w:tcW w:type="dxa" w:w="2808"/>
            <w:shd w:val="clear" w:color="auto" w:fill="1F2A44"/>
          </w:tcPr>
          <w:p>
            <w:r/>
            <w:r>
              <w:rPr>
                <w:b/>
                <w:color w:val="FFFFFF"/>
                <w:sz w:val="16"/>
              </w:rPr>
              <w:t>Change (CD → Markup)</w:t>
            </w:r>
          </w:p>
        </w:tc>
        <w:tc>
          <w:tcPr>
            <w:tcW w:type="dxa" w:w="2808"/>
            <w:shd w:val="clear" w:color="auto" w:fill="1F2A44"/>
          </w:tcPr>
          <w:p>
            <w:r/>
            <w:r>
              <w:rPr>
                <w:b/>
                <w:color w:val="FFFFFF"/>
                <w:sz w:val="16"/>
              </w:rPr>
              <w:t>Assessment</w:t>
            </w:r>
          </w:p>
        </w:tc>
        <w:tc>
          <w:tcPr>
            <w:tcW w:type="dxa" w:w="2088"/>
            <w:shd w:val="clear" w:color="auto" w:fill="1F2A44"/>
          </w:tcPr>
          <w:p>
            <w:r/>
            <w:r>
              <w:rPr>
                <w:b/>
                <w:color w:val="FFFFFF"/>
                <w:sz w:val="16"/>
              </w:rPr>
              <w:t>Recommended Response</w:t>
            </w:r>
          </w:p>
        </w:tc>
      </w:tr>
      <w:tr>
        <w:tc>
          <w:tcPr>
            <w:tcW w:type="dxa" w:w="1656"/>
          </w:tcPr>
          <w:p>
            <w:pPr>
              <w:spacing w:after="20"/>
            </w:pPr>
            <w:r/>
            <w:r>
              <w:rPr>
                <w:b w:val="0"/>
                <w:i w:val="0"/>
                <w:sz w:val="16"/>
              </w:rPr>
              <w:t>F1. Third-party releases</w:t>
            </w:r>
          </w:p>
          <w:p>
            <w:pPr>
              <w:spacing w:after="20"/>
            </w:pPr>
            <w:r>
              <w:rPr>
                <w:b w:val="0"/>
                <w:i w:val="0"/>
                <w:sz w:val="16"/>
              </w:rPr>
              <w:t>§10.02; §10.03; §13.10; Ex. A</w:t>
            </w:r>
          </w:p>
          <w:p>
            <w:pPr>
              <w:spacing w:after="20"/>
            </w:pPr>
            <w:r>
              <w:rPr>
                <w:b w:val="0"/>
                <w:i w:val="0"/>
                <w:sz w:val="16"/>
              </w:rPr>
              <w:t>NEW (Framework §V.D)</w:t>
            </w:r>
          </w:p>
        </w:tc>
        <w:tc>
          <w:tcPr>
            <w:tcW w:type="dxa" w:w="2808"/>
          </w:tcPr>
          <w:p>
            <w:pPr>
              <w:spacing w:after="20"/>
            </w:pPr>
            <w:r/>
            <w:r>
              <w:rPr>
                <w:b w:val="0"/>
                <w:i w:val="0"/>
                <w:sz w:val="16"/>
              </w:rPr>
              <w:t xml:space="preserve">New: holders that vote to accept, are deemed to accept, </w:t>
            </w:r>
            <w:r>
              <w:rPr>
                <w:b/>
                <w:i w:val="0"/>
                <w:sz w:val="16"/>
              </w:rPr>
              <w:t>abstain</w:t>
            </w:r>
            <w:r>
              <w:rPr>
                <w:b w:val="0"/>
                <w:i w:val="0"/>
                <w:sz w:val="16"/>
              </w:rPr>
              <w:t>, or vote to reject without opting out are deemed to release the Released Parties from all claims related to the Debtors. Releases are expressly “binding on all holders of Claims and Interests,” backed by a permanent injunction, with the Released Parties as third-party beneficiaries.</w:t>
            </w:r>
          </w:p>
        </w:tc>
        <w:tc>
          <w:tcPr>
            <w:tcW w:type="dxa" w:w="2808"/>
          </w:tcPr>
          <w:p>
            <w:pPr>
              <w:spacing w:after="20"/>
            </w:pPr>
            <w:r/>
            <w:r>
              <w:rPr>
                <w:b w:val="0"/>
                <w:i w:val="0"/>
                <w:sz w:val="16"/>
              </w:rPr>
              <w:t>*Purdue* bars non-consensual third-party releases. Post-*Purdue*, Delaware bankruptcy decisions (e.g., *In re Smallhold, Inc.*, Bankr. D. Del. 2024) have declined to treat silence or a failure to return an opt-out as consent in some settings, and the U.S. Trustee objects routinely. Binding abstainers, deemed acceptors (ABL, general unsecured creditors) and holders of cancelled equity is unlikely to survive. Combined with C2–C4, a release dispute at confirmation becomes a lender termination right. The Cover Email’s claim that the releases bind “non-consenting parties” as “standard” Delaware practice is inconsistent with *Purdue*.</w:t>
            </w:r>
          </w:p>
        </w:tc>
        <w:tc>
          <w:tcPr>
            <w:tcW w:type="dxa" w:w="2088"/>
          </w:tcPr>
          <w:p>
            <w:pPr>
              <w:spacing w:after="20"/>
            </w:pPr>
            <w:r/>
            <w:r>
              <w:rPr>
                <w:b/>
                <w:i w:val="0"/>
                <w:sz w:val="16"/>
              </w:rPr>
              <w:t>Counter:</w:t>
            </w:r>
            <w:r>
              <w:rPr>
                <w:b w:val="0"/>
                <w:i w:val="0"/>
                <w:sz w:val="16"/>
              </w:rPr>
              <w:t xml:space="preserve"> consensual releases only. Releasing parties are holders in voting classes that vote to accept (and do not opt out) or affirmatively opt in, with conspicuous ballot disclosure; no deemed consent for non-voting, deemed-rejecting or unimpaired holders unless they opt in. Company D&amp;Os and professionals to be Released Parties. Consult the appellate group per Framework §V.D, and verify current Delaware authority before the turn.</w:t>
            </w:r>
          </w:p>
        </w:tc>
      </w:tr>
      <w:tr>
        <w:tc>
          <w:tcPr>
            <w:tcW w:type="dxa" w:w="1656"/>
            <w:shd w:val="clear" w:color="auto" w:fill="EEF1F6"/>
          </w:tcPr>
          <w:p>
            <w:pPr>
              <w:spacing w:after="20"/>
            </w:pPr>
            <w:r/>
            <w:r>
              <w:rPr>
                <w:b w:val="0"/>
                <w:i w:val="0"/>
                <w:sz w:val="16"/>
              </w:rPr>
              <w:t>F2. Carve-outs and limits</w:t>
            </w:r>
          </w:p>
          <w:p>
            <w:pPr>
              <w:spacing w:after="20"/>
            </w:pPr>
            <w:r>
              <w:rPr>
                <w:b w:val="0"/>
                <w:i w:val="0"/>
                <w:sz w:val="16"/>
              </w:rPr>
              <w:t>CD §§9.02–9.04 (deleted, untracked)</w:t>
            </w:r>
          </w:p>
        </w:tc>
        <w:tc>
          <w:tcPr>
            <w:tcW w:type="dxa" w:w="2808"/>
            <w:shd w:val="clear" w:color="auto" w:fill="EEF1F6"/>
          </w:tcPr>
          <w:p>
            <w:pPr>
              <w:spacing w:after="20"/>
            </w:pPr>
            <w:r/>
            <w:r>
              <w:rPr>
                <w:b w:val="0"/>
                <w:i w:val="0"/>
                <w:sz w:val="16"/>
              </w:rPr>
              <w:t>Deletes the exclusion for fraud, willful misconduct and gross negligence; the statement that non-parties are not bound; and the “Plan releases no broader than RSA” covenant.</w:t>
            </w:r>
          </w:p>
        </w:tc>
        <w:tc>
          <w:tcPr>
            <w:tcW w:type="dxa" w:w="2808"/>
            <w:shd w:val="clear" w:color="auto" w:fill="EEF1F6"/>
          </w:tcPr>
          <w:p>
            <w:pPr>
              <w:spacing w:after="20"/>
            </w:pPr>
            <w:r/>
            <w:r>
              <w:rPr>
                <w:b w:val="0"/>
                <w:i w:val="0"/>
                <w:sz w:val="16"/>
              </w:rPr>
              <w:t>Carve-outs are standard in Delaware; their absence will draw objection.</w:t>
            </w:r>
          </w:p>
        </w:tc>
        <w:tc>
          <w:tcPr>
            <w:tcW w:type="dxa" w:w="2088"/>
            <w:shd w:val="clear" w:color="auto" w:fill="EEF1F6"/>
          </w:tcPr>
          <w:p>
            <w:pPr>
              <w:spacing w:after="20"/>
            </w:pPr>
            <w:r/>
            <w:r>
              <w:rPr>
                <w:b/>
                <w:i w:val="0"/>
                <w:sz w:val="16"/>
              </w:rPr>
              <w:t>Reject.</w:t>
            </w:r>
            <w:r>
              <w:rPr>
                <w:b w:val="0"/>
                <w:i w:val="0"/>
                <w:sz w:val="16"/>
              </w:rPr>
              <w:t xml:space="preserve"> Restore CD §§9.03–9.04.</w:t>
            </w:r>
          </w:p>
        </w:tc>
      </w:tr>
      <w:tr>
        <w:tc>
          <w:tcPr>
            <w:tcW w:type="dxa" w:w="1656"/>
          </w:tcPr>
          <w:p>
            <w:pPr>
              <w:spacing w:after="20"/>
            </w:pPr>
            <w:r/>
            <w:r>
              <w:rPr>
                <w:b w:val="0"/>
                <w:i w:val="0"/>
                <w:sz w:val="16"/>
              </w:rPr>
              <w:t>F3. Mutual release scope</w:t>
            </w:r>
          </w:p>
          <w:p>
            <w:pPr>
              <w:spacing w:after="20"/>
            </w:pPr>
            <w:r>
              <w:rPr>
                <w:b w:val="0"/>
                <w:i w:val="0"/>
                <w:sz w:val="16"/>
              </w:rPr>
              <w:t>§10.01</w:t>
            </w:r>
          </w:p>
          <w:p>
            <w:pPr>
              <w:spacing w:after="20"/>
            </w:pPr>
            <w:r>
              <w:rPr>
                <w:b w:val="0"/>
                <w:i w:val="0"/>
                <w:sz w:val="16"/>
              </w:rPr>
              <w:t>NEW</w:t>
            </w:r>
          </w:p>
        </w:tc>
        <w:tc>
          <w:tcPr>
            <w:tcW w:type="dxa" w:w="2808"/>
          </w:tcPr>
          <w:p>
            <w:pPr>
              <w:spacing w:after="20"/>
            </w:pPr>
            <w:r/>
            <w:r>
              <w:rPr>
                <w:b w:val="0"/>
                <w:i w:val="0"/>
                <w:sz w:val="16"/>
              </w:rPr>
              <w:t>General release → claims “relating to or arising under the First Lien Credit Agreement, this Agreement, or the Restructuring Transactions.”</w:t>
            </w:r>
          </w:p>
        </w:tc>
        <w:tc>
          <w:tcPr>
            <w:tcW w:type="dxa" w:w="2808"/>
          </w:tcPr>
          <w:p>
            <w:pPr>
              <w:spacing w:after="20"/>
            </w:pPr>
            <w:r/>
            <w:r>
              <w:rPr>
                <w:b w:val="0"/>
                <w:i w:val="0"/>
                <w:sz w:val="16"/>
              </w:rPr>
              <w:t>Narrows both directions. The estate’s release of the lenders shrinks (estate-favorable); the lenders’ release of the D&amp;Os also shrinks.</w:t>
            </w:r>
          </w:p>
        </w:tc>
        <w:tc>
          <w:tcPr>
            <w:tcW w:type="dxa" w:w="2088"/>
          </w:tcPr>
          <w:p>
            <w:pPr>
              <w:spacing w:after="20"/>
            </w:pPr>
            <w:r/>
            <w:r>
              <w:rPr>
                <w:b/>
                <w:i w:val="0"/>
                <w:sz w:val="16"/>
              </w:rPr>
              <w:t>Accept the narrower estate release</w:t>
            </w:r>
            <w:r>
              <w:rPr>
                <w:b w:val="0"/>
                <w:i w:val="0"/>
                <w:sz w:val="16"/>
              </w:rPr>
              <w:t>, provided the lenders’ release of the Company Parties and D&amp;Os is not narrower. Estate release of lenders subject to an independent director review and the committee challenge period.</w:t>
            </w:r>
          </w:p>
        </w:tc>
      </w:tr>
    </w:tbl>
    <w:p>
      <w:pPr>
        <w:spacing w:after="40"/>
      </w:pPr>
    </w:p>
    <w:p>
      <w:pPr>
        <w:pStyle w:val="Heading2"/>
      </w:pPr>
      <w:r>
        <w:t>G. Lock-Up and Transfers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656"/>
            <w:shd w:val="clear" w:color="auto" w:fill="1F2A44"/>
          </w:tcPr>
          <w:p>
            <w:r/>
            <w:r>
              <w:rPr>
                <w:b/>
                <w:color w:val="FFFFFF"/>
                <w:sz w:val="16"/>
              </w:rPr>
              <w:t>Provision / Class</w:t>
            </w:r>
          </w:p>
        </w:tc>
        <w:tc>
          <w:tcPr>
            <w:tcW w:type="dxa" w:w="2808"/>
            <w:shd w:val="clear" w:color="auto" w:fill="1F2A44"/>
          </w:tcPr>
          <w:p>
            <w:r/>
            <w:r>
              <w:rPr>
                <w:b/>
                <w:color w:val="FFFFFF"/>
                <w:sz w:val="16"/>
              </w:rPr>
              <w:t>Change (CD → Markup)</w:t>
            </w:r>
          </w:p>
        </w:tc>
        <w:tc>
          <w:tcPr>
            <w:tcW w:type="dxa" w:w="2808"/>
            <w:shd w:val="clear" w:color="auto" w:fill="1F2A44"/>
          </w:tcPr>
          <w:p>
            <w:r/>
            <w:r>
              <w:rPr>
                <w:b/>
                <w:color w:val="FFFFFF"/>
                <w:sz w:val="16"/>
              </w:rPr>
              <w:t>Assessment</w:t>
            </w:r>
          </w:p>
        </w:tc>
        <w:tc>
          <w:tcPr>
            <w:tcW w:type="dxa" w:w="2088"/>
            <w:shd w:val="clear" w:color="auto" w:fill="1F2A44"/>
          </w:tcPr>
          <w:p>
            <w:r/>
            <w:r>
              <w:rPr>
                <w:b/>
                <w:color w:val="FFFFFF"/>
                <w:sz w:val="16"/>
              </w:rPr>
              <w:t>Recommended Response</w:t>
            </w:r>
          </w:p>
        </w:tc>
      </w:tr>
      <w:tr>
        <w:tc>
          <w:tcPr>
            <w:tcW w:type="dxa" w:w="1656"/>
          </w:tcPr>
          <w:p>
            <w:pPr>
              <w:spacing w:after="20"/>
            </w:pPr>
            <w:r/>
            <w:r>
              <w:rPr>
                <w:b w:val="0"/>
                <w:i w:val="0"/>
                <w:sz w:val="16"/>
              </w:rPr>
              <w:t>G1. Permitted Transfers</w:t>
            </w:r>
          </w:p>
          <w:p>
            <w:pPr>
              <w:spacing w:after="20"/>
            </w:pPr>
            <w:r>
              <w:rPr>
                <w:b w:val="0"/>
                <w:i w:val="0"/>
                <w:sz w:val="16"/>
              </w:rPr>
              <w:t>§8.01(c); §1.01 (QT)</w:t>
            </w:r>
          </w:p>
          <w:p>
            <w:pPr>
              <w:spacing w:after="20"/>
            </w:pPr>
            <w:r>
              <w:rPr>
                <w:b w:val="0"/>
                <w:i w:val="0"/>
                <w:sz w:val="16"/>
              </w:rPr>
              <w:t>RED</w:t>
            </w:r>
          </w:p>
        </w:tc>
        <w:tc>
          <w:tcPr>
            <w:tcW w:type="dxa" w:w="2808"/>
          </w:tcPr>
          <w:p>
            <w:pPr>
              <w:spacing w:after="20"/>
            </w:pPr>
            <w:r/>
            <w:r>
              <w:rPr>
                <w:b w:val="0"/>
                <w:i w:val="0"/>
                <w:sz w:val="16"/>
              </w:rPr>
              <w:t>New: each lender may transfer 15% of its claims to non-parties without a joinder (aggregate cap 15%).</w:t>
            </w:r>
          </w:p>
        </w:tc>
        <w:tc>
          <w:tcPr>
            <w:tcW w:type="dxa" w:w="2808"/>
          </w:tcPr>
          <w:p>
            <w:pPr>
              <w:spacing w:after="20"/>
            </w:pPr>
            <w:r/>
            <w:r>
              <w:rPr>
                <w:b w:val="0"/>
                <w:i w:val="0"/>
                <w:sz w:val="16"/>
              </w:rPr>
              <w:t>Framework: transfers without joinder must not be permitted. Locked support could fall to about 53.0% of the class (Part III.F).</w:t>
            </w:r>
          </w:p>
        </w:tc>
        <w:tc>
          <w:tcPr>
            <w:tcW w:type="dxa" w:w="2088"/>
          </w:tcPr>
          <w:p>
            <w:pPr>
              <w:spacing w:after="20"/>
            </w:pPr>
            <w:r/>
            <w:r>
              <w:rPr>
                <w:b/>
                <w:i w:val="0"/>
                <w:sz w:val="16"/>
              </w:rPr>
              <w:t>Reject.</w:t>
            </w:r>
          </w:p>
        </w:tc>
      </w:tr>
      <w:tr>
        <w:tc>
          <w:tcPr>
            <w:tcW w:type="dxa" w:w="1656"/>
            <w:shd w:val="clear" w:color="auto" w:fill="EEF1F6"/>
          </w:tcPr>
          <w:p>
            <w:pPr>
              <w:spacing w:after="20"/>
            </w:pPr>
            <w:r/>
            <w:r>
              <w:rPr>
                <w:b w:val="0"/>
                <w:i w:val="0"/>
                <w:sz w:val="16"/>
              </w:rPr>
              <w:t>G2. Joinder window</w:t>
            </w:r>
          </w:p>
          <w:p>
            <w:pPr>
              <w:spacing w:after="20"/>
            </w:pPr>
            <w:r>
              <w:rPr>
                <w:b w:val="0"/>
                <w:i w:val="0"/>
                <w:sz w:val="16"/>
              </w:rPr>
              <w:t>§8.01(a); Ex. D</w:t>
            </w:r>
          </w:p>
          <w:p>
            <w:pPr>
              <w:spacing w:after="20"/>
            </w:pPr>
            <w:r>
              <w:rPr>
                <w:b w:val="0"/>
                <w:i w:val="0"/>
                <w:sz w:val="16"/>
              </w:rPr>
              <w:t>FLEX</w:t>
            </w:r>
          </w:p>
        </w:tc>
        <w:tc>
          <w:tcPr>
            <w:tcW w:type="dxa" w:w="2808"/>
            <w:shd w:val="clear" w:color="auto" w:fill="EEF1F6"/>
          </w:tcPr>
          <w:p>
            <w:pPr>
              <w:spacing w:after="20"/>
            </w:pPr>
            <w:r/>
            <w:r>
              <w:rPr>
                <w:b w:val="0"/>
                <w:i w:val="0"/>
                <w:sz w:val="16"/>
              </w:rPr>
              <w:t>5 BD → 10 BD.</w:t>
            </w:r>
          </w:p>
        </w:tc>
        <w:tc>
          <w:tcPr>
            <w:tcW w:type="dxa" w:w="2808"/>
            <w:shd w:val="clear" w:color="auto" w:fill="EEF1F6"/>
          </w:tcPr>
          <w:p>
            <w:pPr>
              <w:spacing w:after="20"/>
            </w:pPr>
            <w:r/>
            <w:r>
              <w:rPr>
                <w:b w:val="0"/>
                <w:i w:val="0"/>
                <w:sz w:val="16"/>
              </w:rPr>
              <w:t>Above the 7-BD limit.</w:t>
            </w:r>
          </w:p>
        </w:tc>
        <w:tc>
          <w:tcPr>
            <w:tcW w:type="dxa" w:w="2088"/>
            <w:shd w:val="clear" w:color="auto" w:fill="EEF1F6"/>
          </w:tcPr>
          <w:p>
            <w:pPr>
              <w:spacing w:after="20"/>
            </w:pPr>
            <w:r/>
            <w:r>
              <w:rPr>
                <w:b/>
                <w:i w:val="0"/>
                <w:sz w:val="16"/>
              </w:rPr>
              <w:t>Counter:</w:t>
            </w:r>
            <w:r>
              <w:rPr>
                <w:b w:val="0"/>
                <w:i w:val="0"/>
                <w:sz w:val="16"/>
              </w:rPr>
              <w:t xml:space="preserve"> 7 BD (the Framework flex).</w:t>
            </w:r>
          </w:p>
        </w:tc>
      </w:tr>
      <w:tr>
        <w:tc>
          <w:tcPr>
            <w:tcW w:type="dxa" w:w="1656"/>
          </w:tcPr>
          <w:p>
            <w:pPr>
              <w:spacing w:after="20"/>
            </w:pPr>
            <w:r/>
            <w:r>
              <w:rPr>
                <w:b w:val="0"/>
                <w:i w:val="0"/>
                <w:sz w:val="16"/>
              </w:rPr>
              <w:t>G3. Qualified Transferee</w:t>
            </w:r>
          </w:p>
          <w:p>
            <w:pPr>
              <w:spacing w:after="20"/>
            </w:pPr>
            <w:r>
              <w:rPr>
                <w:b w:val="0"/>
                <w:i w:val="0"/>
                <w:sz w:val="16"/>
              </w:rPr>
              <w:t>§1.01; CD §8.05; CD §10.02(f) (untracked)</w:t>
            </w:r>
          </w:p>
        </w:tc>
        <w:tc>
          <w:tcPr>
            <w:tcW w:type="dxa" w:w="2808"/>
          </w:tcPr>
          <w:p>
            <w:pPr>
              <w:spacing w:after="20"/>
            </w:pPr>
            <w:r/>
            <w:r>
              <w:rPr>
                <w:b w:val="0"/>
                <w:i w:val="0"/>
                <w:sz w:val="16"/>
              </w:rPr>
              <w:t>Deletes the competitor exclusion and the accredited investor/QIB representation; the Joinder carries no Qualified Transferee representations.</w:t>
            </w:r>
          </w:p>
        </w:tc>
        <w:tc>
          <w:tcPr>
            <w:tcW w:type="dxa" w:w="2808"/>
          </w:tcPr>
          <w:p>
            <w:pPr>
              <w:spacing w:after="20"/>
            </w:pPr>
            <w:r/>
            <w:r>
              <w:rPr>
                <w:b w:val="0"/>
                <w:i w:val="0"/>
                <w:sz w:val="16"/>
              </w:rPr>
              <w:t>A competing hotel operator could acquire a blocking position or receive MNPI.</w:t>
            </w:r>
          </w:p>
        </w:tc>
        <w:tc>
          <w:tcPr>
            <w:tcW w:type="dxa" w:w="2088"/>
          </w:tcPr>
          <w:p>
            <w:pPr>
              <w:spacing w:after="20"/>
            </w:pPr>
            <w:r/>
            <w:r>
              <w:rPr>
                <w:b/>
                <w:i w:val="0"/>
                <w:sz w:val="16"/>
              </w:rPr>
              <w:t>Reject.</w:t>
            </w:r>
            <w:r>
              <w:rPr>
                <w:b w:val="0"/>
                <w:i w:val="0"/>
                <w:sz w:val="16"/>
              </w:rPr>
              <w:t xml:space="preserve"> Restore CD §8.05 and §10.02(f); align with the DIP TS §18.2 Disqualified Lender concept.</w:t>
            </w:r>
          </w:p>
        </w:tc>
      </w:tr>
      <w:tr>
        <w:tc>
          <w:tcPr>
            <w:tcW w:type="dxa" w:w="1656"/>
            <w:shd w:val="clear" w:color="auto" w:fill="EEF1F6"/>
          </w:tcPr>
          <w:p>
            <w:pPr>
              <w:spacing w:after="20"/>
            </w:pPr>
            <w:r/>
            <w:r>
              <w:rPr>
                <w:b w:val="0"/>
                <w:i w:val="0"/>
                <w:sz w:val="16"/>
              </w:rPr>
              <w:t>G4. Lender support covenants</w:t>
            </w:r>
          </w:p>
          <w:p>
            <w:pPr>
              <w:spacing w:after="20"/>
            </w:pPr>
            <w:r>
              <w:rPr>
                <w:b w:val="0"/>
                <w:i w:val="0"/>
                <w:sz w:val="16"/>
              </w:rPr>
              <w:t>CD §3.02(f),(h),(i) (deleted, untracked); §3.02(g)</w:t>
            </w:r>
          </w:p>
        </w:tc>
        <w:tc>
          <w:tcPr>
            <w:tcW w:type="dxa" w:w="2808"/>
            <w:shd w:val="clear" w:color="auto" w:fill="EEF1F6"/>
          </w:tcPr>
          <w:p>
            <w:pPr>
              <w:spacing w:after="20"/>
            </w:pPr>
            <w:r/>
            <w:r>
              <w:rPr>
                <w:b w:val="0"/>
                <w:i w:val="0"/>
                <w:sz w:val="16"/>
              </w:rPr>
              <w:t>Deletes the no-enforcement/forbearance covenant, the good-faith negotiation of definitive documents, and support for first-day motions. The no-alternative-plan covenant is qualified to “inconsistent with the Restructuring Transactions.”</w:t>
            </w:r>
          </w:p>
        </w:tc>
        <w:tc>
          <w:tcPr>
            <w:tcW w:type="dxa" w:w="2808"/>
            <w:shd w:val="clear" w:color="auto" w:fill="EEF1F6"/>
          </w:tcPr>
          <w:p>
            <w:pPr>
              <w:spacing w:after="20"/>
            </w:pPr>
            <w:r/>
            <w:r>
              <w:rPr>
                <w:b w:val="0"/>
                <w:i w:val="0"/>
                <w:sz w:val="16"/>
              </w:rPr>
              <w:t>Together with G5, the lenders’ obligations become largely illusory.</w:t>
            </w:r>
          </w:p>
        </w:tc>
        <w:tc>
          <w:tcPr>
            <w:tcW w:type="dxa" w:w="2088"/>
            <w:shd w:val="clear" w:color="auto" w:fill="EEF1F6"/>
          </w:tcPr>
          <w:p>
            <w:pPr>
              <w:spacing w:after="20"/>
            </w:pPr>
            <w:r/>
            <w:r>
              <w:rPr>
                <w:b/>
                <w:i w:val="0"/>
                <w:sz w:val="16"/>
              </w:rPr>
              <w:t>Reject.</w:t>
            </w:r>
            <w:r>
              <w:rPr>
                <w:b w:val="0"/>
                <w:i w:val="0"/>
                <w:sz w:val="16"/>
              </w:rPr>
              <w:t xml:space="preserve"> Restore CD §3.02(f), (h) and (i).</w:t>
            </w:r>
          </w:p>
        </w:tc>
      </w:tr>
      <w:tr>
        <w:tc>
          <w:tcPr>
            <w:tcW w:type="dxa" w:w="1656"/>
          </w:tcPr>
          <w:p>
            <w:pPr>
              <w:spacing w:after="20"/>
            </w:pPr>
            <w:r/>
            <w:r>
              <w:rPr>
                <w:b w:val="0"/>
                <w:i w:val="0"/>
                <w:sz w:val="16"/>
              </w:rPr>
              <w:t>G5. Creditor Rights Reservation</w:t>
            </w:r>
          </w:p>
          <w:p>
            <w:pPr>
              <w:spacing w:after="20"/>
            </w:pPr>
            <w:r>
              <w:rPr>
                <w:b w:val="0"/>
                <w:i w:val="0"/>
                <w:sz w:val="16"/>
              </w:rPr>
              <w:t>§13.12; Recital E</w:t>
            </w:r>
          </w:p>
          <w:p>
            <w:pPr>
              <w:spacing w:after="20"/>
            </w:pPr>
            <w:r>
              <w:rPr>
                <w:b w:val="0"/>
                <w:i w:val="0"/>
                <w:sz w:val="16"/>
              </w:rPr>
              <w:t>NEW</w:t>
            </w:r>
          </w:p>
        </w:tc>
        <w:tc>
          <w:tcPr>
            <w:tcW w:type="dxa" w:w="2808"/>
          </w:tcPr>
          <w:p>
            <w:pPr>
              <w:spacing w:after="20"/>
            </w:pPr>
            <w:r/>
            <w:r>
              <w:rPr>
                <w:b w:val="0"/>
                <w:i w:val="0"/>
                <w:sz w:val="16"/>
              </w:rPr>
              <w:t xml:space="preserve">New: nothing limits lenders’ rights to enforce remedies under the First Lien Credit Agreement, </w:t>
            </w:r>
            <w:r>
              <w:rPr>
                <w:b/>
                <w:i w:val="0"/>
                <w:sz w:val="16"/>
              </w:rPr>
              <w:t>credit bid in a §363 sale</w:t>
            </w:r>
            <w:r>
              <w:rPr>
                <w:b w:val="0"/>
                <w:i w:val="0"/>
                <w:sz w:val="16"/>
              </w:rPr>
              <w:t>, or object to filings. Recital E adds “or liquidation.”</w:t>
            </w:r>
          </w:p>
        </w:tc>
        <w:tc>
          <w:tcPr>
            <w:tcW w:type="dxa" w:w="2808"/>
          </w:tcPr>
          <w:p>
            <w:pPr>
              <w:spacing w:after="20"/>
            </w:pPr>
            <w:r/>
            <w:r>
              <w:rPr>
                <w:b w:val="0"/>
                <w:i w:val="0"/>
                <w:sz w:val="16"/>
              </w:rPr>
              <w:t>The most dangerous structural change. Together with the termination triggers it gives the Ad Hoc Group (62.4%, likely able to direct the agent) a ready path to a loan-to-own sale. It conflicts with §3.02(c) and with the purpose of an RSA.</w:t>
            </w:r>
          </w:p>
        </w:tc>
        <w:tc>
          <w:tcPr>
            <w:tcW w:type="dxa" w:w="2088"/>
          </w:tcPr>
          <w:p>
            <w:pPr>
              <w:spacing w:after="20"/>
            </w:pPr>
            <w:r/>
            <w:r>
              <w:rPr>
                <w:b/>
                <w:i w:val="0"/>
                <w:sz w:val="16"/>
              </w:rPr>
              <w:t>Reject.</w:t>
            </w:r>
            <w:r>
              <w:rPr>
                <w:b w:val="0"/>
                <w:i w:val="0"/>
                <w:sz w:val="16"/>
              </w:rPr>
              <w:t xml:space="preserve"> Delete §13.12 and “or liquidation.” A reservation of rights should operate only after termination (restore CD §14.09).</w:t>
            </w:r>
          </w:p>
        </w:tc>
      </w:tr>
      <w:tr>
        <w:tc>
          <w:tcPr>
            <w:tcW w:type="dxa" w:w="1656"/>
            <w:shd w:val="clear" w:color="auto" w:fill="EEF1F6"/>
          </w:tcPr>
          <w:p>
            <w:pPr>
              <w:spacing w:after="20"/>
            </w:pPr>
            <w:r/>
            <w:r>
              <w:rPr>
                <w:b w:val="0"/>
                <w:i w:val="0"/>
                <w:sz w:val="16"/>
              </w:rPr>
              <w:t>G6. RSA Effective Date</w:t>
            </w:r>
          </w:p>
          <w:p>
            <w:pPr>
              <w:spacing w:after="20"/>
            </w:pPr>
            <w:r>
              <w:rPr>
                <w:b w:val="0"/>
                <w:i w:val="0"/>
                <w:sz w:val="16"/>
              </w:rPr>
              <w:t>§1.01</w:t>
            </w:r>
          </w:p>
          <w:p>
            <w:pPr>
              <w:spacing w:after="20"/>
            </w:pPr>
            <w:r>
              <w:rPr>
                <w:b w:val="0"/>
                <w:i w:val="0"/>
                <w:sz w:val="16"/>
              </w:rPr>
              <w:t>NEW</w:t>
            </w:r>
          </w:p>
        </w:tc>
        <w:tc>
          <w:tcPr>
            <w:tcW w:type="dxa" w:w="2808"/>
            <w:shd w:val="clear" w:color="auto" w:fill="EEF1F6"/>
          </w:tcPr>
          <w:p>
            <w:pPr>
              <w:spacing w:after="20"/>
            </w:pPr>
            <w:r/>
            <w:r>
              <w:rPr>
                <w:b w:val="0"/>
                <w:i w:val="0"/>
                <w:sz w:val="16"/>
              </w:rPr>
              <w:t>Execution “by each of the Parties” (CD: execution by holders of at least $742.6M, i.e., all nine).</w:t>
            </w:r>
          </w:p>
        </w:tc>
        <w:tc>
          <w:tcPr>
            <w:tcW w:type="dxa" w:w="2808"/>
            <w:shd w:val="clear" w:color="auto" w:fill="EEF1F6"/>
          </w:tcPr>
          <w:p>
            <w:pPr>
              <w:spacing w:after="20"/>
            </w:pPr>
            <w:r/>
            <w:r>
              <w:rPr>
                <w:b w:val="0"/>
                <w:i w:val="0"/>
                <w:sz w:val="16"/>
              </w:rPr>
              <w:t>Any single holdout blocks effectiveness. The Company also needs about $50.7M of additional 1L support.</w:t>
            </w:r>
          </w:p>
        </w:tc>
        <w:tc>
          <w:tcPr>
            <w:tcW w:type="dxa" w:w="2088"/>
            <w:shd w:val="clear" w:color="auto" w:fill="EEF1F6"/>
          </w:tcPr>
          <w:p>
            <w:pPr>
              <w:spacing w:after="20"/>
            </w:pPr>
            <w:r/>
            <w:r>
              <w:rPr>
                <w:b/>
                <w:i w:val="0"/>
                <w:sz w:val="16"/>
              </w:rPr>
              <w:t>Counter:</w:t>
            </w:r>
            <w:r>
              <w:rPr>
                <w:b w:val="0"/>
                <w:i w:val="0"/>
                <w:sz w:val="16"/>
              </w:rPr>
              <w:t xml:space="preserve"> effectiveness on execution by holders of at least 60% of 1L claims; the Company to solicit additional 1L signatories.</w:t>
            </w:r>
          </w:p>
        </w:tc>
      </w:tr>
    </w:tbl>
    <w:p>
      <w:pPr>
        <w:spacing w:after="40"/>
      </w:pPr>
    </w:p>
    <w:p>
      <w:pPr>
        <w:pStyle w:val="Heading2"/>
      </w:pPr>
      <w:r>
        <w:t>H. Operating Controls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656"/>
            <w:shd w:val="clear" w:color="auto" w:fill="1F2A44"/>
          </w:tcPr>
          <w:p>
            <w:r/>
            <w:r>
              <w:rPr>
                <w:b/>
                <w:color w:val="FFFFFF"/>
                <w:sz w:val="16"/>
              </w:rPr>
              <w:t>Provision / Class</w:t>
            </w:r>
          </w:p>
        </w:tc>
        <w:tc>
          <w:tcPr>
            <w:tcW w:type="dxa" w:w="2808"/>
            <w:shd w:val="clear" w:color="auto" w:fill="1F2A44"/>
          </w:tcPr>
          <w:p>
            <w:r/>
            <w:r>
              <w:rPr>
                <w:b/>
                <w:color w:val="FFFFFF"/>
                <w:sz w:val="16"/>
              </w:rPr>
              <w:t>Change (CD → Markup)</w:t>
            </w:r>
          </w:p>
        </w:tc>
        <w:tc>
          <w:tcPr>
            <w:tcW w:type="dxa" w:w="2808"/>
            <w:shd w:val="clear" w:color="auto" w:fill="1F2A44"/>
          </w:tcPr>
          <w:p>
            <w:r/>
            <w:r>
              <w:rPr>
                <w:b/>
                <w:color w:val="FFFFFF"/>
                <w:sz w:val="16"/>
              </w:rPr>
              <w:t>Assessment</w:t>
            </w:r>
          </w:p>
        </w:tc>
        <w:tc>
          <w:tcPr>
            <w:tcW w:type="dxa" w:w="2088"/>
            <w:shd w:val="clear" w:color="auto" w:fill="1F2A44"/>
          </w:tcPr>
          <w:p>
            <w:r/>
            <w:r>
              <w:rPr>
                <w:b/>
                <w:color w:val="FFFFFF"/>
                <w:sz w:val="16"/>
              </w:rPr>
              <w:t>Recommended Response</w:t>
            </w:r>
          </w:p>
        </w:tc>
      </w:tr>
      <w:tr>
        <w:tc>
          <w:tcPr>
            <w:tcW w:type="dxa" w:w="1656"/>
          </w:tcPr>
          <w:p>
            <w:pPr>
              <w:spacing w:after="20"/>
            </w:pPr>
            <w:r/>
            <w:r>
              <w:rPr>
                <w:b w:val="0"/>
                <w:i w:val="0"/>
                <w:sz w:val="16"/>
              </w:rPr>
              <w:t>H1. Cash Collateral</w:t>
            </w:r>
          </w:p>
          <w:p>
            <w:pPr>
              <w:spacing w:after="20"/>
            </w:pPr>
            <w:r>
              <w:rPr>
                <w:b w:val="0"/>
                <w:i w:val="0"/>
                <w:sz w:val="16"/>
              </w:rPr>
              <w:t>§2.05; Ex. B</w:t>
            </w:r>
          </w:p>
          <w:p>
            <w:pPr>
              <w:spacing w:after="20"/>
            </w:pPr>
            <w:r>
              <w:rPr>
                <w:b w:val="0"/>
                <w:i w:val="0"/>
                <w:sz w:val="16"/>
              </w:rPr>
              <w:t>RED (Framework §V.C)</w:t>
            </w:r>
          </w:p>
        </w:tc>
        <w:tc>
          <w:tcPr>
            <w:tcW w:type="dxa" w:w="2808"/>
          </w:tcPr>
          <w:p>
            <w:pPr>
              <w:spacing w:after="20"/>
            </w:pPr>
            <w:r/>
            <w:r>
              <w:rPr>
                <w:b w:val="0"/>
                <w:i w:val="0"/>
                <w:sz w:val="16"/>
              </w:rPr>
              <w:t>New: RCL consent for use of cash collateral outside the ordinary course above $2M per transaction or $5M in aggregate; 3-BD response; no deemed consent; overrides any court order.</w:t>
            </w:r>
          </w:p>
        </w:tc>
        <w:tc>
          <w:tcPr>
            <w:tcW w:type="dxa" w:w="2808"/>
          </w:tcPr>
          <w:p>
            <w:pPr>
              <w:spacing w:after="20"/>
            </w:pPr>
            <w:r/>
            <w:r>
              <w:rPr>
                <w:b w:val="0"/>
                <w:i w:val="0"/>
                <w:sz w:val="16"/>
              </w:rPr>
              <w:t>Far below the $10M/$25M Framework minimum. Hotel capex, seasonal staffing and franchise payments routinely exceed $2M. Purporting to override Court orders also invites U.S. Trustee objection as a delegation of debtor-in-possession authority.</w:t>
            </w:r>
          </w:p>
        </w:tc>
        <w:tc>
          <w:tcPr>
            <w:tcW w:type="dxa" w:w="2088"/>
          </w:tcPr>
          <w:p>
            <w:pPr>
              <w:spacing w:after="20"/>
            </w:pPr>
            <w:r/>
            <w:r>
              <w:rPr>
                <w:b/>
                <w:i w:val="0"/>
                <w:sz w:val="16"/>
              </w:rPr>
              <w:t>Counter:</w:t>
            </w:r>
            <w:r>
              <w:rPr>
                <w:b w:val="0"/>
                <w:i w:val="0"/>
                <w:sz w:val="16"/>
              </w:rPr>
              <w:t xml:space="preserve"> $10M per transaction / $25M aggregate; budgeted items and payments under first-day orders excluded; deemed consent if no response within 3 BD; delete “notwithstanding any order.”</w:t>
            </w:r>
          </w:p>
        </w:tc>
      </w:tr>
    </w:tbl>
    <w:p>
      <w:pPr>
        <w:spacing w:after="40"/>
      </w:pPr>
    </w:p>
    <w:p>
      <w:pPr>
        <w:pStyle w:val="Heading2"/>
      </w:pPr>
      <w:r>
        <w:t>I. Representations and Warranties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656"/>
            <w:shd w:val="clear" w:color="auto" w:fill="1F2A44"/>
          </w:tcPr>
          <w:p>
            <w:r/>
            <w:r>
              <w:rPr>
                <w:b/>
                <w:color w:val="FFFFFF"/>
                <w:sz w:val="16"/>
              </w:rPr>
              <w:t>Provision / Class</w:t>
            </w:r>
          </w:p>
        </w:tc>
        <w:tc>
          <w:tcPr>
            <w:tcW w:type="dxa" w:w="2808"/>
            <w:shd w:val="clear" w:color="auto" w:fill="1F2A44"/>
          </w:tcPr>
          <w:p>
            <w:r/>
            <w:r>
              <w:rPr>
                <w:b/>
                <w:color w:val="FFFFFF"/>
                <w:sz w:val="16"/>
              </w:rPr>
              <w:t>Change (CD → Markup)</w:t>
            </w:r>
          </w:p>
        </w:tc>
        <w:tc>
          <w:tcPr>
            <w:tcW w:type="dxa" w:w="2808"/>
            <w:shd w:val="clear" w:color="auto" w:fill="1F2A44"/>
          </w:tcPr>
          <w:p>
            <w:r/>
            <w:r>
              <w:rPr>
                <w:b/>
                <w:color w:val="FFFFFF"/>
                <w:sz w:val="16"/>
              </w:rPr>
              <w:t>Assessment</w:t>
            </w:r>
          </w:p>
        </w:tc>
        <w:tc>
          <w:tcPr>
            <w:tcW w:type="dxa" w:w="2088"/>
            <w:shd w:val="clear" w:color="auto" w:fill="1F2A44"/>
          </w:tcPr>
          <w:p>
            <w:r/>
            <w:r>
              <w:rPr>
                <w:b/>
                <w:color w:val="FFFFFF"/>
                <w:sz w:val="16"/>
              </w:rPr>
              <w:t>Recommended Response</w:t>
            </w:r>
          </w:p>
        </w:tc>
      </w:tr>
      <w:tr>
        <w:tc>
          <w:tcPr>
            <w:tcW w:type="dxa" w:w="1656"/>
          </w:tcPr>
          <w:p>
            <w:pPr>
              <w:spacing w:after="20"/>
            </w:pPr>
            <w:r/>
            <w:r>
              <w:rPr>
                <w:b w:val="0"/>
                <w:i w:val="0"/>
                <w:sz w:val="16"/>
              </w:rPr>
              <w:t>I1. Financial information</w:t>
            </w:r>
          </w:p>
          <w:p>
            <w:pPr>
              <w:spacing w:after="20"/>
            </w:pPr>
            <w:r>
              <w:rPr>
                <w:b w:val="0"/>
                <w:i w:val="0"/>
                <w:sz w:val="16"/>
              </w:rPr>
              <w:t>§12.01(d) (untracked)</w:t>
            </w:r>
          </w:p>
        </w:tc>
        <w:tc>
          <w:tcPr>
            <w:tcW w:type="dxa" w:w="2808"/>
          </w:tcPr>
          <w:p>
            <w:pPr>
              <w:spacing w:after="20"/>
            </w:pPr>
            <w:r/>
            <w:r>
              <w:rPr>
                <w:b w:val="0"/>
                <w:i w:val="0"/>
                <w:sz w:val="16"/>
              </w:rPr>
              <w:t>Knowledge-qualified and materiality-qualified rep (CD §10.01(e)) → flat “accurate and complete”; references audited FY2024 statements prepared by Hartfield &amp; Dunn.</w:t>
            </w:r>
          </w:p>
        </w:tc>
        <w:tc>
          <w:tcPr>
            <w:tcW w:type="dxa" w:w="2808"/>
          </w:tcPr>
          <w:p>
            <w:pPr>
              <w:spacing w:after="20"/>
            </w:pPr>
            <w:r/>
            <w:r>
              <w:rPr>
                <w:b w:val="0"/>
                <w:i w:val="0"/>
                <w:sz w:val="16"/>
              </w:rPr>
              <w:t>A flat rep, brought down at the RSA Effective Date, creates a termination right (§9.03(a)). Confirm the status of the FY2024 audit and any going-concern qualification.</w:t>
            </w:r>
          </w:p>
        </w:tc>
        <w:tc>
          <w:tcPr>
            <w:tcW w:type="dxa" w:w="2088"/>
          </w:tcPr>
          <w:p>
            <w:pPr>
              <w:spacing w:after="20"/>
            </w:pPr>
            <w:r/>
            <w:r>
              <w:rPr>
                <w:b/>
                <w:i w:val="0"/>
                <w:sz w:val="16"/>
              </w:rPr>
              <w:t>Counter:</w:t>
            </w:r>
            <w:r>
              <w:rPr>
                <w:b w:val="0"/>
                <w:i w:val="0"/>
                <w:sz w:val="16"/>
              </w:rPr>
              <w:t xml:space="preserve"> restore CD §10.01(e); describe the audit status accurately.</w:t>
            </w:r>
          </w:p>
        </w:tc>
      </w:tr>
      <w:tr>
        <w:tc>
          <w:tcPr>
            <w:tcW w:type="dxa" w:w="1656"/>
            <w:shd w:val="clear" w:color="auto" w:fill="EEF1F6"/>
          </w:tcPr>
          <w:p>
            <w:pPr>
              <w:spacing w:after="20"/>
            </w:pPr>
            <w:r/>
            <w:r>
              <w:rPr>
                <w:b w:val="0"/>
                <w:i w:val="0"/>
                <w:sz w:val="16"/>
              </w:rPr>
              <w:t>I2. “Solvency” rep</w:t>
            </w:r>
          </w:p>
          <w:p>
            <w:pPr>
              <w:spacing w:after="20"/>
            </w:pPr>
            <w:r>
              <w:rPr>
                <w:b w:val="0"/>
                <w:i w:val="0"/>
                <w:sz w:val="16"/>
              </w:rPr>
              <w:t>§12.01(f)</w:t>
            </w:r>
          </w:p>
          <w:p>
            <w:pPr>
              <w:spacing w:after="20"/>
            </w:pPr>
            <w:r>
              <w:rPr>
                <w:b w:val="0"/>
                <w:i w:val="0"/>
                <w:sz w:val="16"/>
              </w:rPr>
              <w:t>NEW</w:t>
            </w:r>
          </w:p>
        </w:tc>
        <w:tc>
          <w:tcPr>
            <w:tcW w:type="dxa" w:w="2808"/>
            <w:shd w:val="clear" w:color="auto" w:fill="EEF1F6"/>
          </w:tcPr>
          <w:p>
            <w:pPr>
              <w:spacing w:after="20"/>
            </w:pPr>
            <w:r/>
            <w:r>
              <w:rPr>
                <w:b w:val="0"/>
                <w:i w:val="0"/>
                <w:sz w:val="16"/>
              </w:rPr>
              <w:t>New: Liquidity of “not less than $113,000,000” as of signing and the RSA Effective Date, under a “Solvency” caption.</w:t>
            </w:r>
          </w:p>
        </w:tc>
        <w:tc>
          <w:tcPr>
            <w:tcW w:type="dxa" w:w="2808"/>
            <w:shd w:val="clear" w:color="auto" w:fill="EEF1F6"/>
          </w:tcPr>
          <w:p>
            <w:pPr>
              <w:spacing w:after="20"/>
            </w:pPr>
            <w:r/>
            <w:r>
              <w:rPr>
                <w:b w:val="0"/>
                <w:i w:val="0"/>
                <w:sz w:val="16"/>
              </w:rPr>
              <w:t>Mis-captioned (the Company is filing for chapter 11), and the figure will likely be untrue by April 14 given fees and seasonality, producing an immediate breach.</w:t>
            </w:r>
          </w:p>
        </w:tc>
        <w:tc>
          <w:tcPr>
            <w:tcW w:type="dxa" w:w="2088"/>
            <w:shd w:val="clear" w:color="auto" w:fill="EEF1F6"/>
          </w:tcPr>
          <w:p>
            <w:pPr>
              <w:spacing w:after="20"/>
            </w:pPr>
            <w:r/>
            <w:r>
              <w:rPr>
                <w:b/>
                <w:i w:val="0"/>
                <w:sz w:val="16"/>
              </w:rPr>
              <w:t>Reject.</w:t>
            </w:r>
            <w:r>
              <w:rPr>
                <w:b w:val="0"/>
                <w:i w:val="0"/>
                <w:sz w:val="16"/>
              </w:rPr>
              <w:t xml:space="preserve"> At most, an “approximately $[●] as of [date]” liquidity statement, not brought down; delete the caption.</w:t>
            </w:r>
          </w:p>
        </w:tc>
      </w:tr>
      <w:tr>
        <w:tc>
          <w:tcPr>
            <w:tcW w:type="dxa" w:w="1656"/>
          </w:tcPr>
          <w:p>
            <w:pPr>
              <w:spacing w:after="20"/>
            </w:pPr>
            <w:r/>
            <w:r>
              <w:rPr>
                <w:b w:val="0"/>
                <w:i w:val="0"/>
                <w:sz w:val="16"/>
              </w:rPr>
              <w:t>I3. No MAC</w:t>
            </w:r>
          </w:p>
          <w:p>
            <w:pPr>
              <w:spacing w:after="20"/>
            </w:pPr>
            <w:r>
              <w:rPr>
                <w:b w:val="0"/>
                <w:i w:val="0"/>
                <w:sz w:val="16"/>
              </w:rPr>
              <w:t>§12.01(g)</w:t>
            </w:r>
          </w:p>
          <w:p>
            <w:pPr>
              <w:spacing w:after="20"/>
            </w:pPr>
            <w:r>
              <w:rPr>
                <w:b w:val="0"/>
                <w:i w:val="0"/>
                <w:sz w:val="16"/>
              </w:rPr>
              <w:t>NEW</w:t>
            </w:r>
          </w:p>
        </w:tc>
        <w:tc>
          <w:tcPr>
            <w:tcW w:type="dxa" w:w="2808"/>
          </w:tcPr>
          <w:p>
            <w:pPr>
              <w:spacing w:after="20"/>
            </w:pPr>
            <w:r/>
            <w:r>
              <w:rPr>
                <w:b w:val="0"/>
                <w:i w:val="0"/>
                <w:sz w:val="16"/>
              </w:rPr>
              <w:t>New: no material adverse change since December 31, 2024.</w:t>
            </w:r>
          </w:p>
        </w:tc>
        <w:tc>
          <w:tcPr>
            <w:tcW w:type="dxa" w:w="2808"/>
          </w:tcPr>
          <w:p>
            <w:pPr>
              <w:spacing w:after="20"/>
            </w:pPr>
            <w:r/>
            <w:r>
              <w:rPr>
                <w:b w:val="0"/>
                <w:i w:val="0"/>
                <w:sz w:val="16"/>
              </w:rPr>
              <w:t>Gives the lenders a walk right in a distressed company.</w:t>
            </w:r>
          </w:p>
        </w:tc>
        <w:tc>
          <w:tcPr>
            <w:tcW w:type="dxa" w:w="2088"/>
          </w:tcPr>
          <w:p>
            <w:pPr>
              <w:spacing w:after="20"/>
            </w:pPr>
            <w:r/>
            <w:r>
              <w:rPr>
                <w:b/>
                <w:i w:val="0"/>
                <w:sz w:val="16"/>
              </w:rPr>
              <w:t>Reject</w:t>
            </w:r>
            <w:r>
              <w:rPr>
                <w:b w:val="0"/>
                <w:i w:val="0"/>
                <w:sz w:val="16"/>
              </w:rPr>
              <w:t>, or exclude changes disclosed before signing and those customarily resulting from the restructuring, the chapter 11 filing, and industry or economic conditions.</w:t>
            </w:r>
          </w:p>
        </w:tc>
      </w:tr>
      <w:tr>
        <w:tc>
          <w:tcPr>
            <w:tcW w:type="dxa" w:w="1656"/>
            <w:shd w:val="clear" w:color="auto" w:fill="EEF1F6"/>
          </w:tcPr>
          <w:p>
            <w:pPr>
              <w:spacing w:after="20"/>
            </w:pPr>
            <w:r/>
            <w:r>
              <w:rPr>
                <w:b w:val="0"/>
                <w:i w:val="0"/>
                <w:sz w:val="16"/>
              </w:rPr>
              <w:t>I4. Lender reps</w:t>
            </w:r>
          </w:p>
          <w:p>
            <w:pPr>
              <w:spacing w:after="20"/>
            </w:pPr>
            <w:r>
              <w:rPr>
                <w:b w:val="0"/>
                <w:i w:val="0"/>
                <w:sz w:val="16"/>
              </w:rPr>
              <w:t>§12.02(b)</w:t>
            </w:r>
          </w:p>
          <w:p>
            <w:pPr>
              <w:spacing w:after="20"/>
            </w:pPr>
            <w:r>
              <w:rPr>
                <w:b w:val="0"/>
                <w:i w:val="0"/>
                <w:sz w:val="16"/>
              </w:rPr>
              <w:t>NEW</w:t>
            </w:r>
          </w:p>
        </w:tc>
        <w:tc>
          <w:tcPr>
            <w:tcW w:type="dxa" w:w="2808"/>
            <w:shd w:val="clear" w:color="auto" w:fill="EEF1F6"/>
          </w:tcPr>
          <w:p>
            <w:pPr>
              <w:spacing w:after="20"/>
            </w:pPr>
            <w:r/>
            <w:r>
              <w:rPr>
                <w:b w:val="0"/>
                <w:i w:val="0"/>
                <w:sz w:val="16"/>
              </w:rPr>
              <w:t>Adds a rep that holdings are not subject to other voting agreements.</w:t>
            </w:r>
          </w:p>
        </w:tc>
        <w:tc>
          <w:tcPr>
            <w:tcW w:type="dxa" w:w="2808"/>
            <w:shd w:val="clear" w:color="auto" w:fill="EEF1F6"/>
          </w:tcPr>
          <w:p>
            <w:pPr>
              <w:spacing w:after="20"/>
            </w:pPr>
            <w:r/>
            <w:r>
              <w:rPr>
                <w:b w:val="0"/>
                <w:i w:val="0"/>
                <w:sz w:val="16"/>
              </w:rPr>
              <w:t>Helpful.</w:t>
            </w:r>
          </w:p>
        </w:tc>
        <w:tc>
          <w:tcPr>
            <w:tcW w:type="dxa" w:w="2088"/>
            <w:shd w:val="clear" w:color="auto" w:fill="EEF1F6"/>
          </w:tcPr>
          <w:p>
            <w:pPr>
              <w:spacing w:after="20"/>
            </w:pPr>
            <w:r/>
            <w:r>
              <w:rPr>
                <w:b/>
                <w:i w:val="0"/>
                <w:sz w:val="16"/>
              </w:rPr>
              <w:t>Accept.</w:t>
            </w:r>
            <w:r>
              <w:rPr>
                <w:b w:val="0"/>
                <w:i w:val="0"/>
                <w:sz w:val="16"/>
              </w:rPr>
              <w:t xml:space="preserve"> Restore the QIB/AI rep (G3).</w:t>
            </w:r>
          </w:p>
        </w:tc>
      </w:tr>
    </w:tbl>
    <w:p>
      <w:pPr>
        <w:spacing w:after="40"/>
      </w:pPr>
    </w:p>
    <w:p>
      <w:pPr>
        <w:pStyle w:val="Heading2"/>
      </w:pPr>
      <w:r>
        <w:t>J. Untracked Changes and Document-Integrity Items</w:t>
      </w:r>
    </w:p>
    <w:p>
      <w:pPr>
        <w:jc w:val="both"/>
      </w:pPr>
      <w:r>
        <w:rPr>
          <w:b w:val="0"/>
          <w:i w:val="0"/>
        </w:rPr>
        <w:t>In addition to the items marked “untracked” above, the following differences from the Company Draft carry no revision marks or are factual changes that need verification:</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016"/>
            <w:shd w:val="clear" w:color="auto" w:fill="1F2A44"/>
          </w:tcPr>
          <w:p>
            <w:r/>
            <w:r>
              <w:rPr>
                <w:b/>
                <w:color w:val="FFFFFF"/>
                <w:sz w:val="16"/>
              </w:rPr>
              <w:t>Item</w:t>
            </w:r>
          </w:p>
        </w:tc>
        <w:tc>
          <w:tcPr>
            <w:tcW w:type="dxa" w:w="2880"/>
            <w:shd w:val="clear" w:color="auto" w:fill="1F2A44"/>
          </w:tcPr>
          <w:p>
            <w:r/>
            <w:r>
              <w:rPr>
                <w:b/>
                <w:color w:val="FFFFFF"/>
                <w:sz w:val="16"/>
              </w:rPr>
              <w:t>Company Draft / source</w:t>
            </w:r>
          </w:p>
        </w:tc>
        <w:tc>
          <w:tcPr>
            <w:tcW w:type="dxa" w:w="2016"/>
            <w:shd w:val="clear" w:color="auto" w:fill="1F2A44"/>
          </w:tcPr>
          <w:p>
            <w:r/>
            <w:r>
              <w:rPr>
                <w:b/>
                <w:color w:val="FFFFFF"/>
                <w:sz w:val="16"/>
              </w:rPr>
              <w:t>Markup</w:t>
            </w:r>
          </w:p>
        </w:tc>
        <w:tc>
          <w:tcPr>
            <w:tcW w:type="dxa" w:w="2448"/>
            <w:shd w:val="clear" w:color="auto" w:fill="1F2A44"/>
          </w:tcPr>
          <w:p>
            <w:r/>
            <w:r>
              <w:rPr>
                <w:b/>
                <w:color w:val="FFFFFF"/>
                <w:sz w:val="16"/>
              </w:rPr>
              <w:t>Action</w:t>
            </w:r>
          </w:p>
        </w:tc>
      </w:tr>
      <w:tr>
        <w:tc>
          <w:tcPr>
            <w:tcW w:type="dxa" w:w="2016"/>
          </w:tcPr>
          <w:p>
            <w:pPr>
              <w:spacing w:after="20"/>
            </w:pPr>
            <w:r/>
            <w:r>
              <w:rPr>
                <w:b w:val="0"/>
                <w:i w:val="0"/>
                <w:sz w:val="16"/>
              </w:rPr>
              <w:t>Schedule 1 (Company Parties)</w:t>
            </w:r>
          </w:p>
        </w:tc>
        <w:tc>
          <w:tcPr>
            <w:tcW w:type="dxa" w:w="2880"/>
          </w:tcPr>
          <w:p>
            <w:pPr>
              <w:spacing w:after="20"/>
            </w:pPr>
            <w:r/>
            <w:r>
              <w:rPr>
                <w:b w:val="0"/>
                <w:i w:val="0"/>
                <w:sz w:val="16"/>
              </w:rPr>
              <w:t>10 entities, including Ridgeline Property Holdings, Aldersgate Management Corp., RHG Capital Services, PeakStay Operations (IL), Ridgeline Development Partners, RHG Shared Services</w:t>
            </w:r>
          </w:p>
        </w:tc>
        <w:tc>
          <w:tcPr>
            <w:tcW w:type="dxa" w:w="2016"/>
          </w:tcPr>
          <w:p>
            <w:pPr>
              <w:spacing w:after="20"/>
            </w:pPr>
            <w:r/>
            <w:r>
              <w:rPr>
                <w:b w:val="0"/>
                <w:i w:val="0"/>
                <w:sz w:val="16"/>
              </w:rPr>
              <w:t>4 entities, “to be confirmed”</w:t>
            </w:r>
          </w:p>
        </w:tc>
        <w:tc>
          <w:tcPr>
            <w:tcW w:type="dxa" w:w="2448"/>
          </w:tcPr>
          <w:p>
            <w:pPr>
              <w:spacing w:after="20"/>
            </w:pPr>
            <w:r/>
            <w:r>
              <w:rPr>
                <w:b w:val="0"/>
                <w:i w:val="0"/>
                <w:sz w:val="16"/>
              </w:rPr>
              <w:t>Restore all 10. They are DIP borrowers/guarantors and must be bound.</w:t>
            </w:r>
          </w:p>
        </w:tc>
      </w:tr>
      <w:tr>
        <w:tc>
          <w:tcPr>
            <w:tcW w:type="dxa" w:w="2016"/>
            <w:shd w:val="clear" w:color="auto" w:fill="EEF1F6"/>
          </w:tcPr>
          <w:p>
            <w:pPr>
              <w:spacing w:after="20"/>
            </w:pPr>
            <w:r/>
            <w:r>
              <w:rPr>
                <w:b w:val="0"/>
                <w:i w:val="0"/>
                <w:sz w:val="16"/>
              </w:rPr>
              <w:t>First Lien Credit Agreement date</w:t>
            </w:r>
          </w:p>
        </w:tc>
        <w:tc>
          <w:tcPr>
            <w:tcW w:type="dxa" w:w="2880"/>
            <w:shd w:val="clear" w:color="auto" w:fill="EEF1F6"/>
          </w:tcPr>
          <w:p>
            <w:pPr>
              <w:spacing w:after="20"/>
            </w:pPr>
            <w:r/>
            <w:r>
              <w:rPr>
                <w:b w:val="0"/>
                <w:i w:val="0"/>
                <w:sz w:val="16"/>
              </w:rPr>
              <w:t>Dec. 15, 2018 (CD); Aug. 12, 2019 (DIP TS §5.4)</w:t>
            </w:r>
          </w:p>
        </w:tc>
        <w:tc>
          <w:tcPr>
            <w:tcW w:type="dxa" w:w="2016"/>
            <w:shd w:val="clear" w:color="auto" w:fill="EEF1F6"/>
          </w:tcPr>
          <w:p>
            <w:pPr>
              <w:spacing w:after="20"/>
            </w:pPr>
            <w:r/>
            <w:r>
              <w:rPr>
                <w:b w:val="0"/>
                <w:i w:val="0"/>
                <w:sz w:val="16"/>
              </w:rPr>
              <w:t>Dec. 15, 2020</w:t>
            </w:r>
          </w:p>
        </w:tc>
        <w:tc>
          <w:tcPr>
            <w:tcW w:type="dxa" w:w="2448"/>
            <w:shd w:val="clear" w:color="auto" w:fill="EEF1F6"/>
          </w:tcPr>
          <w:p>
            <w:pPr>
              <w:spacing w:after="20"/>
            </w:pPr>
            <w:r/>
            <w:r>
              <w:rPr>
                <w:b w:val="0"/>
                <w:i w:val="0"/>
                <w:sz w:val="16"/>
              </w:rPr>
              <w:t>Verify against the executed agreement; conform all documents.</w:t>
            </w:r>
          </w:p>
        </w:tc>
      </w:tr>
      <w:tr>
        <w:tc>
          <w:tcPr>
            <w:tcW w:type="dxa" w:w="2016"/>
          </w:tcPr>
          <w:p>
            <w:pPr>
              <w:spacing w:after="20"/>
            </w:pPr>
            <w:r/>
            <w:r>
              <w:rPr>
                <w:b w:val="0"/>
                <w:i w:val="0"/>
                <w:sz w:val="16"/>
              </w:rPr>
              <w:t>Second Lien Indenture date</w:t>
            </w:r>
          </w:p>
        </w:tc>
        <w:tc>
          <w:tcPr>
            <w:tcW w:type="dxa" w:w="2880"/>
          </w:tcPr>
          <w:p>
            <w:pPr>
              <w:spacing w:after="20"/>
            </w:pPr>
            <w:r/>
            <w:r>
              <w:rPr>
                <w:b w:val="0"/>
                <w:i w:val="0"/>
                <w:sz w:val="16"/>
              </w:rPr>
              <w:t>Nov. 3, 2020 (DIP TS §5.4)</w:t>
            </w:r>
          </w:p>
        </w:tc>
        <w:tc>
          <w:tcPr>
            <w:tcW w:type="dxa" w:w="2016"/>
          </w:tcPr>
          <w:p>
            <w:pPr>
              <w:spacing w:after="20"/>
            </w:pPr>
            <w:r/>
            <w:r>
              <w:rPr>
                <w:b w:val="0"/>
                <w:i w:val="0"/>
                <w:sz w:val="16"/>
              </w:rPr>
              <w:t>Mar. 15, 2021</w:t>
            </w:r>
          </w:p>
        </w:tc>
        <w:tc>
          <w:tcPr>
            <w:tcW w:type="dxa" w:w="2448"/>
          </w:tcPr>
          <w:p>
            <w:pPr>
              <w:spacing w:after="20"/>
            </w:pPr>
            <w:r/>
            <w:r>
              <w:rPr>
                <w:b w:val="0"/>
                <w:i w:val="0"/>
                <w:sz w:val="16"/>
              </w:rPr>
              <w:t>Verify; also review the Aug. 12, 2019 intercreditor agreement for DIP consent and §364 objection waivers.</w:t>
            </w:r>
          </w:p>
        </w:tc>
      </w:tr>
      <w:tr>
        <w:tc>
          <w:tcPr>
            <w:tcW w:type="dxa" w:w="2016"/>
            <w:shd w:val="clear" w:color="auto" w:fill="EEF1F6"/>
          </w:tcPr>
          <w:p>
            <w:pPr>
              <w:spacing w:after="20"/>
            </w:pPr>
            <w:r/>
            <w:r>
              <w:rPr>
                <w:b w:val="0"/>
                <w:i w:val="0"/>
                <w:sz w:val="16"/>
              </w:rPr>
              <w:t>Largest holder</w:t>
            </w:r>
          </w:p>
        </w:tc>
        <w:tc>
          <w:tcPr>
            <w:tcW w:type="dxa" w:w="2880"/>
            <w:shd w:val="clear" w:color="auto" w:fill="EEF1F6"/>
          </w:tcPr>
          <w:p>
            <w:pPr>
              <w:spacing w:after="20"/>
            </w:pPr>
            <w:r/>
            <w:r>
              <w:rPr>
                <w:b w:val="0"/>
                <w:i w:val="0"/>
                <w:sz w:val="16"/>
              </w:rPr>
              <w:t>Hollcroft Capital Management LP (CD preamble, Sch. 2, Framework, DIP TS)</w:t>
            </w:r>
          </w:p>
        </w:tc>
        <w:tc>
          <w:tcPr>
            <w:tcW w:type="dxa" w:w="2016"/>
            <w:shd w:val="clear" w:color="auto" w:fill="EEF1F6"/>
          </w:tcPr>
          <w:p>
            <w:pPr>
              <w:spacing w:after="20"/>
            </w:pPr>
            <w:r/>
            <w:r>
              <w:rPr>
                <w:b w:val="0"/>
                <w:i w:val="0"/>
                <w:sz w:val="16"/>
              </w:rPr>
              <w:t>Redstone (signature block, Cover Email, Pendleton); Hollcroft (Sch. 2)</w:t>
            </w:r>
          </w:p>
        </w:tc>
        <w:tc>
          <w:tcPr>
            <w:tcW w:type="dxa" w:w="2448"/>
            <w:shd w:val="clear" w:color="auto" w:fill="EEF1F6"/>
          </w:tcPr>
          <w:p>
            <w:pPr>
              <w:spacing w:after="20"/>
            </w:pPr>
            <w:r/>
            <w:r>
              <w:rPr>
                <w:b w:val="0"/>
                <w:i w:val="0"/>
                <w:sz w:val="16"/>
              </w:rPr>
              <w:t>Confirm the legal entity and signatory.</w:t>
            </w:r>
          </w:p>
        </w:tc>
      </w:tr>
      <w:tr>
        <w:tc>
          <w:tcPr>
            <w:tcW w:type="dxa" w:w="2016"/>
          </w:tcPr>
          <w:p>
            <w:pPr>
              <w:spacing w:after="20"/>
            </w:pPr>
            <w:r/>
            <w:r>
              <w:rPr>
                <w:b w:val="0"/>
                <w:i w:val="0"/>
                <w:sz w:val="16"/>
              </w:rPr>
              <w:t>Brand name</w:t>
            </w:r>
          </w:p>
        </w:tc>
        <w:tc>
          <w:tcPr>
            <w:tcW w:type="dxa" w:w="2880"/>
          </w:tcPr>
          <w:p>
            <w:pPr>
              <w:spacing w:after="20"/>
            </w:pPr>
            <w:r/>
            <w:r>
              <w:rPr>
                <w:b w:val="0"/>
                <w:i w:val="0"/>
                <w:sz w:val="16"/>
              </w:rPr>
              <w:t>Aldersgate Hotels (all legal documents)</w:t>
            </w:r>
          </w:p>
        </w:tc>
        <w:tc>
          <w:tcPr>
            <w:tcW w:type="dxa" w:w="2016"/>
          </w:tcPr>
          <w:p>
            <w:pPr>
              <w:spacing w:after="20"/>
            </w:pPr>
            <w:r/>
            <w:r>
              <w:rPr>
                <w:b w:val="0"/>
                <w:i w:val="0"/>
                <w:sz w:val="16"/>
              </w:rPr>
              <w:t>—</w:t>
            </w:r>
          </w:p>
        </w:tc>
        <w:tc>
          <w:tcPr>
            <w:tcW w:type="dxa" w:w="2448"/>
          </w:tcPr>
          <w:p>
            <w:pPr>
              <w:spacing w:after="20"/>
            </w:pPr>
            <w:r/>
            <w:r>
              <w:rPr>
                <w:b w:val="0"/>
                <w:i w:val="0"/>
                <w:sz w:val="16"/>
              </w:rPr>
              <w:t>Correct the Pendleton Schedule (“Crestview Hotels”).</w:t>
            </w:r>
          </w:p>
        </w:tc>
      </w:tr>
      <w:tr>
        <w:tc>
          <w:tcPr>
            <w:tcW w:type="dxa" w:w="2016"/>
            <w:shd w:val="clear" w:color="auto" w:fill="EEF1F6"/>
          </w:tcPr>
          <w:p>
            <w:pPr>
              <w:spacing w:after="20"/>
            </w:pPr>
            <w:r/>
            <w:r>
              <w:rPr>
                <w:b w:val="0"/>
                <w:i w:val="0"/>
                <w:sz w:val="16"/>
              </w:rPr>
              <w:t>Section 13(d) “no group”; acknowledgments</w:t>
            </w:r>
          </w:p>
        </w:tc>
        <w:tc>
          <w:tcPr>
            <w:tcW w:type="dxa" w:w="2880"/>
            <w:shd w:val="clear" w:color="auto" w:fill="EEF1F6"/>
          </w:tcPr>
          <w:p>
            <w:pPr>
              <w:spacing w:after="20"/>
            </w:pPr>
            <w:r/>
            <w:r>
              <w:rPr>
                <w:b w:val="0"/>
                <w:i w:val="0"/>
                <w:sz w:val="16"/>
              </w:rPr>
              <w:t>CD §§14.10–14.11</w:t>
            </w:r>
          </w:p>
        </w:tc>
        <w:tc>
          <w:tcPr>
            <w:tcW w:type="dxa" w:w="2016"/>
            <w:shd w:val="clear" w:color="auto" w:fill="EEF1F6"/>
          </w:tcPr>
          <w:p>
            <w:pPr>
              <w:spacing w:after="20"/>
            </w:pPr>
            <w:r/>
            <w:r>
              <w:rPr>
                <w:b w:val="0"/>
                <w:i w:val="0"/>
                <w:sz w:val="16"/>
              </w:rPr>
              <w:t>Deleted</w:t>
            </w:r>
          </w:p>
        </w:tc>
        <w:tc>
          <w:tcPr>
            <w:tcW w:type="dxa" w:w="2448"/>
            <w:shd w:val="clear" w:color="auto" w:fill="EEF1F6"/>
          </w:tcPr>
          <w:p>
            <w:pPr>
              <w:spacing w:after="20"/>
            </w:pPr>
            <w:r/>
            <w:r>
              <w:rPr>
                <w:b w:val="0"/>
                <w:i w:val="0"/>
                <w:sz w:val="16"/>
              </w:rPr>
              <w:t>Restore (see E1).</w:t>
            </w:r>
          </w:p>
        </w:tc>
      </w:tr>
      <w:tr>
        <w:tc>
          <w:tcPr>
            <w:tcW w:type="dxa" w:w="2016"/>
          </w:tcPr>
          <w:p>
            <w:pPr>
              <w:spacing w:after="20"/>
            </w:pPr>
            <w:r/>
            <w:r>
              <w:rPr>
                <w:b w:val="0"/>
                <w:i w:val="0"/>
                <w:sz w:val="16"/>
              </w:rPr>
              <w:t>Prepetition solicitation</w:t>
            </w:r>
          </w:p>
        </w:tc>
        <w:tc>
          <w:tcPr>
            <w:tcW w:type="dxa" w:w="2880"/>
          </w:tcPr>
          <w:p>
            <w:pPr>
              <w:spacing w:after="20"/>
            </w:pPr>
            <w:r/>
            <w:r>
              <w:rPr>
                <w:b w:val="0"/>
                <w:i w:val="0"/>
                <w:sz w:val="16"/>
              </w:rPr>
              <w:t>CD §2.02</w:t>
            </w:r>
          </w:p>
        </w:tc>
        <w:tc>
          <w:tcPr>
            <w:tcW w:type="dxa" w:w="2016"/>
          </w:tcPr>
          <w:p>
            <w:pPr>
              <w:spacing w:after="20"/>
            </w:pPr>
            <w:r/>
            <w:r>
              <w:rPr>
                <w:b w:val="0"/>
                <w:i w:val="0"/>
                <w:sz w:val="16"/>
              </w:rPr>
              <w:t>Deleted</w:t>
            </w:r>
          </w:p>
        </w:tc>
        <w:tc>
          <w:tcPr>
            <w:tcW w:type="dxa" w:w="2448"/>
          </w:tcPr>
          <w:p>
            <w:pPr>
              <w:spacing w:after="20"/>
            </w:pPr>
            <w:r/>
            <w:r>
              <w:rPr>
                <w:b w:val="0"/>
                <w:i w:val="0"/>
                <w:sz w:val="16"/>
              </w:rPr>
              <w:t>Restore if a true prepack is intended (see C2).</w:t>
            </w:r>
          </w:p>
        </w:tc>
      </w:tr>
      <w:tr>
        <w:tc>
          <w:tcPr>
            <w:tcW w:type="dxa" w:w="2016"/>
            <w:shd w:val="clear" w:color="auto" w:fill="EEF1F6"/>
          </w:tcPr>
          <w:p>
            <w:pPr>
              <w:spacing w:after="20"/>
            </w:pPr>
            <w:r/>
            <w:r>
              <w:rPr>
                <w:b w:val="0"/>
                <w:i w:val="0"/>
                <w:sz w:val="16"/>
              </w:rPr>
              <w:t>Company covenants: ordinary course, information, exclusivity</w:t>
            </w:r>
          </w:p>
        </w:tc>
        <w:tc>
          <w:tcPr>
            <w:tcW w:type="dxa" w:w="2880"/>
            <w:shd w:val="clear" w:color="auto" w:fill="EEF1F6"/>
          </w:tcPr>
          <w:p>
            <w:pPr>
              <w:spacing w:after="20"/>
            </w:pPr>
            <w:r/>
            <w:r>
              <w:rPr>
                <w:b w:val="0"/>
                <w:i w:val="0"/>
                <w:sz w:val="16"/>
              </w:rPr>
              <w:t>CD §§5.01–5.03; §3.01(f)–(k)</w:t>
            </w:r>
          </w:p>
        </w:tc>
        <w:tc>
          <w:tcPr>
            <w:tcW w:type="dxa" w:w="2016"/>
            <w:shd w:val="clear" w:color="auto" w:fill="EEF1F6"/>
          </w:tcPr>
          <w:p>
            <w:pPr>
              <w:spacing w:after="20"/>
            </w:pPr>
            <w:r/>
            <w:r>
              <w:rPr>
                <w:b w:val="0"/>
                <w:i w:val="0"/>
                <w:sz w:val="16"/>
              </w:rPr>
              <w:t>Deleted / replaced</w:t>
            </w:r>
          </w:p>
        </w:tc>
        <w:tc>
          <w:tcPr>
            <w:tcW w:type="dxa" w:w="2448"/>
            <w:shd w:val="clear" w:color="auto" w:fill="EEF1F6"/>
          </w:tcPr>
          <w:p>
            <w:pPr>
              <w:spacing w:after="20"/>
            </w:pPr>
            <w:r/>
            <w:r>
              <w:rPr>
                <w:b w:val="0"/>
                <w:i w:val="0"/>
                <w:sz w:val="16"/>
              </w:rPr>
              <w:t>Mostly lender-protective; deletions are acceptable except the carveout support (CD §3.01(k)).</w:t>
            </w:r>
          </w:p>
        </w:tc>
      </w:tr>
    </w:tbl>
    <w:p>
      <w:pPr>
        <w:spacing w:after="40"/>
      </w:pPr>
    </w:p>
    <w:p>
      <w:pPr>
        <w:pStyle w:val="Heading2"/>
      </w:pPr>
      <w:r>
        <w:t>K. Conforming and Clarifying Changes (Accept)</w:t>
      </w:r>
    </w:p>
    <w:p>
      <w:pPr>
        <w:jc w:val="both"/>
      </w:pPr>
      <w:r>
        <w:rPr>
          <w:b w:val="0"/>
          <w:i w:val="0"/>
        </w:rPr>
        <w:t>We recommend accepting the following without discussion: “or any successor thereto” agent references; “as amended, restated, supplemented, or otherwise modified” formulations; “which” to “that”; the “Bankruptcy Code” typo fix; deletion of the duplicate “Company Parties” definition in Recital A; the no-admission sentence in Recital D; the Termination Date cross-reference fix; email notice (§13.01(d)) and the Clearbridge copy; the entire-agreement supersession language (§13.05); electronic signatures (§13.08); the governing-law reference to the Bankruptcy Code (§13.02); “including, without limitation” in “Reorganized Company”; Joinder effectiveness on delivery (§8.02) and notice address (Ex. D ¶4); signature lines for all subsidiaries; and the percentage column in Schedule 2 (after the holder-name fix). The disproportionate-treatment proviso in §13.06 and the no-bond specific performance language in §13.11 were already in the Company Draft (CD §§14.03(a), 14.08) and are not substantive changes.</w:t>
      </w:r>
    </w:p>
    <w:p>
      <w:pPr>
        <w:pStyle w:val="Heading1"/>
      </w:pPr>
      <w:r>
        <w:t>V. Discrepancies Requiring Attention</w:t>
      </w:r>
    </w:p>
    <w:p>
      <w:pPr>
        <w:pStyle w:val="Heading2"/>
      </w:pPr>
      <w:r>
        <w:t>A. Cover Email statements that do not match the Markup</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3744"/>
            <w:shd w:val="clear" w:color="auto" w:fill="1F2A44"/>
          </w:tcPr>
          <w:p>
            <w:r/>
            <w:r>
              <w:rPr>
                <w:b/>
                <w:color w:val="FFFFFF"/>
                <w:sz w:val="17"/>
              </w:rPr>
              <w:t>Cover Email statement</w:t>
            </w:r>
          </w:p>
        </w:tc>
        <w:tc>
          <w:tcPr>
            <w:tcW w:type="dxa" w:w="5616"/>
            <w:shd w:val="clear" w:color="auto" w:fill="1F2A44"/>
          </w:tcPr>
          <w:p>
            <w:r/>
            <w:r>
              <w:rPr>
                <w:b/>
                <w:color w:val="FFFFFF"/>
                <w:sz w:val="17"/>
              </w:rPr>
              <w:t>What the documents show</w:t>
            </w:r>
          </w:p>
        </w:tc>
      </w:tr>
      <w:tr>
        <w:tc>
          <w:tcPr>
            <w:tcW w:type="dxa" w:w="3744"/>
          </w:tcPr>
          <w:p>
            <w:pPr>
              <w:spacing w:after="20"/>
            </w:pPr>
            <w:r/>
            <w:r>
              <w:rPr>
                <w:b w:val="0"/>
                <w:i w:val="0"/>
                <w:sz w:val="17"/>
              </w:rPr>
              <w:t>“Approximately 47 changes,” mostly conforming.</w:t>
            </w:r>
          </w:p>
        </w:tc>
        <w:tc>
          <w:tcPr>
            <w:tcW w:type="dxa" w:w="5616"/>
          </w:tcPr>
          <w:p>
            <w:pPr>
              <w:spacing w:after="20"/>
            </w:pPr>
            <w:r/>
            <w:r>
              <w:rPr>
                <w:b w:val="0"/>
                <w:i w:val="0"/>
                <w:sz w:val="17"/>
              </w:rPr>
              <w:t>The Markup was run against a different base, and at least 20 substantive changes are untracked (Part II.B, Part IV.J).</w:t>
            </w:r>
          </w:p>
        </w:tc>
      </w:tr>
      <w:tr>
        <w:tc>
          <w:tcPr>
            <w:tcW w:type="dxa" w:w="3744"/>
            <w:shd w:val="clear" w:color="auto" w:fill="EEF1F6"/>
          </w:tcPr>
          <w:p>
            <w:pPr>
              <w:spacing w:after="20"/>
            </w:pPr>
            <w:r/>
            <w:r>
              <w:rPr>
                <w:b w:val="0"/>
                <w:i w:val="0"/>
                <w:sz w:val="17"/>
              </w:rPr>
              <w:t>Equity “78% / 8% / 4% (with the remaining 10% reserved for the MIP and rights offering backstop).”</w:t>
            </w:r>
          </w:p>
        </w:tc>
        <w:tc>
          <w:tcPr>
            <w:tcW w:type="dxa" w:w="5616"/>
            <w:shd w:val="clear" w:color="auto" w:fill="EEF1F6"/>
          </w:tcPr>
          <w:p>
            <w:pPr>
              <w:spacing w:after="20"/>
            </w:pPr>
            <w:r/>
            <w:r>
              <w:rPr>
                <w:b w:val="0"/>
                <w:i w:val="0"/>
                <w:sz w:val="17"/>
              </w:rPr>
              <w:t>The MIP is 7.5%, 2.5% is unallocated, and no rights offering or backstop exists in either document.</w:t>
            </w:r>
          </w:p>
        </w:tc>
      </w:tr>
      <w:tr>
        <w:tc>
          <w:tcPr>
            <w:tcW w:type="dxa" w:w="3744"/>
          </w:tcPr>
          <w:p>
            <w:pPr>
              <w:spacing w:after="20"/>
            </w:pPr>
            <w:r/>
            <w:r>
              <w:rPr>
                <w:b w:val="0"/>
                <w:i w:val="0"/>
                <w:sz w:val="17"/>
              </w:rPr>
              <w:t>MIP “7.5% equity pool (up from 5% in the Company’s draft).”</w:t>
            </w:r>
          </w:p>
        </w:tc>
        <w:tc>
          <w:tcPr>
            <w:tcW w:type="dxa" w:w="5616"/>
          </w:tcPr>
          <w:p>
            <w:pPr>
              <w:spacing w:after="20"/>
            </w:pPr>
            <w:r/>
            <w:r>
              <w:rPr>
                <w:b w:val="0"/>
                <w:i w:val="0"/>
                <w:sz w:val="17"/>
              </w:rPr>
              <w:t>The Company Draft MIP is 10% (CD §§1, 11.03; Ex. A §V). The Markup cuts it by 2.5 points and back-loads vesting.</w:t>
            </w:r>
          </w:p>
        </w:tc>
      </w:tr>
      <w:tr>
        <w:tc>
          <w:tcPr>
            <w:tcW w:type="dxa" w:w="3744"/>
            <w:shd w:val="clear" w:color="auto" w:fill="EEF1F6"/>
          </w:tcPr>
          <w:p>
            <w:pPr>
              <w:spacing w:after="20"/>
            </w:pPr>
            <w:r/>
            <w:r>
              <w:rPr>
                <w:b w:val="0"/>
                <w:i w:val="0"/>
                <w:sz w:val="17"/>
              </w:rPr>
              <w:t>Observers until emergence (“between RSA execution and emergence”).</w:t>
            </w:r>
          </w:p>
        </w:tc>
        <w:tc>
          <w:tcPr>
            <w:tcW w:type="dxa" w:w="5616"/>
            <w:shd w:val="clear" w:color="auto" w:fill="EEF1F6"/>
          </w:tcPr>
          <w:p>
            <w:pPr>
              <w:spacing w:after="20"/>
            </w:pPr>
            <w:r/>
            <w:r>
              <w:rPr>
                <w:b w:val="0"/>
                <w:i w:val="0"/>
                <w:sz w:val="17"/>
              </w:rPr>
              <w:t>Markup §11.02 ends the observer rights on the Petition Date. Ask which is intended; either way, reject (E1).</w:t>
            </w:r>
          </w:p>
        </w:tc>
      </w:tr>
      <w:tr>
        <w:tc>
          <w:tcPr>
            <w:tcW w:type="dxa" w:w="3744"/>
          </w:tcPr>
          <w:p>
            <w:pPr>
              <w:spacing w:after="20"/>
            </w:pPr>
            <w:r/>
            <w:r>
              <w:rPr>
                <w:b w:val="0"/>
                <w:i w:val="0"/>
                <w:sz w:val="17"/>
              </w:rPr>
              <w:t>Releases are “customary” and bind “non-consenting parties.”</w:t>
            </w:r>
          </w:p>
        </w:tc>
        <w:tc>
          <w:tcPr>
            <w:tcW w:type="dxa" w:w="5616"/>
          </w:tcPr>
          <w:p>
            <w:pPr>
              <w:spacing w:after="20"/>
            </w:pPr>
            <w:r/>
            <w:r>
              <w:rPr>
                <w:b w:val="0"/>
                <w:i w:val="0"/>
                <w:sz w:val="17"/>
              </w:rPr>
              <w:t>Inconsistent with *Purdue* (F1).</w:t>
            </w:r>
          </w:p>
        </w:tc>
      </w:tr>
      <w:tr>
        <w:tc>
          <w:tcPr>
            <w:tcW w:type="dxa" w:w="3744"/>
            <w:shd w:val="clear" w:color="auto" w:fill="EEF1F6"/>
          </w:tcPr>
          <w:p>
            <w:pPr>
              <w:spacing w:after="20"/>
            </w:pPr>
            <w:r/>
            <w:r>
              <w:rPr>
                <w:b w:val="0"/>
                <w:i w:val="0"/>
                <w:sz w:val="17"/>
              </w:rPr>
              <w:t>Cash collateral provisions are “customary lender protections.”</w:t>
            </w:r>
          </w:p>
        </w:tc>
        <w:tc>
          <w:tcPr>
            <w:tcW w:type="dxa" w:w="5616"/>
            <w:shd w:val="clear" w:color="auto" w:fill="EEF1F6"/>
          </w:tcPr>
          <w:p>
            <w:pPr>
              <w:spacing w:after="20"/>
            </w:pPr>
            <w:r/>
            <w:r>
              <w:rPr>
                <w:b w:val="0"/>
                <w:i w:val="0"/>
                <w:sz w:val="17"/>
              </w:rPr>
              <w:t>$2M/$5M thresholds that override Court orders are not customary for a 214-property operator (H1).</w:t>
            </w:r>
          </w:p>
        </w:tc>
      </w:tr>
      <w:tr>
        <w:tc>
          <w:tcPr>
            <w:tcW w:type="dxa" w:w="3744"/>
          </w:tcPr>
          <w:p>
            <w:pPr>
              <w:spacing w:after="20"/>
            </w:pPr>
            <w:r/>
            <w:r>
              <w:rPr>
                <w:b w:val="0"/>
                <w:i w:val="0"/>
                <w:sz w:val="17"/>
              </w:rPr>
              <w:t>Exit TL “approximately 55% of face” supports alignment.</w:t>
            </w:r>
          </w:p>
        </w:tc>
        <w:tc>
          <w:tcPr>
            <w:tcW w:type="dxa" w:w="5616"/>
          </w:tcPr>
          <w:p>
            <w:pPr>
              <w:spacing w:after="20"/>
            </w:pPr>
            <w:r/>
            <w:r>
              <w:rPr>
                <w:b w:val="0"/>
                <w:i w:val="0"/>
                <w:sz w:val="17"/>
              </w:rPr>
              <w:t>Exit debt rises to $830M (4.43x) with the full roll-up (Part III.E).</w:t>
            </w:r>
          </w:p>
        </w:tc>
      </w:tr>
      <w:tr>
        <w:tc>
          <w:tcPr>
            <w:tcW w:type="dxa" w:w="3744"/>
            <w:shd w:val="clear" w:color="auto" w:fill="EEF1F6"/>
          </w:tcPr>
          <w:p>
            <w:pPr>
              <w:spacing w:after="20"/>
            </w:pPr>
            <w:r/>
            <w:r>
              <w:rPr>
                <w:b w:val="0"/>
                <w:i w:val="0"/>
                <w:sz w:val="17"/>
              </w:rPr>
              <w:t>Silent on the warrants, carveout, liquidity trigger, §13.12, transfer basket, reps, Schedule 1 and termination changes.</w:t>
            </w:r>
          </w:p>
        </w:tc>
        <w:tc>
          <w:tcPr>
            <w:tcW w:type="dxa" w:w="5616"/>
            <w:shd w:val="clear" w:color="auto" w:fill="EEF1F6"/>
          </w:tcPr>
          <w:p>
            <w:pPr>
              <w:spacing w:after="20"/>
            </w:pPr>
            <w:r/>
            <w:r>
              <w:rPr>
                <w:b w:val="0"/>
                <w:i w:val="0"/>
                <w:sz w:val="17"/>
              </w:rPr>
              <w:t>Each is material (Part IV).</w:t>
            </w:r>
          </w:p>
        </w:tc>
      </w:tr>
      <w:tr>
        <w:tc>
          <w:tcPr>
            <w:tcW w:type="dxa" w:w="3744"/>
          </w:tcPr>
          <w:p>
            <w:pPr>
              <w:spacing w:after="20"/>
            </w:pPr>
            <w:r/>
            <w:r>
              <w:rPr>
                <w:b w:val="0"/>
                <w:i w:val="0"/>
                <w:sz w:val="17"/>
              </w:rPr>
              <w:t>The Company should not engage the 2L/unsecured holders before RSA execution.</w:t>
            </w:r>
          </w:p>
        </w:tc>
        <w:tc>
          <w:tcPr>
            <w:tcW w:type="dxa" w:w="5616"/>
          </w:tcPr>
          <w:p>
            <w:pPr>
              <w:spacing w:after="20"/>
            </w:pPr>
            <w:r/>
            <w:r>
              <w:rPr>
                <w:b w:val="0"/>
                <w:i w:val="0"/>
                <w:sz w:val="17"/>
              </w:rPr>
              <w:t>See Part VI.C. The Board’s duties run to the estate; this is a Company decision.</w:t>
            </w:r>
          </w:p>
        </w:tc>
      </w:tr>
    </w:tbl>
    <w:p>
      <w:pPr>
        <w:spacing w:after="40"/>
      </w:pPr>
    </w:p>
    <w:p>
      <w:pPr>
        <w:pStyle w:val="Heading2"/>
      </w:pPr>
      <w:r>
        <w:t>B. Items to correct in our own documents in the turn</w:t>
      </w:r>
    </w:p>
    <w:p>
      <w:pPr>
        <w:pStyle w:val="ListBullet"/>
        <w:spacing w:after="60"/>
      </w:pPr>
      <w:r>
        <w:rPr>
          <w:b w:val="0"/>
          <w:i w:val="0"/>
        </w:rPr>
        <w:t>Roll-up and DIP takeout: reconcile RSA §2.03 / Ex. A §IV (prepetition roll-up into the DIP; $250M total DIP claims) with DIP TS §4.3 ($75M converted into the exit TL “of which” $595M; $175M repaid in cash) and with the Term Sheet distribution of $595M to 1L holders; specify the exit funding source.</w:t>
      </w:r>
    </w:p>
    <w:p>
      <w:pPr>
        <w:pStyle w:val="ListBullet"/>
        <w:spacing w:after="60"/>
      </w:pPr>
      <w:r>
        <w:rPr>
          <w:b w:val="0"/>
          <w:i w:val="0"/>
        </w:rPr>
        <w:t>Budget variance: RSA Ex. A (±15% line item / ±10% aggregate; bi-weekly updates) vs. DIP TS §7.1 (85%/115% rolling 4-week; 4-week updates).</w:t>
      </w:r>
    </w:p>
    <w:p>
      <w:pPr>
        <w:pStyle w:val="ListBullet"/>
        <w:spacing w:after="60"/>
      </w:pPr>
      <w:r>
        <w:rPr>
          <w:b w:val="0"/>
          <w:i w:val="0"/>
        </w:rPr>
        <w:t>Holder name (Hollcroft vs. Redstone), the credit document dates, and the brand name (Pendleton) — Part IV.J.</w:t>
      </w:r>
    </w:p>
    <w:p>
      <w:pPr>
        <w:pStyle w:val="ListBullet"/>
        <w:spacing w:after="60"/>
      </w:pPr>
      <w:r>
        <w:rPr>
          <w:b w:val="0"/>
          <w:i w:val="0"/>
        </w:rPr>
        <w:t>Framework §I says April 17 is “five (5) business days after” an April 14 RSA effective date; it is three (five business days would be April 21). Calendar the filing milestone accordingly (Appendix A).</w:t>
      </w:r>
    </w:p>
    <w:p>
      <w:pPr>
        <w:pStyle w:val="ListBullet"/>
        <w:spacing w:after="60"/>
      </w:pPr>
      <w:r>
        <w:rPr>
          <w:b w:val="0"/>
          <w:i w:val="0"/>
        </w:rPr>
        <w:t>MIP dilution convention: state whether creditor percentages are measured before or after the MIP and warrants, and make the equity table foot.</w:t>
      </w:r>
    </w:p>
    <w:p>
      <w:pPr>
        <w:pStyle w:val="Heading1"/>
      </w:pPr>
      <w:r>
        <w:t>VI. Recommended Negotiation Strategy</w:t>
      </w:r>
    </w:p>
    <w:p>
      <w:pPr>
        <w:pStyle w:val="Heading2"/>
      </w:pPr>
      <w:r>
        <w:t>A. Proposed Company counter-package</w:t>
      </w:r>
    </w:p>
    <w:p>
      <w:pPr>
        <w:jc w:val="both"/>
      </w:pPr>
      <w:r>
        <w:rPr>
          <w:b w:val="0"/>
          <w:i w:val="0"/>
        </w:rPr>
        <w:t>The package below stays within the Framework’s flexibility on every economic point and trades those concessions for the structural items. Items marked † would require Board approval under Framework §III if pressed further.</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160"/>
            <w:shd w:val="clear" w:color="auto" w:fill="1F2A44"/>
          </w:tcPr>
          <w:p>
            <w:r/>
            <w:r>
              <w:rPr>
                <w:b/>
                <w:color w:val="FFFFFF"/>
                <w:sz w:val="16"/>
              </w:rPr>
              <w:t>Issue</w:t>
            </w:r>
          </w:p>
        </w:tc>
        <w:tc>
          <w:tcPr>
            <w:tcW w:type="dxa" w:w="2088"/>
            <w:shd w:val="clear" w:color="auto" w:fill="1F2A44"/>
          </w:tcPr>
          <w:p>
            <w:r/>
            <w:r>
              <w:rPr>
                <w:b/>
                <w:color w:val="FFFFFF"/>
                <w:sz w:val="16"/>
              </w:rPr>
              <w:t>Ad Hoc ask</w:t>
            </w:r>
          </w:p>
        </w:tc>
        <w:tc>
          <w:tcPr>
            <w:tcW w:type="dxa" w:w="2520"/>
            <w:shd w:val="clear" w:color="auto" w:fill="1F2A44"/>
          </w:tcPr>
          <w:p>
            <w:r/>
            <w:r>
              <w:rPr>
                <w:b/>
                <w:color w:val="FFFFFF"/>
                <w:sz w:val="16"/>
              </w:rPr>
              <w:t>Company counter (opening)</w:t>
            </w:r>
          </w:p>
        </w:tc>
        <w:tc>
          <w:tcPr>
            <w:tcW w:type="dxa" w:w="2592"/>
            <w:shd w:val="clear" w:color="auto" w:fill="1F2A44"/>
          </w:tcPr>
          <w:p>
            <w:r/>
            <w:r>
              <w:rPr>
                <w:b/>
                <w:color w:val="FFFFFF"/>
                <w:sz w:val="16"/>
              </w:rPr>
              <w:t>Fallback (authority needed)</w:t>
            </w:r>
          </w:p>
        </w:tc>
      </w:tr>
      <w:tr>
        <w:tc>
          <w:tcPr>
            <w:tcW w:type="dxa" w:w="2160"/>
          </w:tcPr>
          <w:p>
            <w:pPr>
              <w:spacing w:after="20"/>
            </w:pPr>
            <w:r/>
            <w:r>
              <w:rPr>
                <w:b w:val="0"/>
                <w:i w:val="0"/>
                <w:sz w:val="16"/>
              </w:rPr>
              <w:t>1L equity / 2L / unsecured</w:t>
            </w:r>
          </w:p>
        </w:tc>
        <w:tc>
          <w:tcPr>
            <w:tcW w:type="dxa" w:w="2088"/>
          </w:tcPr>
          <w:p>
            <w:pPr>
              <w:spacing w:after="20"/>
            </w:pPr>
            <w:r/>
            <w:r>
              <w:rPr>
                <w:b w:val="0"/>
                <w:i w:val="0"/>
                <w:sz w:val="16"/>
              </w:rPr>
              <w:t>78 / 8 / 4</w:t>
            </w:r>
          </w:p>
        </w:tc>
        <w:tc>
          <w:tcPr>
            <w:tcW w:type="dxa" w:w="2520"/>
          </w:tcPr>
          <w:p>
            <w:pPr>
              <w:spacing w:after="20"/>
            </w:pPr>
            <w:r/>
            <w:r>
              <w:rPr>
                <w:b w:val="0"/>
                <w:i w:val="0"/>
                <w:sz w:val="16"/>
              </w:rPr>
              <w:t>75 / 10 / 5</w:t>
            </w:r>
          </w:p>
        </w:tc>
        <w:tc>
          <w:tcPr>
            <w:tcW w:type="dxa" w:w="2592"/>
          </w:tcPr>
          <w:p>
            <w:pPr>
              <w:spacing w:after="20"/>
            </w:pPr>
            <w:r/>
            <w:r>
              <w:rPr>
                <w:b w:val="0"/>
                <w:i w:val="0"/>
                <w:sz w:val="16"/>
              </w:rPr>
              <w:t>Hold (75% is the limit)</w:t>
            </w:r>
          </w:p>
        </w:tc>
      </w:tr>
      <w:tr>
        <w:tc>
          <w:tcPr>
            <w:tcW w:type="dxa" w:w="2160"/>
            <w:shd w:val="clear" w:color="auto" w:fill="EEF1F6"/>
          </w:tcPr>
          <w:p>
            <w:pPr>
              <w:spacing w:after="20"/>
            </w:pPr>
            <w:r/>
            <w:r>
              <w:rPr>
                <w:b w:val="0"/>
                <w:i w:val="0"/>
                <w:sz w:val="16"/>
              </w:rPr>
              <w:t>Exit TL</w:t>
            </w:r>
          </w:p>
        </w:tc>
        <w:tc>
          <w:tcPr>
            <w:tcW w:type="dxa" w:w="2088"/>
            <w:shd w:val="clear" w:color="auto" w:fill="EEF1F6"/>
          </w:tcPr>
          <w:p>
            <w:pPr>
              <w:spacing w:after="20"/>
            </w:pPr>
            <w:r/>
            <w:r>
              <w:rPr>
                <w:b w:val="0"/>
                <w:i w:val="0"/>
                <w:sz w:val="16"/>
              </w:rPr>
              <w:t>$655M</w:t>
            </w:r>
          </w:p>
        </w:tc>
        <w:tc>
          <w:tcPr>
            <w:tcW w:type="dxa" w:w="2520"/>
            <w:shd w:val="clear" w:color="auto" w:fill="EEF1F6"/>
          </w:tcPr>
          <w:p>
            <w:pPr>
              <w:spacing w:after="20"/>
            </w:pPr>
            <w:r/>
            <w:r>
              <w:rPr>
                <w:b w:val="0"/>
                <w:i w:val="0"/>
                <w:sz w:val="16"/>
              </w:rPr>
              <w:t>$625M</w:t>
            </w:r>
          </w:p>
        </w:tc>
        <w:tc>
          <w:tcPr>
            <w:tcW w:type="dxa" w:w="2592"/>
            <w:shd w:val="clear" w:color="auto" w:fill="EEF1F6"/>
          </w:tcPr>
          <w:p>
            <w:pPr>
              <w:spacing w:after="20"/>
            </w:pPr>
            <w:r/>
            <w:r>
              <w:rPr>
                <w:b w:val="0"/>
                <w:i w:val="0"/>
                <w:sz w:val="16"/>
              </w:rPr>
              <w:t>$650M†</w:t>
            </w:r>
          </w:p>
        </w:tc>
      </w:tr>
      <w:tr>
        <w:tc>
          <w:tcPr>
            <w:tcW w:type="dxa" w:w="2160"/>
          </w:tcPr>
          <w:p>
            <w:pPr>
              <w:spacing w:after="20"/>
            </w:pPr>
            <w:r/>
            <w:r>
              <w:rPr>
                <w:b w:val="0"/>
                <w:i w:val="0"/>
                <w:sz w:val="16"/>
              </w:rPr>
              <w:t>Warrants</w:t>
            </w:r>
          </w:p>
        </w:tc>
        <w:tc>
          <w:tcPr>
            <w:tcW w:type="dxa" w:w="2088"/>
          </w:tcPr>
          <w:p>
            <w:pPr>
              <w:spacing w:after="20"/>
            </w:pPr>
            <w:r/>
            <w:r>
              <w:rPr>
                <w:b w:val="0"/>
                <w:i w:val="0"/>
                <w:sz w:val="16"/>
              </w:rPr>
              <w:t>2% @ $1.4B</w:t>
            </w:r>
          </w:p>
        </w:tc>
        <w:tc>
          <w:tcPr>
            <w:tcW w:type="dxa" w:w="2520"/>
          </w:tcPr>
          <w:p>
            <w:pPr>
              <w:spacing w:after="20"/>
            </w:pPr>
            <w:r/>
            <w:r>
              <w:rPr>
                <w:b w:val="0"/>
                <w:i w:val="0"/>
                <w:sz w:val="16"/>
              </w:rPr>
              <w:t>3% @ $1.3B, 5-yr term</w:t>
            </w:r>
          </w:p>
        </w:tc>
        <w:tc>
          <w:tcPr>
            <w:tcW w:type="dxa" w:w="2592"/>
          </w:tcPr>
          <w:p>
            <w:pPr>
              <w:spacing w:after="20"/>
            </w:pPr>
            <w:r/>
            <w:r>
              <w:rPr>
                <w:b w:val="0"/>
                <w:i w:val="0"/>
                <w:sz w:val="16"/>
              </w:rPr>
              <w:t>3% @ $1.35B</w:t>
            </w:r>
          </w:p>
        </w:tc>
      </w:tr>
      <w:tr>
        <w:tc>
          <w:tcPr>
            <w:tcW w:type="dxa" w:w="2160"/>
            <w:shd w:val="clear" w:color="auto" w:fill="EEF1F6"/>
          </w:tcPr>
          <w:p>
            <w:pPr>
              <w:spacing w:after="20"/>
            </w:pPr>
            <w:r/>
            <w:r>
              <w:rPr>
                <w:b w:val="0"/>
                <w:i w:val="0"/>
                <w:sz w:val="16"/>
              </w:rPr>
              <w:t>MIP</w:t>
            </w:r>
          </w:p>
        </w:tc>
        <w:tc>
          <w:tcPr>
            <w:tcW w:type="dxa" w:w="2088"/>
            <w:shd w:val="clear" w:color="auto" w:fill="EEF1F6"/>
          </w:tcPr>
          <w:p>
            <w:pPr>
              <w:spacing w:after="20"/>
            </w:pPr>
            <w:r/>
            <w:r>
              <w:rPr>
                <w:b w:val="0"/>
                <w:i w:val="0"/>
                <w:sz w:val="16"/>
              </w:rPr>
              <w:t>7.5%; 25% / 75% perf.; 4 yrs</w:t>
            </w:r>
          </w:p>
        </w:tc>
        <w:tc>
          <w:tcPr>
            <w:tcW w:type="dxa" w:w="2520"/>
            <w:shd w:val="clear" w:color="auto" w:fill="EEF1F6"/>
          </w:tcPr>
          <w:p>
            <w:pPr>
              <w:spacing w:after="20"/>
            </w:pPr>
            <w:r/>
            <w:r>
              <w:rPr>
                <w:b w:val="0"/>
                <w:i w:val="0"/>
                <w:sz w:val="16"/>
              </w:rPr>
              <w:t>10%; 50% / 50% time; 3 yrs</w:t>
            </w:r>
          </w:p>
        </w:tc>
        <w:tc>
          <w:tcPr>
            <w:tcW w:type="dxa" w:w="2592"/>
            <w:shd w:val="clear" w:color="auto" w:fill="EEF1F6"/>
          </w:tcPr>
          <w:p>
            <w:pPr>
              <w:spacing w:after="20"/>
            </w:pPr>
            <w:r/>
            <w:r>
              <w:rPr>
                <w:b w:val="0"/>
                <w:i w:val="0"/>
                <w:sz w:val="16"/>
              </w:rPr>
              <w:t>8.5%; 40% at emergence; remainder 50/50 time/perf.; 3 yrs</w:t>
            </w:r>
          </w:p>
        </w:tc>
      </w:tr>
      <w:tr>
        <w:tc>
          <w:tcPr>
            <w:tcW w:type="dxa" w:w="2160"/>
          </w:tcPr>
          <w:p>
            <w:pPr>
              <w:spacing w:after="20"/>
            </w:pPr>
            <w:r/>
            <w:r>
              <w:rPr>
                <w:b w:val="0"/>
                <w:i w:val="0"/>
                <w:sz w:val="16"/>
              </w:rPr>
              <w:t>DIP rate / fees</w:t>
            </w:r>
          </w:p>
        </w:tc>
        <w:tc>
          <w:tcPr>
            <w:tcW w:type="dxa" w:w="2088"/>
          </w:tcPr>
          <w:p>
            <w:pPr>
              <w:spacing w:after="20"/>
            </w:pPr>
            <w:r/>
            <w:r>
              <w:rPr>
                <w:b w:val="0"/>
                <w:i w:val="0"/>
                <w:sz w:val="16"/>
              </w:rPr>
              <w:t>S+800; 3% + 2%</w:t>
            </w:r>
          </w:p>
        </w:tc>
        <w:tc>
          <w:tcPr>
            <w:tcW w:type="dxa" w:w="2520"/>
          </w:tcPr>
          <w:p>
            <w:pPr>
              <w:spacing w:after="20"/>
            </w:pPr>
            <w:r/>
            <w:r>
              <w:rPr>
                <w:b w:val="0"/>
                <w:i w:val="0"/>
                <w:sz w:val="16"/>
              </w:rPr>
              <w:t>S+700; 1.0% upfront; no exit fee</w:t>
            </w:r>
          </w:p>
        </w:tc>
        <w:tc>
          <w:tcPr>
            <w:tcW w:type="dxa" w:w="2592"/>
          </w:tcPr>
          <w:p>
            <w:pPr>
              <w:spacing w:after="20"/>
            </w:pPr>
            <w:r/>
            <w:r>
              <w:rPr>
                <w:b w:val="0"/>
                <w:i w:val="0"/>
                <w:sz w:val="16"/>
              </w:rPr>
              <w:t>S+725; ≤$3M combined</w:t>
            </w:r>
          </w:p>
        </w:tc>
      </w:tr>
      <w:tr>
        <w:tc>
          <w:tcPr>
            <w:tcW w:type="dxa" w:w="2160"/>
            <w:shd w:val="clear" w:color="auto" w:fill="EEF1F6"/>
          </w:tcPr>
          <w:p>
            <w:pPr>
              <w:spacing w:after="20"/>
            </w:pPr>
            <w:r/>
            <w:r>
              <w:rPr>
                <w:b w:val="0"/>
                <w:i w:val="0"/>
                <w:sz w:val="16"/>
              </w:rPr>
              <w:t>DIP roll-up / conversion</w:t>
            </w:r>
          </w:p>
        </w:tc>
        <w:tc>
          <w:tcPr>
            <w:tcW w:type="dxa" w:w="2088"/>
            <w:shd w:val="clear" w:color="auto" w:fill="EEF1F6"/>
          </w:tcPr>
          <w:p>
            <w:pPr>
              <w:spacing w:after="20"/>
            </w:pPr>
            <w:r/>
            <w:r>
              <w:rPr>
                <w:b w:val="0"/>
                <w:i w:val="0"/>
                <w:sz w:val="16"/>
              </w:rPr>
              <w:t>$175M</w:t>
            </w:r>
          </w:p>
        </w:tc>
        <w:tc>
          <w:tcPr>
            <w:tcW w:type="dxa" w:w="2520"/>
            <w:shd w:val="clear" w:color="auto" w:fill="EEF1F6"/>
          </w:tcPr>
          <w:p>
            <w:pPr>
              <w:spacing w:after="20"/>
            </w:pPr>
            <w:r/>
            <w:r>
              <w:rPr>
                <w:b w:val="0"/>
                <w:i w:val="0"/>
                <w:sz w:val="16"/>
              </w:rPr>
              <w:t>$75M</w:t>
            </w:r>
          </w:p>
        </w:tc>
        <w:tc>
          <w:tcPr>
            <w:tcW w:type="dxa" w:w="2592"/>
            <w:shd w:val="clear" w:color="auto" w:fill="EEF1F6"/>
          </w:tcPr>
          <w:p>
            <w:pPr>
              <w:spacing w:after="20"/>
            </w:pPr>
            <w:r/>
            <w:r>
              <w:rPr>
                <w:b w:val="0"/>
                <w:i w:val="0"/>
                <w:sz w:val="16"/>
              </w:rPr>
              <w:t>$100M</w:t>
            </w:r>
          </w:p>
        </w:tc>
      </w:tr>
      <w:tr>
        <w:tc>
          <w:tcPr>
            <w:tcW w:type="dxa" w:w="2160"/>
          </w:tcPr>
          <w:p>
            <w:pPr>
              <w:spacing w:after="20"/>
            </w:pPr>
            <w:r/>
            <w:r>
              <w:rPr>
                <w:b w:val="0"/>
                <w:i w:val="0"/>
                <w:sz w:val="16"/>
              </w:rPr>
              <w:t>Carveout</w:t>
            </w:r>
          </w:p>
        </w:tc>
        <w:tc>
          <w:tcPr>
            <w:tcW w:type="dxa" w:w="2088"/>
          </w:tcPr>
          <w:p>
            <w:pPr>
              <w:spacing w:after="20"/>
            </w:pPr>
            <w:r/>
            <w:r>
              <w:rPr>
                <w:b w:val="0"/>
                <w:i w:val="0"/>
                <w:sz w:val="16"/>
              </w:rPr>
              <w:t>$10M / $5M</w:t>
            </w:r>
          </w:p>
        </w:tc>
        <w:tc>
          <w:tcPr>
            <w:tcW w:type="dxa" w:w="2520"/>
          </w:tcPr>
          <w:p>
            <w:pPr>
              <w:spacing w:after="20"/>
            </w:pPr>
            <w:r/>
            <w:r>
              <w:rPr>
                <w:b w:val="0"/>
                <w:i w:val="0"/>
                <w:sz w:val="16"/>
              </w:rPr>
              <w:t>$15M / $7.5M</w:t>
            </w:r>
          </w:p>
        </w:tc>
        <w:tc>
          <w:tcPr>
            <w:tcW w:type="dxa" w:w="2592"/>
          </w:tcPr>
          <w:p>
            <w:pPr>
              <w:spacing w:after="20"/>
            </w:pPr>
            <w:r/>
            <w:r>
              <w:rPr>
                <w:b w:val="0"/>
                <w:i w:val="0"/>
                <w:sz w:val="16"/>
              </w:rPr>
              <w:t>$12.5M / $6M†</w:t>
            </w:r>
          </w:p>
        </w:tc>
      </w:tr>
      <w:tr>
        <w:tc>
          <w:tcPr>
            <w:tcW w:type="dxa" w:w="2160"/>
            <w:shd w:val="clear" w:color="auto" w:fill="EEF1F6"/>
          </w:tcPr>
          <w:p>
            <w:pPr>
              <w:spacing w:after="20"/>
            </w:pPr>
            <w:r/>
            <w:r>
              <w:rPr>
                <w:b w:val="0"/>
                <w:i w:val="0"/>
                <w:sz w:val="16"/>
              </w:rPr>
              <w:t>Milestones (DS file / DS approve / confirm / emerge)</w:t>
            </w:r>
          </w:p>
        </w:tc>
        <w:tc>
          <w:tcPr>
            <w:tcW w:type="dxa" w:w="2088"/>
            <w:shd w:val="clear" w:color="auto" w:fill="EEF1F6"/>
          </w:tcPr>
          <w:p>
            <w:pPr>
              <w:spacing w:after="20"/>
            </w:pPr>
            <w:r/>
            <w:r>
              <w:rPr>
                <w:b w:val="0"/>
                <w:i w:val="0"/>
                <w:sz w:val="16"/>
              </w:rPr>
              <w:t>30 / 75 / 110 / 140</w:t>
            </w:r>
          </w:p>
        </w:tc>
        <w:tc>
          <w:tcPr>
            <w:tcW w:type="dxa" w:w="2520"/>
            <w:shd w:val="clear" w:color="auto" w:fill="EEF1F6"/>
          </w:tcPr>
          <w:p>
            <w:pPr>
              <w:spacing w:after="20"/>
            </w:pPr>
            <w:r/>
            <w:r>
              <w:rPr>
                <w:b w:val="0"/>
                <w:i w:val="0"/>
                <w:sz w:val="16"/>
              </w:rPr>
              <w:t>45 / 90 / 135 / 165</w:t>
            </w:r>
          </w:p>
        </w:tc>
        <w:tc>
          <w:tcPr>
            <w:tcW w:type="dxa" w:w="2592"/>
            <w:shd w:val="clear" w:color="auto" w:fill="EEF1F6"/>
          </w:tcPr>
          <w:p>
            <w:pPr>
              <w:spacing w:after="20"/>
            </w:pPr>
            <w:r/>
            <w:r>
              <w:rPr>
                <w:b w:val="0"/>
                <w:i w:val="0"/>
                <w:sz w:val="16"/>
              </w:rPr>
              <w:t>40 / 80 / 120 / 150; or a combined hearing if solicitation is completed prepetition</w:t>
            </w:r>
          </w:p>
        </w:tc>
      </w:tr>
      <w:tr>
        <w:tc>
          <w:tcPr>
            <w:tcW w:type="dxa" w:w="2160"/>
          </w:tcPr>
          <w:p>
            <w:pPr>
              <w:spacing w:after="20"/>
            </w:pPr>
            <w:r/>
            <w:r>
              <w:rPr>
                <w:b w:val="0"/>
                <w:i w:val="0"/>
                <w:sz w:val="16"/>
              </w:rPr>
              <w:t>Filing milestone</w:t>
            </w:r>
          </w:p>
        </w:tc>
        <w:tc>
          <w:tcPr>
            <w:tcW w:type="dxa" w:w="2088"/>
          </w:tcPr>
          <w:p>
            <w:pPr>
              <w:spacing w:after="20"/>
            </w:pPr>
            <w:r/>
            <w:r>
              <w:rPr>
                <w:b w:val="0"/>
                <w:i w:val="0"/>
                <w:sz w:val="16"/>
              </w:rPr>
              <w:t>3 BD</w:t>
            </w:r>
          </w:p>
        </w:tc>
        <w:tc>
          <w:tcPr>
            <w:tcW w:type="dxa" w:w="2520"/>
          </w:tcPr>
          <w:p>
            <w:pPr>
              <w:spacing w:after="20"/>
            </w:pPr>
            <w:r/>
            <w:r>
              <w:rPr>
                <w:b w:val="0"/>
                <w:i w:val="0"/>
                <w:sz w:val="16"/>
              </w:rPr>
              <w:t>Accept 3 BD (trade)</w:t>
            </w:r>
          </w:p>
        </w:tc>
        <w:tc>
          <w:tcPr>
            <w:tcW w:type="dxa" w:w="2592"/>
          </w:tcPr>
          <w:p>
            <w:pPr>
              <w:spacing w:after="20"/>
            </w:pPr>
            <w:r/>
            <w:r>
              <w:rPr>
                <w:b w:val="0"/>
                <w:i w:val="0"/>
                <w:sz w:val="16"/>
              </w:rPr>
              <w:t>—</w:t>
            </w:r>
          </w:p>
        </w:tc>
      </w:tr>
      <w:tr>
        <w:tc>
          <w:tcPr>
            <w:tcW w:type="dxa" w:w="2160"/>
            <w:shd w:val="clear" w:color="auto" w:fill="EEF1F6"/>
          </w:tcPr>
          <w:p>
            <w:pPr>
              <w:spacing w:after="20"/>
            </w:pPr>
            <w:r/>
            <w:r>
              <w:rPr>
                <w:b w:val="0"/>
                <w:i w:val="0"/>
                <w:sz w:val="16"/>
              </w:rPr>
              <w:t>Cure periods</w:t>
            </w:r>
          </w:p>
        </w:tc>
        <w:tc>
          <w:tcPr>
            <w:tcW w:type="dxa" w:w="2088"/>
            <w:shd w:val="clear" w:color="auto" w:fill="EEF1F6"/>
          </w:tcPr>
          <w:p>
            <w:pPr>
              <w:spacing w:after="20"/>
            </w:pPr>
            <w:r/>
            <w:r>
              <w:rPr>
                <w:b w:val="0"/>
                <w:i w:val="0"/>
                <w:sz w:val="16"/>
              </w:rPr>
              <w:t>5 BD</w:t>
            </w:r>
          </w:p>
        </w:tc>
        <w:tc>
          <w:tcPr>
            <w:tcW w:type="dxa" w:w="2520"/>
            <w:shd w:val="clear" w:color="auto" w:fill="EEF1F6"/>
          </w:tcPr>
          <w:p>
            <w:pPr>
              <w:spacing w:after="20"/>
            </w:pPr>
            <w:r/>
            <w:r>
              <w:rPr>
                <w:b w:val="0"/>
                <w:i w:val="0"/>
                <w:sz w:val="16"/>
              </w:rPr>
              <w:t>10 BD</w:t>
            </w:r>
          </w:p>
        </w:tc>
        <w:tc>
          <w:tcPr>
            <w:tcW w:type="dxa" w:w="2592"/>
            <w:shd w:val="clear" w:color="auto" w:fill="EEF1F6"/>
          </w:tcPr>
          <w:p>
            <w:pPr>
              <w:spacing w:after="20"/>
            </w:pPr>
            <w:r/>
            <w:r>
              <w:rPr>
                <w:b w:val="0"/>
                <w:i w:val="0"/>
                <w:sz w:val="16"/>
              </w:rPr>
              <w:t>7 BD</w:t>
            </w:r>
          </w:p>
        </w:tc>
      </w:tr>
      <w:tr>
        <w:tc>
          <w:tcPr>
            <w:tcW w:type="dxa" w:w="2160"/>
          </w:tcPr>
          <w:p>
            <w:pPr>
              <w:spacing w:after="20"/>
            </w:pPr>
            <w:r/>
            <w:r>
              <w:rPr>
                <w:b w:val="0"/>
                <w:i w:val="0"/>
                <w:sz w:val="16"/>
              </w:rPr>
              <w:t>Extensions</w:t>
            </w:r>
          </w:p>
        </w:tc>
        <w:tc>
          <w:tcPr>
            <w:tcW w:type="dxa" w:w="2088"/>
          </w:tcPr>
          <w:p>
            <w:pPr>
              <w:spacing w:after="20"/>
            </w:pPr>
            <w:r/>
            <w:r>
              <w:rPr>
                <w:b w:val="0"/>
                <w:i w:val="0"/>
                <w:sz w:val="16"/>
              </w:rPr>
              <w:t>RCL sole discretion</w:t>
            </w:r>
          </w:p>
        </w:tc>
        <w:tc>
          <w:tcPr>
            <w:tcW w:type="dxa" w:w="2520"/>
          </w:tcPr>
          <w:p>
            <w:pPr>
              <w:spacing w:after="20"/>
            </w:pPr>
            <w:r/>
            <w:r>
              <w:rPr>
                <w:b w:val="0"/>
                <w:i w:val="0"/>
                <w:sz w:val="16"/>
              </w:rPr>
              <w:t>Mutual; not unreasonably withheld; Court-calendar tolling</w:t>
            </w:r>
          </w:p>
        </w:tc>
        <w:tc>
          <w:tcPr>
            <w:tcW w:type="dxa" w:w="2592"/>
          </w:tcPr>
          <w:p>
            <w:pPr>
              <w:spacing w:after="20"/>
            </w:pPr>
            <w:r/>
            <w:r>
              <w:rPr>
                <w:b w:val="0"/>
                <w:i w:val="0"/>
                <w:sz w:val="16"/>
              </w:rPr>
              <w:t>—</w:t>
            </w:r>
          </w:p>
        </w:tc>
      </w:tr>
      <w:tr>
        <w:tc>
          <w:tcPr>
            <w:tcW w:type="dxa" w:w="2160"/>
            <w:shd w:val="clear" w:color="auto" w:fill="EEF1F6"/>
          </w:tcPr>
          <w:p>
            <w:pPr>
              <w:spacing w:after="20"/>
            </w:pPr>
            <w:r/>
            <w:r>
              <w:rPr>
                <w:b w:val="0"/>
                <w:i w:val="0"/>
                <w:sz w:val="16"/>
              </w:rPr>
              <w:t>Liquidity trigger</w:t>
            </w:r>
          </w:p>
        </w:tc>
        <w:tc>
          <w:tcPr>
            <w:tcW w:type="dxa" w:w="2088"/>
            <w:shd w:val="clear" w:color="auto" w:fill="EEF1F6"/>
          </w:tcPr>
          <w:p>
            <w:pPr>
              <w:spacing w:after="20"/>
            </w:pPr>
            <w:r/>
            <w:r>
              <w:rPr>
                <w:b w:val="0"/>
                <w:i w:val="0"/>
                <w:sz w:val="16"/>
              </w:rPr>
              <w:t>$40M, 4-wk avg., no cure</w:t>
            </w:r>
          </w:p>
        </w:tc>
        <w:tc>
          <w:tcPr>
            <w:tcW w:type="dxa" w:w="2520"/>
            <w:shd w:val="clear" w:color="auto" w:fill="EEF1F6"/>
          </w:tcPr>
          <w:p>
            <w:pPr>
              <w:spacing w:after="20"/>
            </w:pPr>
            <w:r/>
            <w:r>
              <w:rPr>
                <w:b w:val="0"/>
                <w:i w:val="0"/>
                <w:sz w:val="16"/>
              </w:rPr>
              <w:t>Delete</w:t>
            </w:r>
          </w:p>
        </w:tc>
        <w:tc>
          <w:tcPr>
            <w:tcW w:type="dxa" w:w="2592"/>
            <w:shd w:val="clear" w:color="auto" w:fill="EEF1F6"/>
          </w:tcPr>
          <w:p>
            <w:pPr>
              <w:spacing w:after="20"/>
            </w:pPr>
            <w:r/>
            <w:r>
              <w:rPr>
                <w:b w:val="0"/>
                <w:i w:val="0"/>
                <w:sz w:val="16"/>
              </w:rPr>
              <w:t>$30M, 30-day avg., DIP availability counted, 5-BD cure</w:t>
            </w:r>
          </w:p>
        </w:tc>
      </w:tr>
      <w:tr>
        <w:tc>
          <w:tcPr>
            <w:tcW w:type="dxa" w:w="2160"/>
          </w:tcPr>
          <w:p>
            <w:pPr>
              <w:spacing w:after="20"/>
            </w:pPr>
            <w:r/>
            <w:r>
              <w:rPr>
                <w:b w:val="0"/>
                <w:i w:val="0"/>
                <w:sz w:val="16"/>
              </w:rPr>
              <w:t>Cash collateral consent</w:t>
            </w:r>
          </w:p>
        </w:tc>
        <w:tc>
          <w:tcPr>
            <w:tcW w:type="dxa" w:w="2088"/>
          </w:tcPr>
          <w:p>
            <w:pPr>
              <w:spacing w:after="20"/>
            </w:pPr>
            <w:r/>
            <w:r>
              <w:rPr>
                <w:b w:val="0"/>
                <w:i w:val="0"/>
                <w:sz w:val="16"/>
              </w:rPr>
              <w:t>$2M / $5M</w:t>
            </w:r>
          </w:p>
        </w:tc>
        <w:tc>
          <w:tcPr>
            <w:tcW w:type="dxa" w:w="2520"/>
          </w:tcPr>
          <w:p>
            <w:pPr>
              <w:spacing w:after="20"/>
            </w:pPr>
            <w:r/>
            <w:r>
              <w:rPr>
                <w:b w:val="0"/>
                <w:i w:val="0"/>
                <w:sz w:val="16"/>
              </w:rPr>
              <w:t>$10M / $25M</w:t>
            </w:r>
          </w:p>
        </w:tc>
        <w:tc>
          <w:tcPr>
            <w:tcW w:type="dxa" w:w="2592"/>
          </w:tcPr>
          <w:p>
            <w:pPr>
              <w:spacing w:after="20"/>
            </w:pPr>
            <w:r/>
            <w:r>
              <w:rPr>
                <w:b w:val="0"/>
                <w:i w:val="0"/>
                <w:sz w:val="16"/>
              </w:rPr>
              <w:t>—</w:t>
            </w:r>
          </w:p>
        </w:tc>
      </w:tr>
      <w:tr>
        <w:tc>
          <w:tcPr>
            <w:tcW w:type="dxa" w:w="2160"/>
            <w:shd w:val="clear" w:color="auto" w:fill="EEF1F6"/>
          </w:tcPr>
          <w:p>
            <w:pPr>
              <w:spacing w:after="20"/>
            </w:pPr>
            <w:r/>
            <w:r>
              <w:rPr>
                <w:b w:val="0"/>
                <w:i w:val="0"/>
                <w:sz w:val="16"/>
              </w:rPr>
              <w:t>Fiduciary out / matching</w:t>
            </w:r>
          </w:p>
        </w:tc>
        <w:tc>
          <w:tcPr>
            <w:tcW w:type="dxa" w:w="2088"/>
            <w:shd w:val="clear" w:color="auto" w:fill="EEF1F6"/>
          </w:tcPr>
          <w:p>
            <w:pPr>
              <w:spacing w:after="20"/>
            </w:pPr>
            <w:r/>
            <w:r>
              <w:rPr>
                <w:b w:val="0"/>
                <w:i w:val="0"/>
                <w:sz w:val="16"/>
              </w:rPr>
              <w:t>10 BD; disclosure; 15% hurdle; 15 BD</w:t>
            </w:r>
          </w:p>
        </w:tc>
        <w:tc>
          <w:tcPr>
            <w:tcW w:type="dxa" w:w="2520"/>
            <w:shd w:val="clear" w:color="auto" w:fill="EEF1F6"/>
          </w:tcPr>
          <w:p>
            <w:pPr>
              <w:spacing w:after="20"/>
            </w:pPr>
            <w:r/>
            <w:r>
              <w:rPr>
                <w:b w:val="0"/>
                <w:i w:val="0"/>
                <w:sz w:val="16"/>
              </w:rPr>
              <w:t>Restore CD §7</w:t>
            </w:r>
          </w:p>
        </w:tc>
        <w:tc>
          <w:tcPr>
            <w:tcW w:type="dxa" w:w="2592"/>
            <w:shd w:val="clear" w:color="auto" w:fill="EEF1F6"/>
          </w:tcPr>
          <w:p>
            <w:pPr>
              <w:spacing w:after="20"/>
            </w:pPr>
            <w:r/>
            <w:r>
              <w:rPr>
                <w:b w:val="0"/>
                <w:i w:val="0"/>
                <w:sz w:val="16"/>
              </w:rPr>
              <w:t>—</w:t>
            </w:r>
          </w:p>
        </w:tc>
      </w:tr>
      <w:tr>
        <w:tc>
          <w:tcPr>
            <w:tcW w:type="dxa" w:w="2160"/>
          </w:tcPr>
          <w:p>
            <w:pPr>
              <w:spacing w:after="20"/>
            </w:pPr>
            <w:r/>
            <w:r>
              <w:rPr>
                <w:b w:val="0"/>
                <w:i w:val="0"/>
                <w:sz w:val="16"/>
              </w:rPr>
              <w:t>Board observers</w:t>
            </w:r>
          </w:p>
        </w:tc>
        <w:tc>
          <w:tcPr>
            <w:tcW w:type="dxa" w:w="2088"/>
          </w:tcPr>
          <w:p>
            <w:pPr>
              <w:spacing w:after="20"/>
            </w:pPr>
            <w:r/>
            <w:r>
              <w:rPr>
                <w:b w:val="0"/>
                <w:i w:val="0"/>
                <w:sz w:val="16"/>
              </w:rPr>
              <w:t>2 pre-petition observers</w:t>
            </w:r>
          </w:p>
        </w:tc>
        <w:tc>
          <w:tcPr>
            <w:tcW w:type="dxa" w:w="2520"/>
          </w:tcPr>
          <w:p>
            <w:pPr>
              <w:spacing w:after="20"/>
            </w:pPr>
            <w:r/>
            <w:r>
              <w:rPr>
                <w:b w:val="0"/>
                <w:i w:val="0"/>
                <w:sz w:val="16"/>
              </w:rPr>
              <w:t>Delete; advisor-level diligence calls</w:t>
            </w:r>
          </w:p>
        </w:tc>
        <w:tc>
          <w:tcPr>
            <w:tcW w:type="dxa" w:w="2592"/>
          </w:tcPr>
          <w:p>
            <w:pPr>
              <w:spacing w:after="20"/>
            </w:pPr>
            <w:r/>
            <w:r>
              <w:rPr>
                <w:b w:val="0"/>
                <w:i w:val="0"/>
                <w:sz w:val="16"/>
              </w:rPr>
              <w:t>—</w:t>
            </w:r>
          </w:p>
        </w:tc>
      </w:tr>
      <w:tr>
        <w:tc>
          <w:tcPr>
            <w:tcW w:type="dxa" w:w="2160"/>
            <w:shd w:val="clear" w:color="auto" w:fill="EEF1F6"/>
          </w:tcPr>
          <w:p>
            <w:pPr>
              <w:spacing w:after="20"/>
            </w:pPr>
            <w:r/>
            <w:r>
              <w:rPr>
                <w:b w:val="0"/>
                <w:i w:val="0"/>
                <w:sz w:val="16"/>
              </w:rPr>
              <w:t>Releases</w:t>
            </w:r>
          </w:p>
        </w:tc>
        <w:tc>
          <w:tcPr>
            <w:tcW w:type="dxa" w:w="2088"/>
            <w:shd w:val="clear" w:color="auto" w:fill="EEF1F6"/>
          </w:tcPr>
          <w:p>
            <w:pPr>
              <w:spacing w:after="20"/>
            </w:pPr>
            <w:r/>
            <w:r>
              <w:rPr>
                <w:b w:val="0"/>
                <w:i w:val="0"/>
                <w:sz w:val="16"/>
              </w:rPr>
              <w:t>Opt-out/deemed third-party releases</w:t>
            </w:r>
          </w:p>
        </w:tc>
        <w:tc>
          <w:tcPr>
            <w:tcW w:type="dxa" w:w="2520"/>
            <w:shd w:val="clear" w:color="auto" w:fill="EEF1F6"/>
          </w:tcPr>
          <w:p>
            <w:pPr>
              <w:spacing w:after="20"/>
            </w:pPr>
            <w:r/>
            <w:r>
              <w:rPr>
                <w:b w:val="0"/>
                <w:i w:val="0"/>
                <w:sz w:val="16"/>
              </w:rPr>
              <w:t>Consensual opt-in / voting-class construct</w:t>
            </w:r>
          </w:p>
        </w:tc>
        <w:tc>
          <w:tcPr>
            <w:tcW w:type="dxa" w:w="2592"/>
            <w:shd w:val="clear" w:color="auto" w:fill="EEF1F6"/>
          </w:tcPr>
          <w:p>
            <w:pPr>
              <w:spacing w:after="20"/>
            </w:pPr>
            <w:r/>
            <w:r>
              <w:rPr>
                <w:b w:val="0"/>
                <w:i w:val="0"/>
                <w:sz w:val="16"/>
              </w:rPr>
              <w:t>Opt-out for voting classes only, with carve-outs (subject to the appellate group’s review)</w:t>
            </w:r>
          </w:p>
        </w:tc>
      </w:tr>
      <w:tr>
        <w:tc>
          <w:tcPr>
            <w:tcW w:type="dxa" w:w="2160"/>
          </w:tcPr>
          <w:p>
            <w:pPr>
              <w:spacing w:after="20"/>
            </w:pPr>
            <w:r/>
            <w:r>
              <w:rPr>
                <w:b w:val="0"/>
                <w:i w:val="0"/>
                <w:sz w:val="16"/>
              </w:rPr>
              <w:t>Transfers</w:t>
            </w:r>
          </w:p>
        </w:tc>
        <w:tc>
          <w:tcPr>
            <w:tcW w:type="dxa" w:w="2088"/>
          </w:tcPr>
          <w:p>
            <w:pPr>
              <w:spacing w:after="20"/>
            </w:pPr>
            <w:r/>
            <w:r>
              <w:rPr>
                <w:b w:val="0"/>
                <w:i w:val="0"/>
                <w:sz w:val="16"/>
              </w:rPr>
              <w:t>15% basket; 10 BD</w:t>
            </w:r>
          </w:p>
        </w:tc>
        <w:tc>
          <w:tcPr>
            <w:tcW w:type="dxa" w:w="2520"/>
          </w:tcPr>
          <w:p>
            <w:pPr>
              <w:spacing w:after="20"/>
            </w:pPr>
            <w:r/>
            <w:r>
              <w:rPr>
                <w:b w:val="0"/>
                <w:i w:val="0"/>
                <w:sz w:val="16"/>
              </w:rPr>
              <w:t>No basket; 5 BD</w:t>
            </w:r>
          </w:p>
        </w:tc>
        <w:tc>
          <w:tcPr>
            <w:tcW w:type="dxa" w:w="2592"/>
          </w:tcPr>
          <w:p>
            <w:pPr>
              <w:spacing w:after="20"/>
            </w:pPr>
            <w:r/>
            <w:r>
              <w:rPr>
                <w:b w:val="0"/>
                <w:i w:val="0"/>
                <w:sz w:val="16"/>
              </w:rPr>
              <w:t>7 BD</w:t>
            </w:r>
          </w:p>
        </w:tc>
      </w:tr>
      <w:tr>
        <w:tc>
          <w:tcPr>
            <w:tcW w:type="dxa" w:w="2160"/>
            <w:shd w:val="clear" w:color="auto" w:fill="EEF1F6"/>
          </w:tcPr>
          <w:p>
            <w:pPr>
              <w:spacing w:after="20"/>
            </w:pPr>
            <w:r/>
            <w:r>
              <w:rPr>
                <w:b w:val="0"/>
                <w:i w:val="0"/>
                <w:sz w:val="16"/>
              </w:rPr>
              <w:t>§13.12; forbearance; DIP-funding termination</w:t>
            </w:r>
          </w:p>
        </w:tc>
        <w:tc>
          <w:tcPr>
            <w:tcW w:type="dxa" w:w="2088"/>
            <w:shd w:val="clear" w:color="auto" w:fill="EEF1F6"/>
          </w:tcPr>
          <w:p>
            <w:pPr>
              <w:spacing w:after="20"/>
            </w:pPr>
            <w:r/>
            <w:r>
              <w:rPr>
                <w:b w:val="0"/>
                <w:i w:val="0"/>
                <w:sz w:val="16"/>
              </w:rPr>
              <w:t>As marked</w:t>
            </w:r>
          </w:p>
        </w:tc>
        <w:tc>
          <w:tcPr>
            <w:tcW w:type="dxa" w:w="2520"/>
            <w:shd w:val="clear" w:color="auto" w:fill="EEF1F6"/>
          </w:tcPr>
          <w:p>
            <w:pPr>
              <w:spacing w:after="20"/>
            </w:pPr>
            <w:r/>
            <w:r>
              <w:rPr>
                <w:b w:val="0"/>
                <w:i w:val="0"/>
                <w:sz w:val="16"/>
              </w:rPr>
              <w:t>Delete §13.12; restore CD §§3.02(f), 6.01(d)</w:t>
            </w:r>
          </w:p>
        </w:tc>
        <w:tc>
          <w:tcPr>
            <w:tcW w:type="dxa" w:w="2592"/>
            <w:shd w:val="clear" w:color="auto" w:fill="EEF1F6"/>
          </w:tcPr>
          <w:p>
            <w:pPr>
              <w:spacing w:after="20"/>
            </w:pPr>
            <w:r/>
            <w:r>
              <w:rPr>
                <w:b w:val="0"/>
                <w:i w:val="0"/>
                <w:sz w:val="16"/>
              </w:rPr>
              <w:t>—</w:t>
            </w:r>
          </w:p>
        </w:tc>
      </w:tr>
      <w:tr>
        <w:tc>
          <w:tcPr>
            <w:tcW w:type="dxa" w:w="2160"/>
          </w:tcPr>
          <w:p>
            <w:pPr>
              <w:spacing w:after="20"/>
            </w:pPr>
            <w:r/>
            <w:r>
              <w:rPr>
                <w:b w:val="0"/>
                <w:i w:val="0"/>
                <w:sz w:val="16"/>
              </w:rPr>
              <w:t>Post-emergence board</w:t>
            </w:r>
          </w:p>
        </w:tc>
        <w:tc>
          <w:tcPr>
            <w:tcW w:type="dxa" w:w="2088"/>
          </w:tcPr>
          <w:p>
            <w:pPr>
              <w:spacing w:after="20"/>
            </w:pPr>
            <w:r/>
            <w:r>
              <w:rPr>
                <w:b w:val="0"/>
                <w:i w:val="0"/>
                <w:sz w:val="16"/>
              </w:rPr>
              <w:t>4 / 1 / CEO / 1 independent</w:t>
            </w:r>
          </w:p>
        </w:tc>
        <w:tc>
          <w:tcPr>
            <w:tcW w:type="dxa" w:w="2520"/>
          </w:tcPr>
          <w:p>
            <w:pPr>
              <w:spacing w:after="20"/>
            </w:pPr>
            <w:r/>
            <w:r>
              <w:rPr>
                <w:b w:val="0"/>
                <w:i w:val="0"/>
                <w:sz w:val="16"/>
              </w:rPr>
              <w:t>Accept, with 2 independents</w:t>
            </w:r>
          </w:p>
        </w:tc>
        <w:tc>
          <w:tcPr>
            <w:tcW w:type="dxa" w:w="2592"/>
          </w:tcPr>
          <w:p>
            <w:pPr>
              <w:spacing w:after="20"/>
            </w:pPr>
            <w:r/>
            <w:r>
              <w:rPr>
                <w:b w:val="0"/>
                <w:i w:val="0"/>
                <w:sz w:val="16"/>
              </w:rPr>
              <w:t>Accept as marked, with an independent audit committee</w:t>
            </w:r>
          </w:p>
        </w:tc>
      </w:tr>
    </w:tbl>
    <w:p>
      <w:pPr>
        <w:spacing w:after="40"/>
      </w:pPr>
    </w:p>
    <w:p>
      <w:pPr>
        <w:pStyle w:val="Heading2"/>
      </w:pPr>
      <w:r>
        <w:t>B. Indicative economics of the counter (TEV $1.3B)</w:t>
      </w:r>
    </w:p>
    <w:p>
      <w:pPr>
        <w:jc w:val="both"/>
      </w:pPr>
      <w:r>
        <w:rPr>
          <w:b w:val="0"/>
          <w:i w:val="0"/>
        </w:rPr>
        <w:t>Each cell shows the Pendleton methodology first (deducting only the rolled/converted DIP amount) and then our like-for-like view (deducting the full $175M DIP takeout in every case). The counter assumes S+700 on the DIP and a 1.0% upfront fee ($1.75M). These are indicative figures for Pendleton to confirm.</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2304"/>
            <w:shd w:val="clear" w:color="auto" w:fill="1F2A44"/>
          </w:tcPr>
          <w:p>
            <w:r/>
            <w:r>
              <w:rPr>
                <w:b/>
                <w:color w:val="FFFFFF"/>
                <w:sz w:val="16"/>
              </w:rPr>
              <w:t>Scenario</w:t>
            </w:r>
          </w:p>
        </w:tc>
        <w:tc>
          <w:tcPr>
            <w:tcW w:type="dxa" w:w="1440"/>
            <w:shd w:val="clear" w:color="auto" w:fill="1F2A44"/>
          </w:tcPr>
          <w:p>
            <w:r/>
            <w:r>
              <w:rPr>
                <w:b/>
                <w:color w:val="FFFFFF"/>
                <w:sz w:val="16"/>
              </w:rPr>
              <w:t>Equity value</w:t>
            </w:r>
          </w:p>
        </w:tc>
        <w:tc>
          <w:tcPr>
            <w:tcW w:type="dxa" w:w="2016"/>
            <w:shd w:val="clear" w:color="auto" w:fill="1F2A44"/>
          </w:tcPr>
          <w:p>
            <w:r/>
            <w:r>
              <w:rPr>
                <w:b/>
                <w:color w:val="FFFFFF"/>
                <w:sz w:val="16"/>
              </w:rPr>
              <w:t>1L total</w:t>
            </w:r>
          </w:p>
        </w:tc>
        <w:tc>
          <w:tcPr>
            <w:tcW w:type="dxa" w:w="1872"/>
            <w:shd w:val="clear" w:color="auto" w:fill="1F2A44"/>
          </w:tcPr>
          <w:p>
            <w:r/>
            <w:r>
              <w:rPr>
                <w:b/>
                <w:color w:val="FFFFFF"/>
                <w:sz w:val="16"/>
              </w:rPr>
              <w:t>2L</w:t>
            </w:r>
          </w:p>
        </w:tc>
        <w:tc>
          <w:tcPr>
            <w:tcW w:type="dxa" w:w="1728"/>
            <w:shd w:val="clear" w:color="auto" w:fill="1F2A44"/>
          </w:tcPr>
          <w:p>
            <w:r/>
            <w:r>
              <w:rPr>
                <w:b/>
                <w:color w:val="FFFFFF"/>
                <w:sz w:val="16"/>
              </w:rPr>
              <w:t>Unsecured (excl. warrants)</w:t>
            </w:r>
          </w:p>
        </w:tc>
      </w:tr>
      <w:tr>
        <w:tc>
          <w:tcPr>
            <w:tcW w:type="dxa" w:w="2304"/>
          </w:tcPr>
          <w:p>
            <w:pPr>
              <w:spacing w:after="20"/>
            </w:pPr>
            <w:r/>
            <w:r>
              <w:rPr>
                <w:b w:val="0"/>
                <w:i w:val="0"/>
                <w:sz w:val="16"/>
              </w:rPr>
              <w:t>Company Draft</w:t>
            </w:r>
          </w:p>
        </w:tc>
        <w:tc>
          <w:tcPr>
            <w:tcW w:type="dxa" w:w="1440"/>
          </w:tcPr>
          <w:p>
            <w:pPr>
              <w:spacing w:after="20"/>
            </w:pPr>
            <w:r/>
            <w:r>
              <w:rPr>
                <w:b w:val="0"/>
                <w:i w:val="0"/>
                <w:sz w:val="16"/>
              </w:rPr>
              <w:t>$502.5 / $402.5</w:t>
            </w:r>
          </w:p>
        </w:tc>
        <w:tc>
          <w:tcPr>
            <w:tcW w:type="dxa" w:w="2016"/>
          </w:tcPr>
          <w:p>
            <w:pPr>
              <w:spacing w:after="20"/>
            </w:pPr>
            <w:r/>
            <w:r>
              <w:rPr>
                <w:b w:val="0"/>
                <w:i w:val="0"/>
                <w:sz w:val="16"/>
              </w:rPr>
              <w:t>$956.8 (80.4%) / $884.8 (74.4%)</w:t>
            </w:r>
          </w:p>
        </w:tc>
        <w:tc>
          <w:tcPr>
            <w:tcW w:type="dxa" w:w="1872"/>
          </w:tcPr>
          <w:p>
            <w:pPr>
              <w:spacing w:after="20"/>
            </w:pPr>
            <w:r/>
            <w:r>
              <w:rPr>
                <w:b w:val="0"/>
                <w:i w:val="0"/>
                <w:sz w:val="16"/>
              </w:rPr>
              <w:t>$60.3 (15.9%) / $48.3 (12.7%)</w:t>
            </w:r>
          </w:p>
        </w:tc>
        <w:tc>
          <w:tcPr>
            <w:tcW w:type="dxa" w:w="1728"/>
          </w:tcPr>
          <w:p>
            <w:pPr>
              <w:spacing w:after="20"/>
            </w:pPr>
            <w:r/>
            <w:r>
              <w:rPr>
                <w:b w:val="0"/>
                <w:i w:val="0"/>
                <w:sz w:val="16"/>
              </w:rPr>
              <w:t>$30.2 (10.1%) / $24.2 (8.1%)</w:t>
            </w:r>
          </w:p>
        </w:tc>
      </w:tr>
      <w:tr>
        <w:tc>
          <w:tcPr>
            <w:tcW w:type="dxa" w:w="2304"/>
            <w:shd w:val="clear" w:color="auto" w:fill="EEF1F6"/>
          </w:tcPr>
          <w:p>
            <w:pPr>
              <w:spacing w:after="20"/>
            </w:pPr>
            <w:r/>
            <w:r>
              <w:rPr>
                <w:b w:val="0"/>
                <w:i w:val="0"/>
                <w:sz w:val="16"/>
              </w:rPr>
              <w:t>Ad Hoc Markup</w:t>
            </w:r>
          </w:p>
        </w:tc>
        <w:tc>
          <w:tcPr>
            <w:tcW w:type="dxa" w:w="1440"/>
            <w:shd w:val="clear" w:color="auto" w:fill="EEF1F6"/>
          </w:tcPr>
          <w:p>
            <w:pPr>
              <w:spacing w:after="20"/>
            </w:pPr>
            <w:r/>
            <w:r>
              <w:rPr>
                <w:b w:val="0"/>
                <w:i w:val="0"/>
                <w:sz w:val="16"/>
              </w:rPr>
              <w:t>$341.3 / $341.3</w:t>
            </w:r>
          </w:p>
        </w:tc>
        <w:tc>
          <w:tcPr>
            <w:tcW w:type="dxa" w:w="2016"/>
            <w:shd w:val="clear" w:color="auto" w:fill="EEF1F6"/>
          </w:tcPr>
          <w:p>
            <w:pPr>
              <w:spacing w:after="20"/>
            </w:pPr>
            <w:r/>
            <w:r>
              <w:rPr>
                <w:b w:val="0"/>
                <w:i w:val="0"/>
                <w:sz w:val="16"/>
              </w:rPr>
              <w:t>$921.2 (77.4%) / $921.2 (77.4%)</w:t>
            </w:r>
          </w:p>
        </w:tc>
        <w:tc>
          <w:tcPr>
            <w:tcW w:type="dxa" w:w="1872"/>
            <w:shd w:val="clear" w:color="auto" w:fill="EEF1F6"/>
          </w:tcPr>
          <w:p>
            <w:pPr>
              <w:spacing w:after="20"/>
            </w:pPr>
            <w:r/>
            <w:r>
              <w:rPr>
                <w:b w:val="0"/>
                <w:i w:val="0"/>
                <w:sz w:val="16"/>
              </w:rPr>
              <w:t>$27.3 (7.2%) / $27.3 (7.2%)</w:t>
            </w:r>
          </w:p>
        </w:tc>
        <w:tc>
          <w:tcPr>
            <w:tcW w:type="dxa" w:w="1728"/>
            <w:shd w:val="clear" w:color="auto" w:fill="EEF1F6"/>
          </w:tcPr>
          <w:p>
            <w:pPr>
              <w:spacing w:after="20"/>
            </w:pPr>
            <w:r/>
            <w:r>
              <w:rPr>
                <w:b w:val="0"/>
                <w:i w:val="0"/>
                <w:sz w:val="16"/>
              </w:rPr>
              <w:t>$13.7 (4.6%) / $13.7 (4.6%)</w:t>
            </w:r>
          </w:p>
        </w:tc>
      </w:tr>
      <w:tr>
        <w:tc>
          <w:tcPr>
            <w:tcW w:type="dxa" w:w="2304"/>
          </w:tcPr>
          <w:p>
            <w:pPr>
              <w:spacing w:after="20"/>
            </w:pPr>
            <w:r/>
            <w:r>
              <w:rPr>
                <w:b w:val="0"/>
                <w:i w:val="0"/>
                <w:sz w:val="16"/>
              </w:rPr>
              <w:t>Company counter (opening, carveout $22.5M)</w:t>
            </w:r>
          </w:p>
        </w:tc>
        <w:tc>
          <w:tcPr>
            <w:tcW w:type="dxa" w:w="1440"/>
          </w:tcPr>
          <w:p>
            <w:pPr>
              <w:spacing w:after="20"/>
            </w:pPr>
            <w:r/>
            <w:r>
              <w:rPr>
                <w:b w:val="0"/>
                <w:i w:val="0"/>
                <w:sz w:val="16"/>
              </w:rPr>
              <w:t>$445.8 / $370.8</w:t>
            </w:r>
          </w:p>
        </w:tc>
        <w:tc>
          <w:tcPr>
            <w:tcW w:type="dxa" w:w="2016"/>
          </w:tcPr>
          <w:p>
            <w:pPr>
              <w:spacing w:after="20"/>
            </w:pPr>
            <w:r/>
            <w:r>
              <w:rPr>
                <w:b w:val="0"/>
                <w:i w:val="0"/>
                <w:sz w:val="16"/>
              </w:rPr>
              <w:t>$959.3 (80.6%) / $903.1 (75.9%)</w:t>
            </w:r>
          </w:p>
        </w:tc>
        <w:tc>
          <w:tcPr>
            <w:tcW w:type="dxa" w:w="1872"/>
          </w:tcPr>
          <w:p>
            <w:pPr>
              <w:spacing w:after="20"/>
            </w:pPr>
            <w:r/>
            <w:r>
              <w:rPr>
                <w:b w:val="0"/>
                <w:i w:val="0"/>
                <w:sz w:val="16"/>
              </w:rPr>
              <w:t>$44.6 (11.7%) / $37.1 (9.8%)</w:t>
            </w:r>
          </w:p>
        </w:tc>
        <w:tc>
          <w:tcPr>
            <w:tcW w:type="dxa" w:w="1728"/>
          </w:tcPr>
          <w:p>
            <w:pPr>
              <w:spacing w:after="20"/>
            </w:pPr>
            <w:r/>
            <w:r>
              <w:rPr>
                <w:b w:val="0"/>
                <w:i w:val="0"/>
                <w:sz w:val="16"/>
              </w:rPr>
              <w:t>$22.3 (7.4%) / $18.5 (6.2%)</w:t>
            </w:r>
          </w:p>
        </w:tc>
      </w:tr>
    </w:tbl>
    <w:p>
      <w:pPr>
        <w:spacing w:after="40"/>
      </w:pPr>
    </w:p>
    <w:p>
      <w:pPr>
        <w:jc w:val="both"/>
      </w:pPr>
      <w:r>
        <w:rPr>
          <w:b w:val="0"/>
          <w:i w:val="0"/>
        </w:rPr>
        <w:t xml:space="preserve">On Pendleton’s methodology the counter delivers a </w:t>
      </w:r>
      <w:r>
        <w:rPr>
          <w:b/>
          <w:i w:val="0"/>
        </w:rPr>
        <w:t>higher total 1L class recovery than the Markup</w:t>
      </w:r>
      <w:r>
        <w:rPr>
          <w:b w:val="0"/>
          <w:i w:val="0"/>
        </w:rPr>
        <w:t xml:space="preserve"> (about $959.3M vs. $921.2M), because it moves value back from DIP-only economics to the class. That gives us a strong argument with the Ad Hoc Group’s non-DIP members and with the 37.6% of 1L holders outside the group. On the like-for-like view, the counter still gives the 1L class more than the Company Draft did, while restoring junior recoveries to levels the Framework regards as consensual.</w:t>
      </w:r>
    </w:p>
    <w:p>
      <w:pPr>
        <w:pStyle w:val="Heading2"/>
      </w:pPr>
      <w:r>
        <w:t>C. Junior creditor engagement</w:t>
      </w:r>
    </w:p>
    <w:p>
      <w:pPr>
        <w:jc w:val="both"/>
      </w:pPr>
      <w:r>
        <w:rPr>
          <w:b w:val="0"/>
          <w:i w:val="0"/>
        </w:rPr>
        <w:t xml:space="preserve">We recommend that the Company not accept the Ad Hoc Group’s request to defer all junior engagement until solicitation. The Framework contemplated engagement once the first lien framework is substantially agreed, and that point should come </w:t>
      </w:r>
      <w:r>
        <w:rPr>
          <w:b/>
          <w:i w:val="0"/>
        </w:rPr>
        <w:t>before</w:t>
      </w:r>
      <w:r>
        <w:rPr>
          <w:b w:val="0"/>
          <w:i w:val="0"/>
        </w:rPr>
        <w:t xml:space="preserve"> RSA execution, for five reasons. (1) The DIP primes the 2L liens, so the Company needs either 2L consent, a deemed consent under the August 12, 2019 intercreditor agreement (to be reviewed), or adequate protection that satisfies §364(d)(1)(B). (2) The 2L and unsecured classes are voting classes in a prepack, and a rejection forces a §1129(b) cramdown and valuation contest that the milestones cannot accommodate. (3) Their trading levels (28 and 8 cents) signal they will fight. (4) The releases, the carveout and the roll-up are the provisions they are most likely to attack. (5) The Board must be able to show it considered all stakeholders. We suggest a confidential outreach to Kelton Harris &amp; Roe under an NDA once terms with the Ad Hoc Group are agreed in principle (target the week of April 7), with a joinder path for the 2L in the RSA.</w:t>
      </w:r>
    </w:p>
    <w:p>
      <w:pPr>
        <w:pStyle w:val="Heading2"/>
      </w:pPr>
      <w:r>
        <w:t>D. Process and timetable (RSA target April 14; Petition Date April 17)</w:t>
      </w:r>
    </w:p>
    <w:p>
      <w:pPr>
        <w:pStyle w:val="ListBullet"/>
        <w:spacing w:after="60"/>
      </w:pPr>
      <w:r>
        <w:rPr>
          <w:b/>
          <w:i w:val="0"/>
        </w:rPr>
        <w:t>April 3–4:</w:t>
      </w:r>
      <w:r>
        <w:rPr>
          <w:b w:val="0"/>
          <w:i w:val="0"/>
        </w:rPr>
        <w:t xml:space="preserve"> Send the process note to Mr. Garvey (reservation of rights; request for a true comparison against the March 17 draft; the clarification list in Part VII). Ask Pendleton to re-run the Schedule (DIP takeout, warrants, counter package, DIP all-in cost, leverage, a weekly liquidity forecast through ABL maturity and the summer peak against the $40M/$30M tests).</w:t>
      </w:r>
    </w:p>
    <w:p>
      <w:pPr>
        <w:pStyle w:val="ListBullet"/>
        <w:spacing w:after="60"/>
      </w:pPr>
      <w:r>
        <w:rPr>
          <w:b/>
          <w:i w:val="0"/>
        </w:rPr>
        <w:t>By April 7:</w:t>
      </w:r>
      <w:r>
        <w:rPr>
          <w:b w:val="0"/>
          <w:i w:val="0"/>
        </w:rPr>
        <w:t xml:space="preserve"> Board briefing through Ms. Pratt and Ms. Holloway on the red-line items (fiduciary out, DIP, carveout, milestones, MIP, observers, releases). Consult the appellate group on releases (Framework §V.D). Deliver the issues list to Sternwick ahead of the April 7–8 call with Clearbridge and Pendleton.</w:t>
      </w:r>
    </w:p>
    <w:p>
      <w:pPr>
        <w:pStyle w:val="ListBullet"/>
        <w:spacing w:after="60"/>
      </w:pPr>
      <w:r>
        <w:rPr>
          <w:b/>
          <w:i w:val="0"/>
        </w:rPr>
        <w:t>April 8–9:</w:t>
      </w:r>
      <w:r>
        <w:rPr>
          <w:b w:val="0"/>
          <w:i w:val="0"/>
        </w:rPr>
        <w:t xml:space="preserve"> Circulate the Company turn (redline against the March 17 draft), with the full DIP TS restored as Exhibit B and conformed.</w:t>
      </w:r>
    </w:p>
    <w:p>
      <w:pPr>
        <w:pStyle w:val="ListBullet"/>
        <w:spacing w:after="60"/>
      </w:pPr>
      <w:r>
        <w:rPr>
          <w:b/>
          <w:i w:val="0"/>
        </w:rPr>
        <w:t>April 9–14:</w:t>
      </w:r>
      <w:r>
        <w:rPr>
          <w:b w:val="0"/>
          <w:i w:val="0"/>
        </w:rPr>
        <w:t xml:space="preserve"> Negotiate; first-day papers final by April 14 so the 3-BD filing milestone can be met; parallel discussions with Briarwood on ABL maturity and a postpetition ABL; outreach to Kelton Harris &amp; Roe.</w:t>
      </w:r>
    </w:p>
    <w:p>
      <w:pPr>
        <w:pStyle w:val="ListBullet"/>
        <w:spacing w:after="60"/>
      </w:pPr>
      <w:r>
        <w:rPr>
          <w:b w:val="0"/>
          <w:i w:val="0"/>
        </w:rPr>
        <w:t>All communications go through Ms. Vasquez (Framework §VI.4). No signaling of flexibility before the Board briefing.</w:t>
      </w:r>
    </w:p>
    <w:p>
      <w:pPr>
        <w:pStyle w:val="Heading1"/>
      </w:pPr>
      <w:r>
        <w:t>VII. Clarifications to Request from Sternwick &amp; Calloway</w:t>
      </w:r>
    </w:p>
    <w:p>
      <w:pPr>
        <w:pStyle w:val="ListNumber"/>
        <w:spacing w:after="60"/>
      </w:pPr>
      <w:r>
        <w:rPr>
          <w:b w:val="0"/>
          <w:i w:val="0"/>
        </w:rPr>
        <w:t>What is the “rights offering backstop” referenced in the Cover Email, and how is the 2.5% of unallocated equity intended to be used?</w:t>
      </w:r>
    </w:p>
    <w:p>
      <w:pPr>
        <w:pStyle w:val="ListNumber"/>
        <w:spacing w:after="60"/>
      </w:pPr>
      <w:r>
        <w:rPr>
          <w:b w:val="0"/>
          <w:i w:val="0"/>
        </w:rPr>
        <w:t>Was the warrant change (2% @ $1.4B) intended? It is not described in the Cover Email.</w:t>
      </w:r>
    </w:p>
    <w:p>
      <w:pPr>
        <w:pStyle w:val="ListNumber"/>
        <w:spacing w:after="60"/>
      </w:pPr>
      <w:r>
        <w:rPr>
          <w:b w:val="0"/>
          <w:i w:val="0"/>
        </w:rPr>
        <w:t>Roll-up mechanics: does the Markup contemplate any elevation of prepetition 1L claims into the DIP, or only conversion of DIP loans into exit loans? How is the exit fee treated on conversion?</w:t>
      </w:r>
    </w:p>
    <w:p>
      <w:pPr>
        <w:pStyle w:val="ListNumber"/>
        <w:spacing w:after="60"/>
      </w:pPr>
      <w:r>
        <w:rPr>
          <w:b w:val="0"/>
          <w:i w:val="0"/>
        </w:rPr>
        <w:t>Observer rights: do they terminate on the Petition Date (§11.02) or at emergence (Cover Email)?</w:t>
      </w:r>
    </w:p>
    <w:p>
      <w:pPr>
        <w:pStyle w:val="ListNumber"/>
        <w:spacing w:after="60"/>
      </w:pPr>
      <w:r>
        <w:rPr>
          <w:b w:val="0"/>
          <w:i w:val="0"/>
        </w:rPr>
        <w:t>Why was Schedule 1 reduced to four entities, and was the deletion of CD §§3.02(f), 6.01(d), 8.05(b), 9.03 and 11.02 intended?</w:t>
      </w:r>
    </w:p>
    <w:p>
      <w:pPr>
        <w:pStyle w:val="ListNumber"/>
        <w:spacing w:after="60"/>
      </w:pPr>
      <w:r>
        <w:rPr>
          <w:b w:val="0"/>
          <w:i w:val="0"/>
        </w:rPr>
        <w:t>Which credit agreement and indenture dates do the Ad Hoc Group’s records reflect, and which entity (Hollcroft or Redstone) will sign?</w:t>
      </w:r>
    </w:p>
    <w:p>
      <w:pPr>
        <w:pStyle w:val="ListNumber"/>
        <w:spacing w:after="60"/>
      </w:pPr>
      <w:r>
        <w:rPr>
          <w:b w:val="0"/>
          <w:i w:val="0"/>
        </w:rPr>
        <w:t>Exit term loan terms (pricing, maturity, amortization, covenants) and the proposed DIP participation mechanics for 1L holders outside the Ad Hoc Group.</w:t>
      </w:r>
    </w:p>
    <w:p>
      <w:pPr>
        <w:pStyle w:val="ListNumber"/>
        <w:spacing w:after="60"/>
      </w:pPr>
      <w:r>
        <w:rPr>
          <w:b w:val="0"/>
          <w:i w:val="0"/>
        </w:rPr>
        <w:t>Under §7.02(a) and the definition of “Alternative Transaction,” who determines the 15% threshold, and how is “recovery to the estate” measured?</w:t>
      </w:r>
    </w:p>
    <w:p>
      <w:pPr>
        <w:pStyle w:val="Heading1"/>
      </w:pPr>
      <w:r>
        <w:t>Appendix A — Milestone Calendar (assumes RSA Effective Date Monday, April 14, 2025, and Petition Date Thursday, April 17, 2025)</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448"/>
            <w:shd w:val="clear" w:color="auto" w:fill="1F2A44"/>
          </w:tcPr>
          <w:p>
            <w:r/>
            <w:r>
              <w:rPr>
                <w:b/>
                <w:color w:val="FFFFFF"/>
                <w:sz w:val="17"/>
              </w:rPr>
              <w:t>Milestone</w:t>
            </w:r>
          </w:p>
        </w:tc>
        <w:tc>
          <w:tcPr>
            <w:tcW w:type="dxa" w:w="2304"/>
            <w:shd w:val="clear" w:color="auto" w:fill="1F2A44"/>
          </w:tcPr>
          <w:p>
            <w:r/>
            <w:r>
              <w:rPr>
                <w:b/>
                <w:color w:val="FFFFFF"/>
                <w:sz w:val="17"/>
              </w:rPr>
              <w:t>Company Draft</w:t>
            </w:r>
          </w:p>
        </w:tc>
        <w:tc>
          <w:tcPr>
            <w:tcW w:type="dxa" w:w="2304"/>
            <w:shd w:val="clear" w:color="auto" w:fill="1F2A44"/>
          </w:tcPr>
          <w:p>
            <w:r/>
            <w:r>
              <w:rPr>
                <w:b/>
                <w:color w:val="FFFFFF"/>
                <w:sz w:val="17"/>
              </w:rPr>
              <w:t>Markup</w:t>
            </w:r>
          </w:p>
        </w:tc>
        <w:tc>
          <w:tcPr>
            <w:tcW w:type="dxa" w:w="2304"/>
            <w:shd w:val="clear" w:color="auto" w:fill="1F2A44"/>
          </w:tcPr>
          <w:p>
            <w:r/>
            <w:r>
              <w:rPr>
                <w:b/>
                <w:color w:val="FFFFFF"/>
                <w:sz w:val="17"/>
              </w:rPr>
              <w:t>Framework floor</w:t>
            </w:r>
          </w:p>
        </w:tc>
      </w:tr>
      <w:tr>
        <w:tc>
          <w:tcPr>
            <w:tcW w:type="dxa" w:w="2448"/>
          </w:tcPr>
          <w:p>
            <w:pPr>
              <w:spacing w:after="20"/>
            </w:pPr>
            <w:r/>
            <w:r>
              <w:rPr>
                <w:b w:val="0"/>
                <w:i w:val="0"/>
                <w:sz w:val="17"/>
              </w:rPr>
              <w:t>Chapter 11 filing</w:t>
            </w:r>
          </w:p>
        </w:tc>
        <w:tc>
          <w:tcPr>
            <w:tcW w:type="dxa" w:w="2304"/>
          </w:tcPr>
          <w:p>
            <w:pPr>
              <w:spacing w:after="20"/>
            </w:pPr>
            <w:r/>
            <w:r>
              <w:rPr>
                <w:b w:val="0"/>
                <w:i w:val="0"/>
                <w:sz w:val="17"/>
              </w:rPr>
              <w:t>5 BD → Mon. Apr. 21</w:t>
            </w:r>
          </w:p>
        </w:tc>
        <w:tc>
          <w:tcPr>
            <w:tcW w:type="dxa" w:w="2304"/>
          </w:tcPr>
          <w:p>
            <w:pPr>
              <w:spacing w:after="20"/>
            </w:pPr>
            <w:r/>
            <w:r>
              <w:rPr>
                <w:b w:val="0"/>
                <w:i w:val="0"/>
                <w:sz w:val="17"/>
              </w:rPr>
              <w:t>3 BD → Thu. Apr. 17</w:t>
            </w:r>
          </w:p>
        </w:tc>
        <w:tc>
          <w:tcPr>
            <w:tcW w:type="dxa" w:w="2304"/>
          </w:tcPr>
          <w:p>
            <w:pPr>
              <w:spacing w:after="20"/>
            </w:pPr>
            <w:r/>
            <w:r>
              <w:rPr>
                <w:b w:val="0"/>
                <w:i w:val="0"/>
                <w:sz w:val="17"/>
              </w:rPr>
              <w:t>3 BD → Apr. 17</w:t>
            </w:r>
          </w:p>
        </w:tc>
      </w:tr>
      <w:tr>
        <w:tc>
          <w:tcPr>
            <w:tcW w:type="dxa" w:w="2448"/>
            <w:shd w:val="clear" w:color="auto" w:fill="EEF1F6"/>
          </w:tcPr>
          <w:p>
            <w:pPr>
              <w:spacing w:after="20"/>
            </w:pPr>
            <w:r/>
            <w:r>
              <w:rPr>
                <w:b w:val="0"/>
                <w:i w:val="0"/>
                <w:sz w:val="17"/>
              </w:rPr>
              <w:t>DIP motion filed</w:t>
            </w:r>
          </w:p>
        </w:tc>
        <w:tc>
          <w:tcPr>
            <w:tcW w:type="dxa" w:w="2304"/>
            <w:shd w:val="clear" w:color="auto" w:fill="EEF1F6"/>
          </w:tcPr>
          <w:p>
            <w:pPr>
              <w:spacing w:after="20"/>
            </w:pPr>
            <w:r/>
            <w:r>
              <w:rPr>
                <w:b w:val="0"/>
                <w:i w:val="0"/>
                <w:sz w:val="17"/>
              </w:rPr>
              <w:t>—</w:t>
            </w:r>
          </w:p>
        </w:tc>
        <w:tc>
          <w:tcPr>
            <w:tcW w:type="dxa" w:w="2304"/>
            <w:shd w:val="clear" w:color="auto" w:fill="EEF1F6"/>
          </w:tcPr>
          <w:p>
            <w:pPr>
              <w:spacing w:after="20"/>
            </w:pPr>
            <w:r/>
            <w:r>
              <w:rPr>
                <w:b w:val="0"/>
                <w:i w:val="0"/>
                <w:sz w:val="17"/>
              </w:rPr>
              <w:t>2 BD → Mon. Apr. 21</w:t>
            </w:r>
          </w:p>
        </w:tc>
        <w:tc>
          <w:tcPr>
            <w:tcW w:type="dxa" w:w="2304"/>
            <w:shd w:val="clear" w:color="auto" w:fill="EEF1F6"/>
          </w:tcPr>
          <w:p>
            <w:pPr>
              <w:spacing w:after="20"/>
            </w:pPr>
            <w:r/>
            <w:r>
              <w:rPr>
                <w:b w:val="0"/>
                <w:i w:val="0"/>
                <w:sz w:val="17"/>
              </w:rPr>
              <w:t>—</w:t>
            </w:r>
          </w:p>
        </w:tc>
      </w:tr>
      <w:tr>
        <w:tc>
          <w:tcPr>
            <w:tcW w:type="dxa" w:w="2448"/>
          </w:tcPr>
          <w:p>
            <w:pPr>
              <w:spacing w:after="20"/>
            </w:pPr>
            <w:r/>
            <w:r>
              <w:rPr>
                <w:b w:val="0"/>
                <w:i w:val="0"/>
                <w:sz w:val="17"/>
              </w:rPr>
              <w:t>Interim DIP order</w:t>
            </w:r>
          </w:p>
        </w:tc>
        <w:tc>
          <w:tcPr>
            <w:tcW w:type="dxa" w:w="2304"/>
          </w:tcPr>
          <w:p>
            <w:pPr>
              <w:spacing w:after="20"/>
            </w:pPr>
            <w:r/>
            <w:r>
              <w:rPr>
                <w:b w:val="0"/>
                <w:i w:val="0"/>
                <w:sz w:val="17"/>
              </w:rPr>
              <w:t>3 BD → Tue. Apr. 22</w:t>
            </w:r>
          </w:p>
        </w:tc>
        <w:tc>
          <w:tcPr>
            <w:tcW w:type="dxa" w:w="2304"/>
          </w:tcPr>
          <w:p>
            <w:pPr>
              <w:spacing w:after="20"/>
            </w:pPr>
            <w:r/>
            <w:r>
              <w:rPr>
                <w:b w:val="0"/>
                <w:i w:val="0"/>
                <w:sz w:val="17"/>
              </w:rPr>
              <w:t>5 BD → Thu. Apr. 24</w:t>
            </w:r>
          </w:p>
        </w:tc>
        <w:tc>
          <w:tcPr>
            <w:tcW w:type="dxa" w:w="2304"/>
          </w:tcPr>
          <w:p>
            <w:pPr>
              <w:spacing w:after="20"/>
            </w:pPr>
            <w:r/>
            <w:r>
              <w:rPr>
                <w:b w:val="0"/>
                <w:i w:val="0"/>
                <w:sz w:val="17"/>
              </w:rPr>
              <w:t>—</w:t>
            </w:r>
          </w:p>
        </w:tc>
      </w:tr>
      <w:tr>
        <w:tc>
          <w:tcPr>
            <w:tcW w:type="dxa" w:w="2448"/>
            <w:shd w:val="clear" w:color="auto" w:fill="EEF1F6"/>
          </w:tcPr>
          <w:p>
            <w:pPr>
              <w:spacing w:after="20"/>
            </w:pPr>
            <w:r/>
            <w:r>
              <w:rPr>
                <w:b w:val="0"/>
                <w:i w:val="0"/>
                <w:sz w:val="17"/>
              </w:rPr>
              <w:t>Final DIP order</w:t>
            </w:r>
          </w:p>
        </w:tc>
        <w:tc>
          <w:tcPr>
            <w:tcW w:type="dxa" w:w="2304"/>
            <w:shd w:val="clear" w:color="auto" w:fill="EEF1F6"/>
          </w:tcPr>
          <w:p>
            <w:pPr>
              <w:spacing w:after="20"/>
            </w:pPr>
            <w:r/>
            <w:r>
              <w:rPr>
                <w:b w:val="0"/>
                <w:i w:val="0"/>
                <w:sz w:val="17"/>
              </w:rPr>
              <w:t>45 days → Sun. Jun. 1</w:t>
            </w:r>
          </w:p>
        </w:tc>
        <w:tc>
          <w:tcPr>
            <w:tcW w:type="dxa" w:w="2304"/>
            <w:shd w:val="clear" w:color="auto" w:fill="EEF1F6"/>
          </w:tcPr>
          <w:p>
            <w:pPr>
              <w:spacing w:after="20"/>
            </w:pPr>
            <w:r/>
            <w:r>
              <w:rPr>
                <w:b w:val="0"/>
                <w:i w:val="0"/>
                <w:sz w:val="17"/>
              </w:rPr>
              <w:t>45 days → Sun. Jun. 1</w:t>
            </w:r>
          </w:p>
        </w:tc>
        <w:tc>
          <w:tcPr>
            <w:tcW w:type="dxa" w:w="2304"/>
            <w:shd w:val="clear" w:color="auto" w:fill="EEF1F6"/>
          </w:tcPr>
          <w:p>
            <w:pPr>
              <w:spacing w:after="20"/>
            </w:pPr>
            <w:r/>
            <w:r>
              <w:rPr>
                <w:b w:val="0"/>
                <w:i w:val="0"/>
                <w:sz w:val="17"/>
              </w:rPr>
              <w:t>—</w:t>
            </w:r>
          </w:p>
        </w:tc>
      </w:tr>
      <w:tr>
        <w:tc>
          <w:tcPr>
            <w:tcW w:type="dxa" w:w="2448"/>
          </w:tcPr>
          <w:p>
            <w:pPr>
              <w:spacing w:after="20"/>
            </w:pPr>
            <w:r/>
            <w:r>
              <w:rPr>
                <w:b w:val="0"/>
                <w:i w:val="0"/>
                <w:sz w:val="17"/>
              </w:rPr>
              <w:t>DS and Plan filed</w:t>
            </w:r>
          </w:p>
        </w:tc>
        <w:tc>
          <w:tcPr>
            <w:tcW w:type="dxa" w:w="2304"/>
          </w:tcPr>
          <w:p>
            <w:pPr>
              <w:spacing w:after="20"/>
            </w:pPr>
            <w:r/>
            <w:r>
              <w:rPr>
                <w:b w:val="0"/>
                <w:i w:val="0"/>
                <w:sz w:val="17"/>
              </w:rPr>
              <w:t>45 days → Sun. Jun. 1</w:t>
            </w:r>
          </w:p>
        </w:tc>
        <w:tc>
          <w:tcPr>
            <w:tcW w:type="dxa" w:w="2304"/>
          </w:tcPr>
          <w:p>
            <w:pPr>
              <w:spacing w:after="20"/>
            </w:pPr>
            <w:r/>
            <w:r>
              <w:rPr>
                <w:b w:val="0"/>
                <w:i w:val="0"/>
                <w:sz w:val="17"/>
              </w:rPr>
              <w:t>30 days → Sat. May 17</w:t>
            </w:r>
          </w:p>
        </w:tc>
        <w:tc>
          <w:tcPr>
            <w:tcW w:type="dxa" w:w="2304"/>
          </w:tcPr>
          <w:p>
            <w:pPr>
              <w:spacing w:after="20"/>
            </w:pPr>
            <w:r/>
            <w:r>
              <w:rPr>
                <w:b w:val="0"/>
                <w:i w:val="0"/>
                <w:sz w:val="17"/>
              </w:rPr>
              <w:t>40 days → Tue. May 27</w:t>
            </w:r>
          </w:p>
        </w:tc>
      </w:tr>
      <w:tr>
        <w:tc>
          <w:tcPr>
            <w:tcW w:type="dxa" w:w="2448"/>
            <w:shd w:val="clear" w:color="auto" w:fill="EEF1F6"/>
          </w:tcPr>
          <w:p>
            <w:pPr>
              <w:spacing w:after="20"/>
            </w:pPr>
            <w:r/>
            <w:r>
              <w:rPr>
                <w:b w:val="0"/>
                <w:i w:val="0"/>
                <w:sz w:val="17"/>
              </w:rPr>
              <w:t>DS approved</w:t>
            </w:r>
          </w:p>
        </w:tc>
        <w:tc>
          <w:tcPr>
            <w:tcW w:type="dxa" w:w="2304"/>
            <w:shd w:val="clear" w:color="auto" w:fill="EEF1F6"/>
          </w:tcPr>
          <w:p>
            <w:pPr>
              <w:spacing w:after="20"/>
            </w:pPr>
            <w:r/>
            <w:r>
              <w:rPr>
                <w:b w:val="0"/>
                <w:i w:val="0"/>
                <w:sz w:val="17"/>
              </w:rPr>
              <w:t>90 days → Wed. Jul. 16</w:t>
            </w:r>
          </w:p>
        </w:tc>
        <w:tc>
          <w:tcPr>
            <w:tcW w:type="dxa" w:w="2304"/>
            <w:shd w:val="clear" w:color="auto" w:fill="EEF1F6"/>
          </w:tcPr>
          <w:p>
            <w:pPr>
              <w:spacing w:after="20"/>
            </w:pPr>
            <w:r/>
            <w:r>
              <w:rPr>
                <w:b w:val="0"/>
                <w:i w:val="0"/>
                <w:sz w:val="17"/>
              </w:rPr>
              <w:t>75 days → Tue. Jul. 1</w:t>
            </w:r>
          </w:p>
        </w:tc>
        <w:tc>
          <w:tcPr>
            <w:tcW w:type="dxa" w:w="2304"/>
            <w:shd w:val="clear" w:color="auto" w:fill="EEF1F6"/>
          </w:tcPr>
          <w:p>
            <w:pPr>
              <w:spacing w:after="20"/>
            </w:pPr>
            <w:r/>
            <w:r>
              <w:rPr>
                <w:b w:val="0"/>
                <w:i w:val="0"/>
                <w:sz w:val="17"/>
              </w:rPr>
              <w:t>80 days → Sun. Jul. 6</w:t>
            </w:r>
          </w:p>
        </w:tc>
      </w:tr>
      <w:tr>
        <w:tc>
          <w:tcPr>
            <w:tcW w:type="dxa" w:w="2448"/>
          </w:tcPr>
          <w:p>
            <w:pPr>
              <w:spacing w:after="20"/>
            </w:pPr>
            <w:r/>
            <w:r>
              <w:rPr>
                <w:b w:val="0"/>
                <w:i w:val="0"/>
                <w:sz w:val="17"/>
              </w:rPr>
              <w:t>Confirmation Order</w:t>
            </w:r>
          </w:p>
        </w:tc>
        <w:tc>
          <w:tcPr>
            <w:tcW w:type="dxa" w:w="2304"/>
          </w:tcPr>
          <w:p>
            <w:pPr>
              <w:spacing w:after="20"/>
            </w:pPr>
            <w:r/>
            <w:r>
              <w:rPr>
                <w:b w:val="0"/>
                <w:i w:val="0"/>
                <w:sz w:val="17"/>
              </w:rPr>
              <w:t>135 days → Sat. Aug. 30</w:t>
            </w:r>
          </w:p>
        </w:tc>
        <w:tc>
          <w:tcPr>
            <w:tcW w:type="dxa" w:w="2304"/>
          </w:tcPr>
          <w:p>
            <w:pPr>
              <w:spacing w:after="20"/>
            </w:pPr>
            <w:r/>
            <w:r>
              <w:rPr>
                <w:b w:val="0"/>
                <w:i w:val="0"/>
                <w:sz w:val="17"/>
              </w:rPr>
              <w:t>110 days → Tue. Aug. 5</w:t>
            </w:r>
          </w:p>
        </w:tc>
        <w:tc>
          <w:tcPr>
            <w:tcW w:type="dxa" w:w="2304"/>
          </w:tcPr>
          <w:p>
            <w:pPr>
              <w:spacing w:after="20"/>
            </w:pPr>
            <w:r/>
            <w:r>
              <w:rPr>
                <w:b w:val="0"/>
                <w:i w:val="0"/>
                <w:sz w:val="17"/>
              </w:rPr>
              <w:t>120 days → Fri. Aug. 15</w:t>
            </w:r>
          </w:p>
        </w:tc>
      </w:tr>
      <w:tr>
        <w:tc>
          <w:tcPr>
            <w:tcW w:type="dxa" w:w="2448"/>
            <w:shd w:val="clear" w:color="auto" w:fill="EEF1F6"/>
          </w:tcPr>
          <w:p>
            <w:pPr>
              <w:spacing w:after="20"/>
            </w:pPr>
            <w:r/>
            <w:r>
              <w:rPr>
                <w:b w:val="0"/>
                <w:i w:val="0"/>
                <w:sz w:val="17"/>
              </w:rPr>
              <w:t>Effective Date</w:t>
            </w:r>
          </w:p>
        </w:tc>
        <w:tc>
          <w:tcPr>
            <w:tcW w:type="dxa" w:w="2304"/>
            <w:shd w:val="clear" w:color="auto" w:fill="EEF1F6"/>
          </w:tcPr>
          <w:p>
            <w:pPr>
              <w:spacing w:after="20"/>
            </w:pPr>
            <w:r/>
            <w:r>
              <w:rPr>
                <w:b w:val="0"/>
                <w:i w:val="0"/>
                <w:sz w:val="17"/>
              </w:rPr>
              <w:t>165 days → Mon. Sep. 29</w:t>
            </w:r>
          </w:p>
        </w:tc>
        <w:tc>
          <w:tcPr>
            <w:tcW w:type="dxa" w:w="2304"/>
            <w:shd w:val="clear" w:color="auto" w:fill="EEF1F6"/>
          </w:tcPr>
          <w:p>
            <w:pPr>
              <w:spacing w:after="20"/>
            </w:pPr>
            <w:r/>
            <w:r>
              <w:rPr>
                <w:b w:val="0"/>
                <w:i w:val="0"/>
                <w:sz w:val="17"/>
              </w:rPr>
              <w:t>140 days → Thu. Sep. 4</w:t>
            </w:r>
          </w:p>
        </w:tc>
        <w:tc>
          <w:tcPr>
            <w:tcW w:type="dxa" w:w="2304"/>
            <w:shd w:val="clear" w:color="auto" w:fill="EEF1F6"/>
          </w:tcPr>
          <w:p>
            <w:pPr>
              <w:spacing w:after="20"/>
            </w:pPr>
            <w:r/>
            <w:r>
              <w:rPr>
                <w:b w:val="0"/>
                <w:i w:val="0"/>
                <w:sz w:val="17"/>
              </w:rPr>
              <w:t>150 days → Sun. Sep. 14</w:t>
            </w:r>
          </w:p>
        </w:tc>
      </w:tr>
      <w:tr>
        <w:tc>
          <w:tcPr>
            <w:tcW w:type="dxa" w:w="2448"/>
          </w:tcPr>
          <w:p>
            <w:pPr>
              <w:spacing w:after="20"/>
            </w:pPr>
            <w:r/>
            <w:r>
              <w:rPr>
                <w:b w:val="0"/>
                <w:i w:val="0"/>
                <w:sz w:val="17"/>
              </w:rPr>
              <w:t>Reference: ABL maturity</w:t>
            </w:r>
          </w:p>
        </w:tc>
        <w:tc>
          <w:tcPr>
            <w:tcW w:type="dxa" w:w="2304"/>
          </w:tcPr>
          <w:p>
            <w:pPr>
              <w:spacing w:after="20"/>
            </w:pPr>
            <w:r/>
            <w:r>
              <w:rPr>
                <w:b w:val="0"/>
                <w:i w:val="0"/>
                <w:sz w:val="17"/>
              </w:rPr>
              <w:t>Sun. Jun. 15, 2025 (day 59)</w:t>
            </w:r>
          </w:p>
        </w:tc>
        <w:tc>
          <w:tcPr>
            <w:tcW w:type="dxa" w:w="2304"/>
          </w:tcPr>
          <w:p>
            <w:pPr>
              <w:spacing w:after="20"/>
            </w:pPr>
            <w:r/>
            <w:r>
              <w:rPr>
                <w:b w:val="0"/>
                <w:i w:val="0"/>
                <w:sz w:val="17"/>
              </w:rPr>
              <w:t>same</w:t>
            </w:r>
          </w:p>
        </w:tc>
        <w:tc>
          <w:tcPr>
            <w:tcW w:type="dxa" w:w="2304"/>
          </w:tcPr>
          <w:p>
            <w:pPr>
              <w:spacing w:after="20"/>
            </w:pPr>
            <w:r/>
            <w:r>
              <w:rPr>
                <w:b w:val="0"/>
                <w:i w:val="0"/>
                <w:sz w:val="17"/>
              </w:rPr>
              <w:t>—</w:t>
            </w:r>
          </w:p>
        </w:tc>
      </w:tr>
      <w:tr>
        <w:tc>
          <w:tcPr>
            <w:tcW w:type="dxa" w:w="2448"/>
            <w:shd w:val="clear" w:color="auto" w:fill="EEF1F6"/>
          </w:tcPr>
          <w:p>
            <w:pPr>
              <w:spacing w:after="20"/>
            </w:pPr>
            <w:r/>
            <w:r>
              <w:rPr>
                <w:b w:val="0"/>
                <w:i w:val="0"/>
                <w:sz w:val="17"/>
              </w:rPr>
              <w:t>Reference: DIP maturity (6 months)</w:t>
            </w:r>
          </w:p>
        </w:tc>
        <w:tc>
          <w:tcPr>
            <w:tcW w:type="dxa" w:w="2304"/>
            <w:shd w:val="clear" w:color="auto" w:fill="EEF1F6"/>
          </w:tcPr>
          <w:p>
            <w:pPr>
              <w:spacing w:after="20"/>
            </w:pPr>
            <w:r/>
            <w:r>
              <w:rPr>
                <w:b w:val="0"/>
                <w:i w:val="0"/>
                <w:sz w:val="17"/>
              </w:rPr>
              <w:t>Fri. Oct. 17, 2025</w:t>
            </w:r>
          </w:p>
        </w:tc>
        <w:tc>
          <w:tcPr>
            <w:tcW w:type="dxa" w:w="2304"/>
            <w:shd w:val="clear" w:color="auto" w:fill="EEF1F6"/>
          </w:tcPr>
          <w:p>
            <w:pPr>
              <w:spacing w:after="20"/>
            </w:pPr>
            <w:r/>
            <w:r>
              <w:rPr>
                <w:b w:val="0"/>
                <w:i w:val="0"/>
                <w:sz w:val="17"/>
              </w:rPr>
              <w:t>same</w:t>
            </w:r>
          </w:p>
        </w:tc>
        <w:tc>
          <w:tcPr>
            <w:tcW w:type="dxa" w:w="2304"/>
            <w:shd w:val="clear" w:color="auto" w:fill="EEF1F6"/>
          </w:tcPr>
          <w:p>
            <w:pPr>
              <w:spacing w:after="20"/>
            </w:pPr>
            <w:r/>
            <w:r>
              <w:rPr>
                <w:b w:val="0"/>
                <w:i w:val="0"/>
                <w:sz w:val="17"/>
              </w:rPr>
              <w:t>—</w:t>
            </w:r>
          </w:p>
        </w:tc>
      </w:tr>
    </w:tbl>
    <w:p>
      <w:pPr>
        <w:spacing w:after="40"/>
      </w:pPr>
    </w:p>
    <w:p>
      <w:r>
        <w:rPr>
          <w:b w:val="0"/>
          <w:i/>
          <w:sz w:val="18"/>
        </w:rPr>
        <w:t>Several deadlines fall on weekends. The turn should provide that a milestone falling on a non-Business Day rolls to the next Business Day.</w:t>
      </w:r>
    </w:p>
    <w:p>
      <w:pPr>
        <w:pStyle w:val="Heading1"/>
      </w:pPr>
      <w:r>
        <w:t>Appendix B — Proposed Rider Language for the Company Turn</w:t>
      </w:r>
    </w:p>
    <w:p>
      <w:r>
        <w:rPr>
          <w:b w:val="0"/>
          <w:i/>
          <w:sz w:val="18"/>
        </w:rPr>
        <w:t>This is draft language for discussion with Ms. Vasquez. Bracketed items are open.</w:t>
      </w:r>
    </w:p>
    <w:p>
      <w:pPr>
        <w:spacing w:after="40"/>
      </w:pPr>
      <w:r>
        <w:rPr>
          <w:b/>
          <w:i w:val="0"/>
        </w:rPr>
        <w:t>B-1. Fiduciary Out (replace §7.01)</w:t>
      </w:r>
    </w:p>
    <w:p>
      <w:pPr>
        <w:ind w:left="432"/>
        <w:jc w:val="both"/>
      </w:pPr>
      <w:r>
        <w:rPr>
          <w:b w:val="0"/>
          <w:i w:val="0"/>
          <w:sz w:val="20"/>
        </w:rPr>
        <w:t>Notwithstanding anything to the contrary in this Agreement, nothing herein shall require the board of directors (or any committee thereof) of any Company Party to take, or refrain from taking, any action that such board determines in good faith, after consultation with outside legal counsel, would be inconsistent with the exercise of its fiduciary duties under applicable law. The Company may terminate this Agreement upon five (5) Business Days’ prior written notice to counsel to the Ad Hoc Group, which notice shall state that the board has made such determination and describe its general basis, but shall not be required to disclose the identity of any counterparty or the terms of any proposal. No fee, premium or expense reimbursement shall be payable as a condition to or consequence of any such termination.</w:t>
      </w:r>
    </w:p>
    <w:p>
      <w:pPr>
        <w:spacing w:after="40"/>
      </w:pPr>
      <w:r>
        <w:rPr>
          <w:b/>
          <w:i w:val="0"/>
        </w:rPr>
        <w:t>B-2. Alternative Transaction (replace definition and §7.02(a)–(b))</w:t>
      </w:r>
    </w:p>
    <w:p>
      <w:pPr>
        <w:ind w:left="432"/>
        <w:jc w:val="both"/>
      </w:pPr>
      <w:r>
        <w:rPr>
          <w:b w:val="0"/>
          <w:i w:val="0"/>
          <w:sz w:val="20"/>
        </w:rPr>
        <w:t>“Alternative Transaction” means any [restructuring, sale, financing or other transaction] that the board of directors of the Company determines in good faith, after consultation with its financial advisor and outside legal counsel, would reasonably be expected to provide a materially better recovery to the Company’s stakeholders, taken as a whole, than the Restructuring Transactions, taking into account the conditionality, timing and financing certainty of each. The Required Consenting Lenders shall have ten (10) Business Days after written notice of the Company’s intention to pursue an Alternative Transaction to propose modifications, and the Company shall continue to perform hereunder only if its board determines in good faith that such modifications provide a comparable or better recovery.</w:t>
      </w:r>
    </w:p>
    <w:p>
      <w:pPr>
        <w:spacing w:after="40"/>
      </w:pPr>
      <w:r>
        <w:rPr>
          <w:b/>
          <w:i w:val="0"/>
        </w:rPr>
        <w:t>B-3. Releases (replace §§10.02–10.03)</w:t>
      </w:r>
    </w:p>
    <w:p>
      <w:pPr>
        <w:ind w:left="432"/>
        <w:jc w:val="both"/>
      </w:pPr>
      <w:r>
        <w:rPr>
          <w:b w:val="0"/>
          <w:i w:val="0"/>
          <w:sz w:val="20"/>
        </w:rPr>
        <w:t>The Plan shall provide for releases by (a) the Company Parties of the Released Parties, subject to the review of an independent director and any challenge period established in the DIP Orders, and (b) solely those holders of Claims that (i) are entitled to vote on the Plan and vote to accept the Plan and do not elect to opt out of such releases, or (ii) affirmatively elect to grant such releases on a timely submitted ballot or opt-in form, in each case as conspicuously disclosed in the Disclosure Statement and ballots. No release shall be granted by any holder that is deemed to reject the Plan or is not entitled to vote unless such holder affirmatively opts in. Releases shall not apply to claims arising from actual fraud, willful misconduct or gross negligence as determined by a Final Order, or to obligations under this Agreement, the Plan or the Definitive Documents. Released Parties shall include the Company Parties’ current and former directors, officers and professionals.</w:t>
      </w:r>
    </w:p>
    <w:p>
      <w:pPr>
        <w:spacing w:after="40"/>
      </w:pPr>
      <w:r>
        <w:rPr>
          <w:b/>
          <w:i w:val="0"/>
        </w:rPr>
        <w:t>B-4. Lender Forbearance; deletion of §13.12</w:t>
      </w:r>
    </w:p>
    <w:p>
      <w:pPr>
        <w:ind w:left="432"/>
        <w:jc w:val="both"/>
      </w:pPr>
      <w:r>
        <w:rPr>
          <w:b w:val="0"/>
          <w:i w:val="0"/>
          <w:sz w:val="20"/>
        </w:rPr>
        <w:t>Delete §13.12 in its entirety. Insert as §3.02(i): “not exercise, or direct the First Lien Agent to exercise, any right or remedy for the enforcement, collection or recovery of any First Lien Term Loan Claim (including any credit bid under section 363(k) of the Bankruptcy Code in connection with any transaction other than the Restructuring Transactions), except as expressly contemplated by this Agreement.” Restore CD §14.09 (reservation of rights effective upon termination only) and delete “or liquidation” from Recital E.</w:t>
      </w:r>
    </w:p>
    <w:p>
      <w:pPr>
        <w:spacing w:after="40"/>
      </w:pPr>
      <w:r>
        <w:rPr>
          <w:b/>
          <w:i w:val="0"/>
        </w:rPr>
        <w:t>B-5. Company Termination Rights (add to §9.02)</w:t>
      </w:r>
    </w:p>
    <w:p>
      <w:pPr>
        <w:ind w:left="432"/>
        <w:jc w:val="both"/>
      </w:pPr>
      <w:r>
        <w:rPr>
          <w:b w:val="0"/>
          <w:i w:val="0"/>
          <w:sz w:val="20"/>
        </w:rPr>
        <w:t>“(a) a breach by any Consenting First Lien Lender of any representation, warranty, covenant or obligation hereunder that would reasonably be expected to materially and adversely affect the Restructuring Transactions and remains uncured for ten (10) Business Days after notice [provided that the Company may terminate only as to the breaching lender if the non-breaching Consenting First Lien Lenders hold at least [60]% of the First Lien Term Loan Claims]; … (g) the DIP Lenders fail to fund any draw under the DIP Facility when required, and such failure is not cured within two (2) Business Days.”</w:t>
      </w:r>
    </w:p>
    <w:p>
      <w:pPr>
        <w:spacing w:after="40"/>
      </w:pPr>
      <w:r>
        <w:rPr>
          <w:b/>
          <w:i w:val="0"/>
        </w:rPr>
        <w:t>B-6. Transfers (§8.01)</w:t>
      </w:r>
    </w:p>
    <w:p>
      <w:pPr>
        <w:ind w:left="432"/>
        <w:jc w:val="both"/>
      </w:pPr>
      <w:r>
        <w:rPr>
          <w:b w:val="0"/>
          <w:i w:val="0"/>
          <w:sz w:val="20"/>
        </w:rPr>
        <w:t>Delete §8.01(c) and the proviso to the definition of “Qualified Transferee.” Joinder period: seven (7) Business Days. Restore the competitor exclusion: “and (c) is not a competitor of the Company Parties (or an affiliate thereof) identified on a schedule delivered by the Company to counsel to the Ad Hoc Group.”</w:t>
      </w:r>
    </w:p>
    <w:p>
      <w:pPr>
        <w:spacing w:after="40"/>
      </w:pPr>
      <w:r>
        <w:rPr>
          <w:b/>
          <w:i w:val="0"/>
        </w:rPr>
        <w:t>B-7. Liquidity (fallback only; preferred position is deletion)</w:t>
      </w:r>
    </w:p>
    <w:p>
      <w:pPr>
        <w:ind w:left="432"/>
        <w:jc w:val="both"/>
      </w:pPr>
      <w:r>
        <w:rPr>
          <w:b w:val="0"/>
          <w:i w:val="0"/>
          <w:sz w:val="20"/>
        </w:rPr>
        <w:t>“Minimum Liquidity Threshold” means average Liquidity of not less than $30,000,000 over the trailing thirty (30) days, tested as of the last Business Day of each calendar month; for this purpose Liquidity shall include undrawn commitments available under the DIP Facility and shall be determined without giving effect to the scheduled maturity of the ABL Revolving Credit Facility. A breach shall constitute a termination event only if not cured within five (5) Business Days after notice.</w:t>
      </w:r>
    </w:p>
    <w:p>
      <w:pPr>
        <w:spacing w:after="40"/>
      </w:pPr>
      <w:r>
        <w:rPr>
          <w:b/>
          <w:i w:val="0"/>
        </w:rPr>
        <w:t>B-8. Cash Collateral (§2.05)</w:t>
      </w:r>
    </w:p>
    <w:p>
      <w:pPr>
        <w:ind w:left="432"/>
        <w:jc w:val="both"/>
      </w:pPr>
      <w:r>
        <w:rPr>
          <w:b w:val="0"/>
          <w:i w:val="0"/>
          <w:sz w:val="20"/>
        </w:rPr>
        <w:t>Replace the thresholds with “$10,000,000 in any single transaction or $25,000,000 in the aggregate,” exclude disbursements contemplated by the approved DIP Budget and payments authorized by any first-day order, delete “Notwithstanding any order of the Bankruptcy Court authorizing the use of Cash Collateral,” and add: “Consent shall be deemed given if the Required Consenting Lenders do not object in writing within three (3) Business Days after receipt of a request.”</w:t>
      </w:r>
    </w:p>
    <w:p>
      <w:pPr>
        <w:spacing w:after="40"/>
      </w:pPr>
      <w:r>
        <w:rPr>
          <w:b/>
          <w:i w:val="0"/>
        </w:rPr>
        <w:t>B-9. MIP (§§1.01, 6.05)</w:t>
      </w:r>
    </w:p>
    <w:p>
      <w:pPr>
        <w:ind w:left="432"/>
        <w:jc w:val="both"/>
      </w:pPr>
      <w:r>
        <w:rPr>
          <w:b w:val="0"/>
          <w:i w:val="0"/>
          <w:sz w:val="20"/>
        </w:rPr>
        <w:t>Up to ten percent (10%) of the Pro Forma Equity Interests on a fully diluted basis, of which fifty percent (50%) shall vest on the Effective Date and fifty percent (50%) shall vest in equal annual installments over three (3) years. Form of awards and allocation among participants to be determined by the New Board in consultation with the Chief Executive Officer; the foregoing pool size and vesting terms shall not be modified without the consent of the Company.</w:t>
      </w:r>
    </w:p>
    <w:p>
      <w:pPr>
        <w:spacing w:after="40"/>
      </w:pPr>
      <w:r>
        <w:rPr>
          <w:b/>
          <w:i w:val="0"/>
        </w:rPr>
        <w:t>B-10. Milestones (§4.02)</w:t>
      </w:r>
    </w:p>
    <w:p>
      <w:pPr>
        <w:ind w:left="432"/>
        <w:jc w:val="both"/>
      </w:pPr>
      <w:r>
        <w:rPr>
          <w:b w:val="0"/>
          <w:i w:val="0"/>
          <w:sz w:val="20"/>
        </w:rPr>
        <w:t>Any Milestone may be extended or waived by the Company with the written consent (email from counsel sufficing) of the Required Consenting Lenders, which consent shall not be unreasonably withheld, conditioned or delayed; provided that any Milestone requiring entry of an order of the Bankruptcy Court shall be automatically extended to the first Business Day on which the Bankruptcy Court is available to hear the relevant matter if the Company Parties have filed the relevant pleading in time to permit its consideration by the applicable deadline. Any Milestone falling on a day that is not a Business Day shall be extended to the next Business Day.</w:t>
      </w:r>
    </w:p>
    <w:p>
      <w:pPr>
        <w:jc w:val="center"/>
      </w:pPr>
      <w:r>
        <w:rPr>
          <w:b w:val="0"/>
          <w:i/>
          <w:sz w:val="18"/>
        </w:rPr>
        <w:t>— End of Memorandum —</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Privileged &amp; Confidential — Attorney Work Product — FRE 408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color w:val="1F2A44"/>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1F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