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b/>
        </w:rPr>
        <w:t>PRIVILEGED &amp; CONFIDENTIAL — ATTORNEY WORK PRODUCT</w:t>
      </w:r>
    </w:p>
    <w:p>
      <w:pPr>
        <w:spacing w:line="240" w:lineRule="auto" w:after="240" w:before="0"/>
        <w:jc w:val="center"/>
      </w:pPr>
      <w:r>
        <w:rPr>
          <w:b/>
        </w:rPr>
        <w:t>DRAFTER’S NOTES TO PARTNER — REMOVE THIS COVER SECTION BEFORE FILING</w:t>
      </w:r>
    </w:p>
    <w:p>
      <w:pPr>
        <w:spacing w:line="240" w:lineRule="auto" w:after="160" w:before="0"/>
        <w:jc w:val="both"/>
      </w:pPr>
      <w:r>
        <w:rPr/>
        <w:t xml:space="preserve">This draft is built from the Confirmation Order excerpts (Dkt. No. 412), the Executive Summary of the Plan, the Docket Summary Sheet (through Dkt. No. 501, prepared Feb. 14, 2025), the Plan Administrator’s Final Status Report (Dkt. No. 501), and the U.S. Trustee Region 18 Final Decree Guidelines (rev. Jan. 2024). On the current record the case is </w:t>
      </w:r>
      <w:r>
        <w:rPr>
          <w:b/>
        </w:rPr>
        <w:t>not yet ripe for an unconditional final decree</w:t>
      </w:r>
      <w:r>
        <w:rPr/>
        <w:t>. The motion is therefore drafted to (i) be filed now so the U.S. Trustee’s 21-day review runs in parallel with the open items, and (ii) request a final decree that becomes effective only after enumerated, ministerial Closing Conditions are satisfied and certified. If you prefer not to seek a conditional decree, hold the motion until the conditions are met, then delete Part VI and the conditional mechanics in the proposed order. Items requiring action or confirmation before filing:</w:t>
      </w:r>
    </w:p>
    <w:p>
      <w:pPr>
        <w:tabs>
          <w:tab w:pos="720" w:val="left"/>
        </w:tabs>
        <w:spacing w:line="240" w:lineRule="auto" w:after="160" w:before="0"/>
        <w:ind w:left="720" w:hanging="504"/>
        <w:jc w:val="both"/>
      </w:pPr>
      <w:r>
        <w:t>1.</w:t>
        <w:tab/>
      </w:r>
      <w:r>
        <w:rPr>
          <w:b/>
        </w:rPr>
        <w:t>Pending adversary proceeding / 9019 motion.</w:t>
      </w:r>
      <w:r>
        <w:rPr/>
        <w:t xml:space="preserve"> Adv. Pro. No. 22-03091-PCW (</w:t>
      </w:r>
      <w:r>
        <w:rPr>
          <w:i/>
        </w:rPr>
        <w:t>Pacific Rim Log Exports</w:t>
      </w:r>
      <w:r>
        <w:rPr/>
        <w:t>) remains open; the $525,000 settlement motion (Dkt. No. 498) is set for hearing Feb. 20, 2025 (objection deadline Feb. 13, 2025). Region 18 Guidelines § III.D: the U.S. Trustee “generally will not consent” while an adversary is pending. The approval order must be entered and become final (14-day appeal period, Fed. R. Bankr. P. 8002(a)), the funds received, the adversary dismissed/closed, and the net proceeds distributed to Class 4 under Plan § 5.8 and Conf. Order ¶ G before closure. Confirm settlement payment timing, the dismissal mechanics, and the amount of prosecution costs/PA compensation to be netted.</w:t>
      </w:r>
    </w:p>
    <w:p>
      <w:pPr>
        <w:tabs>
          <w:tab w:pos="720" w:val="left"/>
        </w:tabs>
        <w:spacing w:line="240" w:lineRule="auto" w:after="160" w:before="0"/>
        <w:ind w:left="720" w:hanging="504"/>
        <w:jc w:val="both"/>
      </w:pPr>
      <w:r>
        <w:t>2.</w:t>
        <w:tab/>
      </w:r>
      <w:r>
        <w:rPr>
          <w:b/>
        </w:rPr>
        <w:t>IRS Claim No. 14 — the payment record does not reconcile. Do not certify “paid in full with statutory interest” until verified.</w:t>
      </w:r>
      <w:r>
        <w:rPr/>
        <w:t xml:space="preserve"> (a) The Plan schedule provides five annual installments of $214,575.00 beginning on the first anniversary of the Effective Date (Dec. 1, 2024), yet the Final Status Report says the first installment was paid on the Effective Date and the “fifth and final” on Aug. 15, 2024 — five annual payments cannot occur within nine months. (b) The Notice of Payment (Dkt. No. 464) was filed Aug. 12, 2024 but reports a payment made Aug. 15, 2024. (c) The arithmetic is wrong: 5 × $214,575 = $1,072,875 of “principal” against an allowed claim of $1,287,450, and the $214,575 “interest” merely brings the total to the face amount of the claim ($1,287,450 = 6 × $214,575). If correct, the IRS received only the face amount and no statutory interest (11 U.S.C. §§ 511, 1129(a)(9)(C)), or principal is short $214,575. (d) The Plan schedule as summarized would also run to Dec. 2028, beyond the Mar. 14, 2027 five-year outside date in Conf. Order ¶ 20. Obtain the IRS account transcript/payoff or satisfaction letter and bank records. The draft describes the payments factually, notes the reconciliation, and makes IRS confirmation a Closing Condition.</w:t>
      </w:r>
    </w:p>
    <w:p>
      <w:pPr>
        <w:tabs>
          <w:tab w:pos="720" w:val="left"/>
        </w:tabs>
        <w:spacing w:line="240" w:lineRule="auto" w:after="160" w:before="0"/>
        <w:ind w:left="720" w:hanging="504"/>
        <w:jc w:val="both"/>
      </w:pPr>
      <w:r>
        <w:t>3.</w:t>
        <w:tab/>
      </w:r>
      <w:r>
        <w:rPr>
          <w:b/>
        </w:rPr>
        <w:t>Ridgeline &amp; Sutter final fee application.</w:t>
      </w:r>
      <w:r>
        <w:rPr/>
        <w:t xml:space="preserve"> The Docket Summary and Final Status Report describe our firm’s $4,850,000 as allowed on a “final application,” but the only docketed items are a First Interim Application (Dkt. No. 440) and an Order Approving Interim Fee Application (Dkt. No. 450). No final application or final order appears. Guidelines § III.C requires identification by docket number of each final application. Confirm whether a final application was filed; if not, file it now (and serve it with this motion) so it can be heard with or before the final decree. Bracketed placeholders are used.</w:t>
      </w:r>
    </w:p>
    <w:p>
      <w:pPr>
        <w:tabs>
          <w:tab w:pos="720" w:val="left"/>
        </w:tabs>
        <w:spacing w:line="240" w:lineRule="auto" w:after="160" w:before="0"/>
        <w:ind w:left="720" w:hanging="504"/>
        <w:jc w:val="both"/>
      </w:pPr>
      <w:r>
        <w:t>4.</w:t>
        <w:tab/>
      </w:r>
      <w:r>
        <w:rPr>
          <w:b/>
        </w:rPr>
        <w:t>Plan Administrator compensation — conflict between the Executive Summary and the Confirmation Order.</w:t>
      </w:r>
      <w:r>
        <w:rPr/>
        <w:t xml:space="preserve"> Exec. Summ. § 7.3 says PA compensation is paid by the Reorganized Debtor from operating funds and is not an estate obligation. Conf. Order ¶ H, however, provides that compensation for services rendered </w:t>
      </w:r>
      <w:r>
        <w:rPr>
          <w:b/>
        </w:rPr>
        <w:t>before</w:t>
      </w:r>
      <w:r>
        <w:rPr/>
        <w:t xml:space="preserve"> entry of a final decree is “subject to approval by this Court upon application,” and only post-decree compensation is payable without application. The Confirmation Order controls. Only an interim application through Mar. 31, 2024 (Dkt. Nos. 443, 451) appears on the docket; the $1,340,000 through Jan. 31, 2025 is described as “paid” but apparently not all court-approved. The draft provides for a final PA application covering the pre-decree period. Confirm with Stonecreek.</w:t>
      </w:r>
    </w:p>
    <w:p>
      <w:pPr>
        <w:tabs>
          <w:tab w:pos="720" w:val="left"/>
        </w:tabs>
        <w:spacing w:line="240" w:lineRule="auto" w:after="160" w:before="0"/>
        <w:ind w:left="720" w:hanging="504"/>
        <w:jc w:val="both"/>
      </w:pPr>
      <w:r>
        <w:t>5.</w:t>
        <w:tab/>
      </w:r>
      <w:r>
        <w:rPr>
          <w:b/>
        </w:rPr>
        <w:t>Docket references conflict across the source documents.</w:t>
      </w:r>
      <w:r>
        <w:rPr/>
        <w:t xml:space="preserve"> The Plan is cited as Dkt. No. 398 (Conf. Order ¶ A; Final Status Report), Dkt. No. 387 (Exec. Summ.), and Dkt. No. 268 (Docket Summary). The Disclosure Statement/approval order is cited as Dkt. Nos. 367/356 (approved Aug. 14, 2023) in the Confirmation Order but Dkt. Nos. 270/285 (approved Oct. 6, 2023) in the Docket Summary. The Committee appointment is Dkt. No. 28 (Conf. Order ¶ Q) vs. Dkt. No. 38 (Docket Summary). The Clearwater objection is Dkt. No. 455 (Docket Summary) vs. Dkt. No. 471 (Final Status Report). The Docket Summary also states its docket numbers are “approximate.” The draft uses the Confirmation Order’s numbers for the Plan (Dkt. No. 398) and brackets the others. </w:t>
      </w:r>
      <w:r>
        <w:rPr>
          <w:b/>
        </w:rPr>
        <w:t>Pull the CM/ECF docket and conform every citation before filing.</w:t>
      </w:r>
    </w:p>
    <w:p>
      <w:pPr>
        <w:tabs>
          <w:tab w:pos="720" w:val="left"/>
        </w:tabs>
        <w:spacing w:line="240" w:lineRule="auto" w:after="160" w:before="0"/>
        <w:ind w:left="720" w:hanging="504"/>
        <w:jc w:val="both"/>
      </w:pPr>
      <w:r>
        <w:t>6.</w:t>
        <w:tab/>
      </w:r>
      <w:r>
        <w:rPr>
          <w:b/>
        </w:rPr>
        <w:t>Other factual inconsistencies to resolve.</w:t>
      </w:r>
      <w:r>
        <w:rPr/>
        <w:t xml:space="preserve"> (a) Prepetition notes: “9.25% Senior Secured Notes due 2024” (Conf. Order) vs. “9.75% Senior Secured Notes due 2025” (Exec. Summ.; Final Status Report) — the draft uses a neutral defined term. (b) Debtor’s financial advisor: “Northstar Restructuring Associates, LLC” (Conf. Order ¶ 21) vs. Greenvale Consulting, Inc. (employment order Dkt. No. 15 and all other documents). If Northstar was separately retained, its fee application must be addressed. (c) The Final Status Report is dated Jan. 31, 2025 but reports as completed the Feb. 3, 2025 distribution and the Feb. 5, 2025 reserve-surplus return; the Notice of Return (Dkt. No. 500) is dated Feb. 3, 2025, before the Feb. 5 return; the Exec. Summ. says the § 6.4(c) notice was filed Feb. 18, 2025 (after the Docket Summary date). A supplemental final report is required in any event (Guidelines § III.G). (d) Schedules: filed Mar. 14, 2022 (Docket Summary) vs. Apr. 12, 2022 (Final Status Report). (e) Plan section references for conditions precedent and vesting differ (Plan § 10.2 / Art. VIII / § 9.1; § 5.5 / § 7.1 / § 8.1). (f) Final Status Report Ex. A “Total Aggregate Distributions” of $112,687,450 improperly counts the $2,237,500 surplus returned to the Reorganized Debtor; creditor distributions total $110,449,950 (cash $77,149,950 plus $33,300,000 of New Notes). The draft uses the corrected figure.</w:t>
      </w:r>
    </w:p>
    <w:p>
      <w:pPr>
        <w:tabs>
          <w:tab w:pos="720" w:val="left"/>
        </w:tabs>
        <w:spacing w:line="240" w:lineRule="auto" w:after="160" w:before="0"/>
        <w:ind w:left="720" w:hanging="504"/>
        <w:jc w:val="both"/>
      </w:pPr>
      <w:r>
        <w:t>7.</w:t>
        <w:tab/>
      </w:r>
      <w:r>
        <w:rPr>
          <w:b/>
        </w:rPr>
        <w:t>Five additional disputed claims (Nos. 112, 134, 178, 201, 223).</w:t>
      </w:r>
      <w:r>
        <w:rPr/>
        <w:t xml:space="preserve"> The record shows only a “Notice of Resolution” (Dkt. No. 496); the Guidelines (§ III.E) require certification that disputed claims were resolved by final order. Obtain docket numbers of each stipulation/order (or withdrawal) and the claim-by-claim disposition.</w:t>
      </w:r>
    </w:p>
    <w:p>
      <w:pPr>
        <w:tabs>
          <w:tab w:pos="720" w:val="left"/>
        </w:tabs>
        <w:spacing w:line="240" w:lineRule="auto" w:after="160" w:before="0"/>
        <w:ind w:left="720" w:hanging="504"/>
        <w:jc w:val="both"/>
      </w:pPr>
      <w:r>
        <w:t>8.</w:t>
        <w:tab/>
      </w:r>
      <w:r>
        <w:rPr>
          <w:b/>
        </w:rPr>
        <w:t>Tax returns.</w:t>
      </w:r>
      <w:r>
        <w:rPr/>
        <w:t xml:space="preserve"> None of the source documents addresses tax-return filing status, yet Guidelines § III.F and Conf. Order ¶ S require it. The certification in Part V.F is bracketed pending confirmation from the Reorganized Debtor’s tax department (federal Form 1120, Oregon/Washington income/excise, payroll (941/940 and state), sales/use, property and timber/harvest taxes). Because the Debtor is a corporation, no separate taxable bankruptcy estate exists (26 U.S.C. §§ 1398–1399 apply only to individuals); confirm no short-period returns were required.</w:t>
      </w:r>
    </w:p>
    <w:p>
      <w:pPr>
        <w:tabs>
          <w:tab w:pos="720" w:val="left"/>
        </w:tabs>
        <w:spacing w:line="240" w:lineRule="auto" w:after="160" w:before="0"/>
        <w:ind w:left="720" w:hanging="504"/>
        <w:jc w:val="both"/>
      </w:pPr>
      <w:r>
        <w:t>9.</w:t>
        <w:tab/>
      </w:r>
      <w:r>
        <w:rPr>
          <w:b/>
        </w:rPr>
        <w:t>U.S. Trustee fees and reports.</w:t>
      </w:r>
      <w:r>
        <w:rPr/>
        <w:t xml:space="preserve"> Obtain the date and amount of the most recent quarterly-fee payment (Q4 2024) and verify against UST records (Guidelines § III.A). Q1 2025 is estimated at $10,400; any fee will also accrue for the quarter of closure (likely Q2 2025, which will include the Pacific Rim distribution). The January 2025 MOR is due Feb. 20, 2025 and is not yet filed. Note that Exec. Summ. § 7.2(d) refers to “quarterly” post-confirmation reports, but Conf. Order ¶ R requires monthly reports until the final decree; the draft commits to monthly reports plus a final report through the Closing Date.</w:t>
      </w:r>
    </w:p>
    <w:p>
      <w:pPr>
        <w:tabs>
          <w:tab w:pos="720" w:val="left"/>
        </w:tabs>
        <w:spacing w:line="240" w:lineRule="auto" w:after="160" w:before="0"/>
        <w:ind w:left="720" w:hanging="504"/>
        <w:jc w:val="both"/>
      </w:pPr>
      <w:r>
        <w:t>10.</w:t>
        <w:tab/>
      </w:r>
      <w:r>
        <w:rPr>
          <w:b/>
        </w:rPr>
        <w:t>Class 4 mechanics to confirm for the Pacific Rim distribution.</w:t>
      </w:r>
      <w:r>
        <w:rPr/>
        <w:t xml:space="preserve"> Whether Equity Election holders share in avoidance recoveries (they waived “cash distribution from the Class 4 Distribution Fund”); any de minimis threshold; treatment of undeliverable/uncashed distributions. Confirm with Stonecreek and conform Part VI.</w:t>
      </w:r>
    </w:p>
    <w:p>
      <w:pPr>
        <w:tabs>
          <w:tab w:pos="720" w:val="left"/>
        </w:tabs>
        <w:spacing w:line="240" w:lineRule="auto" w:after="160" w:before="0"/>
        <w:ind w:left="720" w:hanging="504"/>
        <w:jc w:val="both"/>
      </w:pPr>
      <w:r>
        <w:t>11.</w:t>
        <w:tab/>
      </w:r>
      <w:r>
        <w:rPr>
          <w:b/>
        </w:rPr>
        <w:t>Procedure.</w:t>
      </w:r>
      <w:r>
        <w:rPr/>
        <w:t xml:space="preserve"> Guidelines § II: file at least 28 days before the hearing; UST responds within 21 days of service. Contact the assigned UST attorney (Christopher R. Dalton, Trial Attorney, appeared at confirmation) before filing (Guidelines § V). Conform notice and objection procedure to the District of Oregon Local Bankruptcy Rules and the Court’s current forms (including any required local form of final-decree order). Prepare the supporting Declaration of the Reorganized Debtor’s officer and the Supplemental Declaration of Douglas R. Emmerich referenced in the motion. Cite-check all authorities; note the restyled Bankruptcy Rules effective Dec. 1, 2024 changed the wording of Rule 3022, so the motion paraphrases rather than quotes it.</w:t>
      </w:r>
    </w:p>
    <w:p>
      <w:pPr>
        <w:tabs>
          <w:tab w:pos="720" w:val="left"/>
        </w:tabs>
        <w:spacing w:line="240" w:lineRule="auto" w:after="160" w:before="0"/>
        <w:ind w:left="720" w:hanging="504"/>
        <w:jc w:val="both"/>
      </w:pPr>
      <w:r>
        <w:t>12.</w:t>
        <w:tab/>
      </w:r>
      <w:r>
        <w:rPr>
          <w:b/>
        </w:rPr>
        <w:t>Late committee fee application.</w:t>
      </w:r>
      <w:r>
        <w:rPr/>
        <w:t xml:space="preserve"> Conf. Order ¶ Q required committee professionals’ final applications within 60 days of the Effective Date (i.e., by Jan. 30, 2024); Pendergrass &amp; Hale filed Apr. 22, 2024 (Dkt. No. 441). The application was allowed by final order (Dkt. No. 448), so this is not a barrier, but be prepared if asked.</w:t>
      </w:r>
    </w:p>
    <w:p>
      <w:r>
        <w:br w:type="page"/>
      </w:r>
    </w:p>
    <w:p>
      <w:pPr>
        <w:spacing w:line="240" w:lineRule="auto" w:after="0" w:before="0"/>
        <w:jc w:val="left"/>
      </w:pPr>
      <w:r>
        <w:rPr/>
        <w:t>Martin J. Kowalczyk, OSB No. 051947</w:t>
      </w:r>
    </w:p>
    <w:p>
      <w:pPr>
        <w:spacing w:line="240" w:lineRule="auto" w:after="0" w:before="0"/>
        <w:jc w:val="left"/>
      </w:pPr>
      <w:r>
        <w:rPr/>
        <w:t>Rachel T. Nishimura, OSB No. 184623</w:t>
      </w:r>
    </w:p>
    <w:p>
      <w:pPr>
        <w:spacing w:line="240" w:lineRule="auto" w:after="0" w:before="0"/>
        <w:jc w:val="left"/>
      </w:pPr>
      <w:r>
        <w:rPr/>
        <w:t>RIDGELINE &amp; SUTTER LLP</w:t>
      </w:r>
    </w:p>
    <w:p>
      <w:pPr>
        <w:spacing w:line="240" w:lineRule="auto" w:after="0" w:before="0"/>
        <w:jc w:val="left"/>
      </w:pPr>
      <w:r>
        <w:rPr/>
        <w:t>1200 SW Fifth Avenue, Suite 2800</w:t>
      </w:r>
    </w:p>
    <w:p>
      <w:pPr>
        <w:spacing w:line="240" w:lineRule="auto" w:after="0" w:before="0"/>
        <w:jc w:val="left"/>
      </w:pPr>
      <w:r>
        <w:rPr/>
        <w:t>Portland, Oregon 97204</w:t>
      </w:r>
    </w:p>
    <w:p>
      <w:pPr>
        <w:spacing w:line="240" w:lineRule="auto" w:after="0" w:before="0"/>
        <w:jc w:val="left"/>
      </w:pPr>
      <w:r>
        <w:rPr/>
        <w:t>Telephone: (503) 555-7400 | Facsimile: (503) 555-7401</w:t>
      </w:r>
    </w:p>
    <w:p>
      <w:pPr>
        <w:spacing w:line="240" w:lineRule="auto" w:after="0" w:before="0"/>
        <w:jc w:val="left"/>
      </w:pPr>
      <w:r>
        <w:rPr/>
        <w:t>Email: [__________]</w:t>
      </w:r>
    </w:p>
    <w:p>
      <w:pPr>
        <w:spacing w:line="240" w:lineRule="auto" w:after="240" w:before="0"/>
        <w:jc w:val="left"/>
      </w:pPr>
      <w:r>
        <w:rPr/>
        <w:t>Attorneys for Cascadia Timber Holdings, Inc., Reorganized Debtor</w:t>
      </w:r>
    </w:p>
    <w:p>
      <w:pPr>
        <w:spacing w:line="240" w:lineRule="auto" w:after="0" w:before="0"/>
        <w:jc w:val="center"/>
      </w:pPr>
      <w:r>
        <w:rPr>
          <w:b/>
        </w:rPr>
        <w:t>UNITED STATES BANKRUPTCY COURT</w:t>
      </w:r>
    </w:p>
    <w:p>
      <w:pPr>
        <w:spacing w:line="240" w:lineRule="auto" w:after="0" w:before="0"/>
        <w:jc w:val="center"/>
      </w:pPr>
      <w:r>
        <w:rPr>
          <w:b/>
        </w:rPr>
        <w:t>FOR THE DISTRICT OF OREGON</w:t>
      </w:r>
    </w:p>
    <w:p>
      <w:pPr>
        <w:spacing w:line="240" w:lineRule="auto" w:after="240" w:before="0"/>
        <w:jc w:val="center"/>
      </w:pPr>
      <w:r>
        <w:rPr>
          <w:b/>
        </w:rPr>
        <w:t>PORTLAND DIVISION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96"/>
        <w:gridCol w:w="4464"/>
      </w:tblGrid>
      <w:tr>
        <w:tc>
          <w:tcPr>
            <w:tcW w:type="dxa" w:w="4896"/>
            <w:tcBorders>
              <w:bottom w:val="single" w:sz="6" w:color="000000"/>
              <w:right w:val="single" w:sz="6" w:color="000000"/>
            </w:tcBorders>
          </w:tcPr>
          <w:p>
            <w:pPr>
              <w:spacing w:line="240" w:lineRule="auto"/>
              <w:jc w:val="left"/>
            </w:pPr>
            <w:r/>
            <w:r>
              <w:rPr>
                <w:sz w:val="24"/>
              </w:rPr>
              <w:t>In re:</w:t>
            </w:r>
          </w:p>
          <w:p>
            <w:pPr>
              <w:spacing w:line="240" w:lineRule="auto"/>
              <w:jc w:val="left"/>
            </w:pPr>
          </w:p>
          <w:p>
            <w:pPr>
              <w:spacing w:line="240" w:lineRule="auto"/>
              <w:jc w:val="left"/>
            </w:pPr>
            <w:r>
              <w:rPr>
                <w:b/>
                <w:sz w:val="24"/>
              </w:rPr>
              <w:t>CASCADIA TIMBER HOLDINGS, INC.,</w:t>
            </w:r>
          </w:p>
          <w:p>
            <w:pPr>
              <w:spacing w:line="240" w:lineRule="auto"/>
              <w:jc w:val="left"/>
            </w:pPr>
            <w:r>
              <w:rPr>
                <w:sz w:val="24"/>
              </w:rPr>
              <w:t>an Oregon corporation,</w:t>
            </w:r>
          </w:p>
          <w:p>
            <w:pPr>
              <w:spacing w:line="240" w:lineRule="auto"/>
              <w:jc w:val="left"/>
            </w:pPr>
            <w:r>
              <w:rPr>
                <w:sz w:val="24"/>
              </w:rPr>
              <w:t>EIN 93-1284756,</w:t>
            </w:r>
          </w:p>
          <w:p>
            <w:pPr>
              <w:spacing w:line="240" w:lineRule="auto"/>
              <w:jc w:val="left"/>
            </w:pPr>
          </w:p>
          <w:p>
            <w:pPr>
              <w:spacing w:line="240" w:lineRule="auto"/>
              <w:jc w:val="left"/>
            </w:pPr>
            <w:r>
              <w:rPr>
                <w:sz w:val="24"/>
              </w:rPr>
              <w:t xml:space="preserve">                                        </w:t>
            </w:r>
            <w:r>
              <w:rPr>
                <w:i/>
                <w:sz w:val="24"/>
              </w:rPr>
              <w:t>Debtor.</w:t>
            </w:r>
          </w:p>
        </w:tc>
        <w:tc>
          <w:tcPr>
            <w:tcW w:type="dxa" w:w="4464"/>
          </w:tcPr>
          <w:p>
            <w:pPr>
              <w:spacing w:line="240" w:lineRule="auto"/>
              <w:jc w:val="left"/>
            </w:pPr>
            <w:r/>
            <w:r>
              <w:rPr>
                <w:sz w:val="24"/>
              </w:rPr>
              <w:t xml:space="preserve">   Case No. 22-30847-PCW</w:t>
            </w:r>
          </w:p>
          <w:p>
            <w:pPr>
              <w:spacing w:line="240" w:lineRule="auto"/>
              <w:jc w:val="left"/>
            </w:pPr>
          </w:p>
          <w:p>
            <w:pPr>
              <w:spacing w:line="240" w:lineRule="auto"/>
              <w:jc w:val="left"/>
            </w:pPr>
            <w:r>
              <w:rPr>
                <w:sz w:val="24"/>
              </w:rPr>
              <w:t xml:space="preserve">   Chapter 11</w:t>
            </w:r>
          </w:p>
          <w:p>
            <w:pPr>
              <w:spacing w:line="240" w:lineRule="auto"/>
              <w:jc w:val="left"/>
            </w:pPr>
          </w:p>
          <w:p>
            <w:pPr>
              <w:spacing w:line="240" w:lineRule="auto"/>
              <w:jc w:val="left"/>
            </w:pPr>
            <w:r>
              <w:rPr>
                <w:sz w:val="24"/>
              </w:rPr>
              <w:t xml:space="preserve">   Hon. Patricia C. Wellborne</w:t>
            </w:r>
          </w:p>
          <w:p>
            <w:pPr>
              <w:spacing w:line="240" w:lineRule="auto"/>
              <w:jc w:val="left"/>
            </w:pPr>
          </w:p>
          <w:p>
            <w:pPr>
              <w:spacing w:line="240" w:lineRule="auto"/>
              <w:jc w:val="left"/>
            </w:pPr>
          </w:p>
          <w:p>
            <w:pPr>
              <w:spacing w:line="240" w:lineRule="auto"/>
              <w:jc w:val="left"/>
            </w:pPr>
            <w:r>
              <w:rPr>
                <w:sz w:val="24"/>
              </w:rPr>
              <w:t xml:space="preserve">   </w:t>
            </w:r>
            <w:r>
              <w:rPr>
                <w:b/>
                <w:sz w:val="24"/>
              </w:rPr>
              <w:t>REORGANIZED DEBTOR’S MOTION</w:t>
            </w:r>
          </w:p>
          <w:p>
            <w:pPr>
              <w:spacing w:line="240" w:lineRule="auto"/>
              <w:jc w:val="left"/>
            </w:pPr>
            <w:r>
              <w:rPr>
                <w:sz w:val="24"/>
              </w:rPr>
              <w:t xml:space="preserve">   </w:t>
            </w:r>
            <w:r>
              <w:rPr>
                <w:b/>
                <w:sz w:val="24"/>
              </w:rPr>
              <w:t>FOR ENTRY OF A FINAL DECREE</w:t>
            </w:r>
          </w:p>
          <w:p>
            <w:pPr>
              <w:spacing w:line="240" w:lineRule="auto"/>
              <w:jc w:val="left"/>
            </w:pPr>
            <w:r>
              <w:rPr>
                <w:sz w:val="24"/>
              </w:rPr>
              <w:t xml:space="preserve">   </w:t>
            </w:r>
            <w:r>
              <w:rPr>
                <w:b/>
                <w:sz w:val="24"/>
              </w:rPr>
              <w:t>CLOSING CHAPTER 11 CASE</w:t>
            </w:r>
          </w:p>
          <w:p>
            <w:pPr>
              <w:spacing w:line="240" w:lineRule="auto"/>
              <w:jc w:val="left"/>
            </w:pPr>
            <w:r>
              <w:rPr>
                <w:sz w:val="24"/>
              </w:rPr>
              <w:t xml:space="preserve">   </w:t>
            </w:r>
            <w:r>
              <w:rPr>
                <w:b/>
                <w:sz w:val="24"/>
              </w:rPr>
              <w:t>(11 U.S.C. § 350(a); FED. R.</w:t>
            </w:r>
          </w:p>
          <w:p>
            <w:pPr>
              <w:spacing w:line="240" w:lineRule="auto"/>
              <w:jc w:val="left"/>
            </w:pPr>
            <w:r>
              <w:rPr>
                <w:sz w:val="24"/>
              </w:rPr>
              <w:t xml:space="preserve">   </w:t>
            </w:r>
            <w:r>
              <w:rPr>
                <w:b/>
                <w:sz w:val="24"/>
              </w:rPr>
              <w:t>BANKR. P. 3022)</w:t>
            </w:r>
          </w:p>
          <w:p>
            <w:pPr>
              <w:spacing w:line="240" w:lineRule="auto"/>
              <w:jc w:val="left"/>
            </w:pPr>
            <w:r>
              <w:rPr>
                <w:sz w:val="24"/>
              </w:rPr>
              <w:t xml:space="preserve">   </w:t>
            </w:r>
          </w:p>
          <w:p>
            <w:pPr>
              <w:spacing w:line="240" w:lineRule="auto"/>
              <w:jc w:val="left"/>
            </w:pPr>
            <w:r>
              <w:rPr>
                <w:sz w:val="24"/>
              </w:rPr>
              <w:t xml:space="preserve">   Hearing: [________], 2025, [__:__ _.m.]</w:t>
            </w:r>
          </w:p>
          <w:p>
            <w:pPr>
              <w:spacing w:line="240" w:lineRule="auto"/>
              <w:jc w:val="left"/>
            </w:pPr>
            <w:r>
              <w:rPr>
                <w:sz w:val="24"/>
              </w:rPr>
              <w:t xml:space="preserve">   Response deadline: [________], 2025</w:t>
            </w:r>
          </w:p>
        </w:tc>
      </w:tr>
    </w:tbl>
    <w:p>
      <w:pPr>
        <w:spacing w:line="240" w:lineRule="auto" w:after="120" w:before="0"/>
        <w:ind w:firstLine="720"/>
        <w:jc w:val="both"/>
      </w:pPr>
    </w:p>
    <w:p>
      <w:pPr>
        <w:spacing w:line="480" w:lineRule="auto" w:after="0" w:before="0"/>
        <w:ind w:firstLine="720"/>
        <w:jc w:val="both"/>
      </w:pPr>
      <w:r>
        <w:rPr/>
        <w:t>Cascadia Timber Holdings, Inc., the reorganized debtor (the “</w:t>
      </w:r>
      <w:r>
        <w:rPr>
          <w:b/>
        </w:rPr>
        <w:t>Reorganized Debtor</w:t>
      </w:r>
      <w:r>
        <w:rPr/>
        <w:t>” and, before the Effective Date, the “</w:t>
      </w:r>
      <w:r>
        <w:rPr>
          <w:b/>
        </w:rPr>
        <w:t>Debtor</w:t>
      </w:r>
      <w:r>
        <w:rPr/>
        <w:t>”) in the above-captioned chapter 11 case (the “</w:t>
      </w:r>
      <w:r>
        <w:rPr>
          <w:b/>
        </w:rPr>
        <w:t>Chapter 11 Case</w:t>
      </w:r>
      <w:r>
        <w:rPr/>
        <w:t>”), by and through its undersigned counsel, and with the support of Stonecreek Advisory Group, LLC, in its capacity as Plan Administrator (the “</w:t>
      </w:r>
      <w:r>
        <w:rPr>
          <w:b/>
        </w:rPr>
        <w:t>Plan Administrator</w:t>
      </w:r>
      <w:r>
        <w:rPr/>
        <w:t>”), hereby moves (this “</w:t>
      </w:r>
      <w:r>
        <w:rPr>
          <w:b/>
        </w:rPr>
        <w:t>Motion</w:t>
      </w:r>
      <w:r>
        <w:rPr/>
        <w:t>”) for entry of a final decree closing the Chapter 11 Case pursuant to section 350(a) of title 11 of the United States Code (the “</w:t>
      </w:r>
      <w:r>
        <w:rPr>
          <w:b/>
        </w:rPr>
        <w:t>Bankruptcy Code</w:t>
      </w:r>
      <w:r>
        <w:rPr/>
        <w:t>”) and Rule 3022 of the Federal Rules of Bankruptcy Procedure (the “</w:t>
      </w:r>
      <w:r>
        <w:rPr>
          <w:b/>
        </w:rPr>
        <w:t>Bankruptcy Rules</w:t>
      </w:r>
      <w:r>
        <w:rPr/>
        <w:t xml:space="preserve">”), substantially in the form of the proposed order filed herewith as </w:t>
      </w:r>
      <w:r>
        <w:rPr>
          <w:b/>
        </w:rPr>
        <w:t>Exhibit 1</w:t>
      </w:r>
      <w:r>
        <w:rPr/>
        <w:t xml:space="preserve"> (the “</w:t>
      </w:r>
      <w:r>
        <w:rPr>
          <w:b/>
        </w:rPr>
        <w:t>Proposed Final Decree</w:t>
      </w:r>
      <w:r>
        <w:rPr/>
        <w:t>”). In support of this Motion, the Reorganized Debtor relies on the record of the Chapter 11 Case, including the Plan Administrator’s Final Status Report filed January 31, 2025 [Dkt. No. 501] (the “</w:t>
      </w:r>
      <w:r>
        <w:rPr>
          <w:b/>
        </w:rPr>
        <w:t>Final Status Report</w:t>
      </w:r>
      <w:r>
        <w:rPr/>
        <w:t>”), the Declaration of [__________], [title] of the Reorganized Debtor (the “</w:t>
      </w:r>
      <w:r>
        <w:rPr>
          <w:b/>
        </w:rPr>
        <w:t>Debtor Declaration</w:t>
      </w:r>
      <w:r>
        <w:rPr/>
        <w:t>”), and the Supplemental Declaration of Douglas R. Emmerich on behalf of the Plan Administrator (the “</w:t>
      </w:r>
      <w:r>
        <w:rPr>
          <w:b/>
        </w:rPr>
        <w:t>PA Declaration</w:t>
      </w:r>
      <w:r>
        <w:rPr/>
        <w:t>”), each filed contemporaneously herewith, and respectfully states as follows:</w:t>
      </w:r>
    </w:p>
    <w:p>
      <w:pPr>
        <w:keepNext/>
        <w:spacing w:line="240" w:lineRule="auto" w:after="240" w:before="240"/>
        <w:jc w:val="center"/>
      </w:pPr>
      <w:r>
        <w:rPr>
          <w:b/>
        </w:rPr>
        <w:t>PRELIMINARY STATEMENT</w:t>
      </w:r>
    </w:p>
    <w:p>
      <w:pPr>
        <w:spacing w:line="480" w:lineRule="auto" w:after="0" w:before="0"/>
        <w:ind w:firstLine="720"/>
        <w:jc w:val="both"/>
      </w:pPr>
      <w:r>
        <w:rPr/>
        <w:t>1.</w:t>
        <w:tab/>
        <w:t>This Chapter 11 Case has accomplished its purpose. The Court confirmed the Second Amended Joint Chapter 11 Plan of Reorganization of Cascadia Timber Holdings, Inc. (as confirmed, the “</w:t>
      </w:r>
      <w:r>
        <w:rPr>
          <w:b/>
        </w:rPr>
        <w:t>Plan</w:t>
      </w:r>
      <w:r>
        <w:rPr/>
        <w:t>”) [Dkt. No. 398] on November 9, 2023 [Dkt. No. 412] (the “</w:t>
      </w:r>
      <w:r>
        <w:rPr>
          <w:b/>
        </w:rPr>
        <w:t>Confirmation Order</w:t>
      </w:r>
      <w:r>
        <w:rPr/>
        <w:t>”). The Plan went effective on December 1, 2023 (the “</w:t>
      </w:r>
      <w:r>
        <w:rPr>
          <w:b/>
        </w:rPr>
        <w:t>Effective Date</w:t>
      </w:r>
      <w:r>
        <w:rPr/>
        <w:t>”), when the Plan Sponsor funded its $38.5 million new value contribution, the $55 million exit facility closed and funded, all estate property vested in the Reorganized Debtor, and Effective Date distributions were made. Since then, the Reorganized Debtor and the Plan Administrator have distributed approximately $110.4 million in cash and new secured notes to creditors, resolved every disputed claim, administered and closed the Disputed Claims Reserve, and obtained allowance and payment of the fees of the estate’s professionals. The Reorganized Debtor operates all six of its sawmill facilities in the ordinary course, is current on its post-Effective Date obligations, and reports trailing twelve-month EBITDA of approximately $22.3 million.</w:t>
      </w:r>
    </w:p>
    <w:p>
      <w:pPr>
        <w:spacing w:line="480" w:lineRule="auto" w:after="0" w:before="0"/>
        <w:ind w:firstLine="720"/>
        <w:jc w:val="both"/>
      </w:pPr>
      <w:r>
        <w:rPr/>
        <w:t>2.</w:t>
        <w:tab/>
        <w:t>A small number of discrete, ministerial items remain, and the Reorganized Debtor discloses each of them candidly in Part II.E below: (a) the Court’s ruling on the pending motion to approve the $525,000 settlement of the sole remaining adversary proceeding [Dkt. No. 498], which is set for hearing on February 20, 2025, and the receipt and distribution of the resulting net proceeds to Class 4; (b) payment of the U.S. Trustee quarterly fees for the first quarter of 2025 and for the quarter in which the case is closed; (c) filing of the January 2025 and subsequent post-confirmation operating reports, including a final report through the closing date; (d) [final allowance of the remaining professional and Plan Administrator compensation for the pre-closing period;] and (e) filing of a supplemental final report by the Plan Administrator and written confirmation that IRS Claim No. 14 has been satisfied. None of these items requires continued estate administration of the type that justifies keeping a chapter 11 case open.</w:t>
      </w:r>
    </w:p>
    <w:p>
      <w:pPr>
        <w:spacing w:line="480" w:lineRule="auto" w:after="0" w:before="0"/>
        <w:ind w:firstLine="720"/>
        <w:jc w:val="both"/>
      </w:pPr>
      <w:r>
        <w:rPr/>
        <w:t>3.</w:t>
        <w:tab/>
        <w:t xml:space="preserve">Consistent with the Region 18 U.S. Trustee’s </w:t>
      </w:r>
      <w:r>
        <w:rPr>
          <w:i/>
        </w:rPr>
        <w:t>Guidelines for Motions Seeking Entry of Final Decree in Chapter 11 Cases</w:t>
      </w:r>
      <w:r>
        <w:rPr/>
        <w:t xml:space="preserve"> (rev. Jan. 2024) (the “</w:t>
      </w:r>
      <w:r>
        <w:rPr>
          <w:b/>
        </w:rPr>
        <w:t>UST Guidelines</w:t>
      </w:r>
      <w:r>
        <w:rPr/>
        <w:t>”), which expressly contemplate that a final decree may be conditioned on payment of outstanding quarterly fees and the Court’s approval of a pending settlement, the Reorganized Debtor requests entry of a final decree that becomes effective upon the Reorganized Debtor’s filing of a certification that each of the Closing Conditions (defined below) has been satisfied, absent timely objection by the U.S. Trustee. Keeping the case open beyond that point would serve only to impose continuing quarterly fees and reporting costs on the Reorganized Debtor without any corresponding benefit to creditors.</w:t>
      </w:r>
    </w:p>
    <w:p>
      <w:pPr>
        <w:keepNext/>
        <w:spacing w:line="240" w:lineRule="auto" w:after="240" w:before="240"/>
        <w:jc w:val="center"/>
      </w:pPr>
      <w:r>
        <w:rPr>
          <w:b/>
        </w:rPr>
        <w:t>I.  JURISDICTION, VENUE, AND STATUTORY PREDICATES</w:t>
      </w:r>
    </w:p>
    <w:p>
      <w:pPr>
        <w:spacing w:line="480" w:lineRule="auto" w:after="0" w:before="0"/>
        <w:ind w:firstLine="720"/>
        <w:jc w:val="both"/>
      </w:pPr>
      <w:r>
        <w:rPr/>
        <w:t>4.</w:t>
        <w:tab/>
        <w:t>The Court has jurisdiction over this Motion under 28 U.S.C. §§ 157 and 1334. This is a core proceeding under 28 U.S.C. § 157(b)(2)(A) and (O). Venue is proper under 28 U.S.C. §§ 1408 and 1409.</w:t>
      </w:r>
    </w:p>
    <w:p>
      <w:pPr>
        <w:spacing w:line="480" w:lineRule="auto" w:after="0" w:before="0"/>
        <w:ind w:firstLine="720"/>
        <w:jc w:val="both"/>
      </w:pPr>
      <w:r>
        <w:rPr/>
        <w:t>5.</w:t>
        <w:tab/>
        <w:t xml:space="preserve">The Court expressly retained jurisdiction “to enter a final decree closing this case pursuant to 11 U.S.C. § 350(a) and Fed. R. Bankr. P. 3022.” Confirmation Order ¶ O(n); </w:t>
      </w:r>
      <w:r>
        <w:rPr>
          <w:i/>
        </w:rPr>
        <w:t>see also</w:t>
      </w:r>
      <w:r>
        <w:rPr/>
        <w:t xml:space="preserve"> Plan § 12.1(k).</w:t>
      </w:r>
    </w:p>
    <w:p>
      <w:pPr>
        <w:spacing w:line="480" w:lineRule="auto" w:after="0" w:before="0"/>
        <w:ind w:firstLine="720"/>
        <w:jc w:val="both"/>
      </w:pPr>
      <w:r>
        <w:rPr/>
        <w:t>6.</w:t>
        <w:tab/>
        <w:t>The statutory and rule predicates for the relief requested are section 350(a) of the Bankruptcy Code, Bankruptcy Rule 3022, and [the applicable Local Bankruptcy Rules of this Court].</w:t>
      </w:r>
    </w:p>
    <w:p>
      <w:pPr>
        <w:keepNext/>
        <w:spacing w:line="240" w:lineRule="auto" w:after="240" w:before="240"/>
        <w:jc w:val="center"/>
      </w:pPr>
      <w:r>
        <w:rPr>
          <w:b/>
        </w:rPr>
        <w:t>II.  BACKGROUND</w:t>
      </w:r>
    </w:p>
    <w:p>
      <w:pPr>
        <w:keepNext/>
        <w:spacing w:line="240" w:lineRule="auto" w:after="240" w:before="120"/>
        <w:ind w:left="720" w:hanging="720"/>
        <w:jc w:val="left"/>
      </w:pPr>
      <w:r>
        <w:rPr>
          <w:b/>
        </w:rPr>
        <w:t>A.</w:t>
        <w:tab/>
        <w:t>The Chapter 11 Case</w:t>
      </w:r>
    </w:p>
    <w:p>
      <w:pPr>
        <w:spacing w:line="480" w:lineRule="auto" w:after="0" w:before="0"/>
        <w:ind w:firstLine="720"/>
        <w:jc w:val="both"/>
      </w:pPr>
      <w:r>
        <w:rPr/>
        <w:t>7.</w:t>
        <w:tab/>
        <w:t>The Debtor is an Oregon corporation (EIN 93-1284756) headquartered at 4200 Evergreen Industrial Parkway, Suite 300, Medford, Oregon 97501. It is a vertically integrated timber harvesting, sawmill, and engineered wood products company with six sawmill and processing facilities in Oregon and Washington and harvesting rights on approximately 340,000 acres of managed timberland. Before the petition it employed approximately 1,400 people and generated annual revenue of approximately $185 million.</w:t>
      </w:r>
    </w:p>
    <w:p>
      <w:pPr>
        <w:spacing w:line="480" w:lineRule="auto" w:after="0" w:before="0"/>
        <w:ind w:firstLine="720"/>
        <w:jc w:val="both"/>
      </w:pPr>
      <w:r>
        <w:rPr/>
        <w:t>8.</w:t>
        <w:tab/>
        <w:t>On March 14, 2022 (the “</w:t>
      </w:r>
      <w:r>
        <w:rPr>
          <w:b/>
        </w:rPr>
        <w:t>Petition Date</w:t>
      </w:r>
      <w:r>
        <w:rPr/>
        <w:t>”), the Debtor filed a voluntary petition for relief under chapter 11 of the Bankruptcy Code [Dkt. No. 1]. The Debtor’s schedules reflected assets of approximately $198.6 million and liabilities of approximately $247.3 million. No trustee or examiner was appointed. The Debtor operated its business and managed its property as a debtor in possession under sections 1107(a) and 1108 of the Bankruptcy Code until the Effective Date.</w:t>
      </w:r>
    </w:p>
    <w:p>
      <w:pPr>
        <w:spacing w:line="480" w:lineRule="auto" w:after="0" w:before="0"/>
        <w:ind w:firstLine="720"/>
        <w:jc w:val="both"/>
      </w:pPr>
      <w:r>
        <w:rPr/>
        <w:t>9.</w:t>
        <w:tab/>
        <w:t>On April 8, 2022, the U.S. Trustee appointed the Official Committee of Unsecured Creditors (the “</w:t>
      </w:r>
      <w:r>
        <w:rPr>
          <w:b/>
        </w:rPr>
        <w:t>Committee</w:t>
      </w:r>
      <w:r>
        <w:rPr/>
        <w:t>”) [Dkt. No. [28/38]], which retained Pendergrass &amp; Hale LLP as counsel [Dkt. No. 42]. The Court approved the Debtor’s retention of Ridgeline &amp; Sutter LLP as counsel [Dkt. No. 12] and Greenvale Consulting, Inc. (“</w:t>
      </w:r>
      <w:r>
        <w:rPr>
          <w:b/>
        </w:rPr>
        <w:t>Greenvale</w:t>
      </w:r>
      <w:r>
        <w:rPr/>
        <w:t>”) as financial advisor and investment banker [Dkt. No. 15].</w:t>
      </w:r>
    </w:p>
    <w:p>
      <w:pPr>
        <w:spacing w:line="480" w:lineRule="auto" w:after="0" w:before="0"/>
        <w:ind w:firstLine="720"/>
        <w:jc w:val="both"/>
      </w:pPr>
      <w:r>
        <w:rPr/>
        <w:t>10.</w:t>
        <w:tab/>
        <w:t>The Court established August 1, 2022 as the general claims bar date and September 14, 2022 as the governmental bar date [Dkt. No. 78]. Approximately 312 proofs of claim were filed by the general bar date.</w:t>
      </w:r>
    </w:p>
    <w:p>
      <w:pPr>
        <w:keepNext/>
        <w:spacing w:line="240" w:lineRule="auto" w:after="240" w:before="120"/>
        <w:ind w:left="720" w:hanging="720"/>
        <w:jc w:val="left"/>
      </w:pPr>
      <w:r>
        <w:rPr>
          <w:b/>
        </w:rPr>
        <w:t>B.</w:t>
        <w:tab/>
        <w:t>The Plan and the Confirmation Order</w:t>
      </w:r>
    </w:p>
    <w:p>
      <w:pPr>
        <w:spacing w:line="480" w:lineRule="auto" w:after="0" w:before="0"/>
        <w:ind w:firstLine="720"/>
        <w:jc w:val="both"/>
      </w:pPr>
      <w:r>
        <w:rPr/>
        <w:t>11.</w:t>
        <w:tab/>
        <w:t>Following a marketing process conducted by Greenvale, the Debtor selected Bramblecrest Capital Partners, LLC (the “</w:t>
      </w:r>
      <w:r>
        <w:rPr>
          <w:b/>
        </w:rPr>
        <w:t>Plan Sponsor</w:t>
      </w:r>
      <w:r>
        <w:rPr/>
        <w:t>”) as plan sponsor [Dkt. No. 175]. The Debtor and the Plan Sponsor filed the Plan on September 22, 2023 [Dkt. No. 398]. [The Court approved the disclosure statement by order entered [________], 2023 [Dkt. No. [___]].] Classes 2, 3, and 4 voted to accept the Plan; Class 5 was deemed to reject [Dkt. No. 310].</w:t>
      </w:r>
    </w:p>
    <w:p>
      <w:pPr>
        <w:spacing w:line="480" w:lineRule="auto" w:after="0" w:before="0"/>
        <w:ind w:firstLine="720"/>
        <w:jc w:val="both"/>
      </w:pPr>
      <w:r>
        <w:rPr/>
        <w:t>12.</w:t>
        <w:tab/>
        <w:t>After a four-day confirmation hearing held November 6–9, 2023, the Court entered the Confirmation Order on November 9, 2023 [Dkt. No. 412]. Notice of entry was served on November 10, 2023 [Dkt. No. 415]. The Confirmation Order was effective immediately upon entry, without the stay otherwise provided by Bankruptcy Rule 3020(e). Confirmation Order ¶ P. No appeal or motion for reconsideration of the Confirmation Order was filed, and the time to do so has long expired. [Confirm against docket.]</w:t>
      </w:r>
    </w:p>
    <w:p>
      <w:pPr>
        <w:spacing w:line="480" w:lineRule="auto" w:after="0" w:before="0"/>
        <w:ind w:firstLine="720"/>
        <w:jc w:val="both"/>
      </w:pPr>
      <w:r>
        <w:rPr/>
        <w:t>13.</w:t>
        <w:tab/>
        <w:t>The Plan classified claims and interests into five classes and provided the following treatment (Confirmation Order ¶ D; Plan Art. III):</w:t>
      </w:r>
    </w:p>
    <w:tbl>
      <w:tblPr>
        <w:tblStyle w:val="TableGrid"/>
        <w:tblW w:type="auto" w:w="0"/>
        <w:jc w:val="center"/>
        <w:tblLook w:firstColumn="1" w:firstRow="1" w:lastColumn="0" w:lastRow="0" w:noHBand="0" w:noVBand="1" w:val="04A0"/>
      </w:tblPr>
      <w:tblGrid>
        <w:gridCol w:w="864"/>
        <w:gridCol w:w="2448"/>
        <w:gridCol w:w="1872"/>
        <w:gridCol w:w="4176"/>
      </w:tblGrid>
      <w:tr>
        <w:tc>
          <w:tcPr>
            <w:tcW w:type="dxa" w:w="864"/>
            <w:shd w:val="clear" w:color="auto" w:fill="D9D9D9"/>
          </w:tcPr>
          <w:p>
            <w:pPr>
              <w:spacing w:line="240" w:lineRule="auto"/>
              <w:jc w:val="left"/>
            </w:pPr>
            <w:r/>
            <w:r>
              <w:rPr>
                <w:b/>
                <w:sz w:val="20"/>
              </w:rPr>
              <w:t>Class</w:t>
            </w:r>
          </w:p>
        </w:tc>
        <w:tc>
          <w:tcPr>
            <w:tcW w:type="dxa" w:w="2448"/>
            <w:shd w:val="clear" w:color="auto" w:fill="D9D9D9"/>
          </w:tcPr>
          <w:p>
            <w:pPr>
              <w:spacing w:line="240" w:lineRule="auto"/>
              <w:jc w:val="left"/>
            </w:pPr>
            <w:r/>
            <w:r>
              <w:rPr>
                <w:b/>
                <w:sz w:val="20"/>
              </w:rPr>
              <w:t>Description</w:t>
            </w:r>
          </w:p>
        </w:tc>
        <w:tc>
          <w:tcPr>
            <w:tcW w:type="dxa" w:w="1872"/>
            <w:shd w:val="clear" w:color="auto" w:fill="D9D9D9"/>
          </w:tcPr>
          <w:p>
            <w:pPr>
              <w:spacing w:line="240" w:lineRule="auto"/>
              <w:jc w:val="left"/>
            </w:pPr>
            <w:r/>
            <w:r>
              <w:rPr>
                <w:b/>
                <w:sz w:val="20"/>
              </w:rPr>
              <w:t>Allowed Amount</w:t>
            </w:r>
          </w:p>
        </w:tc>
        <w:tc>
          <w:tcPr>
            <w:tcW w:type="dxa" w:w="4176"/>
            <w:shd w:val="clear" w:color="auto" w:fill="D9D9D9"/>
          </w:tcPr>
          <w:p>
            <w:pPr>
              <w:spacing w:line="240" w:lineRule="auto"/>
              <w:jc w:val="left"/>
            </w:pPr>
            <w:r/>
            <w:r>
              <w:rPr>
                <w:b/>
                <w:sz w:val="20"/>
              </w:rPr>
              <w:t>Plan Treatment</w:t>
            </w:r>
          </w:p>
        </w:tc>
      </w:tr>
      <w:tr>
        <w:tc>
          <w:tcPr>
            <w:tcW w:type="dxa" w:w="864"/>
          </w:tcPr>
          <w:p>
            <w:pPr>
              <w:spacing w:line="240" w:lineRule="auto"/>
              <w:jc w:val="left"/>
            </w:pPr>
            <w:r/>
            <w:r>
              <w:rPr>
                <w:sz w:val="20"/>
              </w:rPr>
              <w:t>1</w:t>
            </w:r>
          </w:p>
        </w:tc>
        <w:tc>
          <w:tcPr>
            <w:tcW w:type="dxa" w:w="2448"/>
          </w:tcPr>
          <w:p>
            <w:pPr>
              <w:spacing w:line="240" w:lineRule="auto"/>
              <w:jc w:val="left"/>
            </w:pPr>
            <w:r/>
            <w:r>
              <w:rPr>
                <w:sz w:val="20"/>
              </w:rPr>
              <w:t>Priority Tax Claims (IRS Claim No. 14)</w:t>
            </w:r>
          </w:p>
        </w:tc>
        <w:tc>
          <w:tcPr>
            <w:tcW w:type="dxa" w:w="1872"/>
          </w:tcPr>
          <w:p>
            <w:pPr>
              <w:spacing w:line="240" w:lineRule="auto"/>
              <w:jc w:val="left"/>
            </w:pPr>
            <w:r/>
            <w:r>
              <w:rPr>
                <w:sz w:val="20"/>
              </w:rPr>
              <w:t>$1,287,450.00</w:t>
            </w:r>
          </w:p>
        </w:tc>
        <w:tc>
          <w:tcPr>
            <w:tcW w:type="dxa" w:w="4176"/>
          </w:tcPr>
          <w:p>
            <w:pPr>
              <w:spacing w:line="240" w:lineRule="auto"/>
              <w:jc w:val="left"/>
            </w:pPr>
            <w:r/>
            <w:r>
              <w:rPr>
                <w:sz w:val="20"/>
              </w:rPr>
              <w:t>Paid in full with statutory interest in deferred cash payments, final payment no later than March 14, 2027 (§ 1129(a)(9)(C))</w:t>
            </w:r>
          </w:p>
        </w:tc>
      </w:tr>
      <w:tr>
        <w:tc>
          <w:tcPr>
            <w:tcW w:type="dxa" w:w="864"/>
          </w:tcPr>
          <w:p>
            <w:pPr>
              <w:spacing w:line="240" w:lineRule="auto"/>
              <w:jc w:val="left"/>
            </w:pPr>
            <w:r/>
            <w:r>
              <w:rPr>
                <w:sz w:val="20"/>
              </w:rPr>
              <w:t>2</w:t>
            </w:r>
          </w:p>
        </w:tc>
        <w:tc>
          <w:tcPr>
            <w:tcW w:type="dxa" w:w="2448"/>
          </w:tcPr>
          <w:p>
            <w:pPr>
              <w:spacing w:line="240" w:lineRule="auto"/>
              <w:jc w:val="left"/>
            </w:pPr>
            <w:r/>
            <w:r>
              <w:rPr>
                <w:sz w:val="20"/>
              </w:rPr>
              <w:t>Senior Secured Note Claims (the “Prepetition Notes”)</w:t>
            </w:r>
          </w:p>
        </w:tc>
        <w:tc>
          <w:tcPr>
            <w:tcW w:type="dxa" w:w="1872"/>
          </w:tcPr>
          <w:p>
            <w:pPr>
              <w:spacing w:line="240" w:lineRule="auto"/>
              <w:jc w:val="left"/>
            </w:pPr>
            <w:r/>
            <w:r>
              <w:rPr>
                <w:sz w:val="20"/>
              </w:rPr>
              <w:t>$110,000,000.00</w:t>
            </w:r>
          </w:p>
        </w:tc>
        <w:tc>
          <w:tcPr>
            <w:tcW w:type="dxa" w:w="4176"/>
          </w:tcPr>
          <w:p>
            <w:pPr>
              <w:spacing w:line="240" w:lineRule="auto"/>
              <w:jc w:val="left"/>
            </w:pPr>
            <w:r/>
            <w:r>
              <w:rPr>
                <w:sz w:val="20"/>
              </w:rPr>
              <w:t>67% recovery ($73,700,000): $48,500,000 cash plus $25,200,000 new 7.5% Senior Secured Notes due December 1, 2028, distributed through Hargrove Trust Company, as Indenture Trustee</w:t>
            </w:r>
          </w:p>
        </w:tc>
      </w:tr>
      <w:tr>
        <w:tc>
          <w:tcPr>
            <w:tcW w:type="dxa" w:w="864"/>
          </w:tcPr>
          <w:p>
            <w:pPr>
              <w:spacing w:line="240" w:lineRule="auto"/>
              <w:jc w:val="left"/>
            </w:pPr>
            <w:r/>
            <w:r>
              <w:rPr>
                <w:sz w:val="20"/>
              </w:rPr>
              <w:t>3</w:t>
            </w:r>
          </w:p>
        </w:tc>
        <w:tc>
          <w:tcPr>
            <w:tcW w:type="dxa" w:w="2448"/>
          </w:tcPr>
          <w:p>
            <w:pPr>
              <w:spacing w:line="240" w:lineRule="auto"/>
              <w:jc w:val="left"/>
            </w:pPr>
            <w:r/>
            <w:r>
              <w:rPr>
                <w:sz w:val="20"/>
              </w:rPr>
              <w:t>Ridgeview Term Loan Claim</w:t>
            </w:r>
          </w:p>
        </w:tc>
        <w:tc>
          <w:tcPr>
            <w:tcW w:type="dxa" w:w="1872"/>
          </w:tcPr>
          <w:p>
            <w:pPr>
              <w:spacing w:line="240" w:lineRule="auto"/>
              <w:jc w:val="left"/>
            </w:pPr>
            <w:r/>
            <w:r>
              <w:rPr>
                <w:sz w:val="20"/>
              </w:rPr>
              <w:t>$42,000,000.00</w:t>
            </w:r>
          </w:p>
        </w:tc>
        <w:tc>
          <w:tcPr>
            <w:tcW w:type="dxa" w:w="4176"/>
          </w:tcPr>
          <w:p>
            <w:pPr>
              <w:spacing w:line="240" w:lineRule="auto"/>
              <w:jc w:val="left"/>
            </w:pPr>
            <w:r/>
            <w:r>
              <w:rPr>
                <w:sz w:val="20"/>
              </w:rPr>
              <w:t>55% recovery ($23,100,000): $15,000,000 cash plus $8,100,000 new Subordinated Secured Notes due December 1, 2029</w:t>
            </w:r>
          </w:p>
        </w:tc>
      </w:tr>
      <w:tr>
        <w:tc>
          <w:tcPr>
            <w:tcW w:type="dxa" w:w="864"/>
          </w:tcPr>
          <w:p>
            <w:pPr>
              <w:spacing w:line="240" w:lineRule="auto"/>
              <w:jc w:val="left"/>
            </w:pPr>
            <w:r/>
            <w:r>
              <w:rPr>
                <w:sz w:val="20"/>
              </w:rPr>
              <w:t>4</w:t>
            </w:r>
          </w:p>
        </w:tc>
        <w:tc>
          <w:tcPr>
            <w:tcW w:type="dxa" w:w="2448"/>
          </w:tcPr>
          <w:p>
            <w:pPr>
              <w:spacing w:line="240" w:lineRule="auto"/>
              <w:jc w:val="left"/>
            </w:pPr>
            <w:r/>
            <w:r>
              <w:rPr>
                <w:sz w:val="20"/>
              </w:rPr>
              <w:t>General Unsecured Claims</w:t>
            </w:r>
          </w:p>
        </w:tc>
        <w:tc>
          <w:tcPr>
            <w:tcW w:type="dxa" w:w="1872"/>
          </w:tcPr>
          <w:p>
            <w:pPr>
              <w:spacing w:line="240" w:lineRule="auto"/>
              <w:jc w:val="left"/>
            </w:pPr>
            <w:r/>
            <w:r>
              <w:rPr>
                <w:sz w:val="20"/>
              </w:rPr>
              <w:t>$58,400,000.00 (estimated)</w:t>
            </w:r>
          </w:p>
        </w:tc>
        <w:tc>
          <w:tcPr>
            <w:tcW w:type="dxa" w:w="4176"/>
          </w:tcPr>
          <w:p>
            <w:pPr>
              <w:spacing w:line="240" w:lineRule="auto"/>
              <w:jc w:val="left"/>
            </w:pPr>
            <w:r/>
            <w:r>
              <w:rPr>
                <w:sz w:val="20"/>
              </w:rPr>
              <w:t>Pro rata share of $14,600,000 Distribution Fund (≈25%); option to elect pro rata share of 28% of New Equity; plus net Avoidance Action recoveries (Plan § 5.8)</w:t>
            </w:r>
          </w:p>
        </w:tc>
      </w:tr>
      <w:tr>
        <w:tc>
          <w:tcPr>
            <w:tcW w:type="dxa" w:w="864"/>
          </w:tcPr>
          <w:p>
            <w:pPr>
              <w:spacing w:line="240" w:lineRule="auto"/>
              <w:jc w:val="left"/>
            </w:pPr>
            <w:r/>
            <w:r>
              <w:rPr>
                <w:sz w:val="20"/>
              </w:rPr>
              <w:t>5</w:t>
            </w:r>
          </w:p>
        </w:tc>
        <w:tc>
          <w:tcPr>
            <w:tcW w:type="dxa" w:w="2448"/>
          </w:tcPr>
          <w:p>
            <w:pPr>
              <w:spacing w:line="240" w:lineRule="auto"/>
              <w:jc w:val="left"/>
            </w:pPr>
            <w:r/>
            <w:r>
              <w:rPr>
                <w:sz w:val="20"/>
              </w:rPr>
              <w:t>Equity Interests</w:t>
            </w:r>
          </w:p>
        </w:tc>
        <w:tc>
          <w:tcPr>
            <w:tcW w:type="dxa" w:w="1872"/>
          </w:tcPr>
          <w:p>
            <w:pPr>
              <w:spacing w:line="240" w:lineRule="auto"/>
              <w:jc w:val="left"/>
            </w:pPr>
            <w:r/>
            <w:r>
              <w:rPr>
                <w:sz w:val="20"/>
              </w:rPr>
              <w:t>N/A</w:t>
            </w:r>
          </w:p>
        </w:tc>
        <w:tc>
          <w:tcPr>
            <w:tcW w:type="dxa" w:w="4176"/>
          </w:tcPr>
          <w:p>
            <w:pPr>
              <w:spacing w:line="240" w:lineRule="auto"/>
              <w:jc w:val="left"/>
            </w:pPr>
            <w:r/>
            <w:r>
              <w:rPr>
                <w:sz w:val="20"/>
              </w:rPr>
              <w:t>Cancelled; no distribution</w:t>
            </w:r>
          </w:p>
        </w:tc>
      </w:tr>
    </w:tbl>
    <w:p>
      <w:pPr>
        <w:spacing w:line="240" w:lineRule="auto" w:after="120" w:before="0"/>
        <w:ind w:firstLine="720"/>
        <w:jc w:val="both"/>
      </w:pPr>
    </w:p>
    <w:p>
      <w:pPr>
        <w:spacing w:line="480" w:lineRule="auto" w:after="0" w:before="0"/>
        <w:ind w:firstLine="720"/>
        <w:jc w:val="both"/>
      </w:pPr>
      <w:r>
        <w:rPr/>
        <w:t>14.</w:t>
        <w:tab/>
        <w:t>The Confirmation Order appointed Stonecreek Advisory Group, LLC as Plan Administrator, acting through Douglas R. Emmerich, with authority to make Class 4 distributions, resolve disputed claims, prosecute Avoidance Actions, and wind down the estate. Confirmation Order ¶ H; Plan § 7.2. It also required the Reorganized Debtor and/or Plan Administrator to file monthly operating reports and pay quarterly fees under 28 U.S.C. § 1930(a)(6) until entry of a final decree (Confirmation Order ¶ R) and to file all tax returns through the date the case is closed (Confirmation Order ¶ S).</w:t>
      </w:r>
    </w:p>
    <w:p>
      <w:pPr>
        <w:keepNext/>
        <w:spacing w:line="240" w:lineRule="auto" w:after="240" w:before="120"/>
        <w:ind w:left="720" w:hanging="720"/>
        <w:jc w:val="left"/>
      </w:pPr>
      <w:r>
        <w:rPr>
          <w:b/>
        </w:rPr>
        <w:t>C.</w:t>
        <w:tab/>
        <w:t>The Effective Date and Substantial Consummation</w:t>
      </w:r>
    </w:p>
    <w:p>
      <w:pPr>
        <w:spacing w:line="480" w:lineRule="auto" w:after="0" w:before="0"/>
        <w:ind w:firstLine="720"/>
        <w:jc w:val="both"/>
      </w:pPr>
      <w:r>
        <w:rPr/>
        <w:t>15.</w:t>
        <w:tab/>
        <w:t>All conditions precedent to the Effective Date were satisfied, and the Effective Date occurred on December 1, 2023 [Dkt. No. 420]. On that date: (a) the Plan Sponsor funded its $38,500,000 new value contribution; (b) the $55,000,000 asset-based revolving exit facility with Timberline National Bank, N.A. (the “</w:t>
      </w:r>
      <w:r>
        <w:rPr>
          <w:b/>
        </w:rPr>
        <w:t>Exit Facility</w:t>
      </w:r>
      <w:r>
        <w:rPr/>
        <w:t>”) closed and funded; (c) all property of the estate vested in the Reorganized Debtor (Confirmation Order ¶ I), except the Avoidance Actions, which vested in the Plan Administrator (Confirmation Order ¶ G); (d) all existing equity interests were cancelled and the Reorganized Debtor issued new common equity, 72% to the Plan Sponsor and 28% to Class 4 holders that made the equity election (Confirmation Order ¶ E); (e) executory contracts and unexpired leases were assumed or rejected in accordance with Exhibit B to the Confirmation Order (Confirmation Order ¶ J); (f) the new secured notes were issued; and (g) the Committee dissolved (Confirmation Order ¶ Q).</w:t>
      </w:r>
    </w:p>
    <w:p>
      <w:pPr>
        <w:spacing w:line="480" w:lineRule="auto" w:after="0" w:before="0"/>
        <w:ind w:firstLine="720"/>
        <w:jc w:val="both"/>
      </w:pPr>
      <w:r>
        <w:rPr/>
        <w:t>16.</w:t>
        <w:tab/>
        <w:t>Effective Date distributions were made as reported in the Notice of Effective Date Distributions [Dkt. No. 422]: $48,500,000 in cash and $25,200,000 of new senior secured notes to Hargrove Trust Company, as Indenture Trustee, for Class 2; $15,000,000 in cash and $8,100,000 of new subordinated secured notes to Ridgeview Commercial Lending, LLC for Class 3; and an initial Class 4 distribution of $10,200,000, with $4,400,000 retained in the Disputed Claims Reserve.</w:t>
      </w:r>
    </w:p>
    <w:p>
      <w:pPr>
        <w:keepNext/>
        <w:spacing w:line="240" w:lineRule="auto" w:after="240" w:before="120"/>
        <w:ind w:left="720" w:hanging="720"/>
        <w:jc w:val="left"/>
      </w:pPr>
      <w:r>
        <w:rPr>
          <w:b/>
        </w:rPr>
        <w:t>D.</w:t>
        <w:tab/>
        <w:t>Post-Effective Date Administration</w:t>
      </w:r>
    </w:p>
    <w:p>
      <w:pPr>
        <w:keepNext/>
        <w:spacing w:line="240" w:lineRule="auto" w:after="240" w:before="120"/>
        <w:ind w:left="1440" w:hanging="720"/>
        <w:jc w:val="left"/>
      </w:pPr>
      <w:r>
        <w:rPr>
          <w:b/>
          <w:i/>
        </w:rPr>
        <w:t>1.</w:t>
        <w:tab/>
        <w:t>Disputed Claims and the Disputed Claims Reserve</w:t>
      </w:r>
    </w:p>
    <w:p>
      <w:pPr>
        <w:spacing w:line="480" w:lineRule="auto" w:after="0" w:before="0"/>
        <w:ind w:firstLine="720"/>
        <w:jc w:val="both"/>
      </w:pPr>
      <w:r>
        <w:rPr/>
        <w:t>17.</w:t>
        <w:tab/>
        <w:t>Six disputed Class 4 claims were outstanding on the Effective Date. Each has been resolved:</w:t>
      </w:r>
    </w:p>
    <w:p>
      <w:pPr>
        <w:tabs>
          <w:tab w:pos="1440" w:val="left"/>
        </w:tabs>
        <w:spacing w:line="240" w:lineRule="auto" w:after="160" w:before="0"/>
        <w:ind w:left="1440" w:hanging="720"/>
        <w:jc w:val="both"/>
      </w:pPr>
      <w:r>
        <w:t>•</w:t>
        <w:tab/>
      </w:r>
      <w:r>
        <w:rPr>
          <w:b/>
        </w:rPr>
        <w:t>Clearwater Environmental Services, Inc. (Claim No. 247).</w:t>
      </w:r>
      <w:r>
        <w:rPr/>
        <w:t xml:space="preserve"> Asserted at $3,200,000 for alleged remediation obligations at the Klamath Falls mill site. The Plan Administrator objected [Dkt. No. [455/471]], and the Court approved a stipulation allowing the claim at $1,850,000 on September 30, 2024 [Dkt. No. 489]. The Plan Administrator distributed $462,500 (25.0%) on October 18, 2024 [Dkt. No. 491].</w:t>
      </w:r>
    </w:p>
    <w:p>
      <w:pPr>
        <w:tabs>
          <w:tab w:pos="1440" w:val="left"/>
        </w:tabs>
        <w:spacing w:line="240" w:lineRule="auto" w:after="240" w:before="0"/>
        <w:ind w:left="1440" w:hanging="720"/>
        <w:jc w:val="both"/>
      </w:pPr>
      <w:r>
        <w:t>•</w:t>
        <w:tab/>
      </w:r>
      <w:r>
        <w:rPr>
          <w:b/>
        </w:rPr>
        <w:t>Claim Nos. 112, 134, 178, 201, and 223.</w:t>
      </w:r>
      <w:r>
        <w:rPr/>
        <w:t xml:space="preserve"> Resolved by stipulation, order, disallowance, or withdrawal, with all resolutions final by January 15, 2025, for an aggregate allowed amount of $6,800,000 [Dkt. No. 496; orders at Dkt. Nos. [___]]. The Plan Administrator distributed $1,700,000 (25.0%) on February 3, 2025 [Dkt. No. 499].</w:t>
      </w:r>
    </w:p>
    <w:p>
      <w:pPr>
        <w:spacing w:line="480" w:lineRule="auto" w:after="0" w:before="0"/>
        <w:ind w:firstLine="720"/>
        <w:jc w:val="both"/>
      </w:pPr>
      <w:r>
        <w:rPr/>
        <w:t>18.</w:t>
        <w:tab/>
        <w:t>With all disputed claims resolved, the Plan Administrator returned the $2,237,500 balance of the Disputed Claims Reserve ($4,400,000 less $2,162,500 distributed) to the Reorganized Debtor in accordance with Plan § 6.4(c) and Confirmation Order ¶ F, and filed notice of the return [Dkt. No. 500]. No objection was filed. The Disputed Claims Reserve has a zero balance. In total, $12,362,500 has been distributed to holders of allowed Class 4 claims from the Distribution Fund.</w:t>
      </w:r>
    </w:p>
    <w:p>
      <w:pPr>
        <w:keepNext/>
        <w:spacing w:line="240" w:lineRule="auto" w:after="240" w:before="120"/>
        <w:ind w:left="1440" w:hanging="720"/>
        <w:jc w:val="left"/>
      </w:pPr>
      <w:r>
        <w:rPr>
          <w:b/>
          <w:i/>
        </w:rPr>
        <w:t>2.</w:t>
        <w:tab/>
        <w:t>IRS Priority Tax Claim (Claim No. 14)</w:t>
      </w:r>
    </w:p>
    <w:p>
      <w:pPr>
        <w:spacing w:line="480" w:lineRule="auto" w:after="0" w:before="0"/>
        <w:ind w:firstLine="720"/>
        <w:jc w:val="both"/>
      </w:pPr>
      <w:r>
        <w:rPr/>
        <w:t>19.</w:t>
        <w:tab/>
        <w:t>The Internal Revenue Service filed Claim No. 14 as a priority tax claim in the amount of $1,287,450.00 [Dkt. No. 61], which was allowed in that amount without objection. According to the Notice of Payment of IRS Priority Tax Claim [Dkt. No. 464] and the Final Status Report, the Reorganized Debtor made installment payments aggregating $1,287,450.00 on account of Claim No. 14, the last of which was made on August 15, 2024, well before the March 14, 2027 outside date established by section 1129(a)(9)(C) and Confirmation Order ¶ 20. The IRS has not asserted any deficiency or objected to the treatment or payment of its claim. Because the installment and interest components reported in the record require reconciliation, the PA Declaration [will attach / attaches] the payment history and the Reorganized Debtor will file, as a Closing Condition, written confirmation from the IRS (such as an account transcript or satisfaction letter) that Claim No. 14, including any statutory interest required by the Plan and section 511 of the Bankruptcy Code, has been satisfied in full. [</w:t>
      </w:r>
      <w:r>
        <w:rPr>
          <w:b/>
        </w:rPr>
        <w:t>Conform after reconciliation — see Drafter’s Note 2.</w:t>
      </w:r>
      <w:r>
        <w:rPr/>
        <w:t>]</w:t>
      </w:r>
    </w:p>
    <w:p>
      <w:pPr>
        <w:keepNext/>
        <w:spacing w:line="240" w:lineRule="auto" w:after="240" w:before="120"/>
        <w:ind w:left="1440" w:hanging="720"/>
        <w:jc w:val="left"/>
      </w:pPr>
      <w:r>
        <w:rPr>
          <w:b/>
          <w:i/>
        </w:rPr>
        <w:t>3.</w:t>
        <w:tab/>
        <w:t>The Pacific Rim Avoidance Action</w:t>
      </w:r>
    </w:p>
    <w:p>
      <w:pPr>
        <w:spacing w:line="480" w:lineRule="auto" w:after="0" w:before="0"/>
        <w:ind w:firstLine="720"/>
        <w:jc w:val="both"/>
      </w:pPr>
      <w:r>
        <w:rPr/>
        <w:t>20.</w:t>
        <w:tab/>
        <w:t xml:space="preserve">The only Avoidance Action is Adversary Proceeding No. 22-03091-PCW, </w:t>
      </w:r>
      <w:r>
        <w:rPr>
          <w:i/>
        </w:rPr>
        <w:t>Cascadia Timber Holdings, Inc. v. Pacific Rim Log Exports, LLC</w:t>
      </w:r>
      <w:r>
        <w:rPr/>
        <w:t xml:space="preserve"> (the “</w:t>
      </w:r>
      <w:r>
        <w:rPr>
          <w:b/>
        </w:rPr>
        <w:t>Pacific Rim Action</w:t>
      </w:r>
      <w:r>
        <w:rPr/>
        <w:t>”), a preference action under sections 547 and 550 filed May 3, 2022 seeking $875,000. The Plan Administrator, to which the action vested on the Effective Date, reached a settlement with Pacific Rim on January 22, 2025 under which Pacific Rim will pay $525,000 in full resolution of the action (the “</w:t>
      </w:r>
      <w:r>
        <w:rPr>
          <w:b/>
        </w:rPr>
        <w:t>Pacific Rim Settlement</w:t>
      </w:r>
      <w:r>
        <w:rPr/>
        <w:t>”). Because the settlement exceeds $100,000, it requires Court approval under Plan § 5.8. The Plan Administrator filed its motion under Bankruptcy Rule 9019 on January 24, 2025 [Dkt. No. 498] (the “</w:t>
      </w:r>
      <w:r>
        <w:rPr>
          <w:b/>
        </w:rPr>
        <w:t>Settlement Motion</w:t>
      </w:r>
      <w:r>
        <w:rPr/>
        <w:t>”); the objection deadline was February 13, 2025, and the hearing is scheduled for February 20, 2025 at 10:00 a.m. [Update: no objections were filed / objections were filed by ___.]</w:t>
      </w:r>
    </w:p>
    <w:p>
      <w:pPr>
        <w:spacing w:line="480" w:lineRule="auto" w:after="0" w:before="0"/>
        <w:ind w:firstLine="720"/>
        <w:jc w:val="both"/>
      </w:pPr>
      <w:r>
        <w:rPr/>
        <w:t>21.</w:t>
        <w:tab/>
        <w:t>Under Plan § 5.8 and Confirmation Order ¶ G, net recoveries from the Pacific Rim Action, after deduction of costs and expenses of prosecution (including Plan Administrator compensation attributable to the prosecution), will be deposited in the Class 4 Distribution Fund and distributed pro rata to holders of allowed Class 4 claims. The Plan Administrator anticipates completing that distribution promptly after the settlement order becomes final and the settlement funds are received. No other avoidance actions were pending on the Effective Date or have been commenced since, and no other adversary proceeding or contested matter is pending in the Chapter 11 Case.</w:t>
      </w:r>
    </w:p>
    <w:p>
      <w:pPr>
        <w:keepNext/>
        <w:spacing w:line="240" w:lineRule="auto" w:after="240" w:before="120"/>
        <w:ind w:left="1440" w:hanging="720"/>
        <w:jc w:val="left"/>
      </w:pPr>
      <w:r>
        <w:rPr>
          <w:b/>
          <w:i/>
        </w:rPr>
        <w:t>4.</w:t>
        <w:tab/>
        <w:t>Professional Fees</w:t>
      </w:r>
    </w:p>
    <w:p>
      <w:pPr>
        <w:spacing w:line="480" w:lineRule="auto" w:after="0" w:before="0"/>
        <w:ind w:firstLine="720"/>
        <w:jc w:val="both"/>
      </w:pPr>
      <w:r>
        <w:rPr/>
        <w:t>22.</w:t>
        <w:tab/>
        <w:t>All estate professionals have filed fee applications under sections 330 and 331, and their allowed fees and expenses have been paid in full:</w:t>
      </w:r>
    </w:p>
    <w:tbl>
      <w:tblPr>
        <w:tblStyle w:val="TableGrid"/>
        <w:tblW w:type="auto" w:w="0"/>
        <w:jc w:val="center"/>
        <w:tblLook w:firstColumn="1" w:firstRow="1" w:lastColumn="0" w:lastRow="0" w:noHBand="0" w:noVBand="1" w:val="04A0"/>
      </w:tblPr>
      <w:tblGrid>
        <w:gridCol w:w="2015"/>
        <w:gridCol w:w="1584"/>
        <w:gridCol w:w="2592"/>
        <w:gridCol w:w="1728"/>
        <w:gridCol w:w="1440"/>
      </w:tblGrid>
      <w:tr>
        <w:tc>
          <w:tcPr>
            <w:tcW w:type="dxa" w:w="2016"/>
            <w:shd w:val="clear" w:color="auto" w:fill="D9D9D9"/>
          </w:tcPr>
          <w:p>
            <w:pPr>
              <w:spacing w:line="240" w:lineRule="auto"/>
              <w:jc w:val="left"/>
            </w:pPr>
            <w:r/>
            <w:r>
              <w:rPr>
                <w:b/>
                <w:sz w:val="20"/>
              </w:rPr>
              <w:t>Professional</w:t>
            </w:r>
          </w:p>
        </w:tc>
        <w:tc>
          <w:tcPr>
            <w:tcW w:type="dxa" w:w="1584"/>
            <w:shd w:val="clear" w:color="auto" w:fill="D9D9D9"/>
          </w:tcPr>
          <w:p>
            <w:pPr>
              <w:spacing w:line="240" w:lineRule="auto"/>
              <w:jc w:val="left"/>
            </w:pPr>
            <w:r/>
            <w:r>
              <w:rPr>
                <w:b/>
                <w:sz w:val="20"/>
              </w:rPr>
              <w:t>Role</w:t>
            </w:r>
          </w:p>
        </w:tc>
        <w:tc>
          <w:tcPr>
            <w:tcW w:type="dxa" w:w="2592"/>
            <w:shd w:val="clear" w:color="auto" w:fill="D9D9D9"/>
          </w:tcPr>
          <w:p>
            <w:pPr>
              <w:spacing w:line="240" w:lineRule="auto"/>
              <w:jc w:val="left"/>
            </w:pPr>
            <w:r/>
            <w:r>
              <w:rPr>
                <w:b/>
                <w:sz w:val="20"/>
              </w:rPr>
              <w:t>Application / Order</w:t>
            </w:r>
          </w:p>
        </w:tc>
        <w:tc>
          <w:tcPr>
            <w:tcW w:type="dxa" w:w="1728"/>
            <w:shd w:val="clear" w:color="auto" w:fill="D9D9D9"/>
          </w:tcPr>
          <w:p>
            <w:pPr>
              <w:spacing w:line="240" w:lineRule="auto"/>
              <w:jc w:val="left"/>
            </w:pPr>
            <w:r/>
            <w:r>
              <w:rPr>
                <w:b/>
                <w:sz w:val="20"/>
              </w:rPr>
              <w:t>Allowed</w:t>
            </w:r>
          </w:p>
        </w:tc>
        <w:tc>
          <w:tcPr>
            <w:tcW w:type="dxa" w:w="1440"/>
            <w:shd w:val="clear" w:color="auto" w:fill="D9D9D9"/>
          </w:tcPr>
          <w:p>
            <w:pPr>
              <w:spacing w:line="240" w:lineRule="auto"/>
              <w:jc w:val="left"/>
            </w:pPr>
            <w:r/>
            <w:r>
              <w:rPr>
                <w:b/>
                <w:sz w:val="20"/>
              </w:rPr>
              <w:t>Payment</w:t>
            </w:r>
          </w:p>
        </w:tc>
      </w:tr>
      <w:tr>
        <w:tc>
          <w:tcPr>
            <w:tcW w:type="dxa" w:w="2016"/>
          </w:tcPr>
          <w:p>
            <w:pPr>
              <w:spacing w:line="240" w:lineRule="auto"/>
              <w:jc w:val="left"/>
            </w:pPr>
            <w:r/>
            <w:r>
              <w:rPr>
                <w:sz w:val="20"/>
              </w:rPr>
              <w:t>Ridgeline &amp; Sutter LLP</w:t>
            </w:r>
          </w:p>
        </w:tc>
        <w:tc>
          <w:tcPr>
            <w:tcW w:type="dxa" w:w="1584"/>
          </w:tcPr>
          <w:p>
            <w:pPr>
              <w:spacing w:line="240" w:lineRule="auto"/>
              <w:jc w:val="left"/>
            </w:pPr>
            <w:r/>
            <w:r>
              <w:rPr>
                <w:sz w:val="20"/>
              </w:rPr>
              <w:t>Debtor’s counsel</w:t>
            </w:r>
          </w:p>
        </w:tc>
        <w:tc>
          <w:tcPr>
            <w:tcW w:type="dxa" w:w="2592"/>
          </w:tcPr>
          <w:p>
            <w:pPr>
              <w:spacing w:line="240" w:lineRule="auto"/>
              <w:jc w:val="left"/>
            </w:pPr>
            <w:r/>
            <w:r>
              <w:rPr>
                <w:sz w:val="20"/>
              </w:rPr>
              <w:t>Interim: Dkt. Nos. 440 / 450; Final: Dkt. Nos. [___] / [___]</w:t>
            </w:r>
          </w:p>
        </w:tc>
        <w:tc>
          <w:tcPr>
            <w:tcW w:type="dxa" w:w="1728"/>
          </w:tcPr>
          <w:p>
            <w:pPr>
              <w:spacing w:line="240" w:lineRule="auto"/>
              <w:jc w:val="left"/>
            </w:pPr>
            <w:r/>
            <w:r>
              <w:rPr>
                <w:sz w:val="20"/>
              </w:rPr>
              <w:t>$4,850,000.00</w:t>
            </w:r>
          </w:p>
        </w:tc>
        <w:tc>
          <w:tcPr>
            <w:tcW w:type="dxa" w:w="1440"/>
          </w:tcPr>
          <w:p>
            <w:pPr>
              <w:spacing w:line="240" w:lineRule="auto"/>
              <w:jc w:val="left"/>
            </w:pPr>
            <w:r/>
            <w:r>
              <w:rPr>
                <w:sz w:val="20"/>
              </w:rPr>
              <w:t>Paid in full</w:t>
            </w:r>
          </w:p>
        </w:tc>
      </w:tr>
      <w:tr>
        <w:tc>
          <w:tcPr>
            <w:tcW w:type="dxa" w:w="2016"/>
          </w:tcPr>
          <w:p>
            <w:pPr>
              <w:spacing w:line="240" w:lineRule="auto"/>
              <w:jc w:val="left"/>
            </w:pPr>
            <w:r/>
            <w:r>
              <w:rPr>
                <w:sz w:val="20"/>
              </w:rPr>
              <w:t>Pendergrass &amp; Hale LLP</w:t>
            </w:r>
          </w:p>
        </w:tc>
        <w:tc>
          <w:tcPr>
            <w:tcW w:type="dxa" w:w="1584"/>
          </w:tcPr>
          <w:p>
            <w:pPr>
              <w:spacing w:line="240" w:lineRule="auto"/>
              <w:jc w:val="left"/>
            </w:pPr>
            <w:r/>
            <w:r>
              <w:rPr>
                <w:sz w:val="20"/>
              </w:rPr>
              <w:t>Committee counsel</w:t>
            </w:r>
          </w:p>
        </w:tc>
        <w:tc>
          <w:tcPr>
            <w:tcW w:type="dxa" w:w="2592"/>
          </w:tcPr>
          <w:p>
            <w:pPr>
              <w:spacing w:line="240" w:lineRule="auto"/>
              <w:jc w:val="left"/>
            </w:pPr>
            <w:r/>
            <w:r>
              <w:rPr>
                <w:sz w:val="20"/>
              </w:rPr>
              <w:t>Final: Dkt. Nos. 441 / 448 (May 30, 2024)</w:t>
            </w:r>
          </w:p>
        </w:tc>
        <w:tc>
          <w:tcPr>
            <w:tcW w:type="dxa" w:w="1728"/>
          </w:tcPr>
          <w:p>
            <w:pPr>
              <w:spacing w:line="240" w:lineRule="auto"/>
              <w:jc w:val="left"/>
            </w:pPr>
            <w:r/>
            <w:r>
              <w:rPr>
                <w:sz w:val="20"/>
              </w:rPr>
              <w:t>$2,175,000.00</w:t>
            </w:r>
          </w:p>
        </w:tc>
        <w:tc>
          <w:tcPr>
            <w:tcW w:type="dxa" w:w="1440"/>
          </w:tcPr>
          <w:p>
            <w:pPr>
              <w:spacing w:line="240" w:lineRule="auto"/>
              <w:jc w:val="left"/>
            </w:pPr>
            <w:r/>
            <w:r>
              <w:rPr>
                <w:sz w:val="20"/>
              </w:rPr>
              <w:t>Paid in full from professional fee escrow</w:t>
            </w:r>
          </w:p>
        </w:tc>
      </w:tr>
      <w:tr>
        <w:tc>
          <w:tcPr>
            <w:tcW w:type="dxa" w:w="2016"/>
          </w:tcPr>
          <w:p>
            <w:pPr>
              <w:spacing w:line="240" w:lineRule="auto"/>
              <w:jc w:val="left"/>
            </w:pPr>
            <w:r/>
            <w:r>
              <w:rPr>
                <w:sz w:val="20"/>
              </w:rPr>
              <w:t>Greenvale Consulting, Inc.</w:t>
            </w:r>
          </w:p>
        </w:tc>
        <w:tc>
          <w:tcPr>
            <w:tcW w:type="dxa" w:w="1584"/>
          </w:tcPr>
          <w:p>
            <w:pPr>
              <w:spacing w:line="240" w:lineRule="auto"/>
              <w:jc w:val="left"/>
            </w:pPr>
            <w:r/>
            <w:r>
              <w:rPr>
                <w:sz w:val="20"/>
              </w:rPr>
              <w:t>Debtor’s financial advisor</w:t>
            </w:r>
          </w:p>
        </w:tc>
        <w:tc>
          <w:tcPr>
            <w:tcW w:type="dxa" w:w="2592"/>
          </w:tcPr>
          <w:p>
            <w:pPr>
              <w:spacing w:line="240" w:lineRule="auto"/>
              <w:jc w:val="left"/>
            </w:pPr>
            <w:r/>
            <w:r>
              <w:rPr>
                <w:sz w:val="20"/>
              </w:rPr>
              <w:t>Final: Dkt. Nos. 442 / 449 (May 30, 2024)</w:t>
            </w:r>
          </w:p>
        </w:tc>
        <w:tc>
          <w:tcPr>
            <w:tcW w:type="dxa" w:w="1728"/>
          </w:tcPr>
          <w:p>
            <w:pPr>
              <w:spacing w:line="240" w:lineRule="auto"/>
              <w:jc w:val="left"/>
            </w:pPr>
            <w:r/>
            <w:r>
              <w:rPr>
                <w:sz w:val="20"/>
              </w:rPr>
              <w:t>$1,625,000.00</w:t>
            </w:r>
          </w:p>
        </w:tc>
        <w:tc>
          <w:tcPr>
            <w:tcW w:type="dxa" w:w="1440"/>
          </w:tcPr>
          <w:p>
            <w:pPr>
              <w:spacing w:line="240" w:lineRule="auto"/>
              <w:jc w:val="left"/>
            </w:pPr>
            <w:r/>
            <w:r>
              <w:rPr>
                <w:sz w:val="20"/>
              </w:rPr>
              <w:t>Paid in full from professional fee escrow</w:t>
            </w:r>
          </w:p>
        </w:tc>
      </w:tr>
      <w:tr>
        <w:tc>
          <w:tcPr>
            <w:tcW w:type="dxa" w:w="2016"/>
          </w:tcPr>
          <w:p>
            <w:pPr>
              <w:spacing w:line="240" w:lineRule="auto"/>
              <w:jc w:val="left"/>
            </w:pPr>
            <w:r/>
            <w:r>
              <w:rPr>
                <w:sz w:val="20"/>
              </w:rPr>
              <w:t>Stonecreek Advisory Group, LLC</w:t>
            </w:r>
          </w:p>
        </w:tc>
        <w:tc>
          <w:tcPr>
            <w:tcW w:type="dxa" w:w="1584"/>
          </w:tcPr>
          <w:p>
            <w:pPr>
              <w:spacing w:line="240" w:lineRule="auto"/>
              <w:jc w:val="left"/>
            </w:pPr>
            <w:r/>
            <w:r>
              <w:rPr>
                <w:sz w:val="20"/>
              </w:rPr>
              <w:t>Plan Administrator</w:t>
            </w:r>
          </w:p>
        </w:tc>
        <w:tc>
          <w:tcPr>
            <w:tcW w:type="dxa" w:w="2592"/>
          </w:tcPr>
          <w:p>
            <w:pPr>
              <w:spacing w:line="240" w:lineRule="auto"/>
              <w:jc w:val="left"/>
            </w:pPr>
            <w:r/>
            <w:r>
              <w:rPr>
                <w:sz w:val="20"/>
              </w:rPr>
              <w:t>Interim (through Mar. 31, 2024): Dkt. Nos. 443 / 451; Final: Dkt. No. [___]</w:t>
            </w:r>
          </w:p>
        </w:tc>
        <w:tc>
          <w:tcPr>
            <w:tcW w:type="dxa" w:w="1728"/>
          </w:tcPr>
          <w:p>
            <w:pPr>
              <w:spacing w:line="240" w:lineRule="auto"/>
              <w:jc w:val="left"/>
            </w:pPr>
            <w:r/>
            <w:r>
              <w:rPr>
                <w:sz w:val="20"/>
              </w:rPr>
              <w:t>$1,340,000.00 (through Jan. 31, 2025)</w:t>
            </w:r>
          </w:p>
        </w:tc>
        <w:tc>
          <w:tcPr>
            <w:tcW w:type="dxa" w:w="1440"/>
          </w:tcPr>
          <w:p>
            <w:pPr>
              <w:spacing w:line="240" w:lineRule="auto"/>
              <w:jc w:val="left"/>
            </w:pPr>
            <w:r/>
            <w:r>
              <w:rPr>
                <w:sz w:val="20"/>
              </w:rPr>
              <w:t>Paid by Reorganized Debtor</w:t>
            </w:r>
          </w:p>
        </w:tc>
      </w:tr>
      <w:tr>
        <w:tc>
          <w:tcPr>
            <w:tcW w:type="dxa" w:w="2016"/>
          </w:tcPr>
          <w:p>
            <w:pPr>
              <w:spacing w:line="240" w:lineRule="auto"/>
              <w:jc w:val="left"/>
            </w:pPr>
            <w:r/>
            <w:r>
              <w:rPr>
                <w:b/>
                <w:sz w:val="20"/>
              </w:rPr>
              <w:t>Total</w:t>
            </w:r>
          </w:p>
        </w:tc>
        <w:tc>
          <w:tcPr>
            <w:tcW w:type="dxa" w:w="1584"/>
          </w:tcPr>
          <w:p>
            <w:pPr>
              <w:spacing w:line="240" w:lineRule="auto"/>
              <w:jc w:val="left"/>
            </w:pPr>
            <w:r/>
          </w:p>
        </w:tc>
        <w:tc>
          <w:tcPr>
            <w:tcW w:type="dxa" w:w="2592"/>
          </w:tcPr>
          <w:p>
            <w:pPr>
              <w:spacing w:line="240" w:lineRule="auto"/>
              <w:jc w:val="left"/>
            </w:pPr>
            <w:r/>
          </w:p>
        </w:tc>
        <w:tc>
          <w:tcPr>
            <w:tcW w:type="dxa" w:w="1728"/>
          </w:tcPr>
          <w:p>
            <w:pPr>
              <w:spacing w:line="240" w:lineRule="auto"/>
              <w:jc w:val="left"/>
            </w:pPr>
            <w:r/>
            <w:r>
              <w:rPr>
                <w:b/>
                <w:sz w:val="20"/>
              </w:rPr>
              <w:t>$9,990,000.00</w:t>
            </w:r>
          </w:p>
        </w:tc>
        <w:tc>
          <w:tcPr>
            <w:tcW w:type="dxa" w:w="1440"/>
          </w:tcPr>
          <w:p>
            <w:pPr>
              <w:spacing w:line="240" w:lineRule="auto"/>
              <w:jc w:val="left"/>
            </w:pPr>
            <w:r/>
          </w:p>
        </w:tc>
      </w:tr>
    </w:tbl>
    <w:p>
      <w:pPr>
        <w:spacing w:line="240" w:lineRule="auto" w:after="120" w:before="0"/>
        <w:ind w:firstLine="720"/>
        <w:jc w:val="both"/>
      </w:pPr>
    </w:p>
    <w:p>
      <w:pPr>
        <w:spacing w:line="480" w:lineRule="auto" w:after="0" w:before="0"/>
        <w:ind w:firstLine="720"/>
        <w:jc w:val="both"/>
      </w:pPr>
      <w:r>
        <w:rPr/>
        <w:t>23.</w:t>
        <w:tab/>
        <w:t xml:space="preserve">The Confirmation Order provides that Plan Administrator compensation for services rendered before entry of a final decree is subject to Court approval upon application, while compensation for services rendered after entry of a final decree is payable by the Reorganized Debtor in the ordinary course without further application. Confirmation Order ¶ H; </w:t>
      </w:r>
      <w:r>
        <w:rPr>
          <w:i/>
        </w:rPr>
        <w:t>see</w:t>
      </w:r>
      <w:r>
        <w:rPr/>
        <w:t xml:space="preserve"> Plan § 7.2(d). Accordingly, [the Plan Administrator has filed / will file no later than [______], 2025] a final application for allowance of its compensation and expenses for the period from April 1, 2024 through the Closing Date (defined below), which the Reorganized Debtor requests be heard with this Motion or on such other date as the Court sets. The Plan Administrator’s compensation is paid by the Reorganized Debtor from post-Effective Date operating funds, not from the Class 4 Distribution Fund. [Confirm status of Ridgeline &amp; Sutter final application — see Drafter’s Note 3.]</w:t>
      </w:r>
    </w:p>
    <w:p>
      <w:pPr>
        <w:keepNext/>
        <w:spacing w:line="240" w:lineRule="auto" w:after="240" w:before="120"/>
        <w:ind w:left="1440" w:hanging="720"/>
        <w:jc w:val="left"/>
      </w:pPr>
      <w:r>
        <w:rPr>
          <w:b/>
          <w:i/>
        </w:rPr>
        <w:t>5.</w:t>
        <w:tab/>
        <w:t>U.S. Trustee Quarterly Fees</w:t>
      </w:r>
    </w:p>
    <w:p>
      <w:pPr>
        <w:spacing w:line="480" w:lineRule="auto" w:after="0" w:before="0"/>
        <w:ind w:firstLine="720"/>
        <w:jc w:val="both"/>
      </w:pPr>
      <w:r>
        <w:rPr/>
        <w:t>24.</w:t>
        <w:tab/>
        <w:t>All quarterly fees due under 28 U.S.C. § 1930(a)(6) have been paid through the fourth quarter of 2024. The most recent payment, in the amount of $[________], was made on [________], 2025, and has been verified against the U.S. Trustee’s records. The first-quarter 2025 fee, estimated at approximately $10,400 based on projected disbursements, has accrued but is not yet due because the quarter has not ended. The Reorganized Debtor will pay the first-quarter 2025 fee when due and all quarterly fees through and including the quarter in which the case is closed.</w:t>
      </w:r>
    </w:p>
    <w:p>
      <w:pPr>
        <w:keepNext/>
        <w:spacing w:line="240" w:lineRule="auto" w:after="240" w:before="120"/>
        <w:ind w:left="1440" w:hanging="720"/>
        <w:jc w:val="left"/>
      </w:pPr>
      <w:r>
        <w:rPr>
          <w:b/>
          <w:i/>
        </w:rPr>
        <w:t>6.</w:t>
        <w:tab/>
        <w:t>Post-Confirmation Operating Reports</w:t>
      </w:r>
    </w:p>
    <w:p>
      <w:pPr>
        <w:spacing w:line="480" w:lineRule="auto" w:after="0" w:before="0"/>
        <w:ind w:firstLine="720"/>
        <w:jc w:val="both"/>
      </w:pPr>
      <w:r>
        <w:rPr/>
        <w:t>25.</w:t>
        <w:tab/>
        <w:t>The Reorganized Debtor has filed monthly post-confirmation operating reports for every month from December 2023 through December 2024 [Dkt. Nos. 428, 432, 435, 438, 445, 458, 461, 466, 469, 490, 493, 495, 497]. The January 2025 report is due February 20, 2025 and will be filed on or before that date. The reports show that the Reorganized Debtor is operating in the ordinary course and is current on its obligations under the new senior secured notes, the new subordinated secured notes, and the Exit Facility.</w:t>
      </w:r>
    </w:p>
    <w:p>
      <w:pPr>
        <w:keepNext/>
        <w:spacing w:line="240" w:lineRule="auto" w:after="240" w:before="120"/>
        <w:ind w:left="1440" w:hanging="720"/>
        <w:jc w:val="left"/>
      </w:pPr>
      <w:r>
        <w:rPr>
          <w:b/>
          <w:i/>
        </w:rPr>
        <w:t>7.</w:t>
        <w:tab/>
        <w:t>The Plan Administrator’s Final Status Report</w:t>
      </w:r>
    </w:p>
    <w:p>
      <w:pPr>
        <w:spacing w:line="480" w:lineRule="auto" w:after="0" w:before="0"/>
        <w:ind w:firstLine="720"/>
        <w:jc w:val="both"/>
      </w:pPr>
      <w:r>
        <w:rPr/>
        <w:t>26.</w:t>
        <w:tab/>
        <w:t>As required by Plan § 7.2(h), the Plan Administrator filed the Final Status Report on January 31, 2025 [Dkt. No. 501], and served it on the U.S. Trustee [confirm]. The Final Status Report details all Plan distributions, the resolution of each disputed claim, the administration and closing of the Disputed Claims Reserve, professional fee payments, and the remaining open items. It concludes that the estate has been substantially administered and recommends entry of a final decree upon resolution of the remaining open items. The PA Declaration updates the Final Status Report through the date of this Motion, and the Plan Administrator will file a supplemental final report reflecting the Pacific Rim Settlement receipts and distribution before the case is closed.</w:t>
      </w:r>
    </w:p>
    <w:p>
      <w:pPr>
        <w:keepNext/>
        <w:spacing w:line="240" w:lineRule="auto" w:after="240" w:before="120"/>
        <w:ind w:left="720" w:hanging="720"/>
        <w:jc w:val="left"/>
      </w:pPr>
      <w:r>
        <w:rPr>
          <w:b/>
        </w:rPr>
        <w:t>E.</w:t>
        <w:tab/>
        <w:t>Remaining Open Items</w:t>
      </w:r>
    </w:p>
    <w:p>
      <w:pPr>
        <w:spacing w:line="480" w:lineRule="auto" w:after="0" w:before="0"/>
        <w:ind w:firstLine="720"/>
        <w:jc w:val="both"/>
      </w:pPr>
      <w:r>
        <w:rPr/>
        <w:t>27.</w:t>
        <w:tab/>
        <w:t>Consistent with the UST Guidelines’ requirement of full disclosure, the following items remain open as of the filing of this Motion (collectively, and as more fully set forth in the Proposed Final Decree, the “</w:t>
      </w:r>
      <w:r>
        <w:rPr>
          <w:b/>
        </w:rPr>
        <w:t>Closing Conditions</w:t>
      </w:r>
      <w:r>
        <w:rPr/>
        <w:t>”):</w:t>
      </w:r>
    </w:p>
    <w:p>
      <w:pPr>
        <w:tabs>
          <w:tab w:pos="1440" w:val="left"/>
        </w:tabs>
        <w:spacing w:line="240" w:lineRule="auto" w:after="160" w:before="0"/>
        <w:ind w:left="1440" w:hanging="720"/>
        <w:jc w:val="both"/>
      </w:pPr>
      <w:r>
        <w:t>(a)</w:t>
        <w:tab/>
      </w:r>
      <w:r>
        <w:rPr>
          <w:b/>
        </w:rPr>
        <w:t>Pacific Rim Settlement.</w:t>
      </w:r>
      <w:r>
        <w:rPr/>
        <w:t xml:space="preserve"> Entry of an order approving the Settlement Motion [Dkt. No. 498] that has become final and non-appealable (hearing February 20, 2025; appeal period expires 14 days after entry, Fed. R. Bankr. P. 8002(a)); receipt of the $525,000 settlement payment; and dismissal with prejudice and closing of Adversary Proceeding No. 22-03091-PCW.</w:t>
      </w:r>
    </w:p>
    <w:p>
      <w:pPr>
        <w:tabs>
          <w:tab w:pos="1440" w:val="left"/>
        </w:tabs>
        <w:spacing w:line="240" w:lineRule="auto" w:after="160" w:before="0"/>
        <w:ind w:left="1440" w:hanging="720"/>
        <w:jc w:val="both"/>
      </w:pPr>
      <w:r>
        <w:t>(b)</w:t>
        <w:tab/>
      </w:r>
      <w:r>
        <w:rPr>
          <w:b/>
        </w:rPr>
        <w:t>Distribution of Net Settlement Proceeds.</w:t>
      </w:r>
      <w:r>
        <w:rPr/>
        <w:t xml:space="preserve"> Distribution of the net Pacific Rim Settlement proceeds to holders of allowed Class 4 claims under Plan § 5.8 and Confirmation Order ¶ G, and the filing of a notice of distribution stating the gross recovery, the costs and expenses deducted, and the amount distributed.</w:t>
      </w:r>
    </w:p>
    <w:p>
      <w:pPr>
        <w:tabs>
          <w:tab w:pos="1440" w:val="left"/>
        </w:tabs>
        <w:spacing w:line="240" w:lineRule="auto" w:after="160" w:before="0"/>
        <w:ind w:left="1440" w:hanging="720"/>
        <w:jc w:val="both"/>
      </w:pPr>
      <w:r>
        <w:t>(c)</w:t>
        <w:tab/>
      </w:r>
      <w:r>
        <w:rPr>
          <w:b/>
        </w:rPr>
        <w:t>U.S. Trustee Fees.</w:t>
      </w:r>
      <w:r>
        <w:rPr/>
        <w:t xml:space="preserve"> Payment of the first-quarter 2025 quarterly fee (estimated at $10,400) and all quarterly fees through and including the quarter in which the case is closed, calculated on disbursements through the Closing Date.</w:t>
      </w:r>
    </w:p>
    <w:p>
      <w:pPr>
        <w:tabs>
          <w:tab w:pos="1440" w:val="left"/>
        </w:tabs>
        <w:spacing w:line="240" w:lineRule="auto" w:after="160" w:before="0"/>
        <w:ind w:left="1440" w:hanging="720"/>
        <w:jc w:val="both"/>
      </w:pPr>
      <w:r>
        <w:t>(d)</w:t>
        <w:tab/>
      </w:r>
      <w:r>
        <w:rPr>
          <w:b/>
        </w:rPr>
        <w:t>Operating Reports.</w:t>
      </w:r>
      <w:r>
        <w:rPr/>
        <w:t xml:space="preserve"> Filing of the January 2025 monthly operating report on or before February 20, 2025, each subsequent monthly report on or before the [20th] day of the following month, and a final post-confirmation report covering the period from the last filed report through the Closing Date.</w:t>
      </w:r>
    </w:p>
    <w:p>
      <w:pPr>
        <w:tabs>
          <w:tab w:pos="1440" w:val="left"/>
        </w:tabs>
        <w:spacing w:line="240" w:lineRule="auto" w:after="160" w:before="0"/>
        <w:ind w:left="1440" w:hanging="720"/>
        <w:jc w:val="both"/>
      </w:pPr>
      <w:r>
        <w:t>(e)</w:t>
        <w:tab/>
      </w:r>
      <w:r>
        <w:rPr>
          <w:b/>
        </w:rPr>
        <w:t>Final Compensation.</w:t>
      </w:r>
      <w:r>
        <w:rPr/>
        <w:t xml:space="preserve"> [Entry of a final order on the final fee application of Ridgeline &amp; Sutter LLP and] entry of a final order on the Plan Administrator’s final application for compensation for the pre-closing period, and payment of all allowed amounts.</w:t>
      </w:r>
    </w:p>
    <w:p>
      <w:pPr>
        <w:tabs>
          <w:tab w:pos="1440" w:val="left"/>
        </w:tabs>
        <w:spacing w:line="240" w:lineRule="auto" w:after="160" w:before="0"/>
        <w:ind w:left="1440" w:hanging="720"/>
        <w:jc w:val="both"/>
      </w:pPr>
      <w:r>
        <w:t>(f)</w:t>
        <w:tab/>
      </w:r>
      <w:r>
        <w:rPr>
          <w:b/>
        </w:rPr>
        <w:t>Supplemental Final Report.</w:t>
      </w:r>
      <w:r>
        <w:rPr/>
        <w:t xml:space="preserve"> Filing and service on the U.S. Trustee of a supplemental final report by the Plan Administrator detailing all funds received and disbursed through the Closing Date, including the Pacific Rim Settlement proceeds.</w:t>
      </w:r>
    </w:p>
    <w:p>
      <w:pPr>
        <w:tabs>
          <w:tab w:pos="1440" w:val="left"/>
        </w:tabs>
        <w:spacing w:line="240" w:lineRule="auto" w:after="160" w:before="0"/>
        <w:ind w:left="1440" w:hanging="720"/>
        <w:jc w:val="both"/>
      </w:pPr>
      <w:r>
        <w:t>(g)</w:t>
        <w:tab/>
      </w:r>
      <w:r>
        <w:rPr>
          <w:b/>
        </w:rPr>
        <w:t>IRS Claim No. 14.</w:t>
      </w:r>
      <w:r>
        <w:rPr/>
        <w:t xml:space="preserve"> Filing of written confirmation from the IRS (or other evidence satisfactory to the U.S. Trustee) that Claim No. 14 has been satisfied in full in accordance with the Plan.</w:t>
      </w:r>
    </w:p>
    <w:p>
      <w:pPr>
        <w:spacing w:line="240" w:lineRule="auto" w:after="80" w:before="0"/>
        <w:ind w:firstLine="720"/>
        <w:jc w:val="both"/>
      </w:pPr>
    </w:p>
    <w:p>
      <w:pPr>
        <w:spacing w:line="480" w:lineRule="auto" w:after="0" w:before="0"/>
        <w:ind w:firstLine="720"/>
        <w:jc w:val="both"/>
      </w:pPr>
      <w:r>
        <w:rPr/>
        <w:t>28.</w:t>
        <w:tab/>
        <w:t>Each Closing Condition is ministerial or is scheduled for imminent resolution. None requires the continued administration of estate property, the resolution of any claim, or the exercise of any discretion beyond what the Plan and the Confirmation Order already authorize.</w:t>
      </w:r>
    </w:p>
    <w:p>
      <w:pPr>
        <w:keepNext/>
        <w:spacing w:line="240" w:lineRule="auto" w:after="240" w:before="240"/>
        <w:jc w:val="center"/>
      </w:pPr>
      <w:r>
        <w:rPr>
          <w:b/>
        </w:rPr>
        <w:t>III.  RELIEF REQUESTED</w:t>
      </w:r>
    </w:p>
    <w:p>
      <w:pPr>
        <w:spacing w:line="480" w:lineRule="auto" w:after="0" w:before="0"/>
        <w:ind w:firstLine="720"/>
        <w:jc w:val="both"/>
      </w:pPr>
      <w:r>
        <w:rPr/>
        <w:t>29.</w:t>
        <w:tab/>
        <w:t>The Reorganized Debtor requests entry of the Proposed Final Decree: (a) finding that the estate has been fully administered within the meaning of section 350(a) and Bankruptcy Rule 3022, subject only to the Closing Conditions; (b) directing that the final decree become effective, and that the Clerk close the Chapter 11 Case, upon the filing of a certification by the Reorganized Debtor that the Closing Conditions have been satisfied (the “</w:t>
      </w:r>
      <w:r>
        <w:rPr>
          <w:b/>
        </w:rPr>
        <w:t>Closing Certification</w:t>
      </w:r>
      <w:r>
        <w:rPr/>
        <w:t>”) and the expiration of a fourteen-day period for the U.S. Trustee to object (the date of such closing, the “</w:t>
      </w:r>
      <w:r>
        <w:rPr>
          <w:b/>
        </w:rPr>
        <w:t>Closing Date</w:t>
      </w:r>
      <w:r>
        <w:rPr/>
        <w:t>”); (c) confirming that the discharge, injunctions, and other provisions of the Plan and Confirmation Order survive closing; (d) confirming the Court’s retained jurisdiction; and (e) granting related relief.</w:t>
      </w:r>
    </w:p>
    <w:p>
      <w:pPr>
        <w:keepNext/>
        <w:spacing w:line="240" w:lineRule="auto" w:after="240" w:before="240"/>
        <w:jc w:val="center"/>
      </w:pPr>
      <w:r>
        <w:rPr>
          <w:b/>
        </w:rPr>
        <w:t>IV.  BASIS FOR RELIEF</w:t>
      </w:r>
    </w:p>
    <w:p>
      <w:pPr>
        <w:keepNext/>
        <w:spacing w:line="240" w:lineRule="auto" w:after="240" w:before="120"/>
        <w:ind w:left="720" w:hanging="720"/>
        <w:jc w:val="left"/>
      </w:pPr>
      <w:r>
        <w:rPr>
          <w:b/>
        </w:rPr>
        <w:t>A.</w:t>
        <w:tab/>
        <w:t>Legal Standard</w:t>
      </w:r>
    </w:p>
    <w:p>
      <w:pPr>
        <w:spacing w:line="480" w:lineRule="auto" w:after="0" w:before="0"/>
        <w:ind w:firstLine="720"/>
        <w:jc w:val="both"/>
      </w:pPr>
      <w:r>
        <w:rPr/>
        <w:t>30.</w:t>
        <w:tab/>
        <w:t>Section 350(a) provides: “After an estate is fully administered and the court has discharged the trustee, the court shall close the case.” 11 U.S.C. § 350(a). Bankruptcy Rule 3022 implements that directive in chapter 11 cases: once the estate is fully administered, the court, on its own or on the motion of a party in interest, must enter a final decree closing the case. Fed. R. Bankr. P. 3022. No trustee was appointed in this case, so no discharge of a trustee is required.</w:t>
      </w:r>
    </w:p>
    <w:p>
      <w:pPr>
        <w:spacing w:line="480" w:lineRule="auto" w:after="0" w:before="0"/>
        <w:ind w:firstLine="720"/>
        <w:jc w:val="both"/>
      </w:pPr>
      <w:r>
        <w:rPr/>
        <w:t>31.</w:t>
        <w:tab/>
        <w:t>Neither the Bankruptcy Code nor the Rules define “fully administered.” The Advisory Committee Note to the 1991 amendment of Rule 3022 identifies factors the court should consider, including: (1) whether the order confirming the plan has become final; (2) whether deposits required by the plan have been distributed; (3) whether the property proposed by the plan to be transferred has been transferred; (4) whether the debtor or the successor of the debtor under the plan has assumed the business or the management of the property dealt with by the plan; (5) whether payments under the plan have commenced; and (6) whether all motions, contested matters, and adversary proceedings have been finally resolved. Fed. R. Bankr. P. 3022 advisory committee’s note to 1991 amendment. The UST Guidelines add whether the plan has been substantially consummated under section 1101(2), whether administrative claims (including professional compensation) have been resolved and paid, and the U.S. Trustee’s position. UST Guidelines § II.</w:t>
      </w:r>
    </w:p>
    <w:p>
      <w:pPr>
        <w:spacing w:line="480" w:lineRule="auto" w:after="0" w:before="0"/>
        <w:ind w:firstLine="720"/>
        <w:jc w:val="both"/>
      </w:pPr>
      <w:r>
        <w:rPr/>
        <w:t>32.</w:t>
        <w:tab/>
        <w:t xml:space="preserve">These factors are guidelines, not a checklist; not every factor must be present, and the inquiry turns on the totality of the circumstances. </w:t>
      </w:r>
      <w:r>
        <w:rPr>
          <w:i/>
        </w:rPr>
        <w:t>See, e.g.</w:t>
      </w:r>
      <w:r>
        <w:rPr/>
        <w:t xml:space="preserve">, </w:t>
      </w:r>
      <w:r>
        <w:rPr>
          <w:i/>
        </w:rPr>
        <w:t>In re Union Home &amp; Indus., Inc.</w:t>
      </w:r>
      <w:r>
        <w:rPr/>
        <w:t xml:space="preserve">, 375 B.R. 912, 916–17 (B.A.P. 10th Cir. 2007); </w:t>
      </w:r>
      <w:r>
        <w:rPr>
          <w:i/>
        </w:rPr>
        <w:t>In re Gates Cmty. Chapel of Rochester, Inc.</w:t>
      </w:r>
      <w:r>
        <w:rPr/>
        <w:t xml:space="preserve">, 212 B.R. 220, 224 (Bankr. W.D.N.Y. 1997); </w:t>
      </w:r>
      <w:r>
        <w:rPr>
          <w:i/>
        </w:rPr>
        <w:t>In re Mold Makers, Inc.</w:t>
      </w:r>
      <w:r>
        <w:rPr/>
        <w:t xml:space="preserve">, 124 B.R. 766, 768–69 (Bankr. N.D. Ill. 1990). The Advisory Committee Note emphasizes that entry of a final decree “should not be delayed solely because the payments required by the plan have not been completed,” and that the court should not keep a case open “only because of the possibility that the court’s jurisdiction may be invoked in the future.” Fed. R. Bankr. P. 3022 advisory committee’s note to 1991 amendment. A final decree does not deprive the court of jurisdiction to enforce or interpret its own orders, and the case may be reopened for cause under section 350(b). </w:t>
      </w:r>
      <w:r>
        <w:rPr>
          <w:i/>
        </w:rPr>
        <w:t>Id.</w:t>
      </w:r>
      <w:r>
        <w:rPr/>
        <w:t xml:space="preserve">; </w:t>
      </w:r>
      <w:r>
        <w:rPr>
          <w:i/>
        </w:rPr>
        <w:t>see</w:t>
      </w:r>
      <w:r>
        <w:rPr/>
        <w:t xml:space="preserve"> 11 U.S.C. § 350(b). Courts thus regard a case as fully administered when the plan has been substantially consummated and the matters that remain are ministerial or are governed by the plan and can be carried out by the reorganized debtor without court supervision. </w:t>
      </w:r>
      <w:r>
        <w:rPr>
          <w:i/>
        </w:rPr>
        <w:t>See In re Kliegl Bros. Universal Elec. Stage Lighting Co.</w:t>
      </w:r>
      <w:r>
        <w:rPr/>
        <w:t xml:space="preserve">, 238 B.R. 531, 542 (Bankr. E.D.N.Y. 1999); </w:t>
      </w:r>
      <w:r>
        <w:rPr>
          <w:i/>
        </w:rPr>
        <w:t>In re Federated Dep’t Stores, Inc.</w:t>
      </w:r>
      <w:r>
        <w:rPr/>
        <w:t>, 43 F. App’x 820, 822–23 (6th Cir. 2002). [Cite-check; add controlling Ninth Circuit/District of Oregon authority if available.]</w:t>
      </w:r>
    </w:p>
    <w:p>
      <w:pPr>
        <w:keepNext/>
        <w:spacing w:line="240" w:lineRule="auto" w:after="240" w:before="120"/>
        <w:ind w:left="720" w:hanging="720"/>
        <w:jc w:val="left"/>
      </w:pPr>
      <w:r>
        <w:rPr>
          <w:b/>
        </w:rPr>
        <w:t>B.</w:t>
        <w:tab/>
        <w:t>The Estate Has Been Fully Administered</w:t>
      </w:r>
    </w:p>
    <w:p>
      <w:pPr>
        <w:keepNext/>
        <w:spacing w:line="240" w:lineRule="auto" w:after="240" w:before="120"/>
        <w:ind w:left="1440" w:hanging="720"/>
        <w:jc w:val="left"/>
      </w:pPr>
      <w:r>
        <w:rPr>
          <w:b/>
          <w:i/>
        </w:rPr>
        <w:t>1.</w:t>
        <w:tab/>
        <w:t>The Confirmation Order Is Final</w:t>
      </w:r>
    </w:p>
    <w:p>
      <w:pPr>
        <w:spacing w:line="480" w:lineRule="auto" w:after="0" w:before="0"/>
        <w:ind w:firstLine="720"/>
        <w:jc w:val="both"/>
      </w:pPr>
      <w:r>
        <w:rPr/>
        <w:t>33.</w:t>
        <w:tab/>
        <w:t>The Confirmation Order was entered November 9, 2023 and was immediately effective. Confirmation Order ¶ P. No appeal was taken within the fourteen-day period under Bankruptcy Rule 8002(a), and the Confirmation Order has been a final, non-appealable order since November 2023. Indeed, the Confirmation Order’s becoming a Final Order was itself a condition precedent to the Effective Date (Plan Art. VIII(a)), and the Effective Date occurred on December 1, 2023 [Dkt. No. 420]. This factor is satisfied.</w:t>
      </w:r>
    </w:p>
    <w:p>
      <w:pPr>
        <w:keepNext/>
        <w:spacing w:line="240" w:lineRule="auto" w:after="240" w:before="120"/>
        <w:ind w:left="1440" w:hanging="720"/>
        <w:jc w:val="left"/>
      </w:pPr>
      <w:r>
        <w:rPr>
          <w:b/>
          <w:i/>
        </w:rPr>
        <w:t>2.</w:t>
        <w:tab/>
        <w:t>The Plan Has Been Substantially Consummated</w:t>
      </w:r>
    </w:p>
    <w:p>
      <w:pPr>
        <w:spacing w:line="480" w:lineRule="auto" w:after="0" w:before="0"/>
        <w:ind w:firstLine="720"/>
        <w:jc w:val="both"/>
      </w:pPr>
      <w:r>
        <w:rPr/>
        <w:t>34.</w:t>
        <w:tab/>
        <w:t xml:space="preserve">“Substantial consummation” means (A) transfer of all or substantially all of the property proposed by the plan to be transferred; (B) assumption by the debtor or its successor of the business or management of all or substantially all of the property dealt with by the plan; and (C) commencement of distribution under the plan. 11 U.S.C. § 1101(2). Each element was met on the Effective Date: the new value contribution and Exit Facility were funded, estate property vested in the Reorganized Debtor and the Avoidance Actions in the Plan Administrator, the Reorganized Debtor assumed the business and management of the property dealt with by the Plan, and distributions commenced to Classes 2, 3, and 4. </w:t>
      </w:r>
      <w:r>
        <w:rPr>
          <w:i/>
        </w:rPr>
        <w:t>See</w:t>
      </w:r>
      <w:r>
        <w:rPr/>
        <w:t xml:space="preserve"> Part II.C, </w:t>
      </w:r>
      <w:r>
        <w:rPr>
          <w:i/>
        </w:rPr>
        <w:t>supra</w:t>
      </w:r>
      <w:r>
        <w:rPr/>
        <w:t>. This factor is satisfied.</w:t>
      </w:r>
    </w:p>
    <w:p>
      <w:pPr>
        <w:keepNext/>
        <w:spacing w:line="240" w:lineRule="auto" w:after="240" w:before="120"/>
        <w:ind w:left="1440" w:hanging="720"/>
        <w:jc w:val="left"/>
      </w:pPr>
      <w:r>
        <w:rPr>
          <w:b/>
          <w:i/>
        </w:rPr>
        <w:t>3.</w:t>
        <w:tab/>
        <w:t>Deposits Required by the Plan Have Been Distributed</w:t>
      </w:r>
    </w:p>
    <w:p>
      <w:pPr>
        <w:spacing w:line="480" w:lineRule="auto" w:after="0" w:before="0"/>
        <w:ind w:firstLine="720"/>
        <w:jc w:val="both"/>
      </w:pPr>
      <w:r>
        <w:rPr/>
        <w:t>35.</w:t>
        <w:tab/>
        <w:t>The Class 4 Distribution Fund of $14,600,000 has been fully administered: $12,362,500 has been distributed to holders of allowed Class 4 claims, and the $2,237,500 surplus has been returned to the Reorganized Debtor under Plan § 6.4(c). The Disputed Claims Reserve has a zero balance. The Class 2 and Class 3 cash and note distributions were completed on the Effective Date. The only remaining deposit — the net Pacific Rim Settlement proceeds — will be distributed before the Closing Date as a Closing Condition. This factor is satisfied or will be satisfied before the case is closed.</w:t>
      </w:r>
    </w:p>
    <w:p>
      <w:pPr>
        <w:keepNext/>
        <w:spacing w:line="240" w:lineRule="auto" w:after="240" w:before="120"/>
        <w:ind w:left="1440" w:hanging="720"/>
        <w:jc w:val="left"/>
      </w:pPr>
      <w:r>
        <w:rPr>
          <w:b/>
          <w:i/>
        </w:rPr>
        <w:t>4.</w:t>
        <w:tab/>
        <w:t>Property Proposed To Be Transferred Has Been Transferred</w:t>
      </w:r>
    </w:p>
    <w:p>
      <w:pPr>
        <w:spacing w:line="480" w:lineRule="auto" w:after="0" w:before="0"/>
        <w:ind w:firstLine="720"/>
        <w:jc w:val="both"/>
      </w:pPr>
      <w:r>
        <w:rPr/>
        <w:t>36.</w:t>
        <w:tab/>
        <w:t>All estate property vested in the Reorganized Debtor on the Effective Date automatically and without further act. Confirmation Order ¶ I. New equity was issued 72% to the Plan Sponsor and 28% to electing Class 4 holders, and the new senior and subordinated secured notes were issued. Confirmation Order ¶¶ D–E; Dkt. No. 422. Nothing remains to be transferred. This factor is satisfied.</w:t>
      </w:r>
    </w:p>
    <w:p>
      <w:pPr>
        <w:keepNext/>
        <w:spacing w:line="240" w:lineRule="auto" w:after="240" w:before="120"/>
        <w:ind w:left="1440" w:hanging="720"/>
        <w:jc w:val="left"/>
      </w:pPr>
      <w:r>
        <w:rPr>
          <w:b/>
          <w:i/>
        </w:rPr>
        <w:t>5.</w:t>
        <w:tab/>
        <w:t>The Reorganized Debtor Has Assumed the Business and Management of the Property</w:t>
      </w:r>
    </w:p>
    <w:p>
      <w:pPr>
        <w:spacing w:line="480" w:lineRule="auto" w:after="0" w:before="0"/>
        <w:ind w:firstLine="720"/>
        <w:jc w:val="both"/>
      </w:pPr>
      <w:r>
        <w:rPr/>
        <w:t>37.</w:t>
        <w:tab/>
        <w:t>Since the Effective Date, the Reorganized Debtor has operated its business without Court supervision (Confirmation Order ¶ I), including all six sawmill facilities, has drawn on the Exit Facility in the ordinary course, is current on its post-Effective Date debt service, and reports trailing twelve-month EBITDA of approximately $22.3 million. Final Status Report §§ VII–VIII. This factor is satisfied.</w:t>
      </w:r>
    </w:p>
    <w:p>
      <w:pPr>
        <w:keepNext/>
        <w:spacing w:line="240" w:lineRule="auto" w:after="240" w:before="120"/>
        <w:ind w:left="1440" w:hanging="720"/>
        <w:jc w:val="left"/>
      </w:pPr>
      <w:r>
        <w:rPr>
          <w:b/>
          <w:i/>
        </w:rPr>
        <w:t>6.</w:t>
        <w:tab/>
        <w:t>Payments Under the Plan Have Commenced — and Are Substantially Complete</w:t>
      </w:r>
    </w:p>
    <w:p>
      <w:pPr>
        <w:spacing w:line="480" w:lineRule="auto" w:after="0" w:before="0"/>
        <w:ind w:firstLine="720"/>
        <w:jc w:val="both"/>
      </w:pPr>
      <w:r>
        <w:rPr/>
        <w:t>38.</w:t>
        <w:tab/>
        <w:t xml:space="preserve">Plan payments commenced on the Effective Date and are substantially complete. Creditors have received approximately $110,449,950 in Plan consideration: $77,149,950 in cash (Class 1: $1,287,450; Class 2: $48,500,000; Class 3: $15,000,000; Class 4: $12,362,500) and $33,300,000 in principal amount of new secured notes (Class 2: $25,200,000; Class 3: $8,100,000). </w:t>
      </w:r>
      <w:r>
        <w:rPr>
          <w:i/>
        </w:rPr>
        <w:t>See</w:t>
      </w:r>
      <w:r>
        <w:rPr/>
        <w:t xml:space="preserve"> Exhibit A. Remaining obligations under the new notes and the Exit Facility are ordinary-course obligations of the Reorganized Debtor that do not require the case to remain open. </w:t>
      </w:r>
      <w:r>
        <w:rPr>
          <w:i/>
        </w:rPr>
        <w:t>See</w:t>
      </w:r>
      <w:r>
        <w:rPr/>
        <w:t xml:space="preserve"> Advisory Committee Note (final decree should not be delayed because plan payments are not complete). Even if reconciliation of the IRS payment history were to identify any residual amount owing on Claim No. 14, that amount would be a Plan obligation of the Reorganized Debtor, payable no later than March 14, 2027, enforceable after closing, and would not bar entry of a final decree. This factor is satisfied.</w:t>
      </w:r>
    </w:p>
    <w:p>
      <w:pPr>
        <w:keepNext/>
        <w:spacing w:line="240" w:lineRule="auto" w:after="240" w:before="120"/>
        <w:ind w:left="1440" w:hanging="720"/>
        <w:jc w:val="left"/>
      </w:pPr>
      <w:r>
        <w:rPr>
          <w:b/>
          <w:i/>
        </w:rPr>
        <w:t>7.</w:t>
        <w:tab/>
        <w:t>All Motions, Contested Matters, and Adversary Proceedings Will Be Finally Resolved Before Closing</w:t>
      </w:r>
    </w:p>
    <w:p>
      <w:pPr>
        <w:spacing w:line="480" w:lineRule="auto" w:after="0" w:before="0"/>
        <w:ind w:firstLine="720"/>
        <w:jc w:val="both"/>
      </w:pPr>
      <w:r>
        <w:rPr/>
        <w:t>39.</w:t>
        <w:tab/>
        <w:t>The only pending matters are the Pacific Rim Action and the Settlement Motion. The parties have agreed to settle; the Settlement Motion is fully briefed and set for hearing on February 20, 2025; and the proposed decree makes entry of a final order approving the settlement, receipt of the settlement payment, and dismissal of the adversary proceeding express Closing Conditions. The UST Guidelines recognize that consent to closure may be conditioned on the Court’s approval of a pending settlement where, as here, the movant identifies the settlement motion by docket number, hearing date, and anticipated timeline. UST Guidelines § III.D. All claim objections have been resolved, and no other motion, contested matter, or adversary proceeding is pending. This factor will be satisfied before the Closing Date.</w:t>
      </w:r>
    </w:p>
    <w:p>
      <w:pPr>
        <w:keepNext/>
        <w:spacing w:line="240" w:lineRule="auto" w:after="240" w:before="120"/>
        <w:ind w:left="1440" w:hanging="720"/>
        <w:jc w:val="left"/>
      </w:pPr>
      <w:r>
        <w:rPr>
          <w:b/>
          <w:i/>
        </w:rPr>
        <w:t>8.</w:t>
        <w:tab/>
        <w:t>Administrative Claims and Professional Compensation Have Been Resolved and Paid</w:t>
      </w:r>
    </w:p>
    <w:p>
      <w:pPr>
        <w:spacing w:line="480" w:lineRule="auto" w:after="0" w:before="0"/>
        <w:ind w:firstLine="720"/>
        <w:jc w:val="both"/>
      </w:pPr>
      <w:r>
        <w:rPr/>
        <w:t>40.</w:t>
        <w:tab/>
        <w:t>All administrative claims have been paid in full in accordance with the Plan. The final fee applications of Committee counsel and the Debtor’s financial advisor were allowed by final orders entered May 30, 2024 and paid in full [Dkt. Nos. 448, 449]. [The final fee application of Ridgeline &amp; Sutter LLP was allowed by final order entered [______] and paid in full [Dkt. No. ___].] The Plan Administrator’s compensation through January 31, 2025 ($1,340,000) has been paid by the Reorganized Debtor, and its final application for the pre-closing period will be resolved as a Closing Condition. Compensation for services after the Closing Date is payable by the Reorganized Debtor in the ordinary course without further application. Confirmation Order ¶ H. This factor is satisfied or will be satisfied before closing.</w:t>
      </w:r>
    </w:p>
    <w:p>
      <w:pPr>
        <w:keepNext/>
        <w:spacing w:line="240" w:lineRule="auto" w:after="240" w:before="120"/>
        <w:ind w:left="1440" w:hanging="720"/>
        <w:jc w:val="left"/>
      </w:pPr>
      <w:r>
        <w:rPr>
          <w:b/>
          <w:i/>
        </w:rPr>
        <w:t>9.</w:t>
        <w:tab/>
        <w:t>The U.S. Trustee’s Position</w:t>
      </w:r>
    </w:p>
    <w:p>
      <w:pPr>
        <w:spacing w:line="480" w:lineRule="auto" w:after="0" w:before="0"/>
        <w:ind w:firstLine="720"/>
        <w:jc w:val="both"/>
      </w:pPr>
      <w:r>
        <w:rPr/>
        <w:t>41.</w:t>
        <w:tab/>
        <w:t>Counsel for the Reorganized Debtor [has conferred / will confer] with the Office of the U.S. Trustee regarding this Motion and the Closing Conditions. [The U.S. Trustee has indicated that it does not object to the relief requested, subject to satisfaction of the Closing Conditions.] The Reorganized Debtor will promptly address any deficiency identified in the U.S. Trustee’s response through a supplemental certification. UST Guidelines § V.</w:t>
      </w:r>
    </w:p>
    <w:p>
      <w:pPr>
        <w:spacing w:line="480" w:lineRule="auto" w:after="0" w:before="0"/>
        <w:ind w:firstLine="720"/>
        <w:jc w:val="both"/>
      </w:pPr>
      <w:r>
        <w:rPr/>
        <w:t>42.</w:t>
        <w:tab/>
        <w:t>Because every factor is satisfied or will be satisfied before the Closing Date, and the remaining items are ministerial, the estate is “fully administered” and the Court should enter the final decree. Continuing the case beyond satisfaction of the Closing Conditions would only burden the Reorganized Debtor with quarterly fees and reporting costs for no benefit to the estate or creditors.</w:t>
      </w:r>
    </w:p>
    <w:p>
      <w:pPr>
        <w:keepNext/>
        <w:spacing w:line="240" w:lineRule="auto" w:after="240" w:before="240"/>
        <w:jc w:val="center"/>
      </w:pPr>
      <w:r>
        <w:rPr>
          <w:b/>
        </w:rPr>
        <w:t>V.  CERTIFICATIONS REQUIRED BY THE REGION 18 UST GUIDELINES</w:t>
      </w:r>
    </w:p>
    <w:p>
      <w:pPr>
        <w:spacing w:line="480" w:lineRule="auto" w:after="0" w:before="0"/>
        <w:ind w:firstLine="720"/>
        <w:jc w:val="both"/>
      </w:pPr>
      <w:r>
        <w:rPr/>
        <w:t>43.</w:t>
        <w:tab/>
        <w:t>Based on the Debtor Declaration and the PA Declaration, the Reorganized Debtor certifies as follows (UST Guidelines § III):</w:t>
      </w:r>
    </w:p>
    <w:p>
      <w:pPr>
        <w:spacing w:line="480" w:lineRule="auto" w:after="0" w:before="0"/>
        <w:ind w:firstLine="720"/>
        <w:jc w:val="both"/>
      </w:pPr>
      <w:r>
        <w:rPr>
          <w:b/>
        </w:rPr>
        <w:t>A.</w:t>
        <w:tab/>
        <w:t>Quarterly Fees (28 U.S.C. § 1930(a)(6)).</w:t>
      </w:r>
      <w:r>
        <w:rPr/>
        <w:t xml:space="preserve">  All quarterly fees have been paid in full through the fourth quarter of 2024. The most recent payment was $[______], made on [______], 2025, and has been verified against the U.S. Trustee’s records. The first-quarter 2025 fee (estimated at $10,400) has accrued but is not yet due. Pursuant to UST Guidelines § III.A(b)–(c), the Reorganized Debtor commits to pay the first-quarter 2025 fee when due, and requests that the final decree be conditioned on payment of all quarterly fees through and including the quarter in which the case is closed, computed on disbursements through the Closing Date. The Reorganized Debtor’s obligation to pay such fees survives closing.</w:t>
      </w:r>
    </w:p>
    <w:p>
      <w:pPr>
        <w:spacing w:line="480" w:lineRule="auto" w:after="0" w:before="0"/>
        <w:ind w:firstLine="720"/>
        <w:jc w:val="both"/>
      </w:pPr>
      <w:r>
        <w:rPr>
          <w:b/>
        </w:rPr>
        <w:t>B.</w:t>
        <w:tab/>
        <w:t>Post-Confirmation Operating Reports.</w:t>
      </w:r>
      <w:r>
        <w:rPr/>
        <w:t xml:space="preserve">  All monthly post-confirmation operating reports have been filed through the period ending December 31, 2024 [Dkt. No. 497 being the most recent]. The January 2025 report is not yet due. The Reorganized Debtor commits to file the January 2025 report on or before </w:t>
      </w:r>
      <w:r>
        <w:rPr>
          <w:b/>
        </w:rPr>
        <w:t>February 20, 2025</w:t>
      </w:r>
      <w:r>
        <w:rPr/>
        <w:t>; each subsequent monthly report on or before the [20th] day of the following month; and a final post-confirmation report covering the period from the last filed report through the Closing Date, reflecting all final receipts and disbursements, with or before the Closing Certification.</w:t>
      </w:r>
    </w:p>
    <w:p>
      <w:pPr>
        <w:spacing w:line="480" w:lineRule="auto" w:after="0" w:before="0"/>
        <w:ind w:firstLine="720"/>
        <w:jc w:val="both"/>
      </w:pPr>
      <w:r>
        <w:rPr>
          <w:b/>
        </w:rPr>
        <w:t>C.</w:t>
        <w:tab/>
        <w:t>Professional Fee Applications.</w:t>
      </w:r>
      <w:r>
        <w:rPr/>
        <w:t xml:space="preserve">  All applications under sections 330 and 331 have been filed and heard, and all allowed fees and expenses have been paid, as set forth in Part II.D.4 (including docket numbers, amounts allowed, and payment status), except: [(i) the final application of Ridgeline &amp; Sutter LLP [Dkt. No. ___], set for hearing on [______];] and (ii) the Plan Administrator’s final application for the pre-closing period. Plan Administrator compensation for services after the Closing Date will be paid by the Reorganized Debtor outside the case pursuant to Confirmation Order ¶ H and Plan § 7.2(d), without further application. No professional fee reserve is required. [Insert requested amounts and payment dates for each final application.]</w:t>
      </w:r>
    </w:p>
    <w:p>
      <w:pPr>
        <w:spacing w:line="480" w:lineRule="auto" w:after="0" w:before="0"/>
        <w:ind w:firstLine="720"/>
        <w:jc w:val="both"/>
      </w:pPr>
      <w:r>
        <w:rPr>
          <w:b/>
        </w:rPr>
        <w:t>D.</w:t>
        <w:tab/>
        <w:t>Adversary Proceedings, Contested Matters, and Motions.</w:t>
      </w:r>
      <w:r>
        <w:rPr/>
        <w:t xml:space="preserve">  The sole pending adversary proceeding is Adversary Proceeding No. 22-03091-PCW (Pacific Rim Log Exports, LLC), which the parties have settled for $525,000 subject to Court approval. The Settlement Motion is Dkt. No. 498, set for hearing February 20, 2025 at 10:00 a.m. Assuming entry of an approval order at or promptly after the hearing, the order will become final 14 days after entry, the settlement payment is due [__] days thereafter under the settlement agreement, and the adversary proceeding will be dismissed with prejudice and closed within [__] days of receipt. All objections to claims have been resolved [Dkt. Nos. 489, 496, and [___]]. No other adversary proceeding, contested matter, or motion is pending [other than this Motion and the final compensation applications described above].</w:t>
      </w:r>
    </w:p>
    <w:p>
      <w:pPr>
        <w:spacing w:line="480" w:lineRule="auto" w:after="0" w:before="0"/>
        <w:ind w:firstLine="720"/>
        <w:jc w:val="both"/>
      </w:pPr>
      <w:r>
        <w:rPr>
          <w:b/>
        </w:rPr>
        <w:t>E.</w:t>
        <w:tab/>
        <w:t>Plan Distributions.</w:t>
      </w:r>
      <w:r>
        <w:rPr/>
        <w:t xml:space="preserve">  All distributions required under the Plan have been made, other than the distribution of the net Pacific Rim Settlement proceeds to Class 4, which is a Closing Condition. Total Plan consideration distributed to creditors is approximately $110,449,950 (see Exhibit A); the most recent distribution was made February 3, 2025 [Dkt. No. 499]. All disputed claims were resolved by [final order, approved stipulation, or withdrawal] [Dkt. Nos. 489, [___]]; the Disputed Claims Reserve has been fully administered, and the $2,237,500 surplus was returned to the Reorganized Debtor under Plan § 6.4(c) [Dkt. No. 500]. All Avoidance Action recoveries will be distributed under Plan § 5.8 before the Closing Date.</w:t>
      </w:r>
    </w:p>
    <w:p>
      <w:pPr>
        <w:spacing w:line="480" w:lineRule="auto" w:after="0" w:before="0"/>
        <w:ind w:firstLine="720"/>
        <w:jc w:val="both"/>
      </w:pPr>
      <w:r>
        <w:rPr>
          <w:b/>
        </w:rPr>
        <w:t>F.</w:t>
        <w:tab/>
        <w:t>Tax Returns.</w:t>
      </w:r>
      <w:r>
        <w:rPr/>
        <w:t xml:space="preserve">  [To be confirmed by the Reorganized Debtor’s tax department.] All required federal, state, and local tax returns of the Debtor and the Reorganized Debtor have been filed for all periods from the Petition Date through the most recently completed period, including federal corporate income tax returns (Form 1120) for tax years 2021 through 2024 [confirm 2024 status/extension], Oregon and Washington income, excise, and business-activity returns, federal and state employment tax returns (Forms 941 and 940 and state equivalents), sales and use tax returns, and timber, property, and other returns required by applicable taxing authorities, and all taxes shown due have been paid. Because the Debtor is a corporation, its bankruptcy estate is not a separate taxable entity (</w:t>
      </w:r>
      <w:r>
        <w:rPr>
          <w:i/>
        </w:rPr>
        <w:t>see</w:t>
      </w:r>
      <w:r>
        <w:rPr/>
        <w:t xml:space="preserve"> 26 U.S.C. §§ 1398, 1399; 11 U.S.C. § 346), and no separate estate or short-year returns were required [confirm]. The Reorganized Debtor will continue to file all returns through the Closing Date as required by Confirmation Order ¶ S.</w:t>
      </w:r>
    </w:p>
    <w:p>
      <w:pPr>
        <w:spacing w:line="480" w:lineRule="auto" w:after="0" w:before="0"/>
        <w:ind w:firstLine="720"/>
        <w:jc w:val="both"/>
      </w:pPr>
      <w:r>
        <w:rPr>
          <w:b/>
        </w:rPr>
        <w:t>G.</w:t>
        <w:tab/>
        <w:t>Plan Administrator Final Report.</w:t>
      </w:r>
      <w:r>
        <w:rPr/>
        <w:t xml:space="preserve">  The Plan Administrator filed its Final Status Report on January 31, 2025 [Dkt. No. 501] and served it on the U.S. Trustee on [______]. The Plan Administrator will file and serve a supplemental final report detailing all funds received and disbursed through the Closing Date, including the Pacific Rim Settlement proceeds, before the Closing Certification is filed.</w:t>
      </w:r>
    </w:p>
    <w:p>
      <w:pPr>
        <w:keepNext/>
        <w:spacing w:line="240" w:lineRule="auto" w:after="240" w:before="240"/>
        <w:jc w:val="center"/>
      </w:pPr>
      <w:r>
        <w:rPr>
          <w:b/>
        </w:rPr>
        <w:t>VI.  PROPOSED CLOSING MECHANICS</w:t>
      </w:r>
    </w:p>
    <w:p>
      <w:pPr>
        <w:spacing w:line="480" w:lineRule="auto" w:after="0" w:before="0"/>
        <w:ind w:firstLine="720"/>
        <w:jc w:val="both"/>
      </w:pPr>
      <w:r>
        <w:rPr/>
        <w:t>44.</w:t>
        <w:tab/>
        <w:t>To avoid an additional hearing, the Reorganized Debtor proposes that: (a) upon satisfaction of all Closing Conditions, the Reorganized Debtor file and serve on the U.S. Trustee the Closing Certification, attaching or referencing the docket entries evidencing satisfaction of each Closing Condition; (b) the U.S. Trustee have fourteen (14) days after service to file an objection limited to whether the Closing Conditions have been satisfied; and (c) if no objection is timely filed (or upon resolution of any objection), the final decree become effective and the Clerk close the Chapter 11 Case without further order or hearing. If the Closing Conditions have not been satisfied by [June 30, 2025], the Reorganized Debtor will file a status report and, if appropriate, request a further hearing.</w:t>
      </w:r>
    </w:p>
    <w:p>
      <w:pPr>
        <w:keepNext/>
        <w:spacing w:line="240" w:lineRule="auto" w:after="240" w:before="240"/>
        <w:jc w:val="center"/>
      </w:pPr>
      <w:r>
        <w:rPr>
          <w:b/>
        </w:rPr>
        <w:t>VII.  EFFECT OF CLOSING</w:t>
      </w:r>
    </w:p>
    <w:p>
      <w:pPr>
        <w:spacing w:line="480" w:lineRule="auto" w:after="0" w:before="0"/>
        <w:ind w:firstLine="720"/>
        <w:jc w:val="both"/>
      </w:pPr>
      <w:r>
        <w:rPr/>
        <w:t>45.</w:t>
        <w:tab/>
        <w:t>Closing the Chapter 11 Case will not modify or impair any provision of the Plan or the Confirmation Order. The Confirmation Order expressly provides that the discharge under section 1141(d) (Confirmation Order ¶ K), the permanent injunction (Confirmation Order ¶ L), and the Court’s retention of jurisdiction (Confirmation Order ¶ O) survive entry of a final decree. Plan § 12.6 likewise provides that the discharge, injunction, exculpation, jurisdiction, and Plan Administrator provisions survive closing. The Proposed Final Decree so confirms, as required by UST Guidelines § IV, and preserves the right of any party in interest to seek to reopen the case under section 350(b).</w:t>
      </w:r>
    </w:p>
    <w:p>
      <w:pPr>
        <w:keepNext/>
        <w:spacing w:line="240" w:lineRule="auto" w:after="240" w:before="240"/>
        <w:jc w:val="center"/>
      </w:pPr>
      <w:r>
        <w:rPr>
          <w:b/>
        </w:rPr>
        <w:t>VIII.  NOTICE</w:t>
      </w:r>
    </w:p>
    <w:p>
      <w:pPr>
        <w:spacing w:line="480" w:lineRule="auto" w:after="0" w:before="0"/>
        <w:ind w:firstLine="720"/>
        <w:jc w:val="both"/>
      </w:pPr>
      <w:r>
        <w:rPr/>
        <w:t>46.</w:t>
        <w:tab/>
        <w:t>The Reorganized Debtor is serving this Motion and the Proposed Final Decree on: (a) the Office of the U.S. Trustee for Region 18 (Attn: Christopher R. Dalton); (b) the Plan Administrator; (c) the Plan Sponsor; (d) Hargrove Trust Company, as Indenture Trustee; (e) Ridgeview Commercial Lending, LLC; (f) Timberline National Bank, N.A., as Exit Facility lender; (g) the Internal Revenue Service and the Oregon Department of Revenue [and the Washington Department of Revenue]; (h) Pacific Rim Log Exports, LLC and its counsel; (i) Clearwater Environmental Services, Inc. and the holders of Claim Nos. 112, 134, 178, 201, and 223; (j) former counsel to the dissolved Committee; and (k) all parties that have requested notice under Bankruptcy Rule 2002, as reflected in the Certificate of Service. [Confirm whether Local Rules or the Court require notice to the full creditor matrix.] The Reorganized Debtor submits that no other or further notice is required.</w:t>
      </w:r>
    </w:p>
    <w:p>
      <w:pPr>
        <w:keepNext/>
        <w:spacing w:line="240" w:lineRule="auto" w:after="240" w:before="240"/>
        <w:jc w:val="center"/>
      </w:pPr>
      <w:r>
        <w:rPr>
          <w:b/>
        </w:rPr>
        <w:t>IX.  NO PRIOR REQUEST</w:t>
      </w:r>
    </w:p>
    <w:p>
      <w:pPr>
        <w:spacing w:line="480" w:lineRule="auto" w:after="0" w:before="0"/>
        <w:ind w:firstLine="720"/>
        <w:jc w:val="both"/>
      </w:pPr>
      <w:r>
        <w:rPr/>
        <w:t>47.</w:t>
        <w:tab/>
        <w:t>No prior request for the relief sought in this Motion has been made to this or any other court.</w:t>
      </w:r>
    </w:p>
    <w:p>
      <w:pPr>
        <w:keepNext/>
        <w:spacing w:line="240" w:lineRule="auto" w:after="240" w:before="240"/>
        <w:jc w:val="center"/>
      </w:pPr>
      <w:r>
        <w:rPr>
          <w:b/>
        </w:rPr>
        <w:t>CONCLUSION</w:t>
      </w:r>
    </w:p>
    <w:p>
      <w:pPr>
        <w:spacing w:line="480" w:lineRule="auto" w:after="0" w:before="0"/>
        <w:ind w:firstLine="720"/>
        <w:jc w:val="both"/>
      </w:pPr>
      <w:r>
        <w:rPr/>
        <w:t>WHEREFORE, the Reorganized Debtor respectfully requests that the Court (a) enter the Proposed Final Decree substantially in the form filed herewith as Exhibit 1, closing the Chapter 11 Case upon satisfaction of the Closing Conditions and the filing of the Closing Certification; and (b) grant such other and further relief as the Court deems just and proper.</w:t>
      </w:r>
    </w:p>
    <w:p>
      <w:pPr>
        <w:spacing w:line="240" w:lineRule="auto" w:after="240" w:before="240"/>
        <w:jc w:val="both"/>
      </w:pPr>
      <w:r>
        <w:rPr/>
        <w:t>Dated: February [__], 2025</w:t>
      </w:r>
    </w:p>
    <w:p>
      <w:pPr>
        <w:spacing w:line="240" w:lineRule="auto" w:after="0" w:before="0"/>
        <w:ind w:left="4680"/>
        <w:jc w:val="left"/>
      </w:pPr>
      <w:r>
        <w:rPr/>
        <w:t>RIDGELINE &amp; SUTTER LLP</w:t>
      </w:r>
    </w:p>
    <w:p>
      <w:pPr>
        <w:spacing w:line="240" w:lineRule="auto" w:after="0" w:before="0"/>
        <w:ind w:left="4680"/>
        <w:jc w:val="left"/>
      </w:pPr>
    </w:p>
    <w:p>
      <w:pPr>
        <w:spacing w:line="240" w:lineRule="auto" w:after="0" w:before="0"/>
        <w:ind w:left="4680"/>
        <w:jc w:val="left"/>
      </w:pPr>
    </w:p>
    <w:p>
      <w:pPr>
        <w:spacing w:line="240" w:lineRule="auto" w:after="0" w:before="0"/>
        <w:ind w:left="4680"/>
        <w:jc w:val="left"/>
      </w:pPr>
      <w:r>
        <w:rPr/>
        <w:t>By: ______________________________</w:t>
      </w:r>
    </w:p>
    <w:p>
      <w:pPr>
        <w:spacing w:line="240" w:lineRule="auto" w:after="0" w:before="0"/>
        <w:ind w:left="4680"/>
        <w:jc w:val="left"/>
      </w:pPr>
      <w:r>
        <w:rPr/>
        <w:t>Martin J. Kowalczyk, OSB No. 051947</w:t>
      </w:r>
    </w:p>
    <w:p>
      <w:pPr>
        <w:spacing w:line="240" w:lineRule="auto" w:after="0" w:before="0"/>
        <w:ind w:left="4680"/>
        <w:jc w:val="left"/>
      </w:pPr>
      <w:r>
        <w:rPr/>
        <w:t>Rachel T. Nishimura, OSB No. 184623</w:t>
      </w:r>
    </w:p>
    <w:p>
      <w:pPr>
        <w:spacing w:line="240" w:lineRule="auto" w:after="0" w:before="0"/>
        <w:ind w:left="4680"/>
        <w:jc w:val="left"/>
      </w:pPr>
      <w:r>
        <w:rPr/>
        <w:t>1200 SW Fifth Avenue, Suite 2800</w:t>
      </w:r>
    </w:p>
    <w:p>
      <w:pPr>
        <w:spacing w:line="240" w:lineRule="auto" w:after="0" w:before="0"/>
        <w:ind w:left="4680"/>
        <w:jc w:val="left"/>
      </w:pPr>
      <w:r>
        <w:rPr/>
        <w:t>Portland, Oregon 97204</w:t>
      </w:r>
    </w:p>
    <w:p>
      <w:pPr>
        <w:spacing w:line="240" w:lineRule="auto" w:after="0" w:before="0"/>
        <w:ind w:left="4680"/>
        <w:jc w:val="left"/>
      </w:pPr>
      <w:r>
        <w:rPr/>
        <w:t>Telephone: (503) 555-7400</w:t>
      </w:r>
    </w:p>
    <w:p>
      <w:pPr>
        <w:spacing w:line="240" w:lineRule="auto" w:after="0" w:before="0"/>
        <w:ind w:left="4680"/>
        <w:jc w:val="left"/>
      </w:pPr>
      <w:r>
        <w:rPr/>
        <w:t>Facsimile: (503) 555-7401</w:t>
      </w:r>
    </w:p>
    <w:p>
      <w:pPr>
        <w:spacing w:line="240" w:lineRule="auto" w:after="0" w:before="0"/>
        <w:ind w:left="4680"/>
        <w:jc w:val="left"/>
      </w:pPr>
    </w:p>
    <w:p>
      <w:pPr>
        <w:spacing w:line="240" w:lineRule="auto" w:after="0" w:before="0"/>
        <w:ind w:left="4680"/>
        <w:jc w:val="left"/>
      </w:pPr>
      <w:r>
        <w:rPr>
          <w:i/>
        </w:rPr>
        <w:t>Attorneys for Cascadia Timber Holdings, Inc., Reorganized Debtor</w:t>
      </w:r>
    </w:p>
    <w:p>
      <w:pPr>
        <w:spacing w:line="240" w:lineRule="auto" w:after="240" w:before="0"/>
        <w:ind w:firstLine="720"/>
        <w:jc w:val="both"/>
      </w:pPr>
    </w:p>
    <w:p>
      <w:pPr>
        <w:spacing w:line="240" w:lineRule="auto" w:after="120" w:before="0"/>
        <w:jc w:val="center"/>
      </w:pPr>
      <w:r>
        <w:rPr>
          <w:b/>
        </w:rPr>
        <w:t>SUPPORT OF PLAN ADMINISTRATOR</w:t>
      </w:r>
    </w:p>
    <w:p>
      <w:pPr>
        <w:spacing w:line="240" w:lineRule="auto" w:after="240" w:before="0"/>
        <w:ind w:firstLine="720"/>
        <w:jc w:val="both"/>
      </w:pPr>
      <w:r>
        <w:rPr/>
        <w:t>Stonecreek Advisory Group, LLC, as Plan Administrator, has reviewed this Motion, supports the relief requested, and agrees to perform the obligations assigned to it herein and in the Proposed Final Decree.</w:t>
      </w:r>
    </w:p>
    <w:p>
      <w:pPr>
        <w:spacing w:line="240" w:lineRule="auto" w:after="0" w:before="0"/>
        <w:ind w:left="4680"/>
        <w:jc w:val="left"/>
      </w:pPr>
      <w:r>
        <w:rPr/>
        <w:t>STONECREEK ADVISORY GROUP, LLC, as Plan Administrator</w:t>
      </w:r>
    </w:p>
    <w:p>
      <w:pPr>
        <w:spacing w:line="240" w:lineRule="auto" w:after="0" w:before="0"/>
        <w:ind w:left="4680"/>
        <w:jc w:val="left"/>
      </w:pPr>
    </w:p>
    <w:p>
      <w:pPr>
        <w:spacing w:line="240" w:lineRule="auto" w:after="0" w:before="0"/>
        <w:ind w:left="4680"/>
        <w:jc w:val="left"/>
      </w:pPr>
      <w:r>
        <w:rPr/>
        <w:t>By: ______________________________</w:t>
      </w:r>
    </w:p>
    <w:p>
      <w:pPr>
        <w:spacing w:line="240" w:lineRule="auto" w:after="0" w:before="0"/>
        <w:ind w:left="4680"/>
        <w:jc w:val="left"/>
      </w:pPr>
      <w:r>
        <w:rPr/>
        <w:t>Douglas R. Emmerich, Plan Administrator Representative</w:t>
      </w:r>
    </w:p>
    <w:p>
      <w:pPr>
        <w:spacing w:line="240" w:lineRule="auto" w:after="0" w:before="0"/>
        <w:ind w:left="4680"/>
        <w:jc w:val="left"/>
      </w:pPr>
      <w:r>
        <w:rPr/>
        <w:t>200 South Broad Street, Suite 1400</w:t>
      </w:r>
    </w:p>
    <w:p>
      <w:pPr>
        <w:spacing w:line="240" w:lineRule="auto" w:after="0" w:before="0"/>
        <w:ind w:left="4680"/>
        <w:jc w:val="left"/>
      </w:pPr>
      <w:r>
        <w:rPr/>
        <w:t>Philadelphia, Pennsylvania 19102</w:t>
      </w:r>
    </w:p>
    <w:p>
      <w:pPr>
        <w:spacing w:line="240" w:lineRule="auto" w:after="0" w:before="0"/>
        <w:ind w:left="4680"/>
        <w:jc w:val="left"/>
      </w:pPr>
      <w:r>
        <w:rPr/>
        <w:t>(215) 563-8200 | demmerich@stonecreekadvisory.com</w:t>
      </w:r>
    </w:p>
    <w:p>
      <w:r>
        <w:br w:type="page"/>
      </w:r>
    </w:p>
    <w:p>
      <w:pPr>
        <w:spacing w:line="240" w:lineRule="auto" w:after="0" w:before="0"/>
        <w:jc w:val="center"/>
      </w:pPr>
      <w:r>
        <w:rPr>
          <w:b/>
        </w:rPr>
        <w:t>EXHIBIT A</w:t>
      </w:r>
    </w:p>
    <w:p>
      <w:pPr>
        <w:spacing w:line="240" w:lineRule="auto" w:after="240" w:before="0"/>
        <w:jc w:val="center"/>
      </w:pPr>
      <w:r>
        <w:rPr>
          <w:b/>
        </w:rPr>
        <w:t>Summary of Plan Distributions and Fund Reconciliation</w:t>
      </w:r>
    </w:p>
    <w:tbl>
      <w:tblPr>
        <w:tblStyle w:val="TableGrid"/>
        <w:tblW w:type="auto" w:w="0"/>
        <w:jc w:val="center"/>
        <w:tblLook w:firstColumn="1" w:firstRow="1" w:lastColumn="0" w:lastRow="0" w:noHBand="0" w:noVBand="1" w:val="04A0"/>
      </w:tblPr>
      <w:tblGrid>
        <w:gridCol w:w="2736"/>
        <w:gridCol w:w="1728"/>
        <w:gridCol w:w="1655"/>
        <w:gridCol w:w="1512"/>
        <w:gridCol w:w="2448"/>
      </w:tblGrid>
      <w:tr>
        <w:tc>
          <w:tcPr>
            <w:tcW w:type="dxa" w:w="2736"/>
            <w:shd w:val="clear" w:color="auto" w:fill="D9D9D9"/>
          </w:tcPr>
          <w:p>
            <w:pPr>
              <w:spacing w:line="240" w:lineRule="auto"/>
              <w:jc w:val="left"/>
            </w:pPr>
            <w:r/>
            <w:r>
              <w:rPr>
                <w:b/>
                <w:sz w:val="20"/>
              </w:rPr>
              <w:t>Class / Item</w:t>
            </w:r>
          </w:p>
        </w:tc>
        <w:tc>
          <w:tcPr>
            <w:tcW w:type="dxa" w:w="1728"/>
            <w:shd w:val="clear" w:color="auto" w:fill="D9D9D9"/>
          </w:tcPr>
          <w:p>
            <w:pPr>
              <w:spacing w:line="240" w:lineRule="auto"/>
              <w:jc w:val="left"/>
            </w:pPr>
            <w:r/>
            <w:r>
              <w:rPr>
                <w:b/>
                <w:sz w:val="20"/>
              </w:rPr>
              <w:t>Allowed Amount</w:t>
            </w:r>
          </w:p>
        </w:tc>
        <w:tc>
          <w:tcPr>
            <w:tcW w:type="dxa" w:w="1656"/>
            <w:shd w:val="clear" w:color="auto" w:fill="D9D9D9"/>
          </w:tcPr>
          <w:p>
            <w:pPr>
              <w:spacing w:line="240" w:lineRule="auto"/>
              <w:jc w:val="left"/>
            </w:pPr>
            <w:r/>
            <w:r>
              <w:rPr>
                <w:b/>
                <w:sz w:val="20"/>
              </w:rPr>
              <w:t>Cash Distributed</w:t>
            </w:r>
          </w:p>
        </w:tc>
        <w:tc>
          <w:tcPr>
            <w:tcW w:type="dxa" w:w="1512"/>
            <w:shd w:val="clear" w:color="auto" w:fill="D9D9D9"/>
          </w:tcPr>
          <w:p>
            <w:pPr>
              <w:spacing w:line="240" w:lineRule="auto"/>
              <w:jc w:val="left"/>
            </w:pPr>
            <w:r/>
            <w:r>
              <w:rPr>
                <w:b/>
                <w:sz w:val="20"/>
              </w:rPr>
              <w:t>New Notes Issued</w:t>
            </w:r>
          </w:p>
        </w:tc>
        <w:tc>
          <w:tcPr>
            <w:tcW w:type="dxa" w:w="2448"/>
            <w:shd w:val="clear" w:color="auto" w:fill="D9D9D9"/>
          </w:tcPr>
          <w:p>
            <w:pPr>
              <w:spacing w:line="240" w:lineRule="auto"/>
              <w:jc w:val="left"/>
            </w:pPr>
            <w:r/>
            <w:r>
              <w:rPr>
                <w:b/>
                <w:sz w:val="20"/>
              </w:rPr>
              <w:t>Status</w:t>
            </w:r>
          </w:p>
        </w:tc>
      </w:tr>
      <w:tr>
        <w:tc>
          <w:tcPr>
            <w:tcW w:type="dxa" w:w="2736"/>
          </w:tcPr>
          <w:p>
            <w:pPr>
              <w:spacing w:line="240" w:lineRule="auto"/>
              <w:jc w:val="left"/>
            </w:pPr>
            <w:r/>
            <w:r>
              <w:rPr>
                <w:sz w:val="20"/>
              </w:rPr>
              <w:t>Class 1 — IRS Priority Tax (Claim No. 14)</w:t>
            </w:r>
          </w:p>
        </w:tc>
        <w:tc>
          <w:tcPr>
            <w:tcW w:type="dxa" w:w="1728"/>
          </w:tcPr>
          <w:p>
            <w:pPr>
              <w:spacing w:line="240" w:lineRule="auto"/>
              <w:jc w:val="left"/>
            </w:pPr>
            <w:r/>
            <w:r>
              <w:rPr>
                <w:sz w:val="20"/>
              </w:rPr>
              <w:t>$1,287,450.00</w:t>
            </w:r>
          </w:p>
        </w:tc>
        <w:tc>
          <w:tcPr>
            <w:tcW w:type="dxa" w:w="1656"/>
          </w:tcPr>
          <w:p>
            <w:pPr>
              <w:spacing w:line="240" w:lineRule="auto"/>
              <w:jc w:val="left"/>
            </w:pPr>
            <w:r/>
            <w:r>
              <w:rPr>
                <w:sz w:val="20"/>
              </w:rPr>
              <w:t>$1,287,450.00</w:t>
            </w:r>
          </w:p>
        </w:tc>
        <w:tc>
          <w:tcPr>
            <w:tcW w:type="dxa" w:w="1512"/>
          </w:tcPr>
          <w:p>
            <w:pPr>
              <w:spacing w:line="240" w:lineRule="auto"/>
              <w:jc w:val="left"/>
            </w:pPr>
            <w:r/>
            <w:r>
              <w:rPr>
                <w:sz w:val="20"/>
              </w:rPr>
              <w:t>—</w:t>
            </w:r>
          </w:p>
        </w:tc>
        <w:tc>
          <w:tcPr>
            <w:tcW w:type="dxa" w:w="2448"/>
          </w:tcPr>
          <w:p>
            <w:pPr>
              <w:spacing w:line="240" w:lineRule="auto"/>
              <w:jc w:val="left"/>
            </w:pPr>
            <w:r/>
            <w:r>
              <w:rPr>
                <w:sz w:val="20"/>
              </w:rPr>
              <w:t>Payments reported complete Aug. 15, 2024 [Dkt. No. 464]; IRS confirmation pending</w:t>
            </w:r>
          </w:p>
        </w:tc>
      </w:tr>
      <w:tr>
        <w:tc>
          <w:tcPr>
            <w:tcW w:type="dxa" w:w="2736"/>
          </w:tcPr>
          <w:p>
            <w:pPr>
              <w:spacing w:line="240" w:lineRule="auto"/>
              <w:jc w:val="left"/>
            </w:pPr>
            <w:r/>
            <w:r>
              <w:rPr>
                <w:sz w:val="20"/>
              </w:rPr>
              <w:t>Class 2 — Senior Secured Note Claims</w:t>
            </w:r>
          </w:p>
        </w:tc>
        <w:tc>
          <w:tcPr>
            <w:tcW w:type="dxa" w:w="1728"/>
          </w:tcPr>
          <w:p>
            <w:pPr>
              <w:spacing w:line="240" w:lineRule="auto"/>
              <w:jc w:val="left"/>
            </w:pPr>
            <w:r/>
            <w:r>
              <w:rPr>
                <w:sz w:val="20"/>
              </w:rPr>
              <w:t>$110,000,000.00</w:t>
            </w:r>
          </w:p>
        </w:tc>
        <w:tc>
          <w:tcPr>
            <w:tcW w:type="dxa" w:w="1656"/>
          </w:tcPr>
          <w:p>
            <w:pPr>
              <w:spacing w:line="240" w:lineRule="auto"/>
              <w:jc w:val="left"/>
            </w:pPr>
            <w:r/>
            <w:r>
              <w:rPr>
                <w:sz w:val="20"/>
              </w:rPr>
              <w:t>$48,500,000.00</w:t>
            </w:r>
          </w:p>
        </w:tc>
        <w:tc>
          <w:tcPr>
            <w:tcW w:type="dxa" w:w="1512"/>
          </w:tcPr>
          <w:p>
            <w:pPr>
              <w:spacing w:line="240" w:lineRule="auto"/>
              <w:jc w:val="left"/>
            </w:pPr>
            <w:r/>
            <w:r>
              <w:rPr>
                <w:sz w:val="20"/>
              </w:rPr>
              <w:t>$25,200,000.00</w:t>
            </w:r>
          </w:p>
        </w:tc>
        <w:tc>
          <w:tcPr>
            <w:tcW w:type="dxa" w:w="2448"/>
          </w:tcPr>
          <w:p>
            <w:pPr>
              <w:spacing w:line="240" w:lineRule="auto"/>
              <w:jc w:val="left"/>
            </w:pPr>
            <w:r/>
            <w:r>
              <w:rPr>
                <w:sz w:val="20"/>
              </w:rPr>
              <w:t>Fully distributed Dec. 1, 2023 [Dkt. No. 422]</w:t>
            </w:r>
          </w:p>
        </w:tc>
      </w:tr>
      <w:tr>
        <w:tc>
          <w:tcPr>
            <w:tcW w:type="dxa" w:w="2736"/>
          </w:tcPr>
          <w:p>
            <w:pPr>
              <w:spacing w:line="240" w:lineRule="auto"/>
              <w:jc w:val="left"/>
            </w:pPr>
            <w:r/>
            <w:r>
              <w:rPr>
                <w:sz w:val="20"/>
              </w:rPr>
              <w:t>Class 3 — Ridgeview Term Loan Claim</w:t>
            </w:r>
          </w:p>
        </w:tc>
        <w:tc>
          <w:tcPr>
            <w:tcW w:type="dxa" w:w="1728"/>
          </w:tcPr>
          <w:p>
            <w:pPr>
              <w:spacing w:line="240" w:lineRule="auto"/>
              <w:jc w:val="left"/>
            </w:pPr>
            <w:r/>
            <w:r>
              <w:rPr>
                <w:sz w:val="20"/>
              </w:rPr>
              <w:t>$42,000,000.00</w:t>
            </w:r>
          </w:p>
        </w:tc>
        <w:tc>
          <w:tcPr>
            <w:tcW w:type="dxa" w:w="1656"/>
          </w:tcPr>
          <w:p>
            <w:pPr>
              <w:spacing w:line="240" w:lineRule="auto"/>
              <w:jc w:val="left"/>
            </w:pPr>
            <w:r/>
            <w:r>
              <w:rPr>
                <w:sz w:val="20"/>
              </w:rPr>
              <w:t>$15,000,000.00</w:t>
            </w:r>
          </w:p>
        </w:tc>
        <w:tc>
          <w:tcPr>
            <w:tcW w:type="dxa" w:w="1512"/>
          </w:tcPr>
          <w:p>
            <w:pPr>
              <w:spacing w:line="240" w:lineRule="auto"/>
              <w:jc w:val="left"/>
            </w:pPr>
            <w:r/>
            <w:r>
              <w:rPr>
                <w:sz w:val="20"/>
              </w:rPr>
              <w:t>$8,100,000.00</w:t>
            </w:r>
          </w:p>
        </w:tc>
        <w:tc>
          <w:tcPr>
            <w:tcW w:type="dxa" w:w="2448"/>
          </w:tcPr>
          <w:p>
            <w:pPr>
              <w:spacing w:line="240" w:lineRule="auto"/>
              <w:jc w:val="left"/>
            </w:pPr>
            <w:r/>
            <w:r>
              <w:rPr>
                <w:sz w:val="20"/>
              </w:rPr>
              <w:t>Fully distributed Dec. 1, 2023 [Dkt. No. 422]</w:t>
            </w:r>
          </w:p>
        </w:tc>
      </w:tr>
      <w:tr>
        <w:tc>
          <w:tcPr>
            <w:tcW w:type="dxa" w:w="2736"/>
          </w:tcPr>
          <w:p>
            <w:pPr>
              <w:spacing w:line="240" w:lineRule="auto"/>
              <w:jc w:val="left"/>
            </w:pPr>
            <w:r/>
            <w:r>
              <w:rPr>
                <w:sz w:val="20"/>
              </w:rPr>
              <w:t>Class 4 — General Unsecured (initial)</w:t>
            </w:r>
          </w:p>
        </w:tc>
        <w:tc>
          <w:tcPr>
            <w:tcW w:type="dxa" w:w="1728"/>
          </w:tcPr>
          <w:p>
            <w:pPr>
              <w:spacing w:line="240" w:lineRule="auto"/>
              <w:jc w:val="left"/>
            </w:pPr>
            <w:r/>
          </w:p>
        </w:tc>
        <w:tc>
          <w:tcPr>
            <w:tcW w:type="dxa" w:w="1656"/>
          </w:tcPr>
          <w:p>
            <w:pPr>
              <w:spacing w:line="240" w:lineRule="auto"/>
              <w:jc w:val="left"/>
            </w:pPr>
            <w:r/>
            <w:r>
              <w:rPr>
                <w:sz w:val="20"/>
              </w:rPr>
              <w:t>$10,200,000.00</w:t>
            </w:r>
          </w:p>
        </w:tc>
        <w:tc>
          <w:tcPr>
            <w:tcW w:type="dxa" w:w="1512"/>
          </w:tcPr>
          <w:p>
            <w:pPr>
              <w:spacing w:line="240" w:lineRule="auto"/>
              <w:jc w:val="left"/>
            </w:pPr>
            <w:r/>
            <w:r>
              <w:rPr>
                <w:sz w:val="20"/>
              </w:rPr>
              <w:t>—</w:t>
            </w:r>
          </w:p>
        </w:tc>
        <w:tc>
          <w:tcPr>
            <w:tcW w:type="dxa" w:w="2448"/>
          </w:tcPr>
          <w:p>
            <w:pPr>
              <w:spacing w:line="240" w:lineRule="auto"/>
              <w:jc w:val="left"/>
            </w:pPr>
            <w:r/>
            <w:r>
              <w:rPr>
                <w:sz w:val="20"/>
              </w:rPr>
              <w:t>Dec. 1, 2023 [Dkt. No. 422]</w:t>
            </w:r>
          </w:p>
        </w:tc>
      </w:tr>
      <w:tr>
        <w:tc>
          <w:tcPr>
            <w:tcW w:type="dxa" w:w="2736"/>
          </w:tcPr>
          <w:p>
            <w:pPr>
              <w:spacing w:line="240" w:lineRule="auto"/>
              <w:jc w:val="left"/>
            </w:pPr>
            <w:r/>
            <w:r>
              <w:rPr>
                <w:sz w:val="20"/>
              </w:rPr>
              <w:t>Class 4 — Clearwater (Claim No. 247)</w:t>
            </w:r>
          </w:p>
        </w:tc>
        <w:tc>
          <w:tcPr>
            <w:tcW w:type="dxa" w:w="1728"/>
          </w:tcPr>
          <w:p>
            <w:pPr>
              <w:spacing w:line="240" w:lineRule="auto"/>
              <w:jc w:val="left"/>
            </w:pPr>
            <w:r/>
            <w:r>
              <w:rPr>
                <w:sz w:val="20"/>
              </w:rPr>
              <w:t>$1,850,000.00</w:t>
            </w:r>
          </w:p>
        </w:tc>
        <w:tc>
          <w:tcPr>
            <w:tcW w:type="dxa" w:w="1656"/>
          </w:tcPr>
          <w:p>
            <w:pPr>
              <w:spacing w:line="240" w:lineRule="auto"/>
              <w:jc w:val="left"/>
            </w:pPr>
            <w:r/>
            <w:r>
              <w:rPr>
                <w:sz w:val="20"/>
              </w:rPr>
              <w:t>$462,500.00</w:t>
            </w:r>
          </w:p>
        </w:tc>
        <w:tc>
          <w:tcPr>
            <w:tcW w:type="dxa" w:w="1512"/>
          </w:tcPr>
          <w:p>
            <w:pPr>
              <w:spacing w:line="240" w:lineRule="auto"/>
              <w:jc w:val="left"/>
            </w:pPr>
            <w:r/>
            <w:r>
              <w:rPr>
                <w:sz w:val="20"/>
              </w:rPr>
              <w:t>—</w:t>
            </w:r>
          </w:p>
        </w:tc>
        <w:tc>
          <w:tcPr>
            <w:tcW w:type="dxa" w:w="2448"/>
          </w:tcPr>
          <w:p>
            <w:pPr>
              <w:spacing w:line="240" w:lineRule="auto"/>
              <w:jc w:val="left"/>
            </w:pPr>
            <w:r/>
            <w:r>
              <w:rPr>
                <w:sz w:val="20"/>
              </w:rPr>
              <w:t>Oct. 18, 2024 [Dkt. No. 491]</w:t>
            </w:r>
          </w:p>
        </w:tc>
      </w:tr>
      <w:tr>
        <w:tc>
          <w:tcPr>
            <w:tcW w:type="dxa" w:w="2736"/>
          </w:tcPr>
          <w:p>
            <w:pPr>
              <w:spacing w:line="240" w:lineRule="auto"/>
              <w:jc w:val="left"/>
            </w:pPr>
            <w:r/>
            <w:r>
              <w:rPr>
                <w:sz w:val="20"/>
              </w:rPr>
              <w:t>Class 4 — Claim Nos. 112, 134, 178, 201, 223</w:t>
            </w:r>
          </w:p>
        </w:tc>
        <w:tc>
          <w:tcPr>
            <w:tcW w:type="dxa" w:w="1728"/>
          </w:tcPr>
          <w:p>
            <w:pPr>
              <w:spacing w:line="240" w:lineRule="auto"/>
              <w:jc w:val="left"/>
            </w:pPr>
            <w:r/>
            <w:r>
              <w:rPr>
                <w:sz w:val="20"/>
              </w:rPr>
              <w:t>$6,800,000.00 (aggregate)</w:t>
            </w:r>
          </w:p>
        </w:tc>
        <w:tc>
          <w:tcPr>
            <w:tcW w:type="dxa" w:w="1656"/>
          </w:tcPr>
          <w:p>
            <w:pPr>
              <w:spacing w:line="240" w:lineRule="auto"/>
              <w:jc w:val="left"/>
            </w:pPr>
            <w:r/>
            <w:r>
              <w:rPr>
                <w:sz w:val="20"/>
              </w:rPr>
              <w:t>$1,700,000.00</w:t>
            </w:r>
          </w:p>
        </w:tc>
        <w:tc>
          <w:tcPr>
            <w:tcW w:type="dxa" w:w="1512"/>
          </w:tcPr>
          <w:p>
            <w:pPr>
              <w:spacing w:line="240" w:lineRule="auto"/>
              <w:jc w:val="left"/>
            </w:pPr>
            <w:r/>
            <w:r>
              <w:rPr>
                <w:sz w:val="20"/>
              </w:rPr>
              <w:t>—</w:t>
            </w:r>
          </w:p>
        </w:tc>
        <w:tc>
          <w:tcPr>
            <w:tcW w:type="dxa" w:w="2448"/>
          </w:tcPr>
          <w:p>
            <w:pPr>
              <w:spacing w:line="240" w:lineRule="auto"/>
              <w:jc w:val="left"/>
            </w:pPr>
            <w:r/>
            <w:r>
              <w:rPr>
                <w:sz w:val="20"/>
              </w:rPr>
              <w:t>Feb. 3, 2025 [Dkt. No. 499]</w:t>
            </w:r>
          </w:p>
        </w:tc>
      </w:tr>
      <w:tr>
        <w:tc>
          <w:tcPr>
            <w:tcW w:type="dxa" w:w="2736"/>
          </w:tcPr>
          <w:p>
            <w:pPr>
              <w:spacing w:line="240" w:lineRule="auto"/>
              <w:jc w:val="left"/>
            </w:pPr>
            <w:r/>
            <w:r>
              <w:rPr>
                <w:sz w:val="20"/>
              </w:rPr>
              <w:t>Class 4 — Pacific Rim net proceeds</w:t>
            </w:r>
          </w:p>
        </w:tc>
        <w:tc>
          <w:tcPr>
            <w:tcW w:type="dxa" w:w="1728"/>
          </w:tcPr>
          <w:p>
            <w:pPr>
              <w:spacing w:line="240" w:lineRule="auto"/>
              <w:jc w:val="left"/>
            </w:pPr>
            <w:r/>
          </w:p>
        </w:tc>
        <w:tc>
          <w:tcPr>
            <w:tcW w:type="dxa" w:w="1656"/>
          </w:tcPr>
          <w:p>
            <w:pPr>
              <w:spacing w:line="240" w:lineRule="auto"/>
              <w:jc w:val="left"/>
            </w:pPr>
            <w:r/>
            <w:r>
              <w:rPr>
                <w:sz w:val="20"/>
              </w:rPr>
              <w:t>[TBD]</w:t>
            </w:r>
          </w:p>
        </w:tc>
        <w:tc>
          <w:tcPr>
            <w:tcW w:type="dxa" w:w="1512"/>
          </w:tcPr>
          <w:p>
            <w:pPr>
              <w:spacing w:line="240" w:lineRule="auto"/>
              <w:jc w:val="left"/>
            </w:pPr>
            <w:r/>
            <w:r>
              <w:rPr>
                <w:sz w:val="20"/>
              </w:rPr>
              <w:t>—</w:t>
            </w:r>
          </w:p>
        </w:tc>
        <w:tc>
          <w:tcPr>
            <w:tcW w:type="dxa" w:w="2448"/>
          </w:tcPr>
          <w:p>
            <w:pPr>
              <w:spacing w:line="240" w:lineRule="auto"/>
              <w:jc w:val="left"/>
            </w:pPr>
            <w:r/>
            <w:r>
              <w:rPr>
                <w:sz w:val="20"/>
              </w:rPr>
              <w:t>Closing Condition (Plan § 5.8)</w:t>
            </w:r>
          </w:p>
        </w:tc>
      </w:tr>
      <w:tr>
        <w:tc>
          <w:tcPr>
            <w:tcW w:type="dxa" w:w="2736"/>
          </w:tcPr>
          <w:p>
            <w:pPr>
              <w:spacing w:line="240" w:lineRule="auto"/>
              <w:jc w:val="left"/>
            </w:pPr>
            <w:r/>
            <w:r>
              <w:rPr>
                <w:sz w:val="20"/>
              </w:rPr>
              <w:t>Class 5 — Equity Interests</w:t>
            </w:r>
          </w:p>
        </w:tc>
        <w:tc>
          <w:tcPr>
            <w:tcW w:type="dxa" w:w="1728"/>
          </w:tcPr>
          <w:p>
            <w:pPr>
              <w:spacing w:line="240" w:lineRule="auto"/>
              <w:jc w:val="left"/>
            </w:pPr>
            <w:r/>
            <w:r>
              <w:rPr>
                <w:sz w:val="20"/>
              </w:rPr>
              <w:t>N/A</w:t>
            </w:r>
          </w:p>
        </w:tc>
        <w:tc>
          <w:tcPr>
            <w:tcW w:type="dxa" w:w="1656"/>
          </w:tcPr>
          <w:p>
            <w:pPr>
              <w:spacing w:line="240" w:lineRule="auto"/>
              <w:jc w:val="left"/>
            </w:pPr>
            <w:r/>
            <w:r>
              <w:rPr>
                <w:sz w:val="20"/>
              </w:rPr>
              <w:t>$0.00</w:t>
            </w:r>
          </w:p>
        </w:tc>
        <w:tc>
          <w:tcPr>
            <w:tcW w:type="dxa" w:w="1512"/>
          </w:tcPr>
          <w:p>
            <w:pPr>
              <w:spacing w:line="240" w:lineRule="auto"/>
              <w:jc w:val="left"/>
            </w:pPr>
            <w:r/>
            <w:r>
              <w:rPr>
                <w:sz w:val="20"/>
              </w:rPr>
              <w:t>—</w:t>
            </w:r>
          </w:p>
        </w:tc>
        <w:tc>
          <w:tcPr>
            <w:tcW w:type="dxa" w:w="2448"/>
          </w:tcPr>
          <w:p>
            <w:pPr>
              <w:spacing w:line="240" w:lineRule="auto"/>
              <w:jc w:val="left"/>
            </w:pPr>
            <w:r/>
            <w:r>
              <w:rPr>
                <w:sz w:val="20"/>
              </w:rPr>
              <w:t>Cancelled</w:t>
            </w:r>
          </w:p>
        </w:tc>
      </w:tr>
      <w:tr>
        <w:tc>
          <w:tcPr>
            <w:tcW w:type="dxa" w:w="2736"/>
          </w:tcPr>
          <w:p>
            <w:pPr>
              <w:spacing w:line="240" w:lineRule="auto"/>
              <w:jc w:val="left"/>
            </w:pPr>
            <w:r/>
            <w:r>
              <w:rPr>
                <w:b/>
                <w:sz w:val="20"/>
              </w:rPr>
              <w:t>Total to creditors (excl. Pacific Rim)</w:t>
            </w:r>
          </w:p>
        </w:tc>
        <w:tc>
          <w:tcPr>
            <w:tcW w:type="dxa" w:w="1728"/>
          </w:tcPr>
          <w:p>
            <w:pPr>
              <w:spacing w:line="240" w:lineRule="auto"/>
              <w:jc w:val="left"/>
            </w:pPr>
            <w:r/>
          </w:p>
        </w:tc>
        <w:tc>
          <w:tcPr>
            <w:tcW w:type="dxa" w:w="1656"/>
          </w:tcPr>
          <w:p>
            <w:pPr>
              <w:spacing w:line="240" w:lineRule="auto"/>
              <w:jc w:val="left"/>
            </w:pPr>
            <w:r/>
            <w:r>
              <w:rPr>
                <w:b/>
                <w:sz w:val="20"/>
              </w:rPr>
              <w:t>$77,149,950.00</w:t>
            </w:r>
          </w:p>
        </w:tc>
        <w:tc>
          <w:tcPr>
            <w:tcW w:type="dxa" w:w="1512"/>
          </w:tcPr>
          <w:p>
            <w:pPr>
              <w:spacing w:line="240" w:lineRule="auto"/>
              <w:jc w:val="left"/>
            </w:pPr>
            <w:r/>
            <w:r>
              <w:rPr>
                <w:b/>
                <w:sz w:val="20"/>
              </w:rPr>
              <w:t>$33,300,000.00</w:t>
            </w:r>
          </w:p>
        </w:tc>
        <w:tc>
          <w:tcPr>
            <w:tcW w:type="dxa" w:w="2448"/>
          </w:tcPr>
          <w:p>
            <w:pPr>
              <w:spacing w:line="240" w:lineRule="auto"/>
              <w:jc w:val="left"/>
            </w:pPr>
            <w:r/>
            <w:r>
              <w:rPr>
                <w:b/>
                <w:sz w:val="20"/>
              </w:rPr>
              <w:t>Total Plan consideration: $110,449,950.00</w:t>
            </w:r>
          </w:p>
        </w:tc>
      </w:tr>
    </w:tbl>
    <w:p>
      <w:pPr>
        <w:spacing w:line="240" w:lineRule="auto" w:after="120" w:before="0"/>
        <w:ind w:firstLine="720"/>
        <w:jc w:val="both"/>
      </w:pPr>
    </w:p>
    <w:p>
      <w:pPr>
        <w:spacing w:line="240" w:lineRule="auto" w:after="120" w:before="0"/>
        <w:jc w:val="both"/>
      </w:pPr>
      <w:r>
        <w:rPr>
          <w:b/>
        </w:rPr>
        <w:t>Class 4 Distribution Fund / Disputed Claims Reserve Reconciliation</w:t>
      </w:r>
    </w:p>
    <w:tbl>
      <w:tblPr>
        <w:tblStyle w:val="TableGrid"/>
        <w:tblW w:type="auto" w:w="0"/>
        <w:jc w:val="center"/>
        <w:tblLook w:firstColumn="1" w:firstRow="1" w:lastColumn="0" w:lastRow="0" w:noHBand="0" w:noVBand="1" w:val="04A0"/>
      </w:tblPr>
      <w:tblGrid>
        <w:gridCol w:w="6623"/>
        <w:gridCol w:w="2736"/>
      </w:tblGrid>
      <w:tr>
        <w:tc>
          <w:tcPr>
            <w:tcW w:type="dxa" w:w="6624"/>
            <w:shd w:val="clear" w:color="auto" w:fill="D9D9D9"/>
          </w:tcPr>
          <w:p>
            <w:pPr>
              <w:spacing w:line="240" w:lineRule="auto"/>
              <w:jc w:val="left"/>
            </w:pPr>
            <w:r/>
            <w:r>
              <w:rPr>
                <w:b/>
                <w:sz w:val="20"/>
              </w:rPr>
              <w:t>Item</w:t>
            </w:r>
          </w:p>
        </w:tc>
        <w:tc>
          <w:tcPr>
            <w:tcW w:type="dxa" w:w="2736"/>
            <w:shd w:val="clear" w:color="auto" w:fill="D9D9D9"/>
          </w:tcPr>
          <w:p>
            <w:pPr>
              <w:spacing w:line="240" w:lineRule="auto"/>
              <w:jc w:val="left"/>
            </w:pPr>
            <w:r/>
            <w:r>
              <w:rPr>
                <w:b/>
                <w:sz w:val="20"/>
              </w:rPr>
              <w:t>Amount</w:t>
            </w:r>
          </w:p>
        </w:tc>
      </w:tr>
      <w:tr>
        <w:tc>
          <w:tcPr>
            <w:tcW w:type="dxa" w:w="6624"/>
          </w:tcPr>
          <w:p>
            <w:pPr>
              <w:spacing w:line="240" w:lineRule="auto"/>
              <w:jc w:val="left"/>
            </w:pPr>
            <w:r/>
            <w:r>
              <w:rPr>
                <w:sz w:val="20"/>
              </w:rPr>
              <w:t>Class 4 Distribution Fund</w:t>
            </w:r>
          </w:p>
        </w:tc>
        <w:tc>
          <w:tcPr>
            <w:tcW w:type="dxa" w:w="2736"/>
          </w:tcPr>
          <w:p>
            <w:pPr>
              <w:spacing w:line="240" w:lineRule="auto"/>
              <w:jc w:val="left"/>
            </w:pPr>
            <w:r/>
            <w:r>
              <w:rPr>
                <w:sz w:val="20"/>
              </w:rPr>
              <w:t>$14,600,000.00</w:t>
            </w:r>
          </w:p>
        </w:tc>
      </w:tr>
      <w:tr>
        <w:tc>
          <w:tcPr>
            <w:tcW w:type="dxa" w:w="6624"/>
          </w:tcPr>
          <w:p>
            <w:pPr>
              <w:spacing w:line="240" w:lineRule="auto"/>
              <w:jc w:val="left"/>
            </w:pPr>
            <w:r/>
            <w:r>
              <w:rPr>
                <w:sz w:val="20"/>
              </w:rPr>
              <w:t>Less: initial distribution (Dec. 1, 2023)</w:t>
            </w:r>
          </w:p>
        </w:tc>
        <w:tc>
          <w:tcPr>
            <w:tcW w:type="dxa" w:w="2736"/>
          </w:tcPr>
          <w:p>
            <w:pPr>
              <w:spacing w:line="240" w:lineRule="auto"/>
              <w:jc w:val="left"/>
            </w:pPr>
            <w:r/>
            <w:r>
              <w:rPr>
                <w:sz w:val="20"/>
              </w:rPr>
              <w:t>($10,200,000.00)</w:t>
            </w:r>
          </w:p>
        </w:tc>
      </w:tr>
      <w:tr>
        <w:tc>
          <w:tcPr>
            <w:tcW w:type="dxa" w:w="6624"/>
          </w:tcPr>
          <w:p>
            <w:pPr>
              <w:spacing w:line="240" w:lineRule="auto"/>
              <w:jc w:val="left"/>
            </w:pPr>
            <w:r/>
            <w:r>
              <w:rPr>
                <w:sz w:val="20"/>
              </w:rPr>
              <w:t>Disputed Claims Reserve established</w:t>
            </w:r>
          </w:p>
        </w:tc>
        <w:tc>
          <w:tcPr>
            <w:tcW w:type="dxa" w:w="2736"/>
          </w:tcPr>
          <w:p>
            <w:pPr>
              <w:spacing w:line="240" w:lineRule="auto"/>
              <w:jc w:val="left"/>
            </w:pPr>
            <w:r/>
            <w:r>
              <w:rPr>
                <w:sz w:val="20"/>
              </w:rPr>
              <w:t>$4,400,000.00</w:t>
            </w:r>
          </w:p>
        </w:tc>
      </w:tr>
      <w:tr>
        <w:tc>
          <w:tcPr>
            <w:tcW w:type="dxa" w:w="6624"/>
          </w:tcPr>
          <w:p>
            <w:pPr>
              <w:spacing w:line="240" w:lineRule="auto"/>
              <w:jc w:val="left"/>
            </w:pPr>
            <w:r/>
            <w:r>
              <w:rPr>
                <w:sz w:val="20"/>
              </w:rPr>
              <w:t>Less: Clearwater distribution (Oct. 18, 2024)</w:t>
            </w:r>
          </w:p>
        </w:tc>
        <w:tc>
          <w:tcPr>
            <w:tcW w:type="dxa" w:w="2736"/>
          </w:tcPr>
          <w:p>
            <w:pPr>
              <w:spacing w:line="240" w:lineRule="auto"/>
              <w:jc w:val="left"/>
            </w:pPr>
            <w:r/>
            <w:r>
              <w:rPr>
                <w:sz w:val="20"/>
              </w:rPr>
              <w:t>($462,500.00)</w:t>
            </w:r>
          </w:p>
        </w:tc>
      </w:tr>
      <w:tr>
        <w:tc>
          <w:tcPr>
            <w:tcW w:type="dxa" w:w="6624"/>
          </w:tcPr>
          <w:p>
            <w:pPr>
              <w:spacing w:line="240" w:lineRule="auto"/>
              <w:jc w:val="left"/>
            </w:pPr>
            <w:r/>
            <w:r>
              <w:rPr>
                <w:sz w:val="20"/>
              </w:rPr>
              <w:t>Less: Claim Nos. 112/134/178/201/223 distribution (Feb. 3, 2025)</w:t>
            </w:r>
          </w:p>
        </w:tc>
        <w:tc>
          <w:tcPr>
            <w:tcW w:type="dxa" w:w="2736"/>
          </w:tcPr>
          <w:p>
            <w:pPr>
              <w:spacing w:line="240" w:lineRule="auto"/>
              <w:jc w:val="left"/>
            </w:pPr>
            <w:r/>
            <w:r>
              <w:rPr>
                <w:sz w:val="20"/>
              </w:rPr>
              <w:t>($1,700,000.00)</w:t>
            </w:r>
          </w:p>
        </w:tc>
      </w:tr>
      <w:tr>
        <w:tc>
          <w:tcPr>
            <w:tcW w:type="dxa" w:w="6624"/>
          </w:tcPr>
          <w:p>
            <w:pPr>
              <w:spacing w:line="240" w:lineRule="auto"/>
              <w:jc w:val="left"/>
            </w:pPr>
            <w:r/>
            <w:r>
              <w:rPr>
                <w:sz w:val="20"/>
              </w:rPr>
              <w:t>Surplus returned to Reorganized Debtor, Plan § 6.4(c) [Dkt. No. 500]</w:t>
            </w:r>
          </w:p>
        </w:tc>
        <w:tc>
          <w:tcPr>
            <w:tcW w:type="dxa" w:w="2736"/>
          </w:tcPr>
          <w:p>
            <w:pPr>
              <w:spacing w:line="240" w:lineRule="auto"/>
              <w:jc w:val="left"/>
            </w:pPr>
            <w:r/>
            <w:r>
              <w:rPr>
                <w:sz w:val="20"/>
              </w:rPr>
              <w:t>($2,237,500.00)</w:t>
            </w:r>
          </w:p>
        </w:tc>
      </w:tr>
      <w:tr>
        <w:tc>
          <w:tcPr>
            <w:tcW w:type="dxa" w:w="6624"/>
          </w:tcPr>
          <w:p>
            <w:pPr>
              <w:spacing w:line="240" w:lineRule="auto"/>
              <w:jc w:val="left"/>
            </w:pPr>
            <w:r/>
            <w:r>
              <w:rPr>
                <w:b/>
                <w:sz w:val="20"/>
              </w:rPr>
              <w:t>Reserve balance</w:t>
            </w:r>
          </w:p>
        </w:tc>
        <w:tc>
          <w:tcPr>
            <w:tcW w:type="dxa" w:w="2736"/>
          </w:tcPr>
          <w:p>
            <w:pPr>
              <w:spacing w:line="240" w:lineRule="auto"/>
              <w:jc w:val="left"/>
            </w:pPr>
            <w:r/>
            <w:r>
              <w:rPr>
                <w:b/>
                <w:sz w:val="20"/>
              </w:rPr>
              <w:t>$0.00</w:t>
            </w:r>
          </w:p>
        </w:tc>
      </w:tr>
    </w:tbl>
    <w:p>
      <w:pPr>
        <w:spacing w:line="240" w:lineRule="auto" w:after="120" w:before="0"/>
        <w:ind w:firstLine="720"/>
        <w:jc w:val="both"/>
      </w:pPr>
    </w:p>
    <w:p>
      <w:pPr>
        <w:spacing w:line="240" w:lineRule="auto" w:after="0" w:before="0"/>
        <w:jc w:val="both"/>
      </w:pPr>
      <w:r>
        <w:rPr>
          <w:sz w:val="20"/>
        </w:rPr>
        <w:t>Note: Distributions of Plan consideration exclude the $2,237,500 reserve surplus returned to the Reorganized Debtor, which is not a distribution to creditors. The 72% / 28% New Equity issuance on the Effective Date is not reflected in dollar amounts.</w:t>
      </w:r>
    </w:p>
    <w:p>
      <w:r>
        <w:br w:type="page"/>
      </w:r>
    </w:p>
    <w:p>
      <w:pPr>
        <w:spacing w:line="240" w:lineRule="auto" w:after="240" w:before="0"/>
        <w:jc w:val="center"/>
      </w:pPr>
      <w:r>
        <w:rPr>
          <w:b/>
        </w:rPr>
        <w:t>CERTIFICATE OF SERVICE</w:t>
      </w:r>
    </w:p>
    <w:p>
      <w:pPr>
        <w:spacing w:line="360" w:lineRule="auto" w:after="0" w:before="0"/>
        <w:ind w:firstLine="720"/>
        <w:jc w:val="both"/>
      </w:pPr>
      <w:r>
        <w:rPr/>
        <w:t xml:space="preserve">I hereby certify that on February [__], 2025, I caused the foregoing </w:t>
      </w:r>
      <w:r>
        <w:rPr>
          <w:b/>
        </w:rPr>
        <w:t>REORGANIZED DEBTOR’S MOTION FOR ENTRY OF A FINAL DECREE CLOSING CHAPTER 11 CASE</w:t>
      </w:r>
      <w:r>
        <w:rPr/>
        <w:t>, together with the proposed Final Decree (Exhibit 1), the Debtor Declaration, and the PA Declaration, to be served (a) electronically through the Court’s CM/ECF system on all parties registered to receive electronic notice in this case, and (b) by first-class United States mail, postage prepaid, [and by email where indicated] on the following parties:</w:t>
      </w:r>
    </w:p>
    <w:p>
      <w:pPr>
        <w:tabs>
          <w:tab w:pos="1080" w:val="left"/>
        </w:tabs>
        <w:spacing w:line="240" w:lineRule="auto" w:after="160" w:before="0"/>
        <w:ind w:left="1080" w:hanging="360"/>
        <w:jc w:val="both"/>
      </w:pPr>
      <w:r>
        <w:t>•</w:t>
        <w:tab/>
      </w:r>
      <w:r>
        <w:rPr/>
        <w:t>Office of the United States Trustee, Region 18, Attn: Christopher R. Dalton, Trial Attorney, 620 SW Main Street, Suite 213, Portland, Oregon 97205</w:t>
      </w:r>
    </w:p>
    <w:p>
      <w:pPr>
        <w:tabs>
          <w:tab w:pos="1080" w:val="left"/>
        </w:tabs>
        <w:spacing w:line="240" w:lineRule="auto" w:after="160" w:before="0"/>
        <w:ind w:left="1080" w:hanging="360"/>
        <w:jc w:val="both"/>
      </w:pPr>
      <w:r>
        <w:t>•</w:t>
        <w:tab/>
      </w:r>
      <w:r>
        <w:rPr/>
        <w:t>Stonecreek Advisory Group, LLC, Plan Administrator, Attn: Douglas R. Emmerich, 200 South Broad Street, Suite 1400, Philadelphia, Pennsylvania 19102</w:t>
      </w:r>
    </w:p>
    <w:p>
      <w:pPr>
        <w:tabs>
          <w:tab w:pos="1080" w:val="left"/>
        </w:tabs>
        <w:spacing w:line="240" w:lineRule="auto" w:after="160" w:before="0"/>
        <w:ind w:left="1080" w:hanging="360"/>
        <w:jc w:val="both"/>
      </w:pPr>
      <w:r>
        <w:t>•</w:t>
        <w:tab/>
      </w:r>
      <w:r>
        <w:rPr/>
        <w:t>Bramblecrest Capital Partners, LLC, Plan Sponsor, 680 Lexington Avenue, 22nd Floor, New York, New York 10022; and its counsel, Thomas A. Langford, Whitfield, Brace &amp; Langford LLP [address]</w:t>
      </w:r>
    </w:p>
    <w:p>
      <w:pPr>
        <w:tabs>
          <w:tab w:pos="1080" w:val="left"/>
        </w:tabs>
        <w:spacing w:line="240" w:lineRule="auto" w:after="160" w:before="0"/>
        <w:ind w:left="1080" w:hanging="360"/>
        <w:jc w:val="both"/>
      </w:pPr>
      <w:r>
        <w:t>•</w:t>
        <w:tab/>
      </w:r>
      <w:r>
        <w:rPr/>
        <w:t>Hargrove Trust Company, as Indenture Trustee, 45 Church Street, Hartford, Connecticut 06103; and its counsel, Gregory N. Fairchild, Sherman &amp; Fairchild LLP [address]</w:t>
      </w:r>
    </w:p>
    <w:p>
      <w:pPr>
        <w:tabs>
          <w:tab w:pos="1080" w:val="left"/>
        </w:tabs>
        <w:spacing w:line="240" w:lineRule="auto" w:after="160" w:before="0"/>
        <w:ind w:left="1080" w:hanging="360"/>
        <w:jc w:val="both"/>
      </w:pPr>
      <w:r>
        <w:t>•</w:t>
        <w:tab/>
      </w:r>
      <w:r>
        <w:rPr/>
        <w:t>Ridgeview Commercial Lending, LLC [address]; and its counsel, Jennifer K. Parrish, Haines, Parrish &amp; Koenig, P.C. [address]</w:t>
      </w:r>
    </w:p>
    <w:p>
      <w:pPr>
        <w:tabs>
          <w:tab w:pos="1080" w:val="left"/>
        </w:tabs>
        <w:spacing w:line="240" w:lineRule="auto" w:after="160" w:before="0"/>
        <w:ind w:left="1080" w:hanging="360"/>
        <w:jc w:val="both"/>
      </w:pPr>
      <w:r>
        <w:t>•</w:t>
        <w:tab/>
      </w:r>
      <w:r>
        <w:rPr/>
        <w:t>Timberline National Bank, N.A., Exit Facility Lender, Attn: Aaron M. Calloway, 500 Pioneer Square, Seattle, Washington 98104</w:t>
      </w:r>
    </w:p>
    <w:p>
      <w:pPr>
        <w:tabs>
          <w:tab w:pos="1080" w:val="left"/>
        </w:tabs>
        <w:spacing w:line="240" w:lineRule="auto" w:after="160" w:before="0"/>
        <w:ind w:left="1080" w:hanging="360"/>
        <w:jc w:val="both"/>
      </w:pPr>
      <w:r>
        <w:t>•</w:t>
        <w:tab/>
      </w:r>
      <w:r>
        <w:rPr/>
        <w:t>Internal Revenue Service, Centralized Insolvency Operation [address]; and the United States Attorney for the District of Oregon [address]</w:t>
      </w:r>
    </w:p>
    <w:p>
      <w:pPr>
        <w:tabs>
          <w:tab w:pos="1080" w:val="left"/>
        </w:tabs>
        <w:spacing w:line="240" w:lineRule="auto" w:after="160" w:before="0"/>
        <w:ind w:left="1080" w:hanging="360"/>
        <w:jc w:val="both"/>
      </w:pPr>
      <w:r>
        <w:t>•</w:t>
        <w:tab/>
      </w:r>
      <w:r>
        <w:rPr/>
        <w:t>Oregon Department of Revenue [address]; [Washington State Department of Revenue [address]]</w:t>
      </w:r>
    </w:p>
    <w:p>
      <w:pPr>
        <w:tabs>
          <w:tab w:pos="1080" w:val="left"/>
        </w:tabs>
        <w:spacing w:line="240" w:lineRule="auto" w:after="160" w:before="0"/>
        <w:ind w:left="1080" w:hanging="360"/>
        <w:jc w:val="both"/>
      </w:pPr>
      <w:r>
        <w:t>•</w:t>
        <w:tab/>
      </w:r>
      <w:r>
        <w:rPr/>
        <w:t>Pacific Rim Log Exports, LLC [address]; and its counsel of record in Adv. Pro. No. 22-03091-PCW [address]</w:t>
      </w:r>
    </w:p>
    <w:p>
      <w:pPr>
        <w:tabs>
          <w:tab w:pos="1080" w:val="left"/>
        </w:tabs>
        <w:spacing w:line="240" w:lineRule="auto" w:after="160" w:before="0"/>
        <w:ind w:left="1080" w:hanging="360"/>
        <w:jc w:val="both"/>
      </w:pPr>
      <w:r>
        <w:t>•</w:t>
        <w:tab/>
      </w:r>
      <w:r>
        <w:rPr/>
        <w:t>Clearwater Environmental Services, Inc. (Claim No. 247) [address]; and the holders of Claim Nos. 112, 134, 178, 201, and 223 [addresses]</w:t>
      </w:r>
    </w:p>
    <w:p>
      <w:pPr>
        <w:tabs>
          <w:tab w:pos="1080" w:val="left"/>
        </w:tabs>
        <w:spacing w:line="240" w:lineRule="auto" w:after="160" w:before="0"/>
        <w:ind w:left="1080" w:hanging="360"/>
        <w:jc w:val="both"/>
      </w:pPr>
      <w:r>
        <w:t>•</w:t>
        <w:tab/>
      </w:r>
      <w:r>
        <w:rPr/>
        <w:t>Pendergrass &amp; Hale LLP, former counsel to the dissolved Official Committee of Unsecured Creditors, Attn: Diane P. Moorehouse and Craig S. Obermann, 900 SW Broadway, Suite 1500, Portland, Oregon 97205</w:t>
      </w:r>
    </w:p>
    <w:p>
      <w:pPr>
        <w:tabs>
          <w:tab w:pos="1080" w:val="left"/>
        </w:tabs>
        <w:spacing w:line="240" w:lineRule="auto" w:after="160" w:before="0"/>
        <w:ind w:left="1080" w:hanging="360"/>
        <w:jc w:val="both"/>
      </w:pPr>
      <w:r>
        <w:t>•</w:t>
        <w:tab/>
      </w:r>
      <w:r>
        <w:rPr/>
        <w:t>Greenvale Consulting, Inc. [address]</w:t>
      </w:r>
    </w:p>
    <w:p>
      <w:pPr>
        <w:tabs>
          <w:tab w:pos="1080" w:val="left"/>
        </w:tabs>
        <w:spacing w:line="240" w:lineRule="auto" w:after="160" w:before="0"/>
        <w:ind w:left="1080" w:hanging="360"/>
        <w:jc w:val="both"/>
      </w:pPr>
      <w:r>
        <w:t>•</w:t>
        <w:tab/>
      </w:r>
      <w:r>
        <w:rPr/>
        <w:t>All parties that have filed a notice of appearance and request for service under Fed. R. Bankr. P. 2002 [see attached service list]</w:t>
      </w:r>
    </w:p>
    <w:p>
      <w:pPr>
        <w:spacing w:line="240" w:lineRule="auto" w:after="240" w:before="0"/>
        <w:ind w:firstLine="720"/>
        <w:jc w:val="both"/>
      </w:pPr>
    </w:p>
    <w:p>
      <w:pPr>
        <w:spacing w:line="240" w:lineRule="auto" w:after="0" w:before="0"/>
        <w:ind w:left="4680"/>
        <w:jc w:val="left"/>
      </w:pPr>
      <w:r>
        <w:rPr>
          <w:u w:val="single"/>
        </w:rPr>
        <w:t>__________________________</w:t>
      </w:r>
    </w:p>
    <w:p>
      <w:pPr>
        <w:spacing w:line="240" w:lineRule="auto" w:after="0" w:before="0"/>
        <w:ind w:left="4680"/>
        <w:jc w:val="left"/>
      </w:pPr>
      <w:r>
        <w:rPr/>
        <w:t>[Name]</w:t>
      </w:r>
    </w:p>
    <w:p>
      <w:pPr>
        <w:spacing w:line="240" w:lineRule="auto" w:after="0" w:before="0"/>
        <w:ind w:left="4680"/>
        <w:jc w:val="left"/>
      </w:pPr>
      <w:r>
        <w:rPr/>
        <w:t>Ridgeline &amp; Sutter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