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22"/>
        </w:rPr>
        <w:t>THORNFIELD &amp; ASSOCIATES LLP</w:t>
      </w:r>
    </w:p>
    <w:p>
      <w:pPr>
        <w:spacing w:after="160"/>
        <w:jc w:val="center"/>
      </w:pPr>
      <w:r>
        <w:rPr>
          <w:b w:val="0"/>
          <w:i/>
          <w:sz w:val="18"/>
        </w:rPr>
        <w:t>Counsel to the Debtor and Debtor in Possession</w:t>
      </w:r>
    </w:p>
    <w:p>
      <w:pPr>
        <w:pStyle w:val="Title"/>
        <w:jc w:val="center"/>
      </w:pPr>
      <w:r>
        <w:rPr>
          <w:color w:val="1F3864"/>
          <w:sz w:val="36"/>
        </w:rPr>
        <w:t>EFFECTIVE DATE CONDITIONS CHECKLIST AND STATUS DASHBOARD</w:t>
      </w:r>
    </w:p>
    <w:p>
      <w:pPr>
        <w:spacing w:after="40"/>
        <w:jc w:val="center"/>
      </w:pPr>
      <w:r>
        <w:rPr>
          <w:b/>
          <w:i w:val="0"/>
          <w:sz w:val="20"/>
        </w:rPr>
        <w:t>In re Oakvale Industrial Holdings, Inc.</w:t>
      </w:r>
      <w:r>
        <w:rPr>
          <w:b w:val="0"/>
          <w:i w:val="0"/>
          <w:sz w:val="20"/>
        </w:rPr>
        <w:t xml:space="preserve"> (captioned in certain filings as “Ridgemont Industrial Holdings, Inc.”), Case No. 24-10387-KBO (Bankr. D. Del.) (Ostrander, J.)</w:t>
      </w:r>
    </w:p>
    <w:p>
      <w:pPr>
        <w:spacing w:after="160"/>
        <w:jc w:val="center"/>
      </w:pPr>
      <w:r>
        <w:rPr>
          <w:b w:val="0"/>
          <w:i w:val="0"/>
          <w:sz w:val="18"/>
        </w:rPr>
        <w:t>Second Amended Plan of Reorganization dated January 10, 2025 [Dkt. No. 487] (the “Plan”), confirmed by Order entered January 17, 2025 [Dkt. No. 512] (the “Confirmation Order” or “CO”)</w:t>
      </w:r>
    </w:p>
    <w:tbl>
      <w:tblPr>
        <w:tblStyle w:val="TableGrid"/>
        <w:tblW w:type="auto" w:w="0"/>
        <w:jc w:val="center"/>
        <w:tblLayout w:type="fixed"/>
        <w:tblLook w:firstColumn="1" w:firstRow="1" w:lastColumn="0" w:lastRow="0" w:noHBand="0" w:noVBand="1" w:val="04A0"/>
      </w:tblPr>
      <w:tblGrid>
        <w:gridCol w:w="2304"/>
        <w:gridCol w:w="11664"/>
      </w:tblGrid>
      <w:tr>
        <w:trPr>
          <w:tblHeader w:val="true"/>
        </w:trPr>
        <w:tc>
          <w:tcPr>
            <w:tcW w:type="dxa" w:w="2304"/>
            <w:shd w:val="clear" w:color="auto" w:fill="1F3864"/>
          </w:tcPr>
          <w:p>
            <w:r/>
            <w:r>
              <w:rPr>
                <w:b/>
                <w:color w:val="FFFFFF"/>
                <w:sz w:val="16"/>
              </w:rPr>
              <w:t>Item</w:t>
            </w:r>
          </w:p>
        </w:tc>
        <w:tc>
          <w:tcPr>
            <w:tcW w:type="dxa" w:w="11664"/>
            <w:shd w:val="clear" w:color="auto" w:fill="1F3864"/>
          </w:tcPr>
          <w:p>
            <w:r/>
            <w:r>
              <w:rPr>
                <w:b/>
                <w:color w:val="FFFFFF"/>
                <w:sz w:val="16"/>
              </w:rPr>
              <w:t>Detail</w:t>
            </w:r>
          </w:p>
        </w:tc>
      </w:tr>
      <w:tr>
        <w:tc>
          <w:tcPr>
            <w:tcW w:type="dxa" w:w="2304"/>
          </w:tcPr>
          <w:p>
            <w:pPr>
              <w:spacing w:after="20"/>
            </w:pPr>
            <w:r/>
            <w:r>
              <w:rPr>
                <w:b/>
                <w:i w:val="0"/>
                <w:sz w:val="16"/>
              </w:rPr>
              <w:t>Status date</w:t>
            </w:r>
          </w:p>
        </w:tc>
        <w:tc>
          <w:tcPr>
            <w:tcW w:type="dxa" w:w="11664"/>
          </w:tcPr>
          <w:p>
            <w:pPr>
              <w:spacing w:after="20"/>
            </w:pPr>
            <w:r/>
            <w:r>
              <w:rPr>
                <w:b w:val="0"/>
                <w:i w:val="0"/>
                <w:sz w:val="16"/>
              </w:rPr>
              <w:t xml:space="preserve">Information current through </w:t>
            </w:r>
            <w:r>
              <w:rPr>
                <w:b/>
                <w:i w:val="0"/>
                <w:sz w:val="16"/>
              </w:rPr>
              <w:t>February 7, 2025</w:t>
            </w:r>
            <w:r>
              <w:rPr>
                <w:b w:val="0"/>
                <w:i w:val="0"/>
                <w:sz w:val="16"/>
              </w:rPr>
              <w:t xml:space="preserve"> (Debtor’s Status Report filed February 7, 2025; Exit Facility e-mail thread of February 6, 2025; Cure Notice Schedule prepared February 7, 2025). Must be refreshed daily through closing.</w:t>
            </w:r>
          </w:p>
        </w:tc>
      </w:tr>
      <w:tr>
        <w:tc>
          <w:tcPr>
            <w:tcW w:type="dxa" w:w="2304"/>
          </w:tcPr>
          <w:p>
            <w:pPr>
              <w:spacing w:after="20"/>
            </w:pPr>
            <w:r/>
            <w:r>
              <w:rPr>
                <w:b/>
                <w:i w:val="0"/>
                <w:sz w:val="16"/>
              </w:rPr>
              <w:t>Target Effective Date</w:t>
            </w:r>
          </w:p>
        </w:tc>
        <w:tc>
          <w:tcPr>
            <w:tcW w:type="dxa" w:w="11664"/>
          </w:tcPr>
          <w:p>
            <w:pPr>
              <w:spacing w:after="20"/>
            </w:pPr>
            <w:r/>
            <w:r>
              <w:rPr>
                <w:b/>
                <w:i w:val="0"/>
                <w:sz w:val="16"/>
              </w:rPr>
              <w:t>Tuesday, February 18, 2025</w:t>
            </w:r>
            <w:r>
              <w:rPr>
                <w:b w:val="0"/>
                <w:i w:val="0"/>
                <w:sz w:val="16"/>
              </w:rPr>
              <w:t xml:space="preserve"> (Plan § 1.01 “Effective Date”; CO ¶ 31). Monday, February 17, 2025 (Presidents’ Day) is </w:t>
            </w:r>
            <w:r>
              <w:rPr>
                <w:b/>
                <w:i w:val="0"/>
                <w:sz w:val="16"/>
              </w:rPr>
              <w:t>not</w:t>
            </w:r>
            <w:r>
              <w:rPr>
                <w:b w:val="0"/>
                <w:i w:val="0"/>
                <w:sz w:val="16"/>
              </w:rPr>
              <w:t xml:space="preserve"> a Business Day.</w:t>
            </w:r>
          </w:p>
        </w:tc>
      </w:tr>
      <w:tr>
        <w:tc>
          <w:tcPr>
            <w:tcW w:type="dxa" w:w="2304"/>
          </w:tcPr>
          <w:p>
            <w:pPr>
              <w:spacing w:after="20"/>
            </w:pPr>
            <w:r/>
            <w:r>
              <w:rPr>
                <w:b/>
                <w:i w:val="0"/>
                <w:sz w:val="16"/>
              </w:rPr>
              <w:t>Outside Date</w:t>
            </w:r>
          </w:p>
        </w:tc>
        <w:tc>
          <w:tcPr>
            <w:tcW w:type="dxa" w:w="11664"/>
          </w:tcPr>
          <w:p>
            <w:pPr>
              <w:spacing w:after="20"/>
            </w:pPr>
            <w:r/>
            <w:r>
              <w:rPr>
                <w:b/>
                <w:i w:val="0"/>
                <w:sz w:val="16"/>
              </w:rPr>
              <w:t>Thursday, April 17, 2025</w:t>
            </w:r>
            <w:r>
              <w:rPr>
                <w:b w:val="0"/>
                <w:i w:val="0"/>
                <w:sz w:val="16"/>
              </w:rPr>
              <w:t xml:space="preserve"> (Plan § 9.03; CO ¶ 32). Exit Facility Commitment Letter terminates automatically on the same date (Commitment Letter § 10.1(b)).</w:t>
            </w:r>
          </w:p>
        </w:tc>
      </w:tr>
      <w:tr>
        <w:tc>
          <w:tcPr>
            <w:tcW w:type="dxa" w:w="2304"/>
          </w:tcPr>
          <w:p>
            <w:pPr>
              <w:spacing w:after="20"/>
            </w:pPr>
            <w:r/>
            <w:r>
              <w:rPr>
                <w:b/>
                <w:i w:val="0"/>
                <w:sz w:val="16"/>
              </w:rPr>
              <w:t>Prepared for</w:t>
            </w:r>
          </w:p>
        </w:tc>
        <w:tc>
          <w:tcPr>
            <w:tcW w:type="dxa" w:w="11664"/>
          </w:tcPr>
          <w:p>
            <w:pPr>
              <w:spacing w:after="20"/>
            </w:pPr>
            <w:r/>
            <w:r>
              <w:rPr>
                <w:b w:val="0"/>
                <w:i w:val="0"/>
                <w:sz w:val="16"/>
              </w:rPr>
              <w:t>Debtor deal team (R. Thornfield / M. Wynn), D. Pellegrino (CFO), S. Rourke (Petworth Advisory Group); for onward circulation to counsel to the Required Consenting First Lien Lenders, the Exit Facility arrangers and Committee counsel as appropriate.</w:t>
            </w:r>
          </w:p>
        </w:tc>
      </w:tr>
      <w:tr>
        <w:tc>
          <w:tcPr>
            <w:tcW w:type="dxa" w:w="2304"/>
          </w:tcPr>
          <w:p>
            <w:pPr>
              <w:spacing w:after="20"/>
            </w:pPr>
            <w:r/>
            <w:r>
              <w:rPr>
                <w:b/>
                <w:i w:val="0"/>
                <w:sz w:val="16"/>
              </w:rPr>
              <w:t>Documents reviewed</w:t>
            </w:r>
          </w:p>
        </w:tc>
        <w:tc>
          <w:tcPr>
            <w:tcW w:type="dxa" w:w="11664"/>
          </w:tcPr>
          <w:p>
            <w:pPr>
              <w:spacing w:after="20"/>
            </w:pPr>
            <w:r/>
            <w:r>
              <w:rPr>
                <w:b w:val="0"/>
                <w:i w:val="0"/>
                <w:sz w:val="16"/>
              </w:rPr>
              <w:t xml:space="preserve">(1) Plan; (2) Confirmation Order; (3) Debtor’s Status Report re Conditions Precedent (Feb. 7, 2025); (4) Exit Facility Commitment Letter (Dec. 5, 2024) with Exhibits A–C; (5) Exit Facility e-mail thread (Archer / Hollowell / Wynn, Feb. 6, 2025); (6) KERP Order (June 28, 2024); (7) draft Litigation Trust Agreement (Feb. [__], 2025); (8) Cure Notice Schedule workbook (Feb. 7, 2025). Definitive Exit Facility documents, Shareholders’ Agreement, New Organizational Documents, Warrant Agreement, D&amp;O binder, DNREC permits and the Tax Opinion draft were </w:t>
            </w:r>
            <w:r>
              <w:rPr>
                <w:b/>
                <w:i w:val="0"/>
                <w:sz w:val="16"/>
              </w:rPr>
              <w:t>not</w:t>
            </w:r>
            <w:r>
              <w:rPr>
                <w:b w:val="0"/>
                <w:i w:val="0"/>
                <w:sz w:val="16"/>
              </w:rPr>
              <w:t xml:space="preserve"> in the file reviewed.</w:t>
            </w:r>
          </w:p>
        </w:tc>
      </w:tr>
      <w:tr>
        <w:tc>
          <w:tcPr>
            <w:tcW w:type="dxa" w:w="2304"/>
          </w:tcPr>
          <w:p>
            <w:pPr>
              <w:spacing w:after="20"/>
            </w:pPr>
            <w:r/>
            <w:r>
              <w:rPr>
                <w:b/>
                <w:i w:val="0"/>
                <w:sz w:val="16"/>
              </w:rPr>
              <w:t>Governing hierarchy</w:t>
            </w:r>
          </w:p>
        </w:tc>
        <w:tc>
          <w:tcPr>
            <w:tcW w:type="dxa" w:w="11664"/>
          </w:tcPr>
          <w:p>
            <w:pPr>
              <w:spacing w:after="20"/>
            </w:pPr>
            <w:r/>
            <w:r>
              <w:rPr>
                <w:b w:val="0"/>
                <w:i w:val="0"/>
                <w:sz w:val="16"/>
              </w:rPr>
              <w:t xml:space="preserve">Confirmation Order controls over the Plan and prior orders (CO ¶¶ 30, 83); Plan controls over the Plan Supplement and the Litigation Trust Agreement (Plan, Plan Supplement Exhibits; LTA §§ 1.02, 11.05). Where the Plan and CO state a condition differently, this checklist applies the </w:t>
            </w:r>
            <w:r>
              <w:rPr>
                <w:b/>
                <w:i w:val="0"/>
                <w:sz w:val="16"/>
              </w:rPr>
              <w:t>stricter</w:t>
            </w:r>
            <w:r>
              <w:rPr>
                <w:b w:val="0"/>
                <w:i w:val="0"/>
                <w:sz w:val="16"/>
              </w:rPr>
              <w:t xml:space="preserve"> formulation and flags the conflict.</w:t>
            </w:r>
          </w:p>
        </w:tc>
      </w:tr>
    </w:tbl>
    <w:p>
      <w:pPr>
        <w:spacing w:after="40"/>
      </w:pPr>
    </w:p>
    <w:p>
      <w:pPr>
        <w:pStyle w:val="Heading1"/>
      </w:pPr>
      <w:r>
        <w:rPr>
          <w:color w:val="1F3864"/>
        </w:rPr>
        <w:t>1. Executive Summary</w:t>
      </w:r>
    </w:p>
    <w:p>
      <w:pPr>
        <w:spacing w:after="80"/>
      </w:pPr>
      <w:r>
        <w:rPr>
          <w:b/>
          <w:i w:val="0"/>
          <w:sz w:val="20"/>
        </w:rPr>
        <w:t>Bottom line: the February 18, 2025 target Effective Date is at serious risk.</w:t>
      </w:r>
      <w:r>
        <w:rPr>
          <w:b w:val="0"/>
          <w:i w:val="0"/>
          <w:sz w:val="20"/>
        </w:rPr>
        <w:t xml:space="preserve"> On the record as of February 7, only one of the thirteen Plan conditions (§ 9.01(a), finality of the Confirmation Order) appears satisfied, and even that requires docket confirmation. Four conditions are rated RED (not satisfied and not within the Debtor’s unilateral control on the current timeline), and most of the rest are AMBER. The Debtor’s February 7 Status Report characterizes every condition as satisfied or expected to be timely satisfied; the underlying documents do not support that assessment, and the Status Report mis-numbers and omits several conditions (see Section 9).</w:t>
      </w:r>
    </w:p>
    <w:p>
      <w:pPr>
        <w:spacing w:after="40"/>
      </w:pPr>
      <w:r>
        <w:rPr>
          <w:b/>
          <w:i w:val="0"/>
          <w:sz w:val="20"/>
        </w:rPr>
        <w:t>Gating items (RED):</w:t>
      </w:r>
    </w:p>
    <w:p>
      <w:pPr>
        <w:pStyle w:val="ListBullet"/>
        <w:spacing w:after="40"/>
      </w:pPr>
      <w:r>
        <w:rPr>
          <w:b/>
          <w:i w:val="0"/>
          <w:sz w:val="20"/>
        </w:rPr>
        <w:t>Exit Facility / Intercreditor Agreement (Plan § 9.01(b) — non-waivable under the Plan).</w:t>
      </w:r>
      <w:r>
        <w:rPr>
          <w:b w:val="0"/>
          <w:i w:val="0"/>
          <w:sz w:val="20"/>
        </w:rPr>
        <w:t xml:space="preserve"> Four intercreditor business points (mixed-collateral waterfall, 180- vs. 90-day standstill, DIP cooperation, releases) remain at a commercial impasse; the ABL credit agreement has two open points (foreign receivables eligibility of Oakvale Flow Solutions, Inc.; cash dominion trigger). Greystone needs agreed final form by </w:t>
      </w:r>
      <w:r>
        <w:rPr>
          <w:b/>
          <w:i w:val="0"/>
          <w:sz w:val="20"/>
        </w:rPr>
        <w:t>Tuesday, February 11</w:t>
      </w:r>
      <w:r>
        <w:rPr>
          <w:b w:val="0"/>
          <w:i w:val="0"/>
          <w:sz w:val="20"/>
        </w:rPr>
        <w:t xml:space="preserve"> to clear credit committee. The “three Business Days before the Effective Date” execution deadline is stated in every document as February 13, but because February 17 is a bank holiday under both the Plan and Commitment Letter definitions of “Business Day,” the deadline computes to </w:t>
      </w:r>
      <w:r>
        <w:rPr>
          <w:b/>
          <w:i w:val="0"/>
          <w:sz w:val="20"/>
        </w:rPr>
        <w:t>Wednesday, February 12</w:t>
      </w:r>
      <w:r>
        <w:rPr>
          <w:b w:val="0"/>
          <w:i w:val="0"/>
          <w:sz w:val="20"/>
        </w:rPr>
        <w:t>. No Exit Facility funding can occur without an executed Intercreditor Agreement (Commitment Letter §§ 2.2, 3.1(d)).</w:t>
      </w:r>
    </w:p>
    <w:p>
      <w:pPr>
        <w:pStyle w:val="ListBullet"/>
        <w:spacing w:after="40"/>
      </w:pPr>
      <w:r>
        <w:rPr>
          <w:b/>
          <w:i w:val="0"/>
          <w:sz w:val="20"/>
        </w:rPr>
        <w:t>Kepler cure dispute (Plan § 9.01(h); CO ¶¶ 33(h), 62–65).</w:t>
      </w:r>
      <w:r>
        <w:rPr>
          <w:b w:val="0"/>
          <w:i w:val="0"/>
          <w:sz w:val="20"/>
        </w:rPr>
        <w:t xml:space="preserve"> $500,000 proposed vs. $780,000 claimed ($280,000 in dispute: $180,000 late fees; $100,000 maintenance surcharges). The CO expressly provides no carve-out, and its procedure (30-day negotiation to February 16, then a hearing on not less than 7 days’ notice) cannot produce an adjudication before February 18. Settlement, a consensual escrow arrangement satisfactory to Kepler, or a documented partial waiver is required.</w:t>
      </w:r>
    </w:p>
    <w:p>
      <w:pPr>
        <w:pStyle w:val="ListBullet"/>
        <w:spacing w:after="40"/>
      </w:pPr>
      <w:r>
        <w:rPr>
          <w:b/>
          <w:i w:val="0"/>
          <w:sz w:val="20"/>
        </w:rPr>
        <w:t>Litigation Trust (Plan § 9.01(g); CO ¶¶ 33(d)–(e), 46, 49).</w:t>
      </w:r>
      <w:r>
        <w:rPr>
          <w:b w:val="0"/>
          <w:i w:val="0"/>
          <w:sz w:val="20"/>
        </w:rPr>
        <w:t xml:space="preserve"> The LTA is an unexecuted draft; Judge Vincenzo’s written Acceptance has not been returned; Schedule B (Trust Advisory Board) is blank and inconsistent with Plan § 7.06; the “Other Claims” catch-all in LTA § 5.01(d) / Schedule A conflicts with Plan § 5.11 and the Plan definition of Litigation Trust Causes of Action.</w:t>
      </w:r>
    </w:p>
    <w:p>
      <w:pPr>
        <w:pStyle w:val="ListBullet"/>
        <w:spacing w:after="40"/>
      </w:pPr>
      <w:r>
        <w:rPr>
          <w:b/>
          <w:i w:val="0"/>
          <w:sz w:val="20"/>
        </w:rPr>
        <w:t>Regulatory confirmations (Plan § 9.01(j); CO ¶¶ 26–27, 33(k)).</w:t>
      </w:r>
      <w:r>
        <w:rPr>
          <w:b w:val="0"/>
          <w:i w:val="0"/>
          <w:sz w:val="20"/>
        </w:rPr>
        <w:t xml:space="preserve"> As of February 7 the Debtor was still “reviewing” whether a DNREC Change of Control notice is required. If notice is required, the Plan requires that it be given </w:t>
      </w:r>
      <w:r>
        <w:rPr>
          <w:b/>
          <w:i w:val="0"/>
          <w:sz w:val="20"/>
        </w:rPr>
        <w:t>and</w:t>
      </w:r>
      <w:r>
        <w:rPr>
          <w:b w:val="0"/>
          <w:i w:val="0"/>
          <w:sz w:val="20"/>
        </w:rPr>
        <w:t xml:space="preserve"> that no objection be received within the applicable response period, which almost certainly cannot run before February 18. The permits identified in the Status Report (Title V; RCRA Part B) do not match the permits defined in the Plan (Air Quality Permit No. AQM-2019-0472; NPDES Permit No. DE-0023817).</w:t>
      </w:r>
    </w:p>
    <w:p>
      <w:pPr>
        <w:spacing w:after="80"/>
      </w:pPr>
      <w:r>
        <w:rPr>
          <w:b/>
          <w:i w:val="0"/>
          <w:sz w:val="20"/>
        </w:rPr>
        <w:t>Other significant issues:</w:t>
      </w:r>
      <w:r>
        <w:rPr>
          <w:b w:val="0"/>
          <w:i w:val="0"/>
          <w:sz w:val="20"/>
        </w:rPr>
        <w:t xml:space="preserve"> D&amp;O Tail Policy only quoted, not bound or paid (§ 9.01(i); CO ¶ 33(i)); Tax Opinion not delivered and dependent on holder-level equity data (§ 9.01(k)); Second Lien board designee not delivered, with a designation deadline of </w:t>
      </w:r>
      <w:r>
        <w:rPr>
          <w:b/>
          <w:i w:val="0"/>
          <w:sz w:val="20"/>
        </w:rPr>
        <w:t>Monday, February 10</w:t>
      </w:r>
      <w:r>
        <w:rPr>
          <w:b w:val="0"/>
          <w:i w:val="0"/>
          <w:sz w:val="20"/>
        </w:rPr>
        <w:t xml:space="preserve"> (§ 9.01(f)); Shareholders’ Agreement must, under the CO, be executed “by or on behalf of all holders” (CO ¶¶ 33(g), 52); Professional Fee Escrow cushion is thin (fees already ~$24.8 million through January vs. $26.0 million escrow); the Status Report’s cash summary omits the $250,000 U.S. Trustee fee line and the $280,000 Kepler upside; and the debtor’s legal name appears as both “Oakvale” and “Ridgemont” across the operative documents, which must be resolved before the Certificate of Incorporation, UCC-1s and credit documents are finalized.</w:t>
      </w:r>
    </w:p>
    <w:p>
      <w:pPr>
        <w:spacing w:after="80"/>
      </w:pPr>
      <w:r>
        <w:rPr>
          <w:b/>
          <w:i w:val="0"/>
          <w:sz w:val="20"/>
        </w:rPr>
        <w:t>Timing mechanic that is easy to miss.</w:t>
      </w:r>
      <w:r>
        <w:rPr>
          <w:b w:val="0"/>
          <w:i w:val="0"/>
          <w:sz w:val="20"/>
        </w:rPr>
        <w:t xml:space="preserve"> The Plan defines the Effective Date as “the first Business Day </w:t>
      </w:r>
      <w:r>
        <w:rPr>
          <w:b/>
          <w:i w:val="0"/>
          <w:sz w:val="20"/>
        </w:rPr>
        <w:t>after</w:t>
      </w:r>
      <w:r>
        <w:rPr>
          <w:b w:val="0"/>
          <w:i w:val="0"/>
          <w:sz w:val="20"/>
        </w:rPr>
        <w:t xml:space="preserve"> all conditions precedent … have been satisfied or waived” (Plan § 1.01; CO ¶ 31). Read literally, an Effective Date of Tuesday, February 18 requires every condition to be satisfied or waived by Friday, February 14 — yet several conditions (Exit Facility funding, Professional Fee Escrow, Litigation Trust funding, KERP funding, filing of the Certificate of Incorporation) are by nature simultaneous closing deliverables. </w:t>
      </w:r>
      <w:r>
        <w:rPr>
          <w:b/>
          <w:i w:val="0"/>
          <w:sz w:val="20"/>
        </w:rPr>
        <w:t>Recommendation:</w:t>
      </w:r>
      <w:r>
        <w:rPr>
          <w:b w:val="0"/>
          <w:i w:val="0"/>
          <w:sz w:val="20"/>
        </w:rPr>
        <w:t xml:space="preserve"> obtain the written consent of the Required Consenting First Lien Lenders under CO ¶ 31 (“or on such other date as may be determined by the Debtor, with the written consent of the Required Consenting First Lien Lenders”) designating the simultaneous-closing date as the Effective Date, and run an escrowed closing (documents and funds held in escrow on February 14, released at closing on February 18).</w:t>
      </w:r>
    </w:p>
    <w:p>
      <w:pPr>
        <w:spacing w:after="80"/>
      </w:pPr>
      <w:r>
        <w:rPr>
          <w:b/>
          <w:i w:val="0"/>
          <w:sz w:val="20"/>
        </w:rPr>
        <w:t>Recommended posture:</w:t>
      </w:r>
      <w:r>
        <w:rPr>
          <w:b w:val="0"/>
          <w:i w:val="0"/>
          <w:sz w:val="20"/>
        </w:rPr>
        <w:t xml:space="preserve"> pursue February 18 on a day-by-day critical path (Section 6), but in parallel prepare a fallback Effective Date in the week of February 24 or March 3, 2025. That remains well inside the April 17 Outside Date, but any slip must be managed against (i) the Commitment Letter’s MAE, flex-notice and automatic-termination provisions, (ii) continuing Professional Fee accruals against a fixed $26.0 million escrow, and (iii) the fact that under CO ¶ 32 the Outside Date can be extended only </w:t>
      </w:r>
      <w:r>
        <w:rPr>
          <w:b/>
          <w:i w:val="0"/>
          <w:sz w:val="20"/>
        </w:rPr>
        <w:t>by Court order</w:t>
      </w:r>
      <w:r>
        <w:rPr>
          <w:b w:val="0"/>
          <w:i w:val="0"/>
          <w:sz w:val="20"/>
        </w:rPr>
        <w:t xml:space="preserve"> on motion with Required Consenting First Lien Lender consent (not by agreement, as Plan § 1.01 would otherwise permit), and an extension does not extend the Commitment Letter.</w:t>
      </w:r>
    </w:p>
    <w:p>
      <w:pPr>
        <w:spacing w:after="40"/>
      </w:pPr>
      <w:r>
        <w:rPr>
          <w:b/>
          <w:i w:val="0"/>
          <w:sz w:val="20"/>
        </w:rPr>
        <w:t>Dashboard tally (Plan § 9.01 conditions plus additional CO ¶ 33 conditions):</w:t>
      </w:r>
    </w:p>
    <w:tbl>
      <w:tblPr>
        <w:tblStyle w:val="TableGrid"/>
        <w:tblW w:type="auto" w:w="0"/>
        <w:jc w:val="center"/>
        <w:tblLayout w:type="fixed"/>
        <w:tblLook w:firstColumn="1" w:firstRow="1" w:lastColumn="0" w:lastRow="0" w:noHBand="0" w:noVBand="1" w:val="04A0"/>
      </w:tblPr>
      <w:tblGrid>
        <w:gridCol w:w="1152"/>
        <w:gridCol w:w="5184"/>
        <w:gridCol w:w="864"/>
        <w:gridCol w:w="6768"/>
      </w:tblGrid>
      <w:tr>
        <w:trPr>
          <w:tblHeader w:val="true"/>
        </w:trPr>
        <w:tc>
          <w:tcPr>
            <w:tcW w:type="dxa" w:w="1152"/>
            <w:shd w:val="clear" w:color="auto" w:fill="1F3864"/>
          </w:tcPr>
          <w:p>
            <w:r/>
            <w:r>
              <w:rPr>
                <w:b/>
                <w:color w:val="FFFFFF"/>
                <w:sz w:val="16"/>
              </w:rPr>
              <w:t>Rating</w:t>
            </w:r>
          </w:p>
        </w:tc>
        <w:tc>
          <w:tcPr>
            <w:tcW w:type="dxa" w:w="5184"/>
            <w:shd w:val="clear" w:color="auto" w:fill="1F3864"/>
          </w:tcPr>
          <w:p>
            <w:r/>
            <w:r>
              <w:rPr>
                <w:b/>
                <w:color w:val="FFFFFF"/>
                <w:sz w:val="16"/>
              </w:rPr>
              <w:t>Meaning</w:t>
            </w:r>
          </w:p>
        </w:tc>
        <w:tc>
          <w:tcPr>
            <w:tcW w:type="dxa" w:w="864"/>
            <w:shd w:val="clear" w:color="auto" w:fill="1F3864"/>
          </w:tcPr>
          <w:p>
            <w:r/>
            <w:r>
              <w:rPr>
                <w:b/>
                <w:color w:val="FFFFFF"/>
                <w:sz w:val="16"/>
              </w:rPr>
              <w:t>Count</w:t>
            </w:r>
          </w:p>
        </w:tc>
        <w:tc>
          <w:tcPr>
            <w:tcW w:type="dxa" w:w="6768"/>
            <w:shd w:val="clear" w:color="auto" w:fill="1F3864"/>
          </w:tcPr>
          <w:p>
            <w:r/>
            <w:r>
              <w:rPr>
                <w:b/>
                <w:color w:val="FFFFFF"/>
                <w:sz w:val="16"/>
              </w:rPr>
              <w:t>Items</w:t>
            </w:r>
          </w:p>
        </w:tc>
      </w:tr>
      <w:tr>
        <w:tc>
          <w:tcPr>
            <w:tcW w:type="dxa" w:w="1152"/>
            <w:shd w:val="clear" w:color="auto" w:fill="C6EFCE"/>
          </w:tcPr>
          <w:p>
            <w:pPr>
              <w:spacing w:after="20"/>
            </w:pPr>
            <w:r/>
            <w:r>
              <w:rPr>
                <w:b w:val="0"/>
                <w:i w:val="0"/>
                <w:sz w:val="16"/>
              </w:rPr>
              <w:t>GREEN</w:t>
            </w:r>
          </w:p>
        </w:tc>
        <w:tc>
          <w:tcPr>
            <w:tcW w:type="dxa" w:w="5184"/>
          </w:tcPr>
          <w:p>
            <w:pPr>
              <w:spacing w:after="20"/>
            </w:pPr>
            <w:r/>
            <w:r>
              <w:rPr>
                <w:b w:val="0"/>
                <w:i w:val="0"/>
                <w:sz w:val="16"/>
              </w:rPr>
              <w:t>Satisfied, or on track with no material open issue (verification / closing deliverable only)</w:t>
            </w:r>
          </w:p>
        </w:tc>
        <w:tc>
          <w:tcPr>
            <w:tcW w:type="dxa" w:w="864"/>
          </w:tcPr>
          <w:p>
            <w:pPr>
              <w:spacing w:after="20"/>
            </w:pPr>
            <w:r/>
            <w:r>
              <w:rPr>
                <w:b w:val="0"/>
                <w:i w:val="0"/>
                <w:sz w:val="16"/>
              </w:rPr>
              <w:t>4</w:t>
            </w:r>
          </w:p>
        </w:tc>
        <w:tc>
          <w:tcPr>
            <w:tcW w:type="dxa" w:w="6768"/>
          </w:tcPr>
          <w:p>
            <w:pPr>
              <w:spacing w:after="20"/>
            </w:pPr>
            <w:r/>
            <w:r>
              <w:rPr>
                <w:b w:val="0"/>
                <w:i w:val="0"/>
                <w:sz w:val="16"/>
              </w:rPr>
              <w:t>9.01(a) Final Order; 9.01(l) No MAE; CO 33(o) No stay; general liability / property insurance confirmation</w:t>
            </w:r>
          </w:p>
        </w:tc>
      </w:tr>
      <w:tr>
        <w:tc>
          <w:tcPr>
            <w:tcW w:type="dxa" w:w="1152"/>
            <w:shd w:val="clear" w:color="auto" w:fill="FFE699"/>
          </w:tcPr>
          <w:p>
            <w:pPr>
              <w:spacing w:after="20"/>
            </w:pPr>
            <w:r/>
            <w:r>
              <w:rPr>
                <w:b w:val="0"/>
                <w:i w:val="0"/>
                <w:sz w:val="16"/>
              </w:rPr>
              <w:t>AMBER</w:t>
            </w:r>
          </w:p>
        </w:tc>
        <w:tc>
          <w:tcPr>
            <w:tcW w:type="dxa" w:w="5184"/>
          </w:tcPr>
          <w:p>
            <w:pPr>
              <w:spacing w:after="20"/>
            </w:pPr>
            <w:r/>
            <w:r>
              <w:rPr>
                <w:b w:val="0"/>
                <w:i w:val="0"/>
                <w:sz w:val="16"/>
              </w:rPr>
              <w:t>Achievable by target date but open items or conflicts must be closed</w:t>
            </w:r>
          </w:p>
        </w:tc>
        <w:tc>
          <w:tcPr>
            <w:tcW w:type="dxa" w:w="864"/>
          </w:tcPr>
          <w:p>
            <w:pPr>
              <w:spacing w:after="20"/>
            </w:pPr>
            <w:r/>
            <w:r>
              <w:rPr>
                <w:b w:val="0"/>
                <w:i w:val="0"/>
                <w:sz w:val="16"/>
              </w:rPr>
              <w:t>10</w:t>
            </w:r>
          </w:p>
        </w:tc>
        <w:tc>
          <w:tcPr>
            <w:tcW w:type="dxa" w:w="6768"/>
          </w:tcPr>
          <w:p>
            <w:pPr>
              <w:spacing w:after="20"/>
            </w:pPr>
            <w:r/>
            <w:r>
              <w:rPr>
                <w:b w:val="0"/>
                <w:i w:val="0"/>
                <w:sz w:val="16"/>
              </w:rPr>
              <w:t>9.01(c) Prof. Fee Escrow; 9.01(d) Org. Docs; 9.01(e) Shareholders’ Agmt; 9.01(f) Board; 9.01(i) D&amp;O Tail; 9.01(k) Tax Opinion; 9.01(m) Plan Supplement; CO 33(e) LT funding; CO 33(m) KERP; CO 33(n) U.S. Trustee fees</w:t>
            </w:r>
          </w:p>
        </w:tc>
      </w:tr>
      <w:tr>
        <w:tc>
          <w:tcPr>
            <w:tcW w:type="dxa" w:w="1152"/>
            <w:shd w:val="clear" w:color="auto" w:fill="F4B6B6"/>
          </w:tcPr>
          <w:p>
            <w:pPr>
              <w:spacing w:after="20"/>
            </w:pPr>
            <w:r/>
            <w:r>
              <w:rPr>
                <w:b w:val="0"/>
                <w:i w:val="0"/>
                <w:sz w:val="16"/>
              </w:rPr>
              <w:t>RED</w:t>
            </w:r>
          </w:p>
        </w:tc>
        <w:tc>
          <w:tcPr>
            <w:tcW w:type="dxa" w:w="5184"/>
          </w:tcPr>
          <w:p>
            <w:pPr>
              <w:spacing w:after="20"/>
            </w:pPr>
            <w:r/>
            <w:r>
              <w:rPr>
                <w:b w:val="0"/>
                <w:i w:val="0"/>
                <w:sz w:val="16"/>
              </w:rPr>
              <w:t>Not satisfied; on current trajectory will not be satisfied by February 14/18 without intervention or waiver</w:t>
            </w:r>
          </w:p>
        </w:tc>
        <w:tc>
          <w:tcPr>
            <w:tcW w:type="dxa" w:w="864"/>
          </w:tcPr>
          <w:p>
            <w:pPr>
              <w:spacing w:after="20"/>
            </w:pPr>
            <w:r/>
            <w:r>
              <w:rPr>
                <w:b w:val="0"/>
                <w:i w:val="0"/>
                <w:sz w:val="16"/>
              </w:rPr>
              <w:t>4</w:t>
            </w:r>
          </w:p>
        </w:tc>
        <w:tc>
          <w:tcPr>
            <w:tcW w:type="dxa" w:w="6768"/>
          </w:tcPr>
          <w:p>
            <w:pPr>
              <w:spacing w:after="20"/>
            </w:pPr>
            <w:r/>
            <w:r>
              <w:rPr>
                <w:b w:val="0"/>
                <w:i w:val="0"/>
                <w:sz w:val="16"/>
              </w:rPr>
              <w:t>9.01(b) Exit Facility (incl. Intercreditor); 9.01(g) Litigation Trust; 9.01(h) Executory Contracts (Kepler); 9.01(j) Regulatory (DNREC)</w:t>
            </w:r>
          </w:p>
        </w:tc>
      </w:tr>
    </w:tbl>
    <w:p>
      <w:pPr>
        <w:spacing w:after="40"/>
      </w:pPr>
    </w:p>
    <w:p>
      <w:pPr>
        <w:pStyle w:val="Heading1"/>
      </w:pPr>
      <w:r>
        <w:rPr>
          <w:color w:val="1F3864"/>
        </w:rPr>
        <w:t>2. Key Dates and Deadline Calendar</w:t>
      </w:r>
    </w:p>
    <w:p>
      <w:pPr>
        <w:spacing w:after="80"/>
      </w:pPr>
      <w:r>
        <w:rPr>
          <w:b w:val="0"/>
          <w:i w:val="0"/>
          <w:sz w:val="18"/>
        </w:rPr>
        <w:t>Dates computed under Plan § 1.03 (Bankruptcy Rule 9006(a)) and the Plan definition of “Business Day” (days on which commercial banks in Wilmington, Delaware are open). Holidays: Martin Luther King Jr. Day (Mon., Jan. 20, 2025) and Presidents’ Day (Mon., Feb. 17, 2025). Post-Effective Date dates assume a February 18 Effective Date and must be recomputed if it moves.</w:t>
      </w:r>
    </w:p>
    <w:tbl>
      <w:tblPr>
        <w:tblStyle w:val="TableGrid"/>
        <w:tblW w:type="auto" w:w="0"/>
        <w:jc w:val="center"/>
        <w:tblLayout w:type="fixed"/>
        <w:tblLook w:firstColumn="1" w:firstRow="1" w:lastColumn="0" w:lastRow="0" w:noHBand="0" w:noVBand="1" w:val="04A0"/>
      </w:tblPr>
      <w:tblGrid>
        <w:gridCol w:w="1800"/>
        <w:gridCol w:w="5184"/>
        <w:gridCol w:w="2736"/>
        <w:gridCol w:w="4248"/>
      </w:tblGrid>
      <w:tr>
        <w:trPr>
          <w:tblHeader w:val="true"/>
        </w:trPr>
        <w:tc>
          <w:tcPr>
            <w:tcW w:type="dxa" w:w="1800"/>
            <w:shd w:val="clear" w:color="auto" w:fill="1F3864"/>
          </w:tcPr>
          <w:p>
            <w:r/>
            <w:r>
              <w:rPr>
                <w:b/>
                <w:color w:val="FFFFFF"/>
                <w:sz w:val="15"/>
              </w:rPr>
              <w:t>Date</w:t>
            </w:r>
          </w:p>
        </w:tc>
        <w:tc>
          <w:tcPr>
            <w:tcW w:type="dxa" w:w="5184"/>
            <w:shd w:val="clear" w:color="auto" w:fill="1F3864"/>
          </w:tcPr>
          <w:p>
            <w:r/>
            <w:r>
              <w:rPr>
                <w:b/>
                <w:color w:val="FFFFFF"/>
                <w:sz w:val="15"/>
              </w:rPr>
              <w:t>Event / Deadline</w:t>
            </w:r>
          </w:p>
        </w:tc>
        <w:tc>
          <w:tcPr>
            <w:tcW w:type="dxa" w:w="2736"/>
            <w:shd w:val="clear" w:color="auto" w:fill="1F3864"/>
          </w:tcPr>
          <w:p>
            <w:r/>
            <w:r>
              <w:rPr>
                <w:b/>
                <w:color w:val="FFFFFF"/>
                <w:sz w:val="15"/>
              </w:rPr>
              <w:t>Source</w:t>
            </w:r>
          </w:p>
        </w:tc>
        <w:tc>
          <w:tcPr>
            <w:tcW w:type="dxa" w:w="4248"/>
            <w:shd w:val="clear" w:color="auto" w:fill="1F3864"/>
          </w:tcPr>
          <w:p>
            <w:r/>
            <w:r>
              <w:rPr>
                <w:b/>
                <w:color w:val="FFFFFF"/>
                <w:sz w:val="15"/>
              </w:rPr>
              <w:t>Status / Comment</w:t>
            </w:r>
          </w:p>
        </w:tc>
      </w:tr>
      <w:tr>
        <w:tc>
          <w:tcPr>
            <w:tcW w:type="dxa" w:w="1800"/>
          </w:tcPr>
          <w:p>
            <w:pPr>
              <w:spacing w:after="20"/>
            </w:pPr>
            <w:r/>
            <w:r>
              <w:rPr>
                <w:b w:val="0"/>
                <w:i w:val="0"/>
                <w:sz w:val="15"/>
              </w:rPr>
              <w:t>Fri. Jan. 17, 2025</w:t>
            </w:r>
          </w:p>
        </w:tc>
        <w:tc>
          <w:tcPr>
            <w:tcW w:type="dxa" w:w="5184"/>
          </w:tcPr>
          <w:p>
            <w:pPr>
              <w:spacing w:after="20"/>
            </w:pPr>
            <w:r/>
            <w:r>
              <w:rPr>
                <w:b w:val="0"/>
                <w:i w:val="0"/>
                <w:sz w:val="15"/>
              </w:rPr>
              <w:t>Confirmation Order entered; Rule 3020(e) stay waived</w:t>
            </w:r>
          </w:p>
        </w:tc>
        <w:tc>
          <w:tcPr>
            <w:tcW w:type="dxa" w:w="2736"/>
          </w:tcPr>
          <w:p>
            <w:pPr>
              <w:spacing w:after="20"/>
            </w:pPr>
            <w:r/>
            <w:r>
              <w:rPr>
                <w:b w:val="0"/>
                <w:i w:val="0"/>
                <w:sz w:val="15"/>
              </w:rPr>
              <w:t>CO ¶¶ 78, 85</w:t>
            </w:r>
          </w:p>
        </w:tc>
        <w:tc>
          <w:tcPr>
            <w:tcW w:type="dxa" w:w="4248"/>
          </w:tcPr>
          <w:p>
            <w:pPr>
              <w:spacing w:after="20"/>
            </w:pPr>
            <w:r/>
            <w:r>
              <w:rPr>
                <w:b w:val="0"/>
                <w:i w:val="0"/>
                <w:sz w:val="15"/>
              </w:rPr>
              <w:t>Done</w:t>
            </w:r>
          </w:p>
        </w:tc>
      </w:tr>
      <w:tr>
        <w:tc>
          <w:tcPr>
            <w:tcW w:type="dxa" w:w="1800"/>
          </w:tcPr>
          <w:p>
            <w:pPr>
              <w:spacing w:after="20"/>
            </w:pPr>
            <w:r/>
            <w:r>
              <w:rPr>
                <w:b w:val="0"/>
                <w:i w:val="0"/>
                <w:sz w:val="15"/>
              </w:rPr>
              <w:t>Sun. Jan. 19, 2025</w:t>
            </w:r>
          </w:p>
        </w:tc>
        <w:tc>
          <w:tcPr>
            <w:tcW w:type="dxa" w:w="5184"/>
          </w:tcPr>
          <w:p>
            <w:pPr>
              <w:spacing w:after="20"/>
            </w:pPr>
            <w:r/>
            <w:r>
              <w:rPr>
                <w:b w:val="0"/>
                <w:i w:val="0"/>
                <w:sz w:val="15"/>
              </w:rPr>
              <w:t>Earliest date for ABL field examination and appraisal (no earlier than 30 days before Closing Date)</w:t>
            </w:r>
          </w:p>
        </w:tc>
        <w:tc>
          <w:tcPr>
            <w:tcW w:type="dxa" w:w="2736"/>
          </w:tcPr>
          <w:p>
            <w:pPr>
              <w:spacing w:after="20"/>
            </w:pPr>
            <w:r/>
            <w:r>
              <w:rPr>
                <w:b w:val="0"/>
                <w:i w:val="0"/>
                <w:sz w:val="15"/>
              </w:rPr>
              <w:t>Commitment Letter § 3.3(c)</w:t>
            </w:r>
          </w:p>
        </w:tc>
        <w:tc>
          <w:tcPr>
            <w:tcW w:type="dxa" w:w="4248"/>
          </w:tcPr>
          <w:p>
            <w:pPr>
              <w:spacing w:after="20"/>
            </w:pPr>
            <w:r/>
            <w:r>
              <w:rPr>
                <w:b w:val="0"/>
                <w:i w:val="0"/>
                <w:sz w:val="15"/>
              </w:rPr>
              <w:t>Confirm field exam / appraisal dated on or after Jan. 19; if ED slips past Feb. 18 by more than the cushion, re-check 30-day freshness</w:t>
            </w:r>
          </w:p>
        </w:tc>
      </w:tr>
      <w:tr>
        <w:tc>
          <w:tcPr>
            <w:tcW w:type="dxa" w:w="1800"/>
          </w:tcPr>
          <w:p>
            <w:pPr>
              <w:spacing w:after="20"/>
            </w:pPr>
            <w:r/>
            <w:r>
              <w:rPr>
                <w:b w:val="0"/>
                <w:i w:val="0"/>
                <w:sz w:val="15"/>
              </w:rPr>
              <w:t>Mon. Jan. 27, 2025</w:t>
            </w:r>
          </w:p>
        </w:tc>
        <w:tc>
          <w:tcPr>
            <w:tcW w:type="dxa" w:w="5184"/>
          </w:tcPr>
          <w:p>
            <w:pPr>
              <w:spacing w:after="20"/>
            </w:pPr>
            <w:r/>
            <w:r>
              <w:rPr>
                <w:b w:val="0"/>
                <w:i w:val="0"/>
                <w:sz w:val="15"/>
              </w:rPr>
              <w:t>Distribution Record Date (5 Business Days after Confirmation Date). Plan § 8.01 states “approximately January 24” but MLK Day pushes the fifth Business Day to Jan. 27</w:t>
            </w:r>
          </w:p>
        </w:tc>
        <w:tc>
          <w:tcPr>
            <w:tcW w:type="dxa" w:w="2736"/>
          </w:tcPr>
          <w:p>
            <w:pPr>
              <w:spacing w:after="20"/>
            </w:pPr>
            <w:r/>
            <w:r>
              <w:rPr>
                <w:b w:val="0"/>
                <w:i w:val="0"/>
                <w:sz w:val="15"/>
              </w:rPr>
              <w:t>Plan §§ 1.01, 8.01</w:t>
            </w:r>
          </w:p>
        </w:tc>
        <w:tc>
          <w:tcPr>
            <w:tcW w:type="dxa" w:w="4248"/>
          </w:tcPr>
          <w:p>
            <w:pPr>
              <w:spacing w:after="20"/>
            </w:pPr>
            <w:r/>
            <w:r>
              <w:rPr>
                <w:b w:val="0"/>
                <w:i w:val="0"/>
                <w:sz w:val="15"/>
              </w:rPr>
              <w:t>Confirm which date the claims agent and Indenture Trustee used; affects Tax Opinion (§ 382) holder data and equity allocations</w:t>
            </w:r>
          </w:p>
        </w:tc>
      </w:tr>
      <w:tr>
        <w:tc>
          <w:tcPr>
            <w:tcW w:type="dxa" w:w="1800"/>
          </w:tcPr>
          <w:p>
            <w:pPr>
              <w:spacing w:after="20"/>
            </w:pPr>
            <w:r/>
            <w:r>
              <w:rPr>
                <w:b w:val="0"/>
                <w:i w:val="0"/>
                <w:sz w:val="15"/>
              </w:rPr>
              <w:t>Mon. Jan. 27, 2025</w:t>
            </w:r>
          </w:p>
        </w:tc>
        <w:tc>
          <w:tcPr>
            <w:tcW w:type="dxa" w:w="5184"/>
          </w:tcPr>
          <w:p>
            <w:pPr>
              <w:spacing w:after="20"/>
            </w:pPr>
            <w:r/>
            <w:r>
              <w:rPr>
                <w:b w:val="0"/>
                <w:i w:val="0"/>
                <w:sz w:val="15"/>
              </w:rPr>
              <w:t>Service of Confirmation Order on all parties in interest (5 Business Days)</w:t>
            </w:r>
          </w:p>
        </w:tc>
        <w:tc>
          <w:tcPr>
            <w:tcW w:type="dxa" w:w="2736"/>
          </w:tcPr>
          <w:p>
            <w:pPr>
              <w:spacing w:after="20"/>
            </w:pPr>
            <w:r/>
            <w:r>
              <w:rPr>
                <w:b w:val="0"/>
                <w:i w:val="0"/>
                <w:sz w:val="15"/>
              </w:rPr>
              <w:t>CO ¶ 79</w:t>
            </w:r>
          </w:p>
        </w:tc>
        <w:tc>
          <w:tcPr>
            <w:tcW w:type="dxa" w:w="4248"/>
          </w:tcPr>
          <w:p>
            <w:pPr>
              <w:spacing w:after="20"/>
            </w:pPr>
            <w:r/>
            <w:r>
              <w:rPr>
                <w:b w:val="0"/>
                <w:i w:val="0"/>
                <w:sz w:val="15"/>
              </w:rPr>
              <w:t>Confirm Donlin Recano certificate of service on file</w:t>
            </w:r>
          </w:p>
        </w:tc>
      </w:tr>
      <w:tr>
        <w:tc>
          <w:tcPr>
            <w:tcW w:type="dxa" w:w="1800"/>
          </w:tcPr>
          <w:p>
            <w:pPr>
              <w:spacing w:after="20"/>
            </w:pPr>
            <w:r/>
            <w:r>
              <w:rPr>
                <w:b w:val="0"/>
                <w:i w:val="0"/>
                <w:sz w:val="15"/>
              </w:rPr>
              <w:t>Fri. Jan. 31, 2025</w:t>
            </w:r>
          </w:p>
        </w:tc>
        <w:tc>
          <w:tcPr>
            <w:tcW w:type="dxa" w:w="5184"/>
          </w:tcPr>
          <w:p>
            <w:pPr>
              <w:spacing w:after="20"/>
            </w:pPr>
            <w:r/>
            <w:r>
              <w:rPr>
                <w:b w:val="0"/>
                <w:i w:val="0"/>
                <w:sz w:val="15"/>
              </w:rPr>
              <w:t>14-day appeal period expires (Rule 8002(a)(1)); Rule 8002(b) tolling motions (Rules 7052/9023/9024 within 14 days) also due. Rule 8002(d)(2)(F) bars extension of time to appeal a confirmation order</w:t>
            </w:r>
          </w:p>
        </w:tc>
        <w:tc>
          <w:tcPr>
            <w:tcW w:type="dxa" w:w="2736"/>
          </w:tcPr>
          <w:p>
            <w:pPr>
              <w:spacing w:after="20"/>
            </w:pPr>
            <w:r/>
            <w:r>
              <w:rPr>
                <w:b w:val="0"/>
                <w:i w:val="0"/>
                <w:sz w:val="15"/>
              </w:rPr>
              <w:t>Plan § 9.01(a); CO ¶ 74</w:t>
            </w:r>
          </w:p>
        </w:tc>
        <w:tc>
          <w:tcPr>
            <w:tcW w:type="dxa" w:w="4248"/>
          </w:tcPr>
          <w:p>
            <w:pPr>
              <w:spacing w:after="20"/>
            </w:pPr>
            <w:r/>
            <w:r>
              <w:rPr>
                <w:b w:val="0"/>
                <w:i w:val="0"/>
                <w:sz w:val="15"/>
              </w:rPr>
              <w:t>Status Report: expired “to the Debtor’s knowledge.” Pull docket and obtain certification (see 9.01(a))</w:t>
            </w:r>
          </w:p>
        </w:tc>
      </w:tr>
      <w:tr>
        <w:tc>
          <w:tcPr>
            <w:tcW w:type="dxa" w:w="1800"/>
          </w:tcPr>
          <w:p>
            <w:pPr>
              <w:spacing w:after="20"/>
            </w:pPr>
            <w:r/>
            <w:r>
              <w:rPr>
                <w:b w:val="0"/>
                <w:i w:val="0"/>
                <w:sz w:val="15"/>
              </w:rPr>
              <w:t>Mon. Feb. 3, 2025</w:t>
            </w:r>
          </w:p>
        </w:tc>
        <w:tc>
          <w:tcPr>
            <w:tcW w:type="dxa" w:w="5184"/>
          </w:tcPr>
          <w:p>
            <w:pPr>
              <w:spacing w:after="20"/>
            </w:pPr>
            <w:r/>
            <w:r>
              <w:rPr>
                <w:b w:val="0"/>
                <w:i w:val="0"/>
                <w:sz w:val="15"/>
              </w:rPr>
              <w:t>Last day for Commitment Parties to deliver written Flex notice (10 Business Days before anticipated Closing Date of Feb. 18)</w:t>
            </w:r>
          </w:p>
        </w:tc>
        <w:tc>
          <w:tcPr>
            <w:tcW w:type="dxa" w:w="2736"/>
          </w:tcPr>
          <w:p>
            <w:pPr>
              <w:spacing w:after="20"/>
            </w:pPr>
            <w:r/>
            <w:r>
              <w:rPr>
                <w:b w:val="0"/>
                <w:i w:val="0"/>
                <w:sz w:val="15"/>
              </w:rPr>
              <w:t>Commitment Letter § 5</w:t>
            </w:r>
          </w:p>
        </w:tc>
        <w:tc>
          <w:tcPr>
            <w:tcW w:type="dxa" w:w="4248"/>
          </w:tcPr>
          <w:p>
            <w:pPr>
              <w:spacing w:after="20"/>
            </w:pPr>
            <w:r/>
            <w:r>
              <w:rPr>
                <w:b w:val="0"/>
                <w:i w:val="0"/>
                <w:sz w:val="15"/>
              </w:rPr>
              <w:t>Confirm in writing whether any flex was exercised. If ED moves, lenders may assert a new flex window keyed to the new anticipated Closing Date</w:t>
            </w:r>
          </w:p>
        </w:tc>
      </w:tr>
      <w:tr>
        <w:tc>
          <w:tcPr>
            <w:tcW w:type="dxa" w:w="1800"/>
          </w:tcPr>
          <w:p>
            <w:pPr>
              <w:spacing w:after="20"/>
            </w:pPr>
            <w:r/>
            <w:r>
              <w:rPr>
                <w:b w:val="0"/>
                <w:i w:val="0"/>
                <w:sz w:val="15"/>
              </w:rPr>
              <w:t>Fri. Feb. 7, 2025</w:t>
            </w:r>
          </w:p>
        </w:tc>
        <w:tc>
          <w:tcPr>
            <w:tcW w:type="dxa" w:w="5184"/>
          </w:tcPr>
          <w:p>
            <w:pPr>
              <w:spacing w:after="20"/>
            </w:pPr>
            <w:r/>
            <w:r>
              <w:rPr>
                <w:b w:val="0"/>
                <w:i w:val="0"/>
                <w:sz w:val="15"/>
              </w:rPr>
              <w:t>Status Report filed; 3:00 p.m. ET principals call on intercreditor standstill / waterfall</w:t>
            </w:r>
          </w:p>
        </w:tc>
        <w:tc>
          <w:tcPr>
            <w:tcW w:type="dxa" w:w="2736"/>
          </w:tcPr>
          <w:p>
            <w:pPr>
              <w:spacing w:after="20"/>
            </w:pPr>
            <w:r/>
            <w:r>
              <w:rPr>
                <w:b w:val="0"/>
                <w:i w:val="0"/>
                <w:sz w:val="15"/>
              </w:rPr>
              <w:t>Status Report; e-mail</w:t>
            </w:r>
          </w:p>
        </w:tc>
        <w:tc>
          <w:tcPr>
            <w:tcW w:type="dxa" w:w="4248"/>
          </w:tcPr>
          <w:p>
            <w:pPr>
              <w:spacing w:after="20"/>
            </w:pPr>
            <w:r/>
            <w:r>
              <w:rPr>
                <w:b w:val="0"/>
                <w:i w:val="0"/>
                <w:sz w:val="15"/>
              </w:rPr>
              <w:t>Outcome of call to be recorded</w:t>
            </w:r>
          </w:p>
        </w:tc>
      </w:tr>
      <w:tr>
        <w:tc>
          <w:tcPr>
            <w:tcW w:type="dxa" w:w="1800"/>
          </w:tcPr>
          <w:p>
            <w:pPr>
              <w:spacing w:after="20"/>
            </w:pPr>
            <w:r/>
            <w:r>
              <w:rPr>
                <w:b w:val="0"/>
                <w:i w:val="0"/>
                <w:sz w:val="15"/>
              </w:rPr>
              <w:t>Mon. Feb. 10, 2025</w:t>
            </w:r>
          </w:p>
        </w:tc>
        <w:tc>
          <w:tcPr>
            <w:tcW w:type="dxa" w:w="5184"/>
          </w:tcPr>
          <w:p>
            <w:pPr>
              <w:spacing w:after="20"/>
            </w:pPr>
            <w:r/>
            <w:r>
              <w:rPr>
                <w:b/>
                <w:i w:val="0"/>
                <w:sz w:val="15"/>
              </w:rPr>
              <w:t>Board designation deadline</w:t>
            </w:r>
            <w:r>
              <w:rPr>
                <w:b w:val="0"/>
                <w:i w:val="0"/>
                <w:sz w:val="15"/>
              </w:rPr>
              <w:t xml:space="preserve"> — written notice of designees no later than 5 Business Days before the ED (Feb. 14, 13, 12, 11, 10). Also target for agreed intercreditor final form per Wynn schedule</w:t>
            </w:r>
          </w:p>
        </w:tc>
        <w:tc>
          <w:tcPr>
            <w:tcW w:type="dxa" w:w="2736"/>
          </w:tcPr>
          <w:p>
            <w:pPr>
              <w:spacing w:after="20"/>
            </w:pPr>
            <w:r/>
            <w:r>
              <w:rPr>
                <w:b w:val="0"/>
                <w:i w:val="0"/>
                <w:sz w:val="15"/>
              </w:rPr>
              <w:t>Plan §§ 4.03, 5.07, 6.02, 9.01(f); CO ¶¶ 12(a)(5)(i), 33(j)</w:t>
            </w:r>
          </w:p>
        </w:tc>
        <w:tc>
          <w:tcPr>
            <w:tcW w:type="dxa" w:w="4248"/>
          </w:tcPr>
          <w:p>
            <w:pPr>
              <w:spacing w:after="20"/>
            </w:pPr>
            <w:r/>
            <w:r>
              <w:rPr>
                <w:b w:val="0"/>
                <w:i w:val="0"/>
                <w:sz w:val="15"/>
              </w:rPr>
              <w:t>Second Lien (Capstone) designee outstanding</w:t>
            </w:r>
          </w:p>
        </w:tc>
      </w:tr>
      <w:tr>
        <w:tc>
          <w:tcPr>
            <w:tcW w:type="dxa" w:w="1800"/>
          </w:tcPr>
          <w:p>
            <w:pPr>
              <w:spacing w:after="20"/>
            </w:pPr>
            <w:r/>
            <w:r>
              <w:rPr>
                <w:b w:val="0"/>
                <w:i w:val="0"/>
                <w:sz w:val="15"/>
              </w:rPr>
              <w:t>Tue. Feb. 11, 2025</w:t>
            </w:r>
          </w:p>
        </w:tc>
        <w:tc>
          <w:tcPr>
            <w:tcW w:type="dxa" w:w="5184"/>
          </w:tcPr>
          <w:p>
            <w:pPr>
              <w:spacing w:after="20"/>
            </w:pPr>
            <w:r/>
            <w:r>
              <w:rPr>
                <w:b w:val="0"/>
                <w:i w:val="0"/>
                <w:sz w:val="15"/>
              </w:rPr>
              <w:t>Greystone deadline for intercreditor agreement in agreed final form (2 full Business Days of credit-committee process)</w:t>
            </w:r>
          </w:p>
        </w:tc>
        <w:tc>
          <w:tcPr>
            <w:tcW w:type="dxa" w:w="2736"/>
          </w:tcPr>
          <w:p>
            <w:pPr>
              <w:spacing w:after="20"/>
            </w:pPr>
            <w:r/>
            <w:r>
              <w:rPr>
                <w:b w:val="0"/>
                <w:i w:val="0"/>
                <w:sz w:val="15"/>
              </w:rPr>
              <w:t>Hollowell e-mail (Feb. 6)</w:t>
            </w:r>
          </w:p>
        </w:tc>
        <w:tc>
          <w:tcPr>
            <w:tcW w:type="dxa" w:w="4248"/>
          </w:tcPr>
          <w:p>
            <w:pPr>
              <w:spacing w:after="20"/>
            </w:pPr>
            <w:r/>
            <w:r>
              <w:rPr>
                <w:b w:val="0"/>
                <w:i w:val="0"/>
                <w:sz w:val="15"/>
              </w:rPr>
              <w:t>Hard business deadline</w:t>
            </w:r>
          </w:p>
        </w:tc>
      </w:tr>
      <w:tr>
        <w:tc>
          <w:tcPr>
            <w:tcW w:type="dxa" w:w="1800"/>
          </w:tcPr>
          <w:p>
            <w:pPr>
              <w:spacing w:after="20"/>
            </w:pPr>
            <w:r/>
            <w:r>
              <w:rPr>
                <w:b w:val="0"/>
                <w:i w:val="0"/>
                <w:sz w:val="15"/>
              </w:rPr>
              <w:t>Wed. Feb. 12, 2025</w:t>
            </w:r>
          </w:p>
        </w:tc>
        <w:tc>
          <w:tcPr>
            <w:tcW w:type="dxa" w:w="5184"/>
          </w:tcPr>
          <w:p>
            <w:pPr>
              <w:spacing w:after="20"/>
            </w:pPr>
            <w:r/>
            <w:r>
              <w:rPr>
                <w:b w:val="0"/>
                <w:i w:val="0"/>
                <w:sz w:val="15"/>
              </w:rPr>
              <w:t xml:space="preserve">(i) Court filing disclosing identities of Reorganized Oakvale Board (3 Business Days before ED); (ii) </w:t>
            </w:r>
            <w:r>
              <w:rPr>
                <w:b/>
                <w:i w:val="0"/>
                <w:sz w:val="15"/>
              </w:rPr>
              <w:t>conservative deadline</w:t>
            </w:r>
            <w:r>
              <w:rPr>
                <w:b w:val="0"/>
                <w:i w:val="0"/>
                <w:sz w:val="15"/>
              </w:rPr>
              <w:t xml:space="preserve"> for execution of all Exit Facility Documentation (3 Business Days before ED, excluding Feb. 17)</w:t>
            </w:r>
          </w:p>
        </w:tc>
        <w:tc>
          <w:tcPr>
            <w:tcW w:type="dxa" w:w="2736"/>
          </w:tcPr>
          <w:p>
            <w:pPr>
              <w:spacing w:after="20"/>
            </w:pPr>
            <w:r/>
            <w:r>
              <w:rPr>
                <w:b w:val="0"/>
                <w:i w:val="0"/>
                <w:sz w:val="15"/>
              </w:rPr>
              <w:t>Plan § 5.07; Commitment Letter §§ 3.1(d), 9(d), Ex. C; CO ¶ 36</w:t>
            </w:r>
          </w:p>
        </w:tc>
        <w:tc>
          <w:tcPr>
            <w:tcW w:type="dxa" w:w="4248"/>
          </w:tcPr>
          <w:p>
            <w:pPr>
              <w:spacing w:after="20"/>
            </w:pPr>
            <w:r/>
            <w:r>
              <w:rPr>
                <w:b w:val="0"/>
                <w:i w:val="0"/>
                <w:sz w:val="15"/>
              </w:rPr>
              <w:t>Documents uniformly say Feb. 13, which counts Presidents’ Day as a Business Day. Obtain written confirmation from both Commitment Parties that Feb. 13 execution is acceptable, or plan to Feb. 12</w:t>
            </w:r>
          </w:p>
        </w:tc>
      </w:tr>
      <w:tr>
        <w:tc>
          <w:tcPr>
            <w:tcW w:type="dxa" w:w="1800"/>
          </w:tcPr>
          <w:p>
            <w:pPr>
              <w:spacing w:after="20"/>
            </w:pPr>
            <w:r/>
            <w:r>
              <w:rPr>
                <w:b w:val="0"/>
                <w:i w:val="0"/>
                <w:sz w:val="15"/>
              </w:rPr>
              <w:t>Thu. Feb. 13, 2025</w:t>
            </w:r>
          </w:p>
        </w:tc>
        <w:tc>
          <w:tcPr>
            <w:tcW w:type="dxa" w:w="5184"/>
          </w:tcPr>
          <w:p>
            <w:pPr>
              <w:spacing w:after="20"/>
            </w:pPr>
            <w:r/>
            <w:r>
              <w:rPr>
                <w:b w:val="0"/>
                <w:i w:val="0"/>
                <w:sz w:val="15"/>
              </w:rPr>
              <w:t>Stated execution deadline for Exit Term Loan CA, Exit ABL CA and Intercreditor Agreement; latest date for Term Loan borrowing notice (2 Business Days before Feb. 18)</w:t>
            </w:r>
          </w:p>
        </w:tc>
        <w:tc>
          <w:tcPr>
            <w:tcW w:type="dxa" w:w="2736"/>
          </w:tcPr>
          <w:p>
            <w:pPr>
              <w:spacing w:after="20"/>
            </w:pPr>
            <w:r/>
            <w:r>
              <w:rPr>
                <w:b w:val="0"/>
                <w:i w:val="0"/>
                <w:sz w:val="15"/>
              </w:rPr>
              <w:t>CO ¶ 36; Commitment Letter § 3.2(b), Ex. C items 1–3, 24</w:t>
            </w:r>
          </w:p>
        </w:tc>
        <w:tc>
          <w:tcPr>
            <w:tcW w:type="dxa" w:w="4248"/>
          </w:tcPr>
          <w:p>
            <w:pPr>
              <w:spacing w:after="20"/>
            </w:pPr>
            <w:r/>
            <w:r>
              <w:rPr>
                <w:b w:val="0"/>
                <w:i w:val="0"/>
                <w:sz w:val="15"/>
              </w:rPr>
              <w:t>See Feb. 12 comment</w:t>
            </w:r>
          </w:p>
        </w:tc>
      </w:tr>
      <w:tr>
        <w:tc>
          <w:tcPr>
            <w:tcW w:type="dxa" w:w="1800"/>
          </w:tcPr>
          <w:p>
            <w:pPr>
              <w:spacing w:after="20"/>
            </w:pPr>
            <w:r/>
            <w:r>
              <w:rPr>
                <w:b w:val="0"/>
                <w:i w:val="0"/>
                <w:sz w:val="15"/>
              </w:rPr>
              <w:t>Fri. Feb. 14, 2025</w:t>
            </w:r>
          </w:p>
        </w:tc>
        <w:tc>
          <w:tcPr>
            <w:tcW w:type="dxa" w:w="5184"/>
          </w:tcPr>
          <w:p>
            <w:pPr>
              <w:spacing w:after="20"/>
            </w:pPr>
            <w:r/>
            <w:r>
              <w:rPr>
                <w:b w:val="0"/>
                <w:i w:val="0"/>
                <w:sz w:val="15"/>
              </w:rPr>
              <w:t>Last Business Day before target ED. Under Plan § 1.01, all conditions must be satisfied/waived today for a Feb. 18 ED absent CO ¶ 31 designation</w:t>
            </w:r>
          </w:p>
        </w:tc>
        <w:tc>
          <w:tcPr>
            <w:tcW w:type="dxa" w:w="2736"/>
          </w:tcPr>
          <w:p>
            <w:pPr>
              <w:spacing w:after="20"/>
            </w:pPr>
            <w:r/>
            <w:r>
              <w:rPr>
                <w:b w:val="0"/>
                <w:i w:val="0"/>
                <w:sz w:val="15"/>
              </w:rPr>
              <w:t>Plan § 1.01; CO ¶ 31</w:t>
            </w:r>
          </w:p>
        </w:tc>
        <w:tc>
          <w:tcPr>
            <w:tcW w:type="dxa" w:w="4248"/>
          </w:tcPr>
          <w:p>
            <w:pPr>
              <w:spacing w:after="20"/>
            </w:pPr>
            <w:r/>
            <w:r>
              <w:rPr>
                <w:b w:val="0"/>
                <w:i w:val="0"/>
                <w:sz w:val="15"/>
              </w:rPr>
              <w:t>Escrowed pre-closing; obtain RCFLL written consent to ED designation</w:t>
            </w:r>
          </w:p>
        </w:tc>
      </w:tr>
      <w:tr>
        <w:tc>
          <w:tcPr>
            <w:tcW w:type="dxa" w:w="1800"/>
          </w:tcPr>
          <w:p>
            <w:pPr>
              <w:spacing w:after="20"/>
            </w:pPr>
            <w:r/>
            <w:r>
              <w:rPr>
                <w:b w:val="0"/>
                <w:i w:val="0"/>
                <w:sz w:val="15"/>
              </w:rPr>
              <w:t>Sun. Feb. 16, 2025</w:t>
            </w:r>
          </w:p>
        </w:tc>
        <w:tc>
          <w:tcPr>
            <w:tcW w:type="dxa" w:w="5184"/>
          </w:tcPr>
          <w:p>
            <w:pPr>
              <w:spacing w:after="20"/>
            </w:pPr>
            <w:r/>
            <w:r>
              <w:rPr>
                <w:b w:val="0"/>
                <w:i w:val="0"/>
                <w:sz w:val="15"/>
              </w:rPr>
              <w:t>End of 30-day Kepler negotiation period; thereafter either party may request an evidentiary hearing on ≥ 7 days’ notice</w:t>
            </w:r>
          </w:p>
        </w:tc>
        <w:tc>
          <w:tcPr>
            <w:tcW w:type="dxa" w:w="2736"/>
          </w:tcPr>
          <w:p>
            <w:pPr>
              <w:spacing w:after="20"/>
            </w:pPr>
            <w:r/>
            <w:r>
              <w:rPr>
                <w:b w:val="0"/>
                <w:i w:val="0"/>
                <w:sz w:val="15"/>
              </w:rPr>
              <w:t>CO ¶ 64</w:t>
            </w:r>
          </w:p>
        </w:tc>
        <w:tc>
          <w:tcPr>
            <w:tcW w:type="dxa" w:w="4248"/>
          </w:tcPr>
          <w:p>
            <w:pPr>
              <w:spacing w:after="20"/>
            </w:pPr>
            <w:r/>
            <w:r>
              <w:rPr>
                <w:b w:val="0"/>
                <w:i w:val="0"/>
                <w:sz w:val="15"/>
              </w:rPr>
              <w:t>Earliest realistic hearing ≈ Feb. 24 or later absent shortened notice</w:t>
            </w:r>
          </w:p>
        </w:tc>
      </w:tr>
      <w:tr>
        <w:tc>
          <w:tcPr>
            <w:tcW w:type="dxa" w:w="1800"/>
          </w:tcPr>
          <w:p>
            <w:pPr>
              <w:spacing w:after="20"/>
            </w:pPr>
            <w:r/>
            <w:r>
              <w:rPr>
                <w:b w:val="0"/>
                <w:i w:val="0"/>
                <w:sz w:val="15"/>
              </w:rPr>
              <w:t>Mon. Feb. 17, 2025</w:t>
            </w:r>
          </w:p>
        </w:tc>
        <w:tc>
          <w:tcPr>
            <w:tcW w:type="dxa" w:w="5184"/>
          </w:tcPr>
          <w:p>
            <w:pPr>
              <w:spacing w:after="20"/>
            </w:pPr>
            <w:r/>
            <w:r>
              <w:rPr>
                <w:b w:val="0"/>
                <w:i w:val="0"/>
                <w:sz w:val="15"/>
              </w:rPr>
              <w:t>Presidents’ Day — not a Business Day</w:t>
            </w:r>
          </w:p>
        </w:tc>
        <w:tc>
          <w:tcPr>
            <w:tcW w:type="dxa" w:w="2736"/>
          </w:tcPr>
          <w:p>
            <w:pPr>
              <w:spacing w:after="20"/>
            </w:pPr>
            <w:r/>
            <w:r>
              <w:rPr>
                <w:b w:val="0"/>
                <w:i w:val="0"/>
                <w:sz w:val="15"/>
              </w:rPr>
              <w:t>Plan § 1.01 “Business Day”</w:t>
            </w:r>
          </w:p>
        </w:tc>
        <w:tc>
          <w:tcPr>
            <w:tcW w:type="dxa" w:w="4248"/>
          </w:tcPr>
          <w:p>
            <w:pPr>
              <w:spacing w:after="20"/>
            </w:pPr>
            <w:r/>
            <w:r>
              <w:rPr>
                <w:b w:val="0"/>
                <w:i w:val="0"/>
                <w:sz w:val="15"/>
              </w:rPr>
              <w:t>No closings / wires</w:t>
            </w:r>
          </w:p>
        </w:tc>
      </w:tr>
      <w:tr>
        <w:tc>
          <w:tcPr>
            <w:tcW w:type="dxa" w:w="1800"/>
          </w:tcPr>
          <w:p>
            <w:pPr>
              <w:spacing w:after="20"/>
            </w:pPr>
            <w:r/>
            <w:r>
              <w:rPr>
                <w:b/>
                <w:i w:val="0"/>
                <w:sz w:val="15"/>
              </w:rPr>
              <w:t>Tue. Feb. 18, 2025</w:t>
            </w:r>
          </w:p>
        </w:tc>
        <w:tc>
          <w:tcPr>
            <w:tcW w:type="dxa" w:w="5184"/>
          </w:tcPr>
          <w:p>
            <w:pPr>
              <w:spacing w:after="20"/>
            </w:pPr>
            <w:r/>
            <w:r>
              <w:rPr>
                <w:b/>
                <w:i w:val="0"/>
                <w:sz w:val="15"/>
              </w:rPr>
              <w:t>Target Effective Date / Closing Date</w:t>
            </w:r>
          </w:p>
        </w:tc>
        <w:tc>
          <w:tcPr>
            <w:tcW w:type="dxa" w:w="2736"/>
          </w:tcPr>
          <w:p>
            <w:pPr>
              <w:spacing w:after="20"/>
            </w:pPr>
            <w:r/>
            <w:r>
              <w:rPr>
                <w:b w:val="0"/>
                <w:i w:val="0"/>
                <w:sz w:val="15"/>
              </w:rPr>
              <w:t>Plan § 1.01; CO ¶ 31; Commitment Letter § 7</w:t>
            </w:r>
          </w:p>
        </w:tc>
        <w:tc>
          <w:tcPr>
            <w:tcW w:type="dxa" w:w="4248"/>
          </w:tcPr>
          <w:p>
            <w:pPr>
              <w:spacing w:after="20"/>
            </w:pPr>
            <w:r/>
          </w:p>
        </w:tc>
      </w:tr>
      <w:tr>
        <w:tc>
          <w:tcPr>
            <w:tcW w:type="dxa" w:w="1800"/>
          </w:tcPr>
          <w:p>
            <w:pPr>
              <w:spacing w:after="20"/>
            </w:pPr>
            <w:r/>
            <w:r>
              <w:rPr>
                <w:b w:val="0"/>
                <w:i w:val="0"/>
                <w:sz w:val="15"/>
              </w:rPr>
              <w:t>Thu. Feb. 20, 2025</w:t>
            </w:r>
          </w:p>
        </w:tc>
        <w:tc>
          <w:tcPr>
            <w:tcW w:type="dxa" w:w="5184"/>
          </w:tcPr>
          <w:p>
            <w:pPr>
              <w:spacing w:after="20"/>
            </w:pPr>
            <w:r/>
            <w:r>
              <w:rPr>
                <w:b w:val="0"/>
                <w:i w:val="0"/>
                <w:sz w:val="15"/>
              </w:rPr>
              <w:t>Notice of Effective Date filed and served (2 Business Days)</w:t>
            </w:r>
          </w:p>
        </w:tc>
        <w:tc>
          <w:tcPr>
            <w:tcW w:type="dxa" w:w="2736"/>
          </w:tcPr>
          <w:p>
            <w:pPr>
              <w:spacing w:after="20"/>
            </w:pPr>
            <w:r/>
            <w:r>
              <w:rPr>
                <w:b w:val="0"/>
                <w:i w:val="0"/>
                <w:sz w:val="15"/>
              </w:rPr>
              <w:t>CO ¶ 80</w:t>
            </w:r>
          </w:p>
        </w:tc>
        <w:tc>
          <w:tcPr>
            <w:tcW w:type="dxa" w:w="4248"/>
          </w:tcPr>
          <w:p>
            <w:pPr>
              <w:spacing w:after="20"/>
            </w:pPr>
            <w:r/>
            <w:r>
              <w:rPr>
                <w:b w:val="0"/>
                <w:i w:val="0"/>
                <w:sz w:val="15"/>
              </w:rPr>
              <w:t>Draft notice in advance</w:t>
            </w:r>
          </w:p>
        </w:tc>
      </w:tr>
      <w:tr>
        <w:tc>
          <w:tcPr>
            <w:tcW w:type="dxa" w:w="1800"/>
          </w:tcPr>
          <w:p>
            <w:pPr>
              <w:spacing w:after="20"/>
            </w:pPr>
            <w:r/>
            <w:r>
              <w:rPr>
                <w:b w:val="0"/>
                <w:i w:val="0"/>
                <w:sz w:val="15"/>
              </w:rPr>
              <w:t>Tue. Feb. 25, 2025</w:t>
            </w:r>
          </w:p>
        </w:tc>
        <w:tc>
          <w:tcPr>
            <w:tcW w:type="dxa" w:w="5184"/>
          </w:tcPr>
          <w:p>
            <w:pPr>
              <w:spacing w:after="20"/>
            </w:pPr>
            <w:r/>
            <w:r>
              <w:rPr>
                <w:b w:val="0"/>
                <w:i w:val="0"/>
                <w:sz w:val="15"/>
              </w:rPr>
              <w:t>Initial meeting of Reorganized Oakvale Board (within 5 Business Days)</w:t>
            </w:r>
          </w:p>
        </w:tc>
        <w:tc>
          <w:tcPr>
            <w:tcW w:type="dxa" w:w="2736"/>
          </w:tcPr>
          <w:p>
            <w:pPr>
              <w:spacing w:after="20"/>
            </w:pPr>
            <w:r/>
            <w:r>
              <w:rPr>
                <w:b w:val="0"/>
                <w:i w:val="0"/>
                <w:sz w:val="15"/>
              </w:rPr>
              <w:t>Plan § 6.02</w:t>
            </w:r>
          </w:p>
        </w:tc>
        <w:tc>
          <w:tcPr>
            <w:tcW w:type="dxa" w:w="4248"/>
          </w:tcPr>
          <w:p>
            <w:pPr>
              <w:spacing w:after="20"/>
            </w:pPr>
            <w:r/>
          </w:p>
        </w:tc>
      </w:tr>
      <w:tr>
        <w:tc>
          <w:tcPr>
            <w:tcW w:type="dxa" w:w="1800"/>
          </w:tcPr>
          <w:p>
            <w:pPr>
              <w:spacing w:after="20"/>
            </w:pPr>
            <w:r/>
            <w:r>
              <w:rPr>
                <w:b w:val="0"/>
                <w:i w:val="0"/>
                <w:sz w:val="15"/>
              </w:rPr>
              <w:t>Tue. Mar. 4, 2025</w:t>
            </w:r>
          </w:p>
        </w:tc>
        <w:tc>
          <w:tcPr>
            <w:tcW w:type="dxa" w:w="5184"/>
          </w:tcPr>
          <w:p>
            <w:pPr>
              <w:spacing w:after="20"/>
            </w:pPr>
            <w:r/>
            <w:r>
              <w:rPr>
                <w:b w:val="0"/>
                <w:i w:val="0"/>
                <w:sz w:val="15"/>
              </w:rPr>
              <w:t>Outside date for KERP payments (no later than 10 business days after ED)</w:t>
            </w:r>
          </w:p>
        </w:tc>
        <w:tc>
          <w:tcPr>
            <w:tcW w:type="dxa" w:w="2736"/>
          </w:tcPr>
          <w:p>
            <w:pPr>
              <w:spacing w:after="20"/>
            </w:pPr>
            <w:r/>
            <w:r>
              <w:rPr>
                <w:b w:val="0"/>
                <w:i w:val="0"/>
                <w:sz w:val="15"/>
              </w:rPr>
              <w:t>KERP Order ¶ 3; Plan § 2.05</w:t>
            </w:r>
          </w:p>
        </w:tc>
        <w:tc>
          <w:tcPr>
            <w:tcW w:type="dxa" w:w="4248"/>
          </w:tcPr>
          <w:p>
            <w:pPr>
              <w:spacing w:after="20"/>
            </w:pPr>
            <w:r/>
          </w:p>
        </w:tc>
      </w:tr>
      <w:tr>
        <w:tc>
          <w:tcPr>
            <w:tcW w:type="dxa" w:w="1800"/>
          </w:tcPr>
          <w:p>
            <w:pPr>
              <w:spacing w:after="20"/>
            </w:pPr>
            <w:r/>
            <w:r>
              <w:rPr>
                <w:b w:val="0"/>
                <w:i w:val="0"/>
                <w:sz w:val="15"/>
              </w:rPr>
              <w:t>Thu. Mar. 20, 2025</w:t>
            </w:r>
          </w:p>
        </w:tc>
        <w:tc>
          <w:tcPr>
            <w:tcW w:type="dxa" w:w="5184"/>
          </w:tcPr>
          <w:p>
            <w:pPr>
              <w:spacing w:after="20"/>
            </w:pPr>
            <w:r/>
            <w:r>
              <w:rPr>
                <w:b w:val="0"/>
                <w:i w:val="0"/>
                <w:sz w:val="15"/>
              </w:rPr>
              <w:t>Administrative Claim request bar date (30 days); rejection damages claim bar date (30 days); Litigation Trust Initial Budget due (30 days)</w:t>
            </w:r>
          </w:p>
        </w:tc>
        <w:tc>
          <w:tcPr>
            <w:tcW w:type="dxa" w:w="2736"/>
          </w:tcPr>
          <w:p>
            <w:pPr>
              <w:spacing w:after="20"/>
            </w:pPr>
            <w:r/>
            <w:r>
              <w:rPr>
                <w:b w:val="0"/>
                <w:i w:val="0"/>
                <w:sz w:val="15"/>
              </w:rPr>
              <w:t>Plan §§ 2.01, 10.03; LTA § 3.06</w:t>
            </w:r>
          </w:p>
        </w:tc>
        <w:tc>
          <w:tcPr>
            <w:tcW w:type="dxa" w:w="4248"/>
          </w:tcPr>
          <w:p>
            <w:pPr>
              <w:spacing w:after="20"/>
            </w:pPr>
            <w:r/>
          </w:p>
        </w:tc>
      </w:tr>
      <w:tr>
        <w:tc>
          <w:tcPr>
            <w:tcW w:type="dxa" w:w="1800"/>
          </w:tcPr>
          <w:p>
            <w:pPr>
              <w:spacing w:after="20"/>
            </w:pPr>
            <w:r/>
            <w:r>
              <w:rPr>
                <w:b w:val="0"/>
                <w:i w:val="0"/>
                <w:sz w:val="15"/>
              </w:rPr>
              <w:t>Fri. Apr. 4, 2025</w:t>
            </w:r>
          </w:p>
        </w:tc>
        <w:tc>
          <w:tcPr>
            <w:tcW w:type="dxa" w:w="5184"/>
          </w:tcPr>
          <w:p>
            <w:pPr>
              <w:spacing w:after="20"/>
            </w:pPr>
            <w:r/>
            <w:r>
              <w:rPr>
                <w:b w:val="0"/>
                <w:i w:val="0"/>
                <w:sz w:val="15"/>
              </w:rPr>
              <w:t>Final fee applications due (45 days); IRS Form 8937 due (45 days)</w:t>
            </w:r>
          </w:p>
        </w:tc>
        <w:tc>
          <w:tcPr>
            <w:tcW w:type="dxa" w:w="2736"/>
          </w:tcPr>
          <w:p>
            <w:pPr>
              <w:spacing w:after="20"/>
            </w:pPr>
            <w:r/>
            <w:r>
              <w:rPr>
                <w:b w:val="0"/>
                <w:i w:val="0"/>
                <w:sz w:val="15"/>
              </w:rPr>
              <w:t>Plan §§ 2.02, 8.06, 13.08; CO ¶¶ 12(a)(4)(iii), 42, 58</w:t>
            </w:r>
          </w:p>
        </w:tc>
        <w:tc>
          <w:tcPr>
            <w:tcW w:type="dxa" w:w="4248"/>
          </w:tcPr>
          <w:p>
            <w:pPr>
              <w:spacing w:after="20"/>
            </w:pPr>
            <w:r/>
          </w:p>
        </w:tc>
      </w:tr>
      <w:tr>
        <w:tc>
          <w:tcPr>
            <w:tcW w:type="dxa" w:w="1800"/>
          </w:tcPr>
          <w:p>
            <w:pPr>
              <w:spacing w:after="20"/>
            </w:pPr>
            <w:r/>
            <w:r>
              <w:rPr>
                <w:b/>
                <w:i w:val="0"/>
                <w:sz w:val="15"/>
              </w:rPr>
              <w:t>Thu. Apr. 17, 2025</w:t>
            </w:r>
          </w:p>
        </w:tc>
        <w:tc>
          <w:tcPr>
            <w:tcW w:type="dxa" w:w="5184"/>
          </w:tcPr>
          <w:p>
            <w:pPr>
              <w:spacing w:after="20"/>
            </w:pPr>
            <w:r/>
            <w:r>
              <w:rPr>
                <w:b/>
                <w:i w:val="0"/>
                <w:sz w:val="15"/>
              </w:rPr>
              <w:t>Outside Date</w:t>
            </w:r>
            <w:r>
              <w:rPr>
                <w:b w:val="0"/>
                <w:i w:val="0"/>
                <w:sz w:val="15"/>
              </w:rPr>
              <w:t xml:space="preserve"> — Plan null and void, CO vacated, unless ED has occurred or Outside Date extended </w:t>
            </w:r>
            <w:r>
              <w:rPr>
                <w:b/>
                <w:i w:val="0"/>
                <w:sz w:val="15"/>
              </w:rPr>
              <w:t>by Court order</w:t>
            </w:r>
            <w:r>
              <w:rPr>
                <w:b w:val="0"/>
                <w:i w:val="0"/>
                <w:sz w:val="15"/>
              </w:rPr>
              <w:t xml:space="preserve"> (CO ¶ 32); Commitment Letter terminates automatically</w:t>
            </w:r>
          </w:p>
        </w:tc>
        <w:tc>
          <w:tcPr>
            <w:tcW w:type="dxa" w:w="2736"/>
          </w:tcPr>
          <w:p>
            <w:pPr>
              <w:spacing w:after="20"/>
            </w:pPr>
            <w:r/>
            <w:r>
              <w:rPr>
                <w:b w:val="0"/>
                <w:i w:val="0"/>
                <w:sz w:val="15"/>
              </w:rPr>
              <w:t>Plan § 9.03; CO ¶ 32; Commitment Letter § 10.1(b)</w:t>
            </w:r>
          </w:p>
        </w:tc>
        <w:tc>
          <w:tcPr>
            <w:tcW w:type="dxa" w:w="4248"/>
          </w:tcPr>
          <w:p>
            <w:pPr>
              <w:spacing w:after="20"/>
            </w:pPr>
            <w:r/>
            <w:r>
              <w:rPr>
                <w:b w:val="0"/>
                <w:i w:val="0"/>
                <w:sz w:val="15"/>
              </w:rPr>
              <w:t>Any extension motion should be filed no later than ~Apr. 2 to allow notice and hearing; Commitment Letter amendment needed separately (§ 14.4)</w:t>
            </w:r>
          </w:p>
        </w:tc>
      </w:tr>
    </w:tbl>
    <w:p>
      <w:pPr>
        <w:spacing w:after="40"/>
      </w:pPr>
    </w:p>
    <w:p>
      <w:pPr>
        <w:pStyle w:val="Heading1"/>
      </w:pPr>
      <w:r>
        <w:rPr>
          <w:color w:val="1F3864"/>
        </w:rPr>
        <w:t>3. Status Dashboard</w:t>
      </w:r>
    </w:p>
    <w:p>
      <w:pPr>
        <w:spacing w:after="80"/>
      </w:pPr>
      <w:r>
        <w:rPr>
          <w:b w:val="0"/>
          <w:i w:val="0"/>
          <w:sz w:val="17"/>
        </w:rPr>
        <w:t>Abbreviations: RCFLL = Required Consenting First Lien Lenders (≥ 66⅔% of First Lien Claims held by Consenting First Lien Lenders); CL = Exit Facility Commitment Letter (Dec. 5, 2024); ICA = Intercreditor Agreement; LTA = draft Litigation Trust Agreement; ED = Effective Date. Rows 1–13 track Plan § 9.01(a)–(m); rows 14–18 are additional conditions or closing requirements imposed by the Confirmation Order or the Commitment Letter that the Status Report does not track.</w:t>
      </w:r>
    </w:p>
    <w:tbl>
      <w:tblPr>
        <w:tblStyle w:val="TableGrid"/>
        <w:tblW w:type="auto" w:w="0"/>
        <w:jc w:val="center"/>
        <w:tblLayout w:type="fixed"/>
        <w:tblLook w:firstColumn="1" w:firstRow="1" w:lastColumn="0" w:lastRow="0" w:noHBand="0" w:noVBand="1" w:val="04A0"/>
      </w:tblPr>
      <w:tblGrid>
        <w:gridCol w:w="432"/>
        <w:gridCol w:w="2520"/>
        <w:gridCol w:w="1512"/>
        <w:gridCol w:w="3096"/>
        <w:gridCol w:w="864"/>
        <w:gridCol w:w="1368"/>
        <w:gridCol w:w="1368"/>
        <w:gridCol w:w="2951"/>
      </w:tblGrid>
      <w:tr>
        <w:trPr>
          <w:tblHeader w:val="true"/>
        </w:trPr>
        <w:tc>
          <w:tcPr>
            <w:tcW w:type="dxa" w:w="432"/>
            <w:shd w:val="clear" w:color="auto" w:fill="1F3864"/>
          </w:tcPr>
          <w:p>
            <w:r/>
            <w:r>
              <w:rPr>
                <w:b/>
                <w:color w:val="FFFFFF"/>
                <w:sz w:val="14"/>
              </w:rPr>
              <w:t>#</w:t>
            </w:r>
          </w:p>
        </w:tc>
        <w:tc>
          <w:tcPr>
            <w:tcW w:type="dxa" w:w="2520"/>
            <w:shd w:val="clear" w:color="auto" w:fill="1F3864"/>
          </w:tcPr>
          <w:p>
            <w:r/>
            <w:r>
              <w:rPr>
                <w:b/>
                <w:color w:val="FFFFFF"/>
                <w:sz w:val="14"/>
              </w:rPr>
              <w:t>Condition / Source</w:t>
            </w:r>
          </w:p>
        </w:tc>
        <w:tc>
          <w:tcPr>
            <w:tcW w:type="dxa" w:w="1512"/>
            <w:shd w:val="clear" w:color="auto" w:fill="1F3864"/>
          </w:tcPr>
          <w:p>
            <w:r/>
            <w:r>
              <w:rPr>
                <w:b/>
                <w:color w:val="FFFFFF"/>
                <w:sz w:val="14"/>
              </w:rPr>
              <w:t>Waivable?</w:t>
            </w:r>
          </w:p>
        </w:tc>
        <w:tc>
          <w:tcPr>
            <w:tcW w:type="dxa" w:w="3096"/>
            <w:shd w:val="clear" w:color="auto" w:fill="1F3864"/>
          </w:tcPr>
          <w:p>
            <w:r/>
            <w:r>
              <w:rPr>
                <w:b/>
                <w:color w:val="FFFFFF"/>
                <w:sz w:val="14"/>
              </w:rPr>
              <w:t>Status (as of Feb. 7, 2025)</w:t>
            </w:r>
          </w:p>
        </w:tc>
        <w:tc>
          <w:tcPr>
            <w:tcW w:type="dxa" w:w="864"/>
            <w:shd w:val="clear" w:color="auto" w:fill="1F3864"/>
          </w:tcPr>
          <w:p>
            <w:r/>
            <w:r>
              <w:rPr>
                <w:b/>
                <w:color w:val="FFFFFF"/>
                <w:sz w:val="14"/>
              </w:rPr>
              <w:t>RAG</w:t>
            </w:r>
          </w:p>
        </w:tc>
        <w:tc>
          <w:tcPr>
            <w:tcW w:type="dxa" w:w="1368"/>
            <w:shd w:val="clear" w:color="auto" w:fill="1F3864"/>
          </w:tcPr>
          <w:p>
            <w:r/>
            <w:r>
              <w:rPr>
                <w:b/>
                <w:color w:val="FFFFFF"/>
                <w:sz w:val="14"/>
              </w:rPr>
              <w:t>Gating date</w:t>
            </w:r>
          </w:p>
        </w:tc>
        <w:tc>
          <w:tcPr>
            <w:tcW w:type="dxa" w:w="1368"/>
            <w:shd w:val="clear" w:color="auto" w:fill="1F3864"/>
          </w:tcPr>
          <w:p>
            <w:r/>
            <w:r>
              <w:rPr>
                <w:b/>
                <w:color w:val="FFFFFF"/>
                <w:sz w:val="14"/>
              </w:rPr>
              <w:t>Owner</w:t>
            </w:r>
          </w:p>
        </w:tc>
        <w:tc>
          <w:tcPr>
            <w:tcW w:type="dxa" w:w="2952"/>
            <w:shd w:val="clear" w:color="auto" w:fill="1F3864"/>
          </w:tcPr>
          <w:p>
            <w:r/>
            <w:r>
              <w:rPr>
                <w:b/>
                <w:color w:val="FFFFFF"/>
                <w:sz w:val="14"/>
              </w:rPr>
              <w:t>Immediate next step</w:t>
            </w:r>
          </w:p>
        </w:tc>
      </w:tr>
      <w:tr>
        <w:tc>
          <w:tcPr>
            <w:tcW w:type="dxa" w:w="432"/>
          </w:tcPr>
          <w:p>
            <w:pPr>
              <w:spacing w:after="20"/>
            </w:pPr>
            <w:r/>
            <w:r>
              <w:rPr>
                <w:b w:val="0"/>
                <w:i w:val="0"/>
                <w:sz w:val="14"/>
              </w:rPr>
              <w:t>1</w:t>
            </w:r>
          </w:p>
        </w:tc>
        <w:tc>
          <w:tcPr>
            <w:tcW w:type="dxa" w:w="2520"/>
          </w:tcPr>
          <w:p>
            <w:pPr>
              <w:spacing w:after="20"/>
            </w:pPr>
            <w:r/>
            <w:r>
              <w:rPr>
                <w:b w:val="0"/>
                <w:i w:val="0"/>
                <w:sz w:val="14"/>
              </w:rPr>
              <w:t>Confirmation Order is a Final Order</w:t>
            </w:r>
          </w:p>
          <w:p>
            <w:pPr>
              <w:spacing w:after="20"/>
            </w:pPr>
            <w:r>
              <w:rPr>
                <w:b w:val="0"/>
                <w:i w:val="0"/>
                <w:sz w:val="14"/>
              </w:rPr>
              <w:t>Plan § 9.01(a); CO ¶¶ 33(a), 74–77</w:t>
            </w:r>
          </w:p>
        </w:tc>
        <w:tc>
          <w:tcPr>
            <w:tcW w:type="dxa" w:w="1512"/>
          </w:tcPr>
          <w:p>
            <w:pPr>
              <w:spacing w:after="20"/>
            </w:pPr>
            <w:r/>
            <w:r>
              <w:rPr>
                <w:b/>
                <w:i w:val="0"/>
                <w:sz w:val="14"/>
              </w:rPr>
              <w:t>No</w:t>
            </w:r>
            <w:r>
              <w:rPr>
                <w:b w:val="0"/>
                <w:i w:val="0"/>
                <w:sz w:val="14"/>
              </w:rPr>
              <w:t xml:space="preserve"> (Plan § 9.02; CO ¶¶ 34, 75)</w:t>
            </w:r>
          </w:p>
        </w:tc>
        <w:tc>
          <w:tcPr>
            <w:tcW w:type="dxa" w:w="3096"/>
          </w:tcPr>
          <w:p>
            <w:pPr>
              <w:spacing w:after="20"/>
            </w:pPr>
            <w:r/>
            <w:r>
              <w:rPr>
                <w:b w:val="0"/>
                <w:i w:val="0"/>
                <w:sz w:val="14"/>
              </w:rPr>
              <w:t>Entered Jan. 17; 14-day appeal period ran Jan. 31. Status Report says expired “to the Debtor’s knowledge” — no docket certification.</w:t>
            </w:r>
          </w:p>
        </w:tc>
        <w:tc>
          <w:tcPr>
            <w:tcW w:type="dxa" w:w="864"/>
            <w:shd w:val="clear" w:color="auto" w:fill="C6EFCE"/>
          </w:tcPr>
          <w:p>
            <w:pPr>
              <w:spacing w:after="20"/>
            </w:pPr>
            <w:r/>
            <w:r>
              <w:rPr>
                <w:b w:val="0"/>
                <w:i w:val="0"/>
                <w:sz w:val="14"/>
              </w:rPr>
              <w:t>GREEN</w:t>
            </w:r>
          </w:p>
        </w:tc>
        <w:tc>
          <w:tcPr>
            <w:tcW w:type="dxa" w:w="1368"/>
          </w:tcPr>
          <w:p>
            <w:pPr>
              <w:spacing w:after="20"/>
            </w:pPr>
            <w:r/>
            <w:r>
              <w:rPr>
                <w:b w:val="0"/>
                <w:i w:val="0"/>
                <w:sz w:val="14"/>
              </w:rPr>
              <w:t>Satisfied Feb. 1 (verify)</w:t>
            </w:r>
          </w:p>
        </w:tc>
        <w:tc>
          <w:tcPr>
            <w:tcW w:type="dxa" w:w="1368"/>
          </w:tcPr>
          <w:p>
            <w:pPr>
              <w:spacing w:after="20"/>
            </w:pPr>
            <w:r/>
            <w:r>
              <w:rPr>
                <w:b w:val="0"/>
                <w:i w:val="0"/>
                <w:sz w:val="14"/>
              </w:rPr>
              <w:t>Thornfield</w:t>
            </w:r>
          </w:p>
        </w:tc>
        <w:tc>
          <w:tcPr>
            <w:tcW w:type="dxa" w:w="2952"/>
          </w:tcPr>
          <w:p>
            <w:pPr>
              <w:spacing w:after="20"/>
            </w:pPr>
            <w:r/>
            <w:r>
              <w:rPr>
                <w:b w:val="0"/>
                <w:i w:val="0"/>
                <w:sz w:val="14"/>
              </w:rPr>
              <w:t>Pull docket; confirm no notice of appeal, Rule 9023/9024 or 8002(b) motion; prepare officer/counsel certificate for Commitment Letter Ex. C item 17.</w:t>
            </w:r>
          </w:p>
        </w:tc>
      </w:tr>
      <w:tr>
        <w:tc>
          <w:tcPr>
            <w:tcW w:type="dxa" w:w="432"/>
          </w:tcPr>
          <w:p>
            <w:pPr>
              <w:spacing w:after="20"/>
            </w:pPr>
            <w:r/>
            <w:r>
              <w:rPr>
                <w:b w:val="0"/>
                <w:i w:val="0"/>
                <w:sz w:val="14"/>
              </w:rPr>
              <w:t>2</w:t>
            </w:r>
          </w:p>
        </w:tc>
        <w:tc>
          <w:tcPr>
            <w:tcW w:type="dxa" w:w="2520"/>
          </w:tcPr>
          <w:p>
            <w:pPr>
              <w:spacing w:after="20"/>
            </w:pPr>
            <w:r/>
            <w:r>
              <w:rPr>
                <w:b w:val="0"/>
                <w:i w:val="0"/>
                <w:sz w:val="14"/>
              </w:rPr>
              <w:t>Exit Facility closing — documents executed and delivered; all CPs to initial borrowing satisfied/waived</w:t>
            </w:r>
          </w:p>
          <w:p>
            <w:pPr>
              <w:spacing w:after="20"/>
            </w:pPr>
            <w:r>
              <w:rPr>
                <w:b w:val="0"/>
                <w:i w:val="0"/>
                <w:sz w:val="14"/>
              </w:rPr>
              <w:t>Plan § 9.01(b); CO ¶¶ 33(b), 35–39; Commitment Letter §§ 3–5, Ex. C</w:t>
            </w:r>
          </w:p>
        </w:tc>
        <w:tc>
          <w:tcPr>
            <w:tcW w:type="dxa" w:w="1512"/>
          </w:tcPr>
          <w:p>
            <w:pPr>
              <w:spacing w:after="20"/>
            </w:pPr>
            <w:r/>
            <w:r>
              <w:rPr>
                <w:b/>
                <w:i w:val="0"/>
                <w:sz w:val="14"/>
              </w:rPr>
              <w:t>No</w:t>
            </w:r>
            <w:r>
              <w:rPr>
                <w:b w:val="0"/>
                <w:i w:val="0"/>
                <w:sz w:val="14"/>
              </w:rPr>
              <w:t xml:space="preserve"> under Plan § 9.02 (CO ¶ 34 lists only (a); apply Plan). Lenders may waive their own funding CPs (CL § 3.1)</w:t>
            </w:r>
          </w:p>
        </w:tc>
        <w:tc>
          <w:tcPr>
            <w:tcW w:type="dxa" w:w="3096"/>
          </w:tcPr>
          <w:p>
            <w:pPr>
              <w:spacing w:after="20"/>
            </w:pPr>
            <w:r/>
            <w:r>
              <w:rPr>
                <w:b w:val="0"/>
                <w:i w:val="0"/>
                <w:sz w:val="14"/>
              </w:rPr>
              <w:t>Term Loan CA v.14 substantially final (schedules, opinions open). ABL CA not final (foreign receivables eligibility; cash dominion trigger). Intercreditor at impasse on 4 business points. 25 Ex. C closing deliverables largely unstarted on the record.</w:t>
            </w:r>
          </w:p>
        </w:tc>
        <w:tc>
          <w:tcPr>
            <w:tcW w:type="dxa" w:w="864"/>
            <w:shd w:val="clear" w:color="auto" w:fill="F4B6B6"/>
          </w:tcPr>
          <w:p>
            <w:pPr>
              <w:spacing w:after="20"/>
            </w:pPr>
            <w:r/>
            <w:r>
              <w:rPr>
                <w:b w:val="0"/>
                <w:i w:val="0"/>
                <w:sz w:val="14"/>
              </w:rPr>
              <w:t>RED</w:t>
            </w:r>
          </w:p>
        </w:tc>
        <w:tc>
          <w:tcPr>
            <w:tcW w:type="dxa" w:w="1368"/>
          </w:tcPr>
          <w:p>
            <w:pPr>
              <w:spacing w:after="20"/>
            </w:pPr>
            <w:r/>
            <w:r>
              <w:rPr>
                <w:b w:val="0"/>
                <w:i w:val="0"/>
                <w:sz w:val="14"/>
              </w:rPr>
              <w:t>Final ICA form Feb. 11; execution Feb. 12 (conservative) / Feb. 13 (stated); funding Feb. 18</w:t>
            </w:r>
          </w:p>
        </w:tc>
        <w:tc>
          <w:tcPr>
            <w:tcW w:type="dxa" w:w="1368"/>
          </w:tcPr>
          <w:p>
            <w:pPr>
              <w:spacing w:after="20"/>
            </w:pPr>
            <w:r/>
            <w:r>
              <w:rPr>
                <w:b w:val="0"/>
                <w:i w:val="0"/>
                <w:sz w:val="14"/>
              </w:rPr>
              <w:t>Thornfield; Ledgerstone (Archer); Greystone (Hollowell); Petworth; CFO</w:t>
            </w:r>
          </w:p>
        </w:tc>
        <w:tc>
          <w:tcPr>
            <w:tcW w:type="dxa" w:w="2952"/>
          </w:tcPr>
          <w:p>
            <w:pPr>
              <w:spacing w:after="20"/>
            </w:pPr>
            <w:r/>
            <w:r>
              <w:rPr>
                <w:b w:val="0"/>
                <w:i w:val="0"/>
                <w:sz w:val="14"/>
              </w:rPr>
              <w:t>Principals call Feb. 7; escalate to business heads; if no ICA term-sheet agreement by Feb. 10, trigger fallback ED and seek written CL amendment (not “flex”).</w:t>
            </w:r>
          </w:p>
        </w:tc>
      </w:tr>
      <w:tr>
        <w:tc>
          <w:tcPr>
            <w:tcW w:type="dxa" w:w="432"/>
          </w:tcPr>
          <w:p>
            <w:pPr>
              <w:spacing w:after="20"/>
            </w:pPr>
            <w:r/>
            <w:r>
              <w:rPr>
                <w:b w:val="0"/>
                <w:i w:val="0"/>
                <w:sz w:val="14"/>
              </w:rPr>
              <w:t>3</w:t>
            </w:r>
          </w:p>
        </w:tc>
        <w:tc>
          <w:tcPr>
            <w:tcW w:type="dxa" w:w="2520"/>
          </w:tcPr>
          <w:p>
            <w:pPr>
              <w:spacing w:after="20"/>
            </w:pPr>
            <w:r/>
            <w:r>
              <w:rPr>
                <w:b w:val="0"/>
                <w:i w:val="0"/>
                <w:sz w:val="14"/>
              </w:rPr>
              <w:t>Professional Fee Escrow established and funded at $26,000,000</w:t>
            </w:r>
          </w:p>
          <w:p>
            <w:pPr>
              <w:spacing w:after="20"/>
            </w:pPr>
            <w:r>
              <w:rPr>
                <w:b w:val="0"/>
                <w:i w:val="0"/>
                <w:sz w:val="14"/>
              </w:rPr>
              <w:t>Plan §§ 2.02, 9.01(c); CO ¶¶ 33(c), 42</w:t>
            </w:r>
          </w:p>
        </w:tc>
        <w:tc>
          <w:tcPr>
            <w:tcW w:type="dxa" w:w="1512"/>
          </w:tcPr>
          <w:p>
            <w:pPr>
              <w:spacing w:after="20"/>
            </w:pPr>
            <w:r/>
            <w:r>
              <w:rPr>
                <w:b/>
                <w:i w:val="0"/>
                <w:sz w:val="14"/>
              </w:rPr>
              <w:t>No</w:t>
            </w:r>
            <w:r>
              <w:rPr>
                <w:b w:val="0"/>
                <w:i w:val="0"/>
                <w:sz w:val="14"/>
              </w:rPr>
              <w:t xml:space="preserve"> (Plan § 9.02)</w:t>
            </w:r>
          </w:p>
        </w:tc>
        <w:tc>
          <w:tcPr>
            <w:tcW w:type="dxa" w:w="3096"/>
          </w:tcPr>
          <w:p>
            <w:pPr>
              <w:spacing w:after="20"/>
            </w:pPr>
            <w:r/>
            <w:r>
              <w:rPr>
                <w:b w:val="0"/>
                <w:i w:val="0"/>
                <w:sz w:val="14"/>
              </w:rPr>
              <w:t>Not yet funded; funding source is cash plus ABL draw (CL § 2.2). Fees ~$24.8M through Jan. 2025 vs. $26.0M escrow. Escrow bank (acceptable to Debtor and Committee) not identified.</w:t>
            </w:r>
          </w:p>
        </w:tc>
        <w:tc>
          <w:tcPr>
            <w:tcW w:type="dxa" w:w="864"/>
            <w:shd w:val="clear" w:color="auto" w:fill="FFE699"/>
          </w:tcPr>
          <w:p>
            <w:pPr>
              <w:spacing w:after="20"/>
            </w:pPr>
            <w:r/>
            <w:r>
              <w:rPr>
                <w:b w:val="0"/>
                <w:i w:val="0"/>
                <w:sz w:val="14"/>
              </w:rPr>
              <w:t>AMBER</w:t>
            </w:r>
          </w:p>
        </w:tc>
        <w:tc>
          <w:tcPr>
            <w:tcW w:type="dxa" w:w="1368"/>
          </w:tcPr>
          <w:p>
            <w:pPr>
              <w:spacing w:after="20"/>
            </w:pPr>
            <w:r/>
            <w:r>
              <w:rPr>
                <w:b w:val="0"/>
                <w:i w:val="0"/>
                <w:sz w:val="14"/>
              </w:rPr>
              <w:t>Feb. 18 (funded at closing)</w:t>
            </w:r>
          </w:p>
        </w:tc>
        <w:tc>
          <w:tcPr>
            <w:tcW w:type="dxa" w:w="1368"/>
          </w:tcPr>
          <w:p>
            <w:pPr>
              <w:spacing w:after="20"/>
            </w:pPr>
            <w:r/>
            <w:r>
              <w:rPr>
                <w:b w:val="0"/>
                <w:i w:val="0"/>
                <w:sz w:val="14"/>
              </w:rPr>
              <w:t>CFO; Petworth; Thornfield</w:t>
            </w:r>
          </w:p>
        </w:tc>
        <w:tc>
          <w:tcPr>
            <w:tcW w:type="dxa" w:w="2952"/>
          </w:tcPr>
          <w:p>
            <w:pPr>
              <w:spacing w:after="20"/>
            </w:pPr>
            <w:r/>
            <w:r>
              <w:rPr>
                <w:b w:val="0"/>
                <w:i w:val="0"/>
                <w:sz w:val="14"/>
              </w:rPr>
              <w:t>Collect fee estimates through ED from all Professionals by Feb. 11; open escrow account; draft escrow agreement; confirm Committee sign-off on institution.</w:t>
            </w:r>
          </w:p>
        </w:tc>
      </w:tr>
      <w:tr>
        <w:tc>
          <w:tcPr>
            <w:tcW w:type="dxa" w:w="432"/>
          </w:tcPr>
          <w:p>
            <w:pPr>
              <w:spacing w:after="20"/>
            </w:pPr>
            <w:r/>
            <w:r>
              <w:rPr>
                <w:b w:val="0"/>
                <w:i w:val="0"/>
                <w:sz w:val="14"/>
              </w:rPr>
              <w:t>4</w:t>
            </w:r>
          </w:p>
        </w:tc>
        <w:tc>
          <w:tcPr>
            <w:tcW w:type="dxa" w:w="2520"/>
          </w:tcPr>
          <w:p>
            <w:pPr>
              <w:spacing w:after="20"/>
            </w:pPr>
            <w:r/>
            <w:r>
              <w:rPr>
                <w:b w:val="0"/>
                <w:i w:val="0"/>
                <w:sz w:val="14"/>
              </w:rPr>
              <w:t>A&amp;R Certificate of Incorporation filed with DE SOS; A&amp;R Bylaws adopted</w:t>
            </w:r>
          </w:p>
          <w:p>
            <w:pPr>
              <w:spacing w:after="20"/>
            </w:pPr>
            <w:r>
              <w:rPr>
                <w:b w:val="0"/>
                <w:i w:val="0"/>
                <w:sz w:val="14"/>
              </w:rPr>
              <w:t>Plan §§ 5.06, 6.01, 9.01(d); CO ¶¶ 33(f), 50–51; CL § 3.1(e)</w:t>
            </w:r>
          </w:p>
        </w:tc>
        <w:tc>
          <w:tcPr>
            <w:tcW w:type="dxa" w:w="1512"/>
          </w:tcPr>
          <w:p>
            <w:pPr>
              <w:spacing w:after="20"/>
            </w:pPr>
            <w:r/>
            <w:r>
              <w:rPr>
                <w:b w:val="0"/>
                <w:i w:val="0"/>
                <w:sz w:val="14"/>
              </w:rPr>
              <w:t>Yes — Debtor with RCFLL prior written consent</w:t>
            </w:r>
          </w:p>
        </w:tc>
        <w:tc>
          <w:tcPr>
            <w:tcW w:type="dxa" w:w="3096"/>
          </w:tcPr>
          <w:p>
            <w:pPr>
              <w:spacing w:after="20"/>
            </w:pPr>
            <w:r/>
            <w:r>
              <w:rPr>
                <w:b w:val="0"/>
                <w:i w:val="0"/>
                <w:sz w:val="14"/>
              </w:rPr>
              <w:t xml:space="preserve">Final form; approved by Hollowell Craine &amp; Burgess as RCFLL counsel. COI to be filed “on the Effective Date.” CO requires bylaws adopted by the </w:t>
            </w:r>
            <w:r>
              <w:rPr>
                <w:b/>
                <w:i w:val="0"/>
                <w:sz w:val="14"/>
              </w:rPr>
              <w:t>Board of Reorganized Oakvale</w:t>
            </w:r>
            <w:r>
              <w:rPr>
                <w:b w:val="0"/>
                <w:i w:val="0"/>
                <w:sz w:val="14"/>
              </w:rPr>
              <w:t>; Plan says “by the Debtor.” Legal-name discrepancy (Oakvale/Ridgemont).</w:t>
            </w:r>
          </w:p>
        </w:tc>
        <w:tc>
          <w:tcPr>
            <w:tcW w:type="dxa" w:w="864"/>
            <w:shd w:val="clear" w:color="auto" w:fill="FFE699"/>
          </w:tcPr>
          <w:p>
            <w:pPr>
              <w:spacing w:after="20"/>
            </w:pPr>
            <w:r/>
            <w:r>
              <w:rPr>
                <w:b w:val="0"/>
                <w:i w:val="0"/>
                <w:sz w:val="14"/>
              </w:rPr>
              <w:t>AMBER</w:t>
            </w:r>
          </w:p>
        </w:tc>
        <w:tc>
          <w:tcPr>
            <w:tcW w:type="dxa" w:w="1368"/>
          </w:tcPr>
          <w:p>
            <w:pPr>
              <w:spacing w:after="20"/>
            </w:pPr>
            <w:r/>
            <w:r>
              <w:rPr>
                <w:b w:val="0"/>
                <w:i w:val="0"/>
                <w:sz w:val="14"/>
              </w:rPr>
              <w:t>Pre-clear by Feb. 12; file with ED effective time</w:t>
            </w:r>
          </w:p>
        </w:tc>
        <w:tc>
          <w:tcPr>
            <w:tcW w:type="dxa" w:w="1368"/>
          </w:tcPr>
          <w:p>
            <w:pPr>
              <w:spacing w:after="20"/>
            </w:pPr>
            <w:r/>
            <w:r>
              <w:rPr>
                <w:b w:val="0"/>
                <w:i w:val="0"/>
                <w:sz w:val="14"/>
              </w:rPr>
              <w:t>Thornfield; DE registered agent</w:t>
            </w:r>
          </w:p>
        </w:tc>
        <w:tc>
          <w:tcPr>
            <w:tcW w:type="dxa" w:w="2952"/>
          </w:tcPr>
          <w:p>
            <w:pPr>
              <w:spacing w:after="20"/>
            </w:pPr>
            <w:r/>
            <w:r>
              <w:rPr>
                <w:b w:val="0"/>
                <w:i w:val="0"/>
                <w:sz w:val="14"/>
              </w:rPr>
              <w:t>Confirm exact legal name on DE register; pre-clear COI with DE SOS; file with future effective time (DGCL § 103(d)); board resolution adopting bylaws at closing; obtain certified copies (CL Ex. C item 11).</w:t>
            </w:r>
          </w:p>
        </w:tc>
      </w:tr>
      <w:tr>
        <w:tc>
          <w:tcPr>
            <w:tcW w:type="dxa" w:w="432"/>
          </w:tcPr>
          <w:p>
            <w:pPr>
              <w:spacing w:after="20"/>
            </w:pPr>
            <w:r/>
            <w:r>
              <w:rPr>
                <w:b w:val="0"/>
                <w:i w:val="0"/>
                <w:sz w:val="14"/>
              </w:rPr>
              <w:t>5</w:t>
            </w:r>
          </w:p>
        </w:tc>
        <w:tc>
          <w:tcPr>
            <w:tcW w:type="dxa" w:w="2520"/>
          </w:tcPr>
          <w:p>
            <w:pPr>
              <w:spacing w:after="20"/>
            </w:pPr>
            <w:r/>
            <w:r>
              <w:rPr>
                <w:b w:val="0"/>
                <w:i w:val="0"/>
                <w:sz w:val="14"/>
              </w:rPr>
              <w:t>Shareholders’ Agreement executed</w:t>
            </w:r>
          </w:p>
          <w:p>
            <w:pPr>
              <w:spacing w:after="20"/>
            </w:pPr>
            <w:r>
              <w:rPr>
                <w:b w:val="0"/>
                <w:i w:val="0"/>
                <w:sz w:val="14"/>
              </w:rPr>
              <w:t>Plan §§ 5.03, 9.01(e); CO ¶¶ 33(g), 52</w:t>
            </w:r>
          </w:p>
        </w:tc>
        <w:tc>
          <w:tcPr>
            <w:tcW w:type="dxa" w:w="1512"/>
          </w:tcPr>
          <w:p>
            <w:pPr>
              <w:spacing w:after="20"/>
            </w:pPr>
            <w:r/>
            <w:r>
              <w:rPr>
                <w:b w:val="0"/>
                <w:i w:val="0"/>
                <w:sz w:val="14"/>
              </w:rPr>
              <w:t>Yes — Debtor with RCFLL consent (but CO formulation stricter)</w:t>
            </w:r>
          </w:p>
        </w:tc>
        <w:tc>
          <w:tcPr>
            <w:tcW w:type="dxa" w:w="3096"/>
          </w:tcPr>
          <w:p>
            <w:pPr>
              <w:spacing w:after="20"/>
            </w:pPr>
            <w:r/>
            <w:r>
              <w:rPr>
                <w:b w:val="0"/>
                <w:i w:val="0"/>
                <w:sz w:val="14"/>
              </w:rPr>
              <w:t xml:space="preserve">Substantially final; conforming edits to track Exit Facility and LTA. Plan requires execution by Debtor/Reorganized Oakvale; </w:t>
            </w:r>
            <w:r>
              <w:rPr>
                <w:b/>
                <w:i w:val="0"/>
                <w:sz w:val="14"/>
              </w:rPr>
              <w:t>CO requires execution “by or on behalf of all holders” of New Common Stock.</w:t>
            </w:r>
          </w:p>
        </w:tc>
        <w:tc>
          <w:tcPr>
            <w:tcW w:type="dxa" w:w="864"/>
            <w:shd w:val="clear" w:color="auto" w:fill="FFE699"/>
          </w:tcPr>
          <w:p>
            <w:pPr>
              <w:spacing w:after="20"/>
            </w:pPr>
            <w:r/>
            <w:r>
              <w:rPr>
                <w:b w:val="0"/>
                <w:i w:val="0"/>
                <w:sz w:val="14"/>
              </w:rPr>
              <w:t>AMBER</w:t>
            </w:r>
          </w:p>
        </w:tc>
        <w:tc>
          <w:tcPr>
            <w:tcW w:type="dxa" w:w="1368"/>
          </w:tcPr>
          <w:p>
            <w:pPr>
              <w:spacing w:after="20"/>
            </w:pPr>
            <w:r/>
            <w:r>
              <w:rPr>
                <w:b w:val="0"/>
                <w:i w:val="0"/>
                <w:sz w:val="14"/>
              </w:rPr>
              <w:t>Feb. 14 (escrow)</w:t>
            </w:r>
          </w:p>
        </w:tc>
        <w:tc>
          <w:tcPr>
            <w:tcW w:type="dxa" w:w="1368"/>
          </w:tcPr>
          <w:p>
            <w:pPr>
              <w:spacing w:after="20"/>
            </w:pPr>
            <w:r/>
            <w:r>
              <w:rPr>
                <w:b w:val="0"/>
                <w:i w:val="0"/>
                <w:sz w:val="14"/>
              </w:rPr>
              <w:t>Thornfield; RCFLL counsel</w:t>
            </w:r>
          </w:p>
        </w:tc>
        <w:tc>
          <w:tcPr>
            <w:tcW w:type="dxa" w:w="2952"/>
          </w:tcPr>
          <w:p>
            <w:pPr>
              <w:spacing w:after="20"/>
            </w:pPr>
            <w:r/>
            <w:r>
              <w:rPr>
                <w:b w:val="0"/>
                <w:i w:val="0"/>
                <w:sz w:val="14"/>
              </w:rPr>
              <w:t>Build deemed-joinder/attorney-in-fact mechanic (Plan § 5.03 deemed acceptance + CO ¶ 86) into SHA and ED notice; obtain RCFLL written confirmation that this satisfies CO ¶ 33(g).</w:t>
            </w:r>
          </w:p>
        </w:tc>
      </w:tr>
      <w:tr>
        <w:tc>
          <w:tcPr>
            <w:tcW w:type="dxa" w:w="432"/>
          </w:tcPr>
          <w:p>
            <w:pPr>
              <w:spacing w:after="20"/>
            </w:pPr>
            <w:r/>
            <w:r>
              <w:rPr>
                <w:b w:val="0"/>
                <w:i w:val="0"/>
                <w:sz w:val="14"/>
              </w:rPr>
              <w:t>6</w:t>
            </w:r>
          </w:p>
        </w:tc>
        <w:tc>
          <w:tcPr>
            <w:tcW w:type="dxa" w:w="2520"/>
          </w:tcPr>
          <w:p>
            <w:pPr>
              <w:spacing w:after="20"/>
            </w:pPr>
            <w:r/>
            <w:r>
              <w:rPr>
                <w:b w:val="0"/>
                <w:i w:val="0"/>
                <w:sz w:val="14"/>
              </w:rPr>
              <w:t>Reorganized Board designated (3 RCFLL; 1 Second Lien; Harwick) with notice ≥ 5 Business Days before ED</w:t>
            </w:r>
          </w:p>
          <w:p>
            <w:pPr>
              <w:spacing w:after="20"/>
            </w:pPr>
            <w:r>
              <w:rPr>
                <w:b w:val="0"/>
                <w:i w:val="0"/>
                <w:sz w:val="14"/>
              </w:rPr>
              <w:t>Plan §§ 4.03, 5.07, 6.02, 9.01(f); CO ¶¶ 12(a)(5), 33(j)</w:t>
            </w:r>
          </w:p>
        </w:tc>
        <w:tc>
          <w:tcPr>
            <w:tcW w:type="dxa" w:w="1512"/>
          </w:tcPr>
          <w:p>
            <w:pPr>
              <w:spacing w:after="20"/>
            </w:pPr>
            <w:r/>
            <w:r>
              <w:rPr>
                <w:b w:val="0"/>
                <w:i w:val="0"/>
                <w:sz w:val="14"/>
              </w:rPr>
              <w:t>Yes — Debtor with RCFLL consent; Plan § 6.02 says failure to designate does not prevent ED (seat stays vacant)</w:t>
            </w:r>
          </w:p>
        </w:tc>
        <w:tc>
          <w:tcPr>
            <w:tcW w:type="dxa" w:w="3096"/>
          </w:tcPr>
          <w:p>
            <w:pPr>
              <w:spacing w:after="20"/>
            </w:pPr>
            <w:r/>
            <w:r>
              <w:rPr>
                <w:b w:val="0"/>
                <w:i w:val="0"/>
                <w:sz w:val="14"/>
              </w:rPr>
              <w:t xml:space="preserve">RCFLL designees: Margaret Chao, David Leinart, Robert Peña. Harwick continues. </w:t>
            </w:r>
            <w:r>
              <w:rPr>
                <w:b/>
                <w:i w:val="0"/>
                <w:sz w:val="14"/>
              </w:rPr>
              <w:t>Second Lien designee not received.</w:t>
            </w:r>
            <w:r>
              <w:rPr>
                <w:b w:val="0"/>
                <w:i w:val="0"/>
                <w:sz w:val="14"/>
              </w:rPr>
              <w:t xml:space="preserve"> Court disclosure filing not yet made.</w:t>
            </w:r>
          </w:p>
        </w:tc>
        <w:tc>
          <w:tcPr>
            <w:tcW w:type="dxa" w:w="864"/>
            <w:shd w:val="clear" w:color="auto" w:fill="FFE699"/>
          </w:tcPr>
          <w:p>
            <w:pPr>
              <w:spacing w:after="20"/>
            </w:pPr>
            <w:r/>
            <w:r>
              <w:rPr>
                <w:b w:val="0"/>
                <w:i w:val="0"/>
                <w:sz w:val="14"/>
              </w:rPr>
              <w:t>AMBER</w:t>
            </w:r>
          </w:p>
        </w:tc>
        <w:tc>
          <w:tcPr>
            <w:tcW w:type="dxa" w:w="1368"/>
          </w:tcPr>
          <w:p>
            <w:pPr>
              <w:spacing w:after="20"/>
            </w:pPr>
            <w:r/>
            <w:r>
              <w:rPr>
                <w:b w:val="0"/>
                <w:i w:val="0"/>
                <w:sz w:val="14"/>
              </w:rPr>
              <w:t>Designations Feb. 10; Court filing Feb. 12</w:t>
            </w:r>
          </w:p>
        </w:tc>
        <w:tc>
          <w:tcPr>
            <w:tcW w:type="dxa" w:w="1368"/>
          </w:tcPr>
          <w:p>
            <w:pPr>
              <w:spacing w:after="20"/>
            </w:pPr>
            <w:r/>
            <w:r>
              <w:rPr>
                <w:b w:val="0"/>
                <w:i w:val="0"/>
                <w:sz w:val="14"/>
              </w:rPr>
              <w:t>Capstone (2L Agent); Thornfield</w:t>
            </w:r>
          </w:p>
        </w:tc>
        <w:tc>
          <w:tcPr>
            <w:tcW w:type="dxa" w:w="2952"/>
          </w:tcPr>
          <w:p>
            <w:pPr>
              <w:spacing w:after="20"/>
            </w:pPr>
            <w:r/>
            <w:r>
              <w:rPr>
                <w:b w:val="0"/>
                <w:i w:val="0"/>
                <w:sz w:val="14"/>
              </w:rPr>
              <w:t>Written demand to Capstone for designee and qualifications by Feb. 10; file board disclosure notice by Feb. 12; if no 2L designee, document § 6.02 vacancy plus § 9.02 waiver of § 9.01(f) to that extent; confirm CL § 3.1(f) lender satisfaction.</w:t>
            </w:r>
          </w:p>
        </w:tc>
      </w:tr>
      <w:tr>
        <w:tc>
          <w:tcPr>
            <w:tcW w:type="dxa" w:w="432"/>
          </w:tcPr>
          <w:p>
            <w:pPr>
              <w:spacing w:after="20"/>
            </w:pPr>
            <w:r/>
            <w:r>
              <w:rPr>
                <w:b w:val="0"/>
                <w:i w:val="0"/>
                <w:sz w:val="14"/>
              </w:rPr>
              <w:t>7</w:t>
            </w:r>
          </w:p>
        </w:tc>
        <w:tc>
          <w:tcPr>
            <w:tcW w:type="dxa" w:w="2520"/>
          </w:tcPr>
          <w:p>
            <w:pPr>
              <w:spacing w:after="20"/>
            </w:pPr>
            <w:r/>
            <w:r>
              <w:rPr>
                <w:b w:val="0"/>
                <w:i w:val="0"/>
                <w:sz w:val="14"/>
              </w:rPr>
              <w:t>Litigation Trust Agreement executed and delivered; Trustee qualified and written acceptance executed</w:t>
            </w:r>
          </w:p>
          <w:p>
            <w:pPr>
              <w:spacing w:after="20"/>
            </w:pPr>
            <w:r>
              <w:rPr>
                <w:b w:val="0"/>
                <w:i w:val="0"/>
                <w:sz w:val="14"/>
              </w:rPr>
              <w:t>Plan §§ 7.01–7.06, 9.01(g); CO ¶¶ 33(d), 45–49</w:t>
            </w:r>
          </w:p>
        </w:tc>
        <w:tc>
          <w:tcPr>
            <w:tcW w:type="dxa" w:w="1512"/>
          </w:tcPr>
          <w:p>
            <w:pPr>
              <w:spacing w:after="20"/>
            </w:pPr>
            <w:r/>
            <w:r>
              <w:rPr>
                <w:b w:val="0"/>
                <w:i w:val="0"/>
                <w:sz w:val="14"/>
              </w:rPr>
              <w:t>Yes — Debtor with RCFLL consent (CO ¶ 49)</w:t>
            </w:r>
          </w:p>
        </w:tc>
        <w:tc>
          <w:tcPr>
            <w:tcW w:type="dxa" w:w="3096"/>
          </w:tcPr>
          <w:p>
            <w:pPr>
              <w:spacing w:after="20"/>
            </w:pPr>
            <w:r/>
            <w:r>
              <w:rPr>
                <w:b w:val="0"/>
                <w:i w:val="0"/>
                <w:sz w:val="14"/>
              </w:rPr>
              <w:t xml:space="preserve">LTA is a draft (“NOT FOR EXECUTION”); Vincenzo Acceptance (Ex. 1) </w:t>
            </w:r>
            <w:r>
              <w:rPr>
                <w:b/>
                <w:i w:val="0"/>
                <w:sz w:val="14"/>
              </w:rPr>
              <w:t>not returned</w:t>
            </w:r>
            <w:r>
              <w:rPr>
                <w:b w:val="0"/>
                <w:i w:val="0"/>
                <w:sz w:val="14"/>
              </w:rPr>
              <w:t>; trustee compensation/indemnity still under negotiation; Schedules A (defendants) and B (TAB) incomplete; Committee signatory not designated; several Plan conflicts (Section 4.7).</w:t>
            </w:r>
          </w:p>
        </w:tc>
        <w:tc>
          <w:tcPr>
            <w:tcW w:type="dxa" w:w="864"/>
            <w:shd w:val="clear" w:color="auto" w:fill="F4B6B6"/>
          </w:tcPr>
          <w:p>
            <w:pPr>
              <w:spacing w:after="20"/>
            </w:pPr>
            <w:r/>
            <w:r>
              <w:rPr>
                <w:b w:val="0"/>
                <w:i w:val="0"/>
                <w:sz w:val="14"/>
              </w:rPr>
              <w:t>RED</w:t>
            </w:r>
          </w:p>
        </w:tc>
        <w:tc>
          <w:tcPr>
            <w:tcW w:type="dxa" w:w="1368"/>
          </w:tcPr>
          <w:p>
            <w:pPr>
              <w:spacing w:after="20"/>
            </w:pPr>
            <w:r/>
            <w:r>
              <w:rPr>
                <w:b w:val="0"/>
                <w:i w:val="0"/>
                <w:sz w:val="14"/>
              </w:rPr>
              <w:t>Execution by Feb. 14 (escrow); Trustee acceptance ASAP</w:t>
            </w:r>
          </w:p>
        </w:tc>
        <w:tc>
          <w:tcPr>
            <w:tcW w:type="dxa" w:w="1368"/>
          </w:tcPr>
          <w:p>
            <w:pPr>
              <w:spacing w:after="20"/>
            </w:pPr>
            <w:r/>
            <w:r>
              <w:rPr>
                <w:b w:val="0"/>
                <w:i w:val="0"/>
                <w:sz w:val="14"/>
              </w:rPr>
              <w:t>Thornfield; Committee counsel; Vincenzo and personal counsel</w:t>
            </w:r>
          </w:p>
        </w:tc>
        <w:tc>
          <w:tcPr>
            <w:tcW w:type="dxa" w:w="2952"/>
          </w:tcPr>
          <w:p>
            <w:pPr>
              <w:spacing w:after="20"/>
            </w:pPr>
            <w:r/>
            <w:r>
              <w:rPr>
                <w:b w:val="0"/>
                <w:i w:val="0"/>
                <w:sz w:val="14"/>
              </w:rPr>
              <w:t>Same-day call with Vincenzo’s counsel; close comp terms ($650/hr; $350k cap; 3% success fee over $5M); conform LTA to Plan; finalize Schedules; arrange trust account and EIN.</w:t>
            </w:r>
          </w:p>
        </w:tc>
      </w:tr>
      <w:tr>
        <w:tc>
          <w:tcPr>
            <w:tcW w:type="dxa" w:w="432"/>
          </w:tcPr>
          <w:p>
            <w:pPr>
              <w:spacing w:after="20"/>
            </w:pPr>
            <w:r/>
            <w:r>
              <w:rPr>
                <w:b w:val="0"/>
                <w:i w:val="0"/>
                <w:sz w:val="14"/>
              </w:rPr>
              <w:t>8</w:t>
            </w:r>
          </w:p>
        </w:tc>
        <w:tc>
          <w:tcPr>
            <w:tcW w:type="dxa" w:w="2520"/>
          </w:tcPr>
          <w:p>
            <w:pPr>
              <w:spacing w:after="20"/>
            </w:pPr>
            <w:r/>
            <w:r>
              <w:rPr>
                <w:b w:val="0"/>
                <w:i w:val="0"/>
                <w:sz w:val="14"/>
              </w:rPr>
              <w:t>All 43 designated contracts/leases assumed; Cure Costs paid or arranged to counterparties’ satisfaction; disputes resolved</w:t>
            </w:r>
          </w:p>
          <w:p>
            <w:pPr>
              <w:spacing w:after="20"/>
            </w:pPr>
            <w:r>
              <w:rPr>
                <w:b w:val="0"/>
                <w:i w:val="0"/>
                <w:sz w:val="14"/>
              </w:rPr>
              <w:t>Plan §§ 9.01(h), 10.01–10.02; CO ¶¶ 33(h), 60–65</w:t>
            </w:r>
          </w:p>
        </w:tc>
        <w:tc>
          <w:tcPr>
            <w:tcW w:type="dxa" w:w="1512"/>
          </w:tcPr>
          <w:p>
            <w:pPr>
              <w:spacing w:after="20"/>
            </w:pPr>
            <w:r/>
            <w:r>
              <w:rPr>
                <w:b w:val="0"/>
                <w:i w:val="0"/>
                <w:sz w:val="14"/>
              </w:rPr>
              <w:t>Yes under Plan § 9.02/CO ¶ 34 with RCFLL consent — but CO ¶ 65 says no carve-out exists</w:t>
            </w:r>
          </w:p>
        </w:tc>
        <w:tc>
          <w:tcPr>
            <w:tcW w:type="dxa" w:w="3096"/>
          </w:tcPr>
          <w:p>
            <w:pPr>
              <w:spacing w:after="20"/>
            </w:pPr>
            <w:r/>
            <w:r>
              <w:rPr>
                <w:b w:val="0"/>
                <w:i w:val="0"/>
                <w:sz w:val="14"/>
              </w:rPr>
              <w:t xml:space="preserve">42 of 43 resolved ($3,350,000 agreed cure). </w:t>
            </w:r>
            <w:r>
              <w:rPr>
                <w:b/>
                <w:i w:val="0"/>
                <w:sz w:val="14"/>
              </w:rPr>
              <w:t>Kepler</w:t>
            </w:r>
            <w:r>
              <w:rPr>
                <w:b w:val="0"/>
                <w:i w:val="0"/>
                <w:sz w:val="14"/>
              </w:rPr>
              <w:t xml:space="preserve"> CNC lease disputed ($500,000 vs. $780,000).</w:t>
            </w:r>
          </w:p>
        </w:tc>
        <w:tc>
          <w:tcPr>
            <w:tcW w:type="dxa" w:w="864"/>
            <w:shd w:val="clear" w:color="auto" w:fill="F4B6B6"/>
          </w:tcPr>
          <w:p>
            <w:pPr>
              <w:spacing w:after="20"/>
            </w:pPr>
            <w:r/>
            <w:r>
              <w:rPr>
                <w:b w:val="0"/>
                <w:i w:val="0"/>
                <w:sz w:val="14"/>
              </w:rPr>
              <w:t>RED</w:t>
            </w:r>
          </w:p>
        </w:tc>
        <w:tc>
          <w:tcPr>
            <w:tcW w:type="dxa" w:w="1368"/>
          </w:tcPr>
          <w:p>
            <w:pPr>
              <w:spacing w:after="20"/>
            </w:pPr>
            <w:r/>
            <w:r>
              <w:rPr>
                <w:b w:val="0"/>
                <w:i w:val="0"/>
                <w:sz w:val="14"/>
              </w:rPr>
              <w:t>Resolution by Feb. 14</w:t>
            </w:r>
          </w:p>
        </w:tc>
        <w:tc>
          <w:tcPr>
            <w:tcW w:type="dxa" w:w="1368"/>
          </w:tcPr>
          <w:p>
            <w:pPr>
              <w:spacing w:after="20"/>
            </w:pPr>
            <w:r/>
            <w:r>
              <w:rPr>
                <w:b w:val="0"/>
                <w:i w:val="0"/>
                <w:sz w:val="14"/>
              </w:rPr>
              <w:t>Thornfield (Wynn); CFO; RCFLL</w:t>
            </w:r>
          </w:p>
        </w:tc>
        <w:tc>
          <w:tcPr>
            <w:tcW w:type="dxa" w:w="2952"/>
          </w:tcPr>
          <w:p>
            <w:pPr>
              <w:spacing w:after="20"/>
            </w:pPr>
            <w:r/>
            <w:r>
              <w:rPr>
                <w:b w:val="0"/>
                <w:i w:val="0"/>
                <w:sz w:val="14"/>
              </w:rPr>
              <w:t>Settlement offer now; alternatively offer $500k payment + $280k escrow acceptable to Kepler (satisfies § 9.01(h) “arrangements … satisfactory to the counterparties”); in parallel seek shortened-notice hearing and prepare documented partial waiver.</w:t>
            </w:r>
          </w:p>
        </w:tc>
      </w:tr>
      <w:tr>
        <w:tc>
          <w:tcPr>
            <w:tcW w:type="dxa" w:w="432"/>
          </w:tcPr>
          <w:p>
            <w:pPr>
              <w:spacing w:after="20"/>
            </w:pPr>
            <w:r/>
            <w:r>
              <w:rPr>
                <w:b w:val="0"/>
                <w:i w:val="0"/>
                <w:sz w:val="14"/>
              </w:rPr>
              <w:t>9</w:t>
            </w:r>
          </w:p>
        </w:tc>
        <w:tc>
          <w:tcPr>
            <w:tcW w:type="dxa" w:w="2520"/>
          </w:tcPr>
          <w:p>
            <w:pPr>
              <w:spacing w:after="20"/>
            </w:pPr>
            <w:r/>
            <w:r>
              <w:rPr>
                <w:b w:val="0"/>
                <w:i w:val="0"/>
                <w:sz w:val="14"/>
              </w:rPr>
              <w:t>D&amp;O Tail Policy bound and effective; evidence delivered; premium paid</w:t>
            </w:r>
          </w:p>
          <w:p>
            <w:pPr>
              <w:spacing w:after="20"/>
            </w:pPr>
            <w:r>
              <w:rPr>
                <w:b w:val="0"/>
                <w:i w:val="0"/>
                <w:sz w:val="14"/>
              </w:rPr>
              <w:t>Plan §§ 1.01, 9.01(i); CO ¶¶ 33(i), 56</w:t>
            </w:r>
          </w:p>
        </w:tc>
        <w:tc>
          <w:tcPr>
            <w:tcW w:type="dxa" w:w="1512"/>
          </w:tcPr>
          <w:p>
            <w:pPr>
              <w:spacing w:after="20"/>
            </w:pPr>
            <w:r/>
            <w:r>
              <w:rPr>
                <w:b w:val="0"/>
                <w:i w:val="0"/>
                <w:sz w:val="14"/>
              </w:rPr>
              <w:t>Yes — Debtor with RCFLL consent</w:t>
            </w:r>
          </w:p>
        </w:tc>
        <w:tc>
          <w:tcPr>
            <w:tcW w:type="dxa" w:w="3096"/>
          </w:tcPr>
          <w:p>
            <w:pPr>
              <w:spacing w:after="20"/>
            </w:pPr>
            <w:r/>
            <w:r>
              <w:rPr>
                <w:b w:val="0"/>
                <w:i w:val="0"/>
                <w:sz w:val="14"/>
              </w:rPr>
              <w:t>Quote only: Sentinel, 6-year runoff, $15M aggregate limit, $1,350,000 premium. Not bound; premium unpaid. LTA cites Policy No. SSI-D&amp;O-2024-09173 — reconcile.</w:t>
            </w:r>
          </w:p>
        </w:tc>
        <w:tc>
          <w:tcPr>
            <w:tcW w:type="dxa" w:w="864"/>
            <w:shd w:val="clear" w:color="auto" w:fill="FFE699"/>
          </w:tcPr>
          <w:p>
            <w:pPr>
              <w:spacing w:after="20"/>
            </w:pPr>
            <w:r/>
            <w:r>
              <w:rPr>
                <w:b w:val="0"/>
                <w:i w:val="0"/>
                <w:sz w:val="14"/>
              </w:rPr>
              <w:t>AMBER</w:t>
            </w:r>
          </w:p>
        </w:tc>
        <w:tc>
          <w:tcPr>
            <w:tcW w:type="dxa" w:w="1368"/>
          </w:tcPr>
          <w:p>
            <w:pPr>
              <w:spacing w:after="20"/>
            </w:pPr>
            <w:r/>
            <w:r>
              <w:rPr>
                <w:b w:val="0"/>
                <w:i w:val="0"/>
                <w:sz w:val="14"/>
              </w:rPr>
              <w:t>Bind by Feb. 14; premium at or before closing</w:t>
            </w:r>
          </w:p>
        </w:tc>
        <w:tc>
          <w:tcPr>
            <w:tcW w:type="dxa" w:w="1368"/>
          </w:tcPr>
          <w:p>
            <w:pPr>
              <w:spacing w:after="20"/>
            </w:pPr>
            <w:r/>
            <w:r>
              <w:rPr>
                <w:b w:val="0"/>
                <w:i w:val="0"/>
                <w:sz w:val="14"/>
              </w:rPr>
              <w:t>CFO; broker; Thornfield</w:t>
            </w:r>
          </w:p>
        </w:tc>
        <w:tc>
          <w:tcPr>
            <w:tcW w:type="dxa" w:w="2952"/>
          </w:tcPr>
          <w:p>
            <w:pPr>
              <w:spacing w:after="20"/>
            </w:pPr>
            <w:r/>
            <w:r>
              <w:rPr>
                <w:b w:val="0"/>
                <w:i w:val="0"/>
                <w:sz w:val="14"/>
              </w:rPr>
              <w:t>Instruct broker to bind; review form for insured-v-insured carve-out preserving Litigation Trust claims against Stanmore/Haight; obtain binder for closing set.</w:t>
            </w:r>
          </w:p>
        </w:tc>
      </w:tr>
      <w:tr>
        <w:tc>
          <w:tcPr>
            <w:tcW w:type="dxa" w:w="432"/>
          </w:tcPr>
          <w:p>
            <w:pPr>
              <w:spacing w:after="20"/>
            </w:pPr>
            <w:r/>
            <w:r>
              <w:rPr>
                <w:b w:val="0"/>
                <w:i w:val="0"/>
                <w:sz w:val="14"/>
              </w:rPr>
              <w:t>10</w:t>
            </w:r>
          </w:p>
        </w:tc>
        <w:tc>
          <w:tcPr>
            <w:tcW w:type="dxa" w:w="2520"/>
          </w:tcPr>
          <w:p>
            <w:pPr>
              <w:spacing w:after="20"/>
            </w:pPr>
            <w:r/>
            <w:r>
              <w:rPr>
                <w:b w:val="0"/>
                <w:i w:val="0"/>
                <w:sz w:val="14"/>
              </w:rPr>
              <w:t>Governmental / regulatory approvals: (i) DNREC Change of Control; (ii) DOD MIL-V-24509 qualification in force, no pending adverse action; HSR</w:t>
            </w:r>
          </w:p>
          <w:p>
            <w:pPr>
              <w:spacing w:after="20"/>
            </w:pPr>
            <w:r>
              <w:rPr>
                <w:b w:val="0"/>
                <w:i w:val="0"/>
                <w:sz w:val="14"/>
              </w:rPr>
              <w:t>Plan § 9.01(j); CO ¶¶ 23–27, 33(k); CL § 3.1(i)</w:t>
            </w:r>
          </w:p>
        </w:tc>
        <w:tc>
          <w:tcPr>
            <w:tcW w:type="dxa" w:w="1512"/>
          </w:tcPr>
          <w:p>
            <w:pPr>
              <w:spacing w:after="20"/>
            </w:pPr>
            <w:r/>
            <w:r>
              <w:rPr>
                <w:b w:val="0"/>
                <w:i w:val="0"/>
                <w:sz w:val="14"/>
              </w:rPr>
              <w:t>Yes — Debtor with RCFLL consent</w:t>
            </w:r>
          </w:p>
        </w:tc>
        <w:tc>
          <w:tcPr>
            <w:tcW w:type="dxa" w:w="3096"/>
          </w:tcPr>
          <w:p>
            <w:pPr>
              <w:spacing w:after="20"/>
            </w:pPr>
            <w:r/>
            <w:r>
              <w:rPr>
                <w:b w:val="0"/>
                <w:i w:val="0"/>
                <w:sz w:val="14"/>
              </w:rPr>
              <w:t>DNREC: still “reviewing” permits; permits listed in Status Report do not match Plan definition. DOD: oral confirmation from government contracts counsel; CO ¶ 27 change-of-control notification point not addressed in writing. HSR: no-filing position rests on a 25% test that is not the HSR test.</w:t>
            </w:r>
          </w:p>
        </w:tc>
        <w:tc>
          <w:tcPr>
            <w:tcW w:type="dxa" w:w="864"/>
            <w:shd w:val="clear" w:color="auto" w:fill="F4B6B6"/>
          </w:tcPr>
          <w:p>
            <w:pPr>
              <w:spacing w:after="20"/>
            </w:pPr>
            <w:r/>
            <w:r>
              <w:rPr>
                <w:b w:val="0"/>
                <w:i w:val="0"/>
                <w:sz w:val="14"/>
              </w:rPr>
              <w:t>RED</w:t>
            </w:r>
          </w:p>
        </w:tc>
        <w:tc>
          <w:tcPr>
            <w:tcW w:type="dxa" w:w="1368"/>
          </w:tcPr>
          <w:p>
            <w:pPr>
              <w:spacing w:after="20"/>
            </w:pPr>
            <w:r/>
            <w:r>
              <w:rPr>
                <w:b w:val="0"/>
                <w:i w:val="0"/>
                <w:sz w:val="14"/>
              </w:rPr>
              <w:t>DNREC determination immediately; if notice required, response period must run before ED</w:t>
            </w:r>
          </w:p>
        </w:tc>
        <w:tc>
          <w:tcPr>
            <w:tcW w:type="dxa" w:w="1368"/>
          </w:tcPr>
          <w:p>
            <w:pPr>
              <w:spacing w:after="20"/>
            </w:pPr>
            <w:r/>
            <w:r>
              <w:rPr>
                <w:b w:val="0"/>
                <w:i w:val="0"/>
                <w:sz w:val="14"/>
              </w:rPr>
              <w:t>Environmental counsel; govt. contracts counsel; antitrust counsel; Thornfield</w:t>
            </w:r>
          </w:p>
        </w:tc>
        <w:tc>
          <w:tcPr>
            <w:tcW w:type="dxa" w:w="2952"/>
          </w:tcPr>
          <w:p>
            <w:pPr>
              <w:spacing w:after="20"/>
            </w:pPr>
            <w:r/>
            <w:r>
              <w:rPr>
                <w:b w:val="0"/>
                <w:i w:val="0"/>
                <w:sz w:val="14"/>
              </w:rPr>
              <w:t>Obtain written permit-by-permit analysis by Feb. 10; if notice required, give it now and seek DNREC written no-objection; written DOD memo; holder-level HSR analysis.</w:t>
            </w:r>
          </w:p>
        </w:tc>
      </w:tr>
      <w:tr>
        <w:tc>
          <w:tcPr>
            <w:tcW w:type="dxa" w:w="432"/>
          </w:tcPr>
          <w:p>
            <w:pPr>
              <w:spacing w:after="20"/>
            </w:pPr>
            <w:r/>
            <w:r>
              <w:rPr>
                <w:b w:val="0"/>
                <w:i w:val="0"/>
                <w:sz w:val="14"/>
              </w:rPr>
              <w:t>11</w:t>
            </w:r>
          </w:p>
        </w:tc>
        <w:tc>
          <w:tcPr>
            <w:tcW w:type="dxa" w:w="2520"/>
          </w:tcPr>
          <w:p>
            <w:pPr>
              <w:spacing w:after="20"/>
            </w:pPr>
            <w:r/>
            <w:r>
              <w:rPr>
                <w:b w:val="0"/>
                <w:i w:val="0"/>
                <w:sz w:val="14"/>
              </w:rPr>
              <w:t>Tax Opinion delivered (Merriweather &amp; Cain)</w:t>
            </w:r>
          </w:p>
          <w:p>
            <w:pPr>
              <w:spacing w:after="20"/>
            </w:pPr>
            <w:r>
              <w:rPr>
                <w:b w:val="0"/>
                <w:i w:val="0"/>
                <w:sz w:val="14"/>
              </w:rPr>
              <w:t>Plan §§ 1.01, 9.01(k), 13.08; CO ¶¶ 33(l), 59</w:t>
            </w:r>
          </w:p>
        </w:tc>
        <w:tc>
          <w:tcPr>
            <w:tcW w:type="dxa" w:w="1512"/>
          </w:tcPr>
          <w:p>
            <w:pPr>
              <w:spacing w:after="20"/>
            </w:pPr>
            <w:r/>
            <w:r>
              <w:rPr>
                <w:b w:val="0"/>
                <w:i w:val="0"/>
                <w:sz w:val="14"/>
              </w:rPr>
              <w:t>Yes — Debtor with RCFLL consent</w:t>
            </w:r>
          </w:p>
        </w:tc>
        <w:tc>
          <w:tcPr>
            <w:tcW w:type="dxa" w:w="3096"/>
          </w:tcPr>
          <w:p>
            <w:pPr>
              <w:spacing w:after="20"/>
            </w:pPr>
            <w:r/>
            <w:r>
              <w:rPr>
                <w:b w:val="0"/>
                <w:i w:val="0"/>
                <w:sz w:val="14"/>
              </w:rPr>
              <w:t>In preparation; § 382 analysis depends on final shareholder composition. CO requires form and substance reasonably satisfactory to Debtor and RCFLL and expanded scope (§ 108(b) attribute reduction; ~$98.7M COD).</w:t>
            </w:r>
          </w:p>
        </w:tc>
        <w:tc>
          <w:tcPr>
            <w:tcW w:type="dxa" w:w="864"/>
            <w:shd w:val="clear" w:color="auto" w:fill="FFE699"/>
          </w:tcPr>
          <w:p>
            <w:pPr>
              <w:spacing w:after="20"/>
            </w:pPr>
            <w:r/>
            <w:r>
              <w:rPr>
                <w:b w:val="0"/>
                <w:i w:val="0"/>
                <w:sz w:val="14"/>
              </w:rPr>
              <w:t>AMBER</w:t>
            </w:r>
          </w:p>
        </w:tc>
        <w:tc>
          <w:tcPr>
            <w:tcW w:type="dxa" w:w="1368"/>
          </w:tcPr>
          <w:p>
            <w:pPr>
              <w:spacing w:after="20"/>
            </w:pPr>
            <w:r/>
            <w:r>
              <w:rPr>
                <w:b w:val="0"/>
                <w:i w:val="0"/>
                <w:sz w:val="14"/>
              </w:rPr>
              <w:t>Draft to RCFLL by Feb. 11; final by Feb. 14</w:t>
            </w:r>
          </w:p>
        </w:tc>
        <w:tc>
          <w:tcPr>
            <w:tcW w:type="dxa" w:w="1368"/>
          </w:tcPr>
          <w:p>
            <w:pPr>
              <w:spacing w:after="20"/>
            </w:pPr>
            <w:r/>
            <w:r>
              <w:rPr>
                <w:b w:val="0"/>
                <w:i w:val="0"/>
                <w:sz w:val="14"/>
              </w:rPr>
              <w:t>Merriweather &amp; Cain; Petworth; Thornfield</w:t>
            </w:r>
          </w:p>
        </w:tc>
        <w:tc>
          <w:tcPr>
            <w:tcW w:type="dxa" w:w="2952"/>
          </w:tcPr>
          <w:p>
            <w:pPr>
              <w:spacing w:after="20"/>
            </w:pPr>
            <w:r/>
            <w:r>
              <w:rPr>
                <w:b w:val="0"/>
                <w:i w:val="0"/>
                <w:sz w:val="14"/>
              </w:rPr>
              <w:t>Deliver holder-level allocation data (Distribution Record Date register) now; circulate draft opinion; align LTA tax characterization (QSF vs. grantor/liquidating trust).</w:t>
            </w:r>
          </w:p>
        </w:tc>
      </w:tr>
      <w:tr>
        <w:tc>
          <w:tcPr>
            <w:tcW w:type="dxa" w:w="432"/>
          </w:tcPr>
          <w:p>
            <w:pPr>
              <w:spacing w:after="20"/>
            </w:pPr>
            <w:r/>
            <w:r>
              <w:rPr>
                <w:b w:val="0"/>
                <w:i w:val="0"/>
                <w:sz w:val="14"/>
              </w:rPr>
              <w:t>12</w:t>
            </w:r>
          </w:p>
        </w:tc>
        <w:tc>
          <w:tcPr>
            <w:tcW w:type="dxa" w:w="2520"/>
          </w:tcPr>
          <w:p>
            <w:pPr>
              <w:spacing w:after="20"/>
            </w:pPr>
            <w:r/>
            <w:r>
              <w:rPr>
                <w:b w:val="0"/>
                <w:i w:val="0"/>
                <w:sz w:val="14"/>
              </w:rPr>
              <w:t>No Material Adverse Effect since Confirmation Date</w:t>
            </w:r>
          </w:p>
          <w:p>
            <w:pPr>
              <w:spacing w:after="20"/>
            </w:pPr>
            <w:r>
              <w:rPr>
                <w:b w:val="0"/>
                <w:i w:val="0"/>
                <w:sz w:val="14"/>
              </w:rPr>
              <w:t>Plan § 9.01(l); CL §§ 3.1(c), 8(e), 10.2(a)</w:t>
            </w:r>
          </w:p>
        </w:tc>
        <w:tc>
          <w:tcPr>
            <w:tcW w:type="dxa" w:w="1512"/>
          </w:tcPr>
          <w:p>
            <w:pPr>
              <w:spacing w:after="20"/>
            </w:pPr>
            <w:r/>
            <w:r>
              <w:rPr>
                <w:b w:val="0"/>
                <w:i w:val="0"/>
                <w:sz w:val="14"/>
              </w:rPr>
              <w:t>Yes — Debtor with RCFLL consent (lender MAE not waivable by Debtor)</w:t>
            </w:r>
          </w:p>
        </w:tc>
        <w:tc>
          <w:tcPr>
            <w:tcW w:type="dxa" w:w="3096"/>
          </w:tcPr>
          <w:p>
            <w:pPr>
              <w:spacing w:after="20"/>
            </w:pPr>
            <w:r/>
            <w:r>
              <w:rPr>
                <w:b w:val="0"/>
                <w:i w:val="0"/>
                <w:sz w:val="14"/>
              </w:rPr>
              <w:t>No MAE reported in any document. Note CL MAE runs from the Petition Date and has carve-outs; Plan MAE has none.</w:t>
            </w:r>
          </w:p>
        </w:tc>
        <w:tc>
          <w:tcPr>
            <w:tcW w:type="dxa" w:w="864"/>
            <w:shd w:val="clear" w:color="auto" w:fill="C6EFCE"/>
          </w:tcPr>
          <w:p>
            <w:pPr>
              <w:spacing w:after="20"/>
            </w:pPr>
            <w:r/>
            <w:r>
              <w:rPr>
                <w:b w:val="0"/>
                <w:i w:val="0"/>
                <w:sz w:val="14"/>
              </w:rPr>
              <w:t>GREEN</w:t>
            </w:r>
          </w:p>
        </w:tc>
        <w:tc>
          <w:tcPr>
            <w:tcW w:type="dxa" w:w="1368"/>
          </w:tcPr>
          <w:p>
            <w:pPr>
              <w:spacing w:after="20"/>
            </w:pPr>
            <w:r/>
            <w:r>
              <w:rPr>
                <w:b w:val="0"/>
                <w:i w:val="0"/>
                <w:sz w:val="14"/>
              </w:rPr>
              <w:t>Bring-down at closing</w:t>
            </w:r>
          </w:p>
        </w:tc>
        <w:tc>
          <w:tcPr>
            <w:tcW w:type="dxa" w:w="1368"/>
          </w:tcPr>
          <w:p>
            <w:pPr>
              <w:spacing w:after="20"/>
            </w:pPr>
            <w:r/>
            <w:r>
              <w:rPr>
                <w:b w:val="0"/>
                <w:i w:val="0"/>
                <w:sz w:val="14"/>
              </w:rPr>
              <w:t>CFO</w:t>
            </w:r>
          </w:p>
        </w:tc>
        <w:tc>
          <w:tcPr>
            <w:tcW w:type="dxa" w:w="2952"/>
          </w:tcPr>
          <w:p>
            <w:pPr>
              <w:spacing w:after="20"/>
            </w:pPr>
            <w:r/>
            <w:r>
              <w:rPr>
                <w:b w:val="0"/>
                <w:i w:val="0"/>
                <w:sz w:val="14"/>
              </w:rPr>
              <w:t>Officer’s certificate (CL Ex. C item 14); monitor DOD/DNREC and key customers through closing.</w:t>
            </w:r>
          </w:p>
        </w:tc>
      </w:tr>
      <w:tr>
        <w:tc>
          <w:tcPr>
            <w:tcW w:type="dxa" w:w="432"/>
          </w:tcPr>
          <w:p>
            <w:pPr>
              <w:spacing w:after="20"/>
            </w:pPr>
            <w:r/>
            <w:r>
              <w:rPr>
                <w:b w:val="0"/>
                <w:i w:val="0"/>
                <w:sz w:val="14"/>
              </w:rPr>
              <w:t>13</w:t>
            </w:r>
          </w:p>
        </w:tc>
        <w:tc>
          <w:tcPr>
            <w:tcW w:type="dxa" w:w="2520"/>
          </w:tcPr>
          <w:p>
            <w:pPr>
              <w:spacing w:after="20"/>
            </w:pPr>
            <w:r/>
            <w:r>
              <w:rPr>
                <w:b w:val="0"/>
                <w:i w:val="0"/>
                <w:sz w:val="14"/>
              </w:rPr>
              <w:t>Plan Supplement documents finalized, reasonably acceptable to Debtor and RCFLL, executed where required</w:t>
            </w:r>
          </w:p>
          <w:p>
            <w:pPr>
              <w:spacing w:after="20"/>
            </w:pPr>
            <w:r>
              <w:rPr>
                <w:b w:val="0"/>
                <w:i w:val="0"/>
                <w:sz w:val="14"/>
              </w:rPr>
              <w:t>Plan § 9.01(m); Plan Supplement Exs. A–L</w:t>
            </w:r>
          </w:p>
        </w:tc>
        <w:tc>
          <w:tcPr>
            <w:tcW w:type="dxa" w:w="1512"/>
          </w:tcPr>
          <w:p>
            <w:pPr>
              <w:spacing w:after="20"/>
            </w:pPr>
            <w:r/>
            <w:r>
              <w:rPr>
                <w:b w:val="0"/>
                <w:i w:val="0"/>
                <w:sz w:val="14"/>
              </w:rPr>
              <w:t>Yes — Debtor with RCFLL consent</w:t>
            </w:r>
          </w:p>
        </w:tc>
        <w:tc>
          <w:tcPr>
            <w:tcW w:type="dxa" w:w="3096"/>
          </w:tcPr>
          <w:p>
            <w:pPr>
              <w:spacing w:after="20"/>
            </w:pPr>
            <w:r/>
            <w:r>
              <w:rPr>
                <w:b w:val="0"/>
                <w:i w:val="0"/>
                <w:sz w:val="14"/>
              </w:rPr>
              <w:t>Exs. C (SHA), D (LTA), F–H (Exit docs), J (Tax Opinion), K (D&amp;O), L (board notices) not final. No status reported anywhere for Ex. I (Series A Warrant Agreement) or for New Common Stock issuance mechanics.</w:t>
            </w:r>
          </w:p>
        </w:tc>
        <w:tc>
          <w:tcPr>
            <w:tcW w:type="dxa" w:w="864"/>
            <w:shd w:val="clear" w:color="auto" w:fill="FFE699"/>
          </w:tcPr>
          <w:p>
            <w:pPr>
              <w:spacing w:after="20"/>
            </w:pPr>
            <w:r/>
            <w:r>
              <w:rPr>
                <w:b w:val="0"/>
                <w:i w:val="0"/>
                <w:sz w:val="14"/>
              </w:rPr>
              <w:t>AMBER</w:t>
            </w:r>
          </w:p>
        </w:tc>
        <w:tc>
          <w:tcPr>
            <w:tcW w:type="dxa" w:w="1368"/>
          </w:tcPr>
          <w:p>
            <w:pPr>
              <w:spacing w:after="20"/>
            </w:pPr>
            <w:r/>
            <w:r>
              <w:rPr>
                <w:b w:val="0"/>
                <w:i w:val="0"/>
                <w:sz w:val="14"/>
              </w:rPr>
              <w:t>Feb. 14</w:t>
            </w:r>
          </w:p>
        </w:tc>
        <w:tc>
          <w:tcPr>
            <w:tcW w:type="dxa" w:w="1368"/>
          </w:tcPr>
          <w:p>
            <w:pPr>
              <w:spacing w:after="20"/>
            </w:pPr>
            <w:r/>
            <w:r>
              <w:rPr>
                <w:b w:val="0"/>
                <w:i w:val="0"/>
                <w:sz w:val="14"/>
              </w:rPr>
              <w:t>Thornfield; RCFLL counsel</w:t>
            </w:r>
          </w:p>
        </w:tc>
        <w:tc>
          <w:tcPr>
            <w:tcW w:type="dxa" w:w="2952"/>
          </w:tcPr>
          <w:p>
            <w:pPr>
              <w:spacing w:after="20"/>
            </w:pPr>
            <w:r/>
            <w:r>
              <w:rPr>
                <w:b w:val="0"/>
                <w:i w:val="0"/>
                <w:sz w:val="14"/>
              </w:rPr>
              <w:t>Exhibit-by-exhibit sign-off log (Section 5); file amended Plan Supplement for any material changes; warrant agent/transfer agent/DTC set-up.</w:t>
            </w:r>
          </w:p>
        </w:tc>
      </w:tr>
      <w:tr>
        <w:tc>
          <w:tcPr>
            <w:tcW w:type="dxa" w:w="432"/>
          </w:tcPr>
          <w:p>
            <w:pPr>
              <w:spacing w:after="20"/>
            </w:pPr>
            <w:r/>
            <w:r>
              <w:rPr>
                <w:b w:val="0"/>
                <w:i w:val="0"/>
                <w:sz w:val="14"/>
              </w:rPr>
              <w:t>14</w:t>
            </w:r>
          </w:p>
        </w:tc>
        <w:tc>
          <w:tcPr>
            <w:tcW w:type="dxa" w:w="2520"/>
          </w:tcPr>
          <w:p>
            <w:pPr>
              <w:spacing w:after="20"/>
            </w:pPr>
            <w:r/>
            <w:r>
              <w:rPr>
                <w:b w:val="0"/>
                <w:i w:val="0"/>
                <w:sz w:val="14"/>
              </w:rPr>
              <w:t>Litigation Trust received $1,500,000 initial funding</w:t>
            </w:r>
          </w:p>
          <w:p>
            <w:pPr>
              <w:spacing w:after="20"/>
            </w:pPr>
            <w:r>
              <w:rPr>
                <w:b w:val="0"/>
                <w:i w:val="0"/>
                <w:sz w:val="14"/>
              </w:rPr>
              <w:t>CO ¶¶ 33(e), 47; Plan § 7.03</w:t>
            </w:r>
          </w:p>
        </w:tc>
        <w:tc>
          <w:tcPr>
            <w:tcW w:type="dxa" w:w="1512"/>
          </w:tcPr>
          <w:p>
            <w:pPr>
              <w:spacing w:after="20"/>
            </w:pPr>
            <w:r/>
            <w:r>
              <w:rPr>
                <w:b w:val="0"/>
                <w:i w:val="0"/>
                <w:sz w:val="14"/>
              </w:rPr>
              <w:t>Unclear — CO-only condition; CO ¶ 34 waiver applies to Plan § 9.01 conditions</w:t>
            </w:r>
          </w:p>
        </w:tc>
        <w:tc>
          <w:tcPr>
            <w:tcW w:type="dxa" w:w="3096"/>
          </w:tcPr>
          <w:p>
            <w:pPr>
              <w:spacing w:after="20"/>
            </w:pPr>
            <w:r/>
            <w:r>
              <w:rPr>
                <w:b w:val="0"/>
                <w:i w:val="0"/>
                <w:sz w:val="14"/>
              </w:rPr>
              <w:t>Included in cash budget; trust account not yet open (LTA § 2.03(b) wire to account designated by Trustee).</w:t>
            </w:r>
          </w:p>
        </w:tc>
        <w:tc>
          <w:tcPr>
            <w:tcW w:type="dxa" w:w="864"/>
            <w:shd w:val="clear" w:color="auto" w:fill="FFE699"/>
          </w:tcPr>
          <w:p>
            <w:pPr>
              <w:spacing w:after="20"/>
            </w:pPr>
            <w:r/>
            <w:r>
              <w:rPr>
                <w:b w:val="0"/>
                <w:i w:val="0"/>
                <w:sz w:val="14"/>
              </w:rPr>
              <w:t>AMBER</w:t>
            </w:r>
          </w:p>
        </w:tc>
        <w:tc>
          <w:tcPr>
            <w:tcW w:type="dxa" w:w="1368"/>
          </w:tcPr>
          <w:p>
            <w:pPr>
              <w:spacing w:after="20"/>
            </w:pPr>
            <w:r/>
            <w:r>
              <w:rPr>
                <w:b w:val="0"/>
                <w:i w:val="0"/>
                <w:sz w:val="14"/>
              </w:rPr>
              <w:t>Feb. 18 funds flow</w:t>
            </w:r>
          </w:p>
        </w:tc>
        <w:tc>
          <w:tcPr>
            <w:tcW w:type="dxa" w:w="1368"/>
          </w:tcPr>
          <w:p>
            <w:pPr>
              <w:spacing w:after="20"/>
            </w:pPr>
            <w:r/>
            <w:r>
              <w:rPr>
                <w:b w:val="0"/>
                <w:i w:val="0"/>
                <w:sz w:val="14"/>
              </w:rPr>
              <w:t>CFO; Trustee</w:t>
            </w:r>
          </w:p>
        </w:tc>
        <w:tc>
          <w:tcPr>
            <w:tcW w:type="dxa" w:w="2952"/>
          </w:tcPr>
          <w:p>
            <w:pPr>
              <w:spacing w:after="20"/>
            </w:pPr>
            <w:r/>
            <w:r>
              <w:rPr>
                <w:b w:val="0"/>
                <w:i w:val="0"/>
                <w:sz w:val="14"/>
              </w:rPr>
              <w:t>Trust EIN and account; wire instructions verified by call-back.</w:t>
            </w:r>
          </w:p>
        </w:tc>
      </w:tr>
      <w:tr>
        <w:tc>
          <w:tcPr>
            <w:tcW w:type="dxa" w:w="432"/>
          </w:tcPr>
          <w:p>
            <w:pPr>
              <w:spacing w:after="20"/>
            </w:pPr>
            <w:r/>
            <w:r>
              <w:rPr>
                <w:b w:val="0"/>
                <w:i w:val="0"/>
                <w:sz w:val="14"/>
              </w:rPr>
              <w:t>15</w:t>
            </w:r>
          </w:p>
        </w:tc>
        <w:tc>
          <w:tcPr>
            <w:tcW w:type="dxa" w:w="2520"/>
          </w:tcPr>
          <w:p>
            <w:pPr>
              <w:spacing w:after="20"/>
            </w:pPr>
            <w:r/>
            <w:r>
              <w:rPr>
                <w:b w:val="0"/>
                <w:i w:val="0"/>
                <w:sz w:val="14"/>
              </w:rPr>
              <w:t>KERP payments ($2,150,000; 14 participants) funded and payable on ED</w:t>
            </w:r>
          </w:p>
          <w:p>
            <w:pPr>
              <w:spacing w:after="20"/>
            </w:pPr>
            <w:r>
              <w:rPr>
                <w:b w:val="0"/>
                <w:i w:val="0"/>
                <w:sz w:val="14"/>
              </w:rPr>
              <w:t>CO ¶¶ 13, 33(m), 55; Plan § 2.05; KERP Order</w:t>
            </w:r>
          </w:p>
        </w:tc>
        <w:tc>
          <w:tcPr>
            <w:tcW w:type="dxa" w:w="1512"/>
          </w:tcPr>
          <w:p>
            <w:pPr>
              <w:spacing w:after="20"/>
            </w:pPr>
            <w:r/>
            <w:r>
              <w:rPr>
                <w:b w:val="0"/>
                <w:i w:val="0"/>
                <w:sz w:val="14"/>
              </w:rPr>
              <w:t>Unclear — CO-only condition</w:t>
            </w:r>
          </w:p>
        </w:tc>
        <w:tc>
          <w:tcPr>
            <w:tcW w:type="dxa" w:w="3096"/>
          </w:tcPr>
          <w:p>
            <w:pPr>
              <w:spacing w:after="20"/>
            </w:pPr>
            <w:r/>
            <w:r>
              <w:rPr>
                <w:b w:val="0"/>
                <w:i w:val="0"/>
                <w:sz w:val="14"/>
              </w:rPr>
              <w:t>In liquidity projections. Forfeiture rules conflict among KERP Order ¶ 4, Plan § 2.05 and CO ¶ 55. Employment status of all 14 participants not confirmed.</w:t>
            </w:r>
          </w:p>
        </w:tc>
        <w:tc>
          <w:tcPr>
            <w:tcW w:type="dxa" w:w="864"/>
            <w:shd w:val="clear" w:color="auto" w:fill="FFE699"/>
          </w:tcPr>
          <w:p>
            <w:pPr>
              <w:spacing w:after="20"/>
            </w:pPr>
            <w:r/>
            <w:r>
              <w:rPr>
                <w:b w:val="0"/>
                <w:i w:val="0"/>
                <w:sz w:val="14"/>
              </w:rPr>
              <w:t>AMBER</w:t>
            </w:r>
          </w:p>
        </w:tc>
        <w:tc>
          <w:tcPr>
            <w:tcW w:type="dxa" w:w="1368"/>
          </w:tcPr>
          <w:p>
            <w:pPr>
              <w:spacing w:after="20"/>
            </w:pPr>
            <w:r/>
            <w:r>
              <w:rPr>
                <w:b w:val="0"/>
                <w:i w:val="0"/>
                <w:sz w:val="14"/>
              </w:rPr>
              <w:t>Funding Feb. 18; payment by Mar. 4</w:t>
            </w:r>
          </w:p>
        </w:tc>
        <w:tc>
          <w:tcPr>
            <w:tcW w:type="dxa" w:w="1368"/>
          </w:tcPr>
          <w:p>
            <w:pPr>
              <w:spacing w:after="20"/>
            </w:pPr>
            <w:r/>
            <w:r>
              <w:rPr>
                <w:b w:val="0"/>
                <w:i w:val="0"/>
                <w:sz w:val="14"/>
              </w:rPr>
              <w:t>CFO; HR; Thornfield</w:t>
            </w:r>
          </w:p>
        </w:tc>
        <w:tc>
          <w:tcPr>
            <w:tcW w:type="dxa" w:w="2952"/>
          </w:tcPr>
          <w:p>
            <w:pPr>
              <w:spacing w:after="20"/>
            </w:pPr>
            <w:r/>
            <w:r>
              <w:rPr>
                <w:b w:val="0"/>
                <w:i w:val="0"/>
                <w:sz w:val="14"/>
              </w:rPr>
              <w:t>HR certification of continuous employment through ED; payroll run with withholding; resolve forfeiture-rule conflict before any separation is treated.</w:t>
            </w:r>
          </w:p>
        </w:tc>
      </w:tr>
      <w:tr>
        <w:tc>
          <w:tcPr>
            <w:tcW w:type="dxa" w:w="432"/>
          </w:tcPr>
          <w:p>
            <w:pPr>
              <w:spacing w:after="20"/>
            </w:pPr>
            <w:r/>
            <w:r>
              <w:rPr>
                <w:b w:val="0"/>
                <w:i w:val="0"/>
                <w:sz w:val="14"/>
              </w:rPr>
              <w:t>16</w:t>
            </w:r>
          </w:p>
        </w:tc>
        <w:tc>
          <w:tcPr>
            <w:tcW w:type="dxa" w:w="2520"/>
          </w:tcPr>
          <w:p>
            <w:pPr>
              <w:spacing w:after="20"/>
            </w:pPr>
            <w:r/>
            <w:r>
              <w:rPr>
                <w:b w:val="0"/>
                <w:i w:val="0"/>
                <w:sz w:val="14"/>
              </w:rPr>
              <w:t>U.S. Trustee fees (28 U.S.C. § 1930) paid or reserved</w:t>
            </w:r>
          </w:p>
          <w:p>
            <w:pPr>
              <w:spacing w:after="20"/>
            </w:pPr>
            <w:r>
              <w:rPr>
                <w:b w:val="0"/>
                <w:i w:val="0"/>
                <w:sz w:val="14"/>
              </w:rPr>
              <w:t>CO ¶¶ 12(a)(12), 33(n); Plan § 13.05</w:t>
            </w:r>
          </w:p>
        </w:tc>
        <w:tc>
          <w:tcPr>
            <w:tcW w:type="dxa" w:w="1512"/>
          </w:tcPr>
          <w:p>
            <w:pPr>
              <w:spacing w:after="20"/>
            </w:pPr>
            <w:r/>
            <w:r>
              <w:rPr>
                <w:b w:val="0"/>
                <w:i w:val="0"/>
                <w:sz w:val="14"/>
              </w:rPr>
              <w:t>Unclear — CO-only condition</w:t>
            </w:r>
          </w:p>
        </w:tc>
        <w:tc>
          <w:tcPr>
            <w:tcW w:type="dxa" w:w="3096"/>
          </w:tcPr>
          <w:p>
            <w:pPr>
              <w:spacing w:after="20"/>
            </w:pPr>
            <w:r/>
            <w:r>
              <w:rPr>
                <w:b w:val="0"/>
                <w:i w:val="0"/>
                <w:sz w:val="14"/>
              </w:rPr>
              <w:t xml:space="preserve">Plan budgets $250,000; </w:t>
            </w:r>
            <w:r>
              <w:rPr>
                <w:b/>
                <w:i w:val="0"/>
                <w:sz w:val="14"/>
              </w:rPr>
              <w:t>omitted</w:t>
            </w:r>
            <w:r>
              <w:rPr>
                <w:b w:val="0"/>
                <w:i w:val="0"/>
                <w:sz w:val="14"/>
              </w:rPr>
              <w:t xml:space="preserve"> from Status Report cash summary ($54.15M vs. Plan $54.4M).</w:t>
            </w:r>
          </w:p>
        </w:tc>
        <w:tc>
          <w:tcPr>
            <w:tcW w:type="dxa" w:w="864"/>
            <w:shd w:val="clear" w:color="auto" w:fill="FFE699"/>
          </w:tcPr>
          <w:p>
            <w:pPr>
              <w:spacing w:after="20"/>
            </w:pPr>
            <w:r/>
            <w:r>
              <w:rPr>
                <w:b w:val="0"/>
                <w:i w:val="0"/>
                <w:sz w:val="14"/>
              </w:rPr>
              <w:t>AMBER</w:t>
            </w:r>
          </w:p>
        </w:tc>
        <w:tc>
          <w:tcPr>
            <w:tcW w:type="dxa" w:w="1368"/>
          </w:tcPr>
          <w:p>
            <w:pPr>
              <w:spacing w:after="20"/>
            </w:pPr>
            <w:r/>
            <w:r>
              <w:rPr>
                <w:b w:val="0"/>
                <w:i w:val="0"/>
                <w:sz w:val="14"/>
              </w:rPr>
              <w:t>Feb. 18</w:t>
            </w:r>
          </w:p>
        </w:tc>
        <w:tc>
          <w:tcPr>
            <w:tcW w:type="dxa" w:w="1368"/>
          </w:tcPr>
          <w:p>
            <w:pPr>
              <w:spacing w:after="20"/>
            </w:pPr>
            <w:r/>
            <w:r>
              <w:rPr>
                <w:b w:val="0"/>
                <w:i w:val="0"/>
                <w:sz w:val="14"/>
              </w:rPr>
              <w:t>CFO</w:t>
            </w:r>
          </w:p>
        </w:tc>
        <w:tc>
          <w:tcPr>
            <w:tcW w:type="dxa" w:w="2952"/>
          </w:tcPr>
          <w:p>
            <w:pPr>
              <w:spacing w:after="20"/>
            </w:pPr>
            <w:r/>
            <w:r>
              <w:rPr>
                <w:b w:val="0"/>
                <w:i w:val="0"/>
                <w:sz w:val="14"/>
              </w:rPr>
              <w:t>Compute Q1 2025 fee on projected ED disbursements; add to funds flow; confirm prior quarters paid.</w:t>
            </w:r>
          </w:p>
        </w:tc>
      </w:tr>
      <w:tr>
        <w:tc>
          <w:tcPr>
            <w:tcW w:type="dxa" w:w="432"/>
          </w:tcPr>
          <w:p>
            <w:pPr>
              <w:spacing w:after="20"/>
            </w:pPr>
            <w:r/>
            <w:r>
              <w:rPr>
                <w:b w:val="0"/>
                <w:i w:val="0"/>
                <w:sz w:val="14"/>
              </w:rPr>
              <w:t>17</w:t>
            </w:r>
          </w:p>
        </w:tc>
        <w:tc>
          <w:tcPr>
            <w:tcW w:type="dxa" w:w="2520"/>
          </w:tcPr>
          <w:p>
            <w:pPr>
              <w:spacing w:after="20"/>
            </w:pPr>
            <w:r/>
            <w:r>
              <w:rPr>
                <w:b w:val="0"/>
                <w:i w:val="0"/>
                <w:sz w:val="14"/>
              </w:rPr>
              <w:t>No stay of the Confirmation Order in effect</w:t>
            </w:r>
          </w:p>
          <w:p>
            <w:pPr>
              <w:spacing w:after="20"/>
            </w:pPr>
            <w:r>
              <w:rPr>
                <w:b w:val="0"/>
                <w:i w:val="0"/>
                <w:sz w:val="14"/>
              </w:rPr>
              <w:t>CO ¶ 33(o)</w:t>
            </w:r>
          </w:p>
        </w:tc>
        <w:tc>
          <w:tcPr>
            <w:tcW w:type="dxa" w:w="1512"/>
          </w:tcPr>
          <w:p>
            <w:pPr>
              <w:spacing w:after="20"/>
            </w:pPr>
            <w:r/>
            <w:r>
              <w:rPr>
                <w:b w:val="0"/>
                <w:i w:val="0"/>
                <w:sz w:val="14"/>
              </w:rPr>
              <w:t>Unclear — CO-only condition</w:t>
            </w:r>
          </w:p>
        </w:tc>
        <w:tc>
          <w:tcPr>
            <w:tcW w:type="dxa" w:w="3096"/>
          </w:tcPr>
          <w:p>
            <w:pPr>
              <w:spacing w:after="20"/>
            </w:pPr>
            <w:r/>
            <w:r>
              <w:rPr>
                <w:b w:val="0"/>
                <w:i w:val="0"/>
                <w:sz w:val="14"/>
              </w:rPr>
              <w:t>Rule 3020(e) stay waived (CO ¶¶ 78, 85); no stay motion reported.</w:t>
            </w:r>
          </w:p>
        </w:tc>
        <w:tc>
          <w:tcPr>
            <w:tcW w:type="dxa" w:w="864"/>
            <w:shd w:val="clear" w:color="auto" w:fill="C6EFCE"/>
          </w:tcPr>
          <w:p>
            <w:pPr>
              <w:spacing w:after="20"/>
            </w:pPr>
            <w:r/>
            <w:r>
              <w:rPr>
                <w:b w:val="0"/>
                <w:i w:val="0"/>
                <w:sz w:val="14"/>
              </w:rPr>
              <w:t>GREEN</w:t>
            </w:r>
          </w:p>
        </w:tc>
        <w:tc>
          <w:tcPr>
            <w:tcW w:type="dxa" w:w="1368"/>
          </w:tcPr>
          <w:p>
            <w:pPr>
              <w:spacing w:after="20"/>
            </w:pPr>
            <w:r/>
            <w:r>
              <w:rPr>
                <w:b w:val="0"/>
                <w:i w:val="0"/>
                <w:sz w:val="14"/>
              </w:rPr>
              <w:t>Bring-down at closing</w:t>
            </w:r>
          </w:p>
        </w:tc>
        <w:tc>
          <w:tcPr>
            <w:tcW w:type="dxa" w:w="1368"/>
          </w:tcPr>
          <w:p>
            <w:pPr>
              <w:spacing w:after="20"/>
            </w:pPr>
            <w:r/>
            <w:r>
              <w:rPr>
                <w:b w:val="0"/>
                <w:i w:val="0"/>
                <w:sz w:val="14"/>
              </w:rPr>
              <w:t>Thornfield</w:t>
            </w:r>
          </w:p>
        </w:tc>
        <w:tc>
          <w:tcPr>
            <w:tcW w:type="dxa" w:w="2952"/>
          </w:tcPr>
          <w:p>
            <w:pPr>
              <w:spacing w:after="20"/>
            </w:pPr>
            <w:r/>
            <w:r>
              <w:rPr>
                <w:b w:val="0"/>
                <w:i w:val="0"/>
                <w:sz w:val="14"/>
              </w:rPr>
              <w:t>Docket check on Feb. 14 and morning of ED.</w:t>
            </w:r>
          </w:p>
        </w:tc>
      </w:tr>
      <w:tr>
        <w:tc>
          <w:tcPr>
            <w:tcW w:type="dxa" w:w="432"/>
          </w:tcPr>
          <w:p>
            <w:pPr>
              <w:spacing w:after="20"/>
            </w:pPr>
            <w:r/>
            <w:r>
              <w:rPr>
                <w:b w:val="0"/>
                <w:i w:val="0"/>
                <w:sz w:val="14"/>
              </w:rPr>
              <w:t>18</w:t>
            </w:r>
          </w:p>
        </w:tc>
        <w:tc>
          <w:tcPr>
            <w:tcW w:type="dxa" w:w="2520"/>
          </w:tcPr>
          <w:p>
            <w:pPr>
              <w:spacing w:after="20"/>
            </w:pPr>
            <w:r/>
            <w:r>
              <w:rPr>
                <w:b w:val="0"/>
                <w:i w:val="0"/>
                <w:sz w:val="14"/>
              </w:rPr>
              <w:t>General liability / property insurance remains in force or replaced</w:t>
            </w:r>
          </w:p>
          <w:p>
            <w:pPr>
              <w:spacing w:after="20"/>
            </w:pPr>
            <w:r>
              <w:rPr>
                <w:b w:val="0"/>
                <w:i w:val="0"/>
                <w:sz w:val="14"/>
              </w:rPr>
              <w:t>Plan § 10.04; CO ¶ 57; CL § 3.1(k)</w:t>
            </w:r>
          </w:p>
        </w:tc>
        <w:tc>
          <w:tcPr>
            <w:tcW w:type="dxa" w:w="1512"/>
          </w:tcPr>
          <w:p>
            <w:pPr>
              <w:spacing w:after="20"/>
            </w:pPr>
            <w:r/>
            <w:r>
              <w:rPr>
                <w:b w:val="0"/>
                <w:i w:val="0"/>
                <w:sz w:val="14"/>
              </w:rPr>
              <w:t>Plan § 10.04 is a covenant, not a § 9.01 condition; CL § 3.1(k) is a funding CP</w:t>
            </w:r>
          </w:p>
        </w:tc>
        <w:tc>
          <w:tcPr>
            <w:tcW w:type="dxa" w:w="3096"/>
          </w:tcPr>
          <w:p>
            <w:pPr>
              <w:spacing w:after="20"/>
            </w:pPr>
            <w:r/>
            <w:r>
              <w:rPr>
                <w:b w:val="0"/>
                <w:i w:val="0"/>
                <w:sz w:val="14"/>
              </w:rPr>
              <w:t>Broker (Whitfield &amp; Prescott) confirmed no lapse. Lender endorsements (additional insured / lender loss payee) not yet obtained. Cure Schedule lists a different broker (Heritage Insurance Brokers, item 39).</w:t>
            </w:r>
          </w:p>
        </w:tc>
        <w:tc>
          <w:tcPr>
            <w:tcW w:type="dxa" w:w="864"/>
            <w:shd w:val="clear" w:color="auto" w:fill="C6EFCE"/>
          </w:tcPr>
          <w:p>
            <w:pPr>
              <w:spacing w:after="20"/>
            </w:pPr>
            <w:r/>
            <w:r>
              <w:rPr>
                <w:b w:val="0"/>
                <w:i w:val="0"/>
                <w:sz w:val="14"/>
              </w:rPr>
              <w:t>GREEN</w:t>
            </w:r>
          </w:p>
        </w:tc>
        <w:tc>
          <w:tcPr>
            <w:tcW w:type="dxa" w:w="1368"/>
          </w:tcPr>
          <w:p>
            <w:pPr>
              <w:spacing w:after="20"/>
            </w:pPr>
            <w:r/>
            <w:r>
              <w:rPr>
                <w:b w:val="0"/>
                <w:i w:val="0"/>
                <w:sz w:val="14"/>
              </w:rPr>
              <w:t>Closing</w:t>
            </w:r>
          </w:p>
        </w:tc>
        <w:tc>
          <w:tcPr>
            <w:tcW w:type="dxa" w:w="1368"/>
          </w:tcPr>
          <w:p>
            <w:pPr>
              <w:spacing w:after="20"/>
            </w:pPr>
            <w:r/>
            <w:r>
              <w:rPr>
                <w:b w:val="0"/>
                <w:i w:val="0"/>
                <w:sz w:val="14"/>
              </w:rPr>
              <w:t>CFO; broker</w:t>
            </w:r>
          </w:p>
        </w:tc>
        <w:tc>
          <w:tcPr>
            <w:tcW w:type="dxa" w:w="2952"/>
          </w:tcPr>
          <w:p>
            <w:pPr>
              <w:spacing w:after="20"/>
            </w:pPr>
            <w:r/>
            <w:r>
              <w:rPr>
                <w:b w:val="0"/>
                <w:i w:val="0"/>
                <w:sz w:val="14"/>
              </w:rPr>
              <w:t>Obtain certificates and endorsements naming both Administrative Agents (CL Ex. C item 18); confirm which broker is engaged.</w:t>
            </w:r>
          </w:p>
        </w:tc>
      </w:tr>
    </w:tbl>
    <w:p>
      <w:pPr>
        <w:spacing w:after="40"/>
      </w:pPr>
    </w:p>
    <w:p>
      <w:pPr>
        <w:pStyle w:val="Heading1"/>
      </w:pPr>
      <w:r>
        <w:rPr>
          <w:color w:val="1F3864"/>
        </w:rPr>
        <w:t>4. Detailed Conditions Checklist</w:t>
      </w:r>
    </w:p>
    <w:p>
      <w:pPr>
        <w:spacing w:after="80"/>
      </w:pPr>
      <w:r>
        <w:rPr>
          <w:b w:val="0"/>
          <w:i w:val="0"/>
          <w:sz w:val="18"/>
        </w:rPr>
        <w:t>For each condition: the operative requirement (Plan and Confirmation Order), current status drawn from the documents reviewed, issues and inconsistencies, the closing evidence that should be in the closing set, and action items. Checkboxes (☐) are open; (☑) are complete on the record reviewed.</w:t>
      </w:r>
    </w:p>
    <w:p>
      <w:pPr>
        <w:pStyle w:val="Heading2"/>
      </w:pPr>
      <w:r>
        <w:rPr>
          <w:color w:val="1F3864"/>
        </w:rPr>
        <w:t>4.1 Plan § 9.01(a) — Confirmation Order Has Become a Final Order</w:t>
      </w:r>
    </w:p>
    <w:tbl>
      <w:tblPr>
        <w:tblStyle w:val="TableGrid"/>
        <w:tblW w:type="auto" w:w="0"/>
        <w:jc w:val="center"/>
        <w:tblLayout w:type="fixed"/>
        <w:tblLook w:firstColumn="1" w:firstRow="1" w:lastColumn="0" w:lastRow="0" w:noHBand="0" w:noVBand="1" w:val="04A0"/>
      </w:tblPr>
      <w:tblGrid>
        <w:gridCol w:w="2448"/>
        <w:gridCol w:w="11520"/>
      </w:tblGrid>
      <w:tr>
        <w:trPr>
          <w:tblHeader w:val="true"/>
        </w:trPr>
        <w:tc>
          <w:tcPr>
            <w:tcW w:type="dxa" w:w="2448"/>
            <w:shd w:val="clear" w:color="auto" w:fill="1F3864"/>
          </w:tcPr>
          <w:p>
            <w:r/>
            <w:r>
              <w:rPr>
                <w:b/>
                <w:color w:val="FFFFFF"/>
                <w:sz w:val="16"/>
              </w:rPr>
              <w:t>Element</w:t>
            </w:r>
          </w:p>
        </w:tc>
        <w:tc>
          <w:tcPr>
            <w:tcW w:type="dxa" w:w="11520"/>
            <w:shd w:val="clear" w:color="auto" w:fill="1F3864"/>
          </w:tcPr>
          <w:p>
            <w:r/>
            <w:r>
              <w:rPr>
                <w:b/>
                <w:color w:val="FFFFFF"/>
                <w:sz w:val="16"/>
              </w:rPr>
              <w:t>Detail</w:t>
            </w:r>
          </w:p>
        </w:tc>
      </w:tr>
      <w:tr>
        <w:tc>
          <w:tcPr>
            <w:tcW w:type="dxa" w:w="2448"/>
          </w:tcPr>
          <w:p>
            <w:pPr>
              <w:spacing w:after="20"/>
            </w:pPr>
            <w:r/>
            <w:r>
              <w:rPr>
                <w:b/>
                <w:i w:val="0"/>
                <w:sz w:val="16"/>
              </w:rPr>
              <w:t>Overall rating</w:t>
            </w:r>
          </w:p>
        </w:tc>
        <w:tc>
          <w:tcPr>
            <w:tcW w:type="dxa" w:w="11520"/>
            <w:shd w:val="clear" w:color="auto" w:fill="C6EFCE"/>
          </w:tcPr>
          <w:p>
            <w:pPr>
              <w:spacing w:after="20"/>
            </w:pPr>
            <w:r/>
            <w:r>
              <w:rPr>
                <w:b w:val="0"/>
                <w:i w:val="0"/>
                <w:sz w:val="16"/>
              </w:rPr>
              <w:t>GREEN — likely satisfied as of February 1, 2025; requires verification</w:t>
            </w:r>
          </w:p>
        </w:tc>
      </w:tr>
      <w:tr>
        <w:tc>
          <w:tcPr>
            <w:tcW w:type="dxa" w:w="2448"/>
          </w:tcPr>
          <w:p>
            <w:pPr>
              <w:spacing w:after="20"/>
            </w:pPr>
            <w:r/>
            <w:r>
              <w:rPr>
                <w:b/>
                <w:i w:val="0"/>
                <w:sz w:val="16"/>
              </w:rPr>
              <w:t>Requirement</w:t>
            </w:r>
          </w:p>
        </w:tc>
        <w:tc>
          <w:tcPr>
            <w:tcW w:type="dxa" w:w="11520"/>
          </w:tcPr>
          <w:p>
            <w:pPr>
              <w:spacing w:after="20"/>
            </w:pPr>
            <w:r/>
            <w:r>
              <w:rPr>
                <w:b w:val="0"/>
                <w:i w:val="0"/>
                <w:sz w:val="16"/>
              </w:rPr>
              <w:t xml:space="preserve">Confirmation Order must be a Final Order: appeal/reargument period expired with no appeal or motion pending (or resolved without modification). </w:t>
            </w:r>
            <w:r>
              <w:rPr>
                <w:b/>
                <w:i w:val="0"/>
                <w:sz w:val="16"/>
              </w:rPr>
              <w:t>Non-waivable</w:t>
            </w:r>
            <w:r>
              <w:rPr>
                <w:b w:val="0"/>
                <w:i w:val="0"/>
                <w:sz w:val="16"/>
              </w:rPr>
              <w:t xml:space="preserve"> (Plan § 9.02; CO ¶¶ 34, 75). CO ¶ 33(a) definition additionally contemplates written waivers of appeal rights and affirmance on appeal; CO ¶ 33(o) separately requires that no stay be in effect.</w:t>
            </w:r>
          </w:p>
        </w:tc>
      </w:tr>
      <w:tr>
        <w:tc>
          <w:tcPr>
            <w:tcW w:type="dxa" w:w="2448"/>
          </w:tcPr>
          <w:p>
            <w:pPr>
              <w:spacing w:after="20"/>
            </w:pPr>
            <w:r/>
            <w:r>
              <w:rPr>
                <w:b/>
                <w:i w:val="0"/>
                <w:sz w:val="16"/>
              </w:rPr>
              <w:t>Status</w:t>
            </w:r>
          </w:p>
        </w:tc>
        <w:tc>
          <w:tcPr>
            <w:tcW w:type="dxa" w:w="11520"/>
          </w:tcPr>
          <w:p>
            <w:pPr>
              <w:spacing w:after="20"/>
            </w:pPr>
            <w:r/>
            <w:r>
              <w:rPr>
                <w:b w:val="0"/>
                <w:i w:val="0"/>
                <w:sz w:val="16"/>
              </w:rPr>
              <w:t>CO entered Friday, January 17, 2025; Rule 8002(a)(1) 14-day period expired Friday, January 31, 2025 (CO ¶ 74). Status Report states only that the period has expired “to the Debtor’s knowledge.” Rule 3020(e) stay waived (CO ¶¶ 78, 85). Under Rule 8002(d)(2)(F) the Court may not extend the time to appeal an order confirming a plan under § 1129, so a late “excusable neglect” appeal is not a risk.</w:t>
            </w:r>
          </w:p>
        </w:tc>
      </w:tr>
      <w:tr>
        <w:tc>
          <w:tcPr>
            <w:tcW w:type="dxa" w:w="2448"/>
          </w:tcPr>
          <w:p>
            <w:pPr>
              <w:spacing w:after="20"/>
            </w:pPr>
            <w:r/>
            <w:r>
              <w:rPr>
                <w:b/>
                <w:i w:val="0"/>
                <w:sz w:val="16"/>
              </w:rPr>
              <w:t>Issues</w:t>
            </w:r>
          </w:p>
        </w:tc>
        <w:tc>
          <w:tcPr>
            <w:tcW w:type="dxa" w:w="11520"/>
          </w:tcPr>
          <w:p>
            <w:pPr>
              <w:spacing w:after="20"/>
            </w:pPr>
            <w:r/>
            <w:r>
              <w:rPr>
                <w:b w:val="0"/>
                <w:i w:val="0"/>
                <w:sz w:val="16"/>
              </w:rPr>
              <w:t>(1) Need affirmative docket confirmation that no notice of appeal and no Rule 7052, 9023 or 9024 motion (which would toll under Rule 8002(b)) was filed on or before January 31. (2) Commitment Letter § 3.1(a) requires the CO to be reasonably satisfactory to each Commitment Party — confirm no lender reservation was communicated. (3) Commitment Letter § 10.1(h) terminates commitments on any reversal, vacatur or stay on appeal.</w:t>
            </w:r>
          </w:p>
        </w:tc>
      </w:tr>
      <w:tr>
        <w:tc>
          <w:tcPr>
            <w:tcW w:type="dxa" w:w="2448"/>
          </w:tcPr>
          <w:p>
            <w:pPr>
              <w:spacing w:after="20"/>
            </w:pPr>
            <w:r/>
            <w:r>
              <w:rPr>
                <w:b/>
                <w:i w:val="0"/>
                <w:sz w:val="16"/>
              </w:rPr>
              <w:t>Closing evidence</w:t>
            </w:r>
          </w:p>
        </w:tc>
        <w:tc>
          <w:tcPr>
            <w:tcW w:type="dxa" w:w="11520"/>
          </w:tcPr>
          <w:p>
            <w:pPr>
              <w:spacing w:after="20"/>
            </w:pPr>
            <w:r/>
            <w:r>
              <w:rPr>
                <w:b w:val="0"/>
                <w:i w:val="0"/>
                <w:sz w:val="16"/>
              </w:rPr>
              <w:t>☐ Certified copy of CO (CL Ex. C item 16)  ☐ Certified docket report as of Feb. 14 and ED morning  ☐ Counsel certificate that CO is a Final Order (CL Ex. C item 17)</w:t>
            </w:r>
          </w:p>
        </w:tc>
      </w:tr>
      <w:tr>
        <w:tc>
          <w:tcPr>
            <w:tcW w:type="dxa" w:w="2448"/>
          </w:tcPr>
          <w:p>
            <w:pPr>
              <w:spacing w:after="20"/>
            </w:pPr>
            <w:r/>
            <w:r>
              <w:rPr>
                <w:b/>
                <w:i w:val="0"/>
                <w:sz w:val="16"/>
              </w:rPr>
              <w:t>Actions</w:t>
            </w:r>
          </w:p>
        </w:tc>
        <w:tc>
          <w:tcPr>
            <w:tcW w:type="dxa" w:w="11520"/>
          </w:tcPr>
          <w:p>
            <w:pPr>
              <w:spacing w:after="20"/>
            </w:pPr>
            <w:r/>
            <w:r>
              <w:rPr>
                <w:b w:val="0"/>
                <w:i w:val="0"/>
                <w:sz w:val="16"/>
              </w:rPr>
              <w:t xml:space="preserve">☐ Thornfield to pull docket (Dkt. 512 onward) and confirm no appellate filings — </w:t>
            </w:r>
            <w:r>
              <w:rPr>
                <w:b/>
                <w:i w:val="0"/>
                <w:sz w:val="16"/>
              </w:rPr>
              <w:t>by Feb. 10</w:t>
            </w:r>
            <w:r>
              <w:rPr>
                <w:b w:val="0"/>
                <w:i w:val="0"/>
                <w:sz w:val="16"/>
              </w:rPr>
              <w:t>.  ☐ Bring-down docket check on ED morning (also satisfies CO ¶ 33(o)).</w:t>
            </w:r>
          </w:p>
        </w:tc>
      </w:tr>
    </w:tbl>
    <w:p>
      <w:pPr>
        <w:spacing w:after="40"/>
      </w:pPr>
    </w:p>
    <w:p>
      <w:pPr>
        <w:pStyle w:val="Heading2"/>
      </w:pPr>
      <w:r>
        <w:rPr>
          <w:color w:val="1F3864"/>
        </w:rPr>
        <w:t>4.2 Plan § 9.01(b) — Exit Facility Closing</w:t>
      </w:r>
    </w:p>
    <w:tbl>
      <w:tblPr>
        <w:tblStyle w:val="TableGrid"/>
        <w:tblW w:type="auto" w:w="0"/>
        <w:jc w:val="center"/>
        <w:tblLayout w:type="fixed"/>
        <w:tblLook w:firstColumn="1" w:firstRow="1" w:lastColumn="0" w:lastRow="0" w:noHBand="0" w:noVBand="1" w:val="04A0"/>
      </w:tblPr>
      <w:tblGrid>
        <w:gridCol w:w="2448"/>
        <w:gridCol w:w="11520"/>
      </w:tblGrid>
      <w:tr>
        <w:trPr>
          <w:tblHeader w:val="true"/>
        </w:trPr>
        <w:tc>
          <w:tcPr>
            <w:tcW w:type="dxa" w:w="2448"/>
            <w:shd w:val="clear" w:color="auto" w:fill="1F3864"/>
          </w:tcPr>
          <w:p>
            <w:r/>
            <w:r>
              <w:rPr>
                <w:b/>
                <w:color w:val="FFFFFF"/>
                <w:sz w:val="16"/>
              </w:rPr>
              <w:t>Element</w:t>
            </w:r>
          </w:p>
        </w:tc>
        <w:tc>
          <w:tcPr>
            <w:tcW w:type="dxa" w:w="11520"/>
            <w:shd w:val="clear" w:color="auto" w:fill="1F3864"/>
          </w:tcPr>
          <w:p>
            <w:r/>
            <w:r>
              <w:rPr>
                <w:b/>
                <w:color w:val="FFFFFF"/>
                <w:sz w:val="16"/>
              </w:rPr>
              <w:t>Detail</w:t>
            </w:r>
          </w:p>
        </w:tc>
      </w:tr>
      <w:tr>
        <w:tc>
          <w:tcPr>
            <w:tcW w:type="dxa" w:w="2448"/>
          </w:tcPr>
          <w:p>
            <w:pPr>
              <w:spacing w:after="20"/>
            </w:pPr>
            <w:r/>
            <w:r>
              <w:rPr>
                <w:b/>
                <w:i w:val="0"/>
                <w:sz w:val="16"/>
              </w:rPr>
              <w:t>Overall rating</w:t>
            </w:r>
          </w:p>
        </w:tc>
        <w:tc>
          <w:tcPr>
            <w:tcW w:type="dxa" w:w="11520"/>
            <w:shd w:val="clear" w:color="auto" w:fill="F4B6B6"/>
          </w:tcPr>
          <w:p>
            <w:pPr>
              <w:spacing w:after="20"/>
            </w:pPr>
            <w:r/>
            <w:r>
              <w:rPr>
                <w:b w:val="0"/>
                <w:i w:val="0"/>
                <w:sz w:val="16"/>
              </w:rPr>
              <w:t>RED — critical path item; intercreditor impasse; non-waivable at Plan level</w:t>
            </w:r>
          </w:p>
        </w:tc>
      </w:tr>
      <w:tr>
        <w:tc>
          <w:tcPr>
            <w:tcW w:type="dxa" w:w="2448"/>
          </w:tcPr>
          <w:p>
            <w:pPr>
              <w:spacing w:after="20"/>
            </w:pPr>
            <w:r/>
            <w:r>
              <w:rPr>
                <w:b/>
                <w:i w:val="0"/>
                <w:sz w:val="16"/>
              </w:rPr>
              <w:t>Requirement</w:t>
            </w:r>
          </w:p>
        </w:tc>
        <w:tc>
          <w:tcPr>
            <w:tcW w:type="dxa" w:w="11520"/>
          </w:tcPr>
          <w:p>
            <w:pPr>
              <w:spacing w:after="20"/>
            </w:pPr>
            <w:r/>
            <w:r>
              <w:rPr>
                <w:b w:val="0"/>
                <w:i w:val="0"/>
                <w:sz w:val="16"/>
              </w:rPr>
              <w:t xml:space="preserve">Exit Facility Documents executed and delivered by all parties, and all conditions precedent to initial borrowing satisfied or waived (Plan § 9.01(b)). </w:t>
            </w:r>
            <w:r>
              <w:rPr>
                <w:b/>
                <w:i w:val="0"/>
                <w:sz w:val="16"/>
              </w:rPr>
              <w:t>Non-waivable</w:t>
            </w:r>
            <w:r>
              <w:rPr>
                <w:b w:val="0"/>
                <w:i w:val="0"/>
                <w:sz w:val="16"/>
              </w:rPr>
              <w:t xml:space="preserve"> under Plan § 9.02. CO ¶ 34 identifies only § 9.01(a) as non-waivable and the CO controls on inconsistency (CO ¶ 30), but the conservative reading — and the one the lenders will apply — is that (b) cannot be waived. CO ¶ 33(b) also requires the documents to be reasonably acceptable to the Debtor and RCFLL; CO ¶ 36 requires execution no later than 3 Business Days before the ED. Facilities: $250M Exit Term Loan (Ledgerstone; Term SOFR (0.75% floor) + 475 bps; 5 yrs; 1% amortization) and $75M Exit ABL Revolver (Greystone; Term SOFR + 200 bps grid; 4 yrs; 85% eligible A/R + 65% eligible inventory).</w:t>
            </w:r>
          </w:p>
        </w:tc>
      </w:tr>
      <w:tr>
        <w:tc>
          <w:tcPr>
            <w:tcW w:type="dxa" w:w="2448"/>
          </w:tcPr>
          <w:p>
            <w:pPr>
              <w:spacing w:after="20"/>
            </w:pPr>
            <w:r/>
            <w:r>
              <w:rPr>
                <w:b/>
                <w:i w:val="0"/>
                <w:sz w:val="16"/>
              </w:rPr>
              <w:t>Status — Term Loan</w:t>
            </w:r>
          </w:p>
        </w:tc>
        <w:tc>
          <w:tcPr>
            <w:tcW w:type="dxa" w:w="11520"/>
          </w:tcPr>
          <w:p>
            <w:pPr>
              <w:spacing w:after="20"/>
            </w:pPr>
            <w:r/>
            <w:r>
              <w:rPr>
                <w:b w:val="0"/>
                <w:i w:val="0"/>
                <w:sz w:val="16"/>
              </w:rPr>
              <w:t>Credit agreement v.14 “substantially final”; open items ministerial (disclosure and perfection schedules, officer’s certificates, legal opinions); Ledgerstone targets Feb. 12 (Archer e-mail). Counsel to Ledgerstone is still listed as “to be designated” in CL § 6.2 — confirm.</w:t>
            </w:r>
          </w:p>
        </w:tc>
      </w:tr>
      <w:tr>
        <w:tc>
          <w:tcPr>
            <w:tcW w:type="dxa" w:w="2448"/>
          </w:tcPr>
          <w:p>
            <w:pPr>
              <w:spacing w:after="20"/>
            </w:pPr>
            <w:r/>
            <w:r>
              <w:rPr>
                <w:b/>
                <w:i w:val="0"/>
                <w:sz w:val="16"/>
              </w:rPr>
              <w:t>Status — ABL</w:t>
            </w:r>
          </w:p>
        </w:tc>
        <w:tc>
          <w:tcPr>
            <w:tcW w:type="dxa" w:w="11520"/>
          </w:tcPr>
          <w:p>
            <w:pPr>
              <w:spacing w:after="20"/>
            </w:pPr>
            <w:r/>
            <w:r>
              <w:rPr>
                <w:b w:val="0"/>
                <w:i w:val="0"/>
                <w:sz w:val="16"/>
              </w:rPr>
              <w:t xml:space="preserve">Later-stage draft, </w:t>
            </w:r>
            <w:r>
              <w:rPr>
                <w:b/>
                <w:i w:val="0"/>
                <w:sz w:val="16"/>
              </w:rPr>
              <w:t>not</w:t>
            </w:r>
            <w:r>
              <w:rPr>
                <w:b w:val="0"/>
                <w:i w:val="0"/>
                <w:sz w:val="16"/>
              </w:rPr>
              <w:t xml:space="preserve"> substantially final. Open: (i) borrowing-base eligibility of foreign receivables generated by Oakvale Flow Solutions, Inc. (Texas non-debtor subsidiary); (ii) cash dominion trigger threshold.</w:t>
            </w:r>
          </w:p>
        </w:tc>
      </w:tr>
      <w:tr>
        <w:tc>
          <w:tcPr>
            <w:tcW w:type="dxa" w:w="2448"/>
          </w:tcPr>
          <w:p>
            <w:pPr>
              <w:spacing w:after="20"/>
            </w:pPr>
            <w:r/>
            <w:r>
              <w:rPr>
                <w:b/>
                <w:i w:val="0"/>
                <w:sz w:val="16"/>
              </w:rPr>
              <w:t>Status — Intercreditor</w:t>
            </w:r>
          </w:p>
        </w:tc>
        <w:tc>
          <w:tcPr>
            <w:tcW w:type="dxa" w:w="11520"/>
          </w:tcPr>
          <w:p>
            <w:pPr>
              <w:spacing w:after="20"/>
            </w:pPr>
            <w:r/>
            <w:r>
              <w:rPr>
                <w:b w:val="0"/>
                <w:i w:val="0"/>
                <w:sz w:val="16"/>
              </w:rPr>
              <w:t xml:space="preserve">Commercial impasse at working level. Open points: (1) waterfall / “mixed collateral” turnover once ABL paid in full (Greystone: blanket turnover “difficult,” open to caps); (2) standstill — Greystone 180 days vs. Ledgerstone 90 days; (3) DIP financing cooperation / priming consent rights (both sides say solvable; Debtor proposed Whitfield Industries approach); (4) whether ICA should include mutual releases. Greystone requires agreed final form by </w:t>
            </w:r>
            <w:r>
              <w:rPr>
                <w:b/>
                <w:i w:val="0"/>
                <w:sz w:val="16"/>
              </w:rPr>
              <w:t>Tue., Feb. 11</w:t>
            </w:r>
            <w:r>
              <w:rPr>
                <w:b w:val="0"/>
                <w:i w:val="0"/>
                <w:sz w:val="16"/>
              </w:rPr>
              <w:t xml:space="preserve"> for credit committee sign-off by Feb. 12.</w:t>
            </w:r>
          </w:p>
        </w:tc>
      </w:tr>
      <w:tr>
        <w:tc>
          <w:tcPr>
            <w:tcW w:type="dxa" w:w="2448"/>
          </w:tcPr>
          <w:p>
            <w:pPr>
              <w:spacing w:after="20"/>
            </w:pPr>
            <w:r/>
            <w:r>
              <w:rPr>
                <w:b/>
                <w:i w:val="0"/>
                <w:sz w:val="16"/>
              </w:rPr>
              <w:t>Key issues</w:t>
            </w:r>
          </w:p>
        </w:tc>
        <w:tc>
          <w:tcPr>
            <w:tcW w:type="dxa" w:w="11520"/>
          </w:tcPr>
          <w:p>
            <w:pPr>
              <w:spacing w:after="20"/>
            </w:pPr>
            <w:r/>
            <w:r>
              <w:rPr>
                <w:b w:val="0"/>
                <w:i w:val="0"/>
                <w:sz w:val="16"/>
              </w:rPr>
              <w:t xml:space="preserve">(1) </w:t>
            </w:r>
            <w:r>
              <w:rPr>
                <w:b/>
                <w:i w:val="0"/>
                <w:sz w:val="16"/>
              </w:rPr>
              <w:t>Business-day miscount.</w:t>
            </w:r>
            <w:r>
              <w:rPr>
                <w:b w:val="0"/>
                <w:i w:val="0"/>
                <w:sz w:val="16"/>
              </w:rPr>
              <w:t xml:space="preserve"> CL § 7 defines Business Day to exclude days NY or Wilmington banks are closed; Presidents’ Day (Feb. 17) is such a day, so “3 Business Days prior to” Feb. 18 is </w:t>
            </w:r>
            <w:r>
              <w:rPr>
                <w:b/>
                <w:i w:val="0"/>
                <w:sz w:val="16"/>
              </w:rPr>
              <w:t>Feb. 12</w:t>
            </w:r>
            <w:r>
              <w:rPr>
                <w:b w:val="0"/>
                <w:i w:val="0"/>
                <w:sz w:val="16"/>
              </w:rPr>
              <w:t xml:space="preserve">, not Feb. 13 as stated in CL §§ 3.1(d), 9(d), Ex. B, Ex. C and CO ¶ 36. Obtain written acknowledgment from both Commitment Parties that Feb. 13 execution satisfies § 3.1(d), or plan to Feb. 12. (2) </w:t>
            </w:r>
            <w:r>
              <w:rPr>
                <w:b/>
                <w:i w:val="0"/>
                <w:sz w:val="16"/>
              </w:rPr>
              <w:t>The ICA is a funding condition for both facilities</w:t>
            </w:r>
            <w:r>
              <w:rPr>
                <w:b w:val="0"/>
                <w:i w:val="0"/>
                <w:sz w:val="16"/>
              </w:rPr>
              <w:t xml:space="preserve"> (CL §§ 2.2, 3.1(d); Ex. B) — “no funding shall be made under the Exit ABL Revolver in the absence of an executed Intercreditor Agreement.” (3) </w:t>
            </w:r>
            <w:r>
              <w:rPr>
                <w:b/>
                <w:i w:val="0"/>
                <w:sz w:val="16"/>
              </w:rPr>
              <w:t>Flex is not an extension tool.</w:t>
            </w:r>
            <w:r>
              <w:rPr>
                <w:b w:val="0"/>
                <w:i w:val="0"/>
                <w:sz w:val="16"/>
              </w:rPr>
              <w:t xml:space="preserve"> The Wynn e-mail proposes extending the documentation deadline “under the Commitment Letter’s flex provisions”; CL § 5 flex covers pricing/OID and structure only. An extension requires a written amendment or waiver signed by both Commitment Parties and the Borrower (CL § 14.4); alternatively each lender may waive its own § 3.1(d) timing condition (CL § 3.1 lead-in) — the Plan-level condition in § 9.01(b) is satisfied if the CPs are “satisfied or waived.” (4) </w:t>
            </w:r>
            <w:r>
              <w:rPr>
                <w:b/>
                <w:i w:val="0"/>
                <w:sz w:val="16"/>
              </w:rPr>
              <w:t>Greystone’s dual role.</w:t>
            </w:r>
            <w:r>
              <w:rPr>
                <w:b w:val="0"/>
                <w:i w:val="0"/>
                <w:sz w:val="16"/>
              </w:rPr>
              <w:t xml:space="preserve"> Greystone is First Lien Agent (and its lender group drives RCFLL consents, including any § 9.02 waivers and CO ¶ 31 ED designation) and the ABL arranger negotiating against Ledgerstone; Hollowell Craine &amp; Burgess acts for Greystone in both capacities and approved the New Organizational Documents as RCFLL counsel. Confirm RCFLL consents are given by the requisite holders, not by Greystone as agent alone. (5) </w:t>
            </w:r>
            <w:r>
              <w:rPr>
                <w:b/>
                <w:i w:val="0"/>
                <w:sz w:val="16"/>
              </w:rPr>
              <w:t>Sources and uses ambiguity.</w:t>
            </w:r>
            <w:r>
              <w:rPr>
                <w:b w:val="0"/>
                <w:i w:val="0"/>
                <w:sz w:val="16"/>
              </w:rPr>
              <w:t xml:space="preserve"> Plan § 4.02(a) and CO ¶ 43(a) describe First Lien holders receiving their Pro Rata “participation in” / “share of” the $250M Exit Term Loan (a take-back structure), while CL § 2.1 describes Ledgerstone-arranged term loan proceeds funding ED payments and “refinanc[ing] and retir[ing] certain prepetition secured indebtedness.” The funds flow must establish how much (if any) of the $250M is new cash available for the $54.4M ED requirements. (6) </w:t>
            </w:r>
            <w:r>
              <w:rPr>
                <w:b/>
                <w:i w:val="0"/>
                <w:sz w:val="16"/>
              </w:rPr>
              <w:t>Non-debtor guarantors.</w:t>
            </w:r>
            <w:r>
              <w:rPr>
                <w:b w:val="0"/>
                <w:i w:val="0"/>
                <w:sz w:val="16"/>
              </w:rPr>
              <w:t xml:space="preserve"> Oakvale Valve Manufacturing, LLC (DE) and Oakvale Flow Solutions, Inc. (TX) must guarantee and grant liens; Plan § 5.08 and CO ¶ 86 deemed corporate authority do </w:t>
            </w:r>
            <w:r>
              <w:rPr>
                <w:b/>
                <w:i w:val="0"/>
                <w:sz w:val="16"/>
              </w:rPr>
              <w:t>not</w:t>
            </w:r>
            <w:r>
              <w:rPr>
                <w:b w:val="0"/>
                <w:i w:val="0"/>
                <w:sz w:val="16"/>
              </w:rPr>
              <w:t xml:space="preserve"> extend to non-debtors — separate manager/board resolutions, good standings and officer certificates are required. (7) Flex notice deadline (10 Business Days before anticipated closing) fell on </w:t>
            </w:r>
            <w:r>
              <w:rPr>
                <w:b/>
                <w:i w:val="0"/>
                <w:sz w:val="16"/>
              </w:rPr>
              <w:t>Feb. 3</w:t>
            </w:r>
            <w:r>
              <w:rPr>
                <w:b w:val="0"/>
                <w:i w:val="0"/>
                <w:sz w:val="16"/>
              </w:rPr>
              <w:t xml:space="preserve">; confirm whether flex was exercised. Greystone has signalled that a delay could reopen flex and MAE questions. (8) CL § 3.2(c) requires evidence of sufficiency of funds including “administrative claims of approximately $38.2 million” </w:t>
            </w:r>
            <w:r>
              <w:rPr>
                <w:b/>
                <w:i w:val="0"/>
                <w:sz w:val="16"/>
              </w:rPr>
              <w:t>and</w:t>
            </w:r>
            <w:r>
              <w:rPr>
                <w:b w:val="0"/>
                <w:i w:val="0"/>
                <w:sz w:val="16"/>
              </w:rPr>
              <w:t xml:space="preserve"> $26.0M Professional Fee Escrow — the $38.2M figure already includes ~$23.5M of professional fees; the sufficiency certificate should use the Plan § 5.10 build ($54.4M) to avoid an apparent shortfall.</w:t>
            </w:r>
          </w:p>
        </w:tc>
      </w:tr>
      <w:tr>
        <w:tc>
          <w:tcPr>
            <w:tcW w:type="dxa" w:w="2448"/>
          </w:tcPr>
          <w:p>
            <w:pPr>
              <w:spacing w:after="20"/>
            </w:pPr>
            <w:r/>
            <w:r>
              <w:rPr>
                <w:b/>
                <w:i w:val="0"/>
                <w:sz w:val="16"/>
              </w:rPr>
              <w:t>Closing evidence (summary; see Section 5)</w:t>
            </w:r>
          </w:p>
        </w:tc>
        <w:tc>
          <w:tcPr>
            <w:tcW w:type="dxa" w:w="11520"/>
          </w:tcPr>
          <w:p>
            <w:pPr>
              <w:spacing w:after="20"/>
            </w:pPr>
            <w:r/>
            <w:r>
              <w:rPr>
                <w:b w:val="0"/>
                <w:i w:val="0"/>
                <w:sz w:val="16"/>
              </w:rPr>
              <w:t>☐ Executed Term Loan CA  ☐ Executed ABL CA  ☐ Executed ICA  ☐ Security, pledge, guaranty, IP security agreements  ☐ Account control agreements  ☐ UCC-1s (DE, TX)  ☐ Secretary’s, officer’s and solvency certificates (Pellegrino)  ☐ Legal opinions (Thornfield; local counsel)  ☐ Borrowing base certificate  ☐ Field exam/appraisal (dated on/after Jan. 19)  ☐ Lien searches  ☐ Insurance endorsements  ☐ Fee Letter payment  ☐ Borrowing notice (by Feb. 13)</w:t>
            </w:r>
          </w:p>
        </w:tc>
      </w:tr>
      <w:tr>
        <w:tc>
          <w:tcPr>
            <w:tcW w:type="dxa" w:w="2448"/>
          </w:tcPr>
          <w:p>
            <w:pPr>
              <w:spacing w:after="20"/>
            </w:pPr>
            <w:r/>
            <w:r>
              <w:rPr>
                <w:b/>
                <w:i w:val="0"/>
                <w:sz w:val="16"/>
              </w:rPr>
              <w:t>Actions</w:t>
            </w:r>
          </w:p>
        </w:tc>
        <w:tc>
          <w:tcPr>
            <w:tcW w:type="dxa" w:w="11520"/>
          </w:tcPr>
          <w:p>
            <w:pPr>
              <w:spacing w:after="20"/>
            </w:pPr>
            <w:r/>
            <w:r>
              <w:rPr>
                <w:b w:val="0"/>
                <w:i w:val="0"/>
                <w:sz w:val="16"/>
              </w:rPr>
              <w:t>☐ Feb. 7 principals call — record outcome; propose bridge: standstill 120–150 days with acceleration of standstill on ABL enforcement; capped turnover of mixed-collateral proceeds (Hollowell signalled openness to caps); DIP cooperation per Whitfield precedent; releases remain solely in the Plan (Plan Art. XII controls).  ☐ ICA final form by Feb. 10 (Debtor target) / Feb. 11 (Greystone hard stop).  ☐ ABL open points closed by Feb. 10.  ☐ Written confirmation of execution deadline (Feb. 12 vs. 13) from both Commitment Parties by Feb. 10.  ☐ Non-debtor subsidiary resolutions and Texas good standing by Feb. 12.  ☐ Contingency: if ICA term sheet not agreed by Feb. 10, notify lenders under CL § 9(f) of change in target ED and negotiate written § 14.4 amendment re-setting the documentation deadline against a new ED.</w:t>
            </w:r>
          </w:p>
        </w:tc>
      </w:tr>
    </w:tbl>
    <w:p>
      <w:pPr>
        <w:spacing w:after="40"/>
      </w:pPr>
    </w:p>
    <w:p>
      <w:pPr>
        <w:pStyle w:val="Heading2"/>
      </w:pPr>
      <w:r>
        <w:rPr>
          <w:color w:val="1F3864"/>
        </w:rPr>
        <w:t>4.3 Plan § 9.01(c) — Professional Fee Escrow ($26,000,000)</w:t>
      </w:r>
    </w:p>
    <w:tbl>
      <w:tblPr>
        <w:tblStyle w:val="TableGrid"/>
        <w:tblW w:type="auto" w:w="0"/>
        <w:jc w:val="center"/>
        <w:tblLayout w:type="fixed"/>
        <w:tblLook w:firstColumn="1" w:firstRow="1" w:lastColumn="0" w:lastRow="0" w:noHBand="0" w:noVBand="1" w:val="04A0"/>
      </w:tblPr>
      <w:tblGrid>
        <w:gridCol w:w="2448"/>
        <w:gridCol w:w="11520"/>
      </w:tblGrid>
      <w:tr>
        <w:trPr>
          <w:tblHeader w:val="true"/>
        </w:trPr>
        <w:tc>
          <w:tcPr>
            <w:tcW w:type="dxa" w:w="2448"/>
            <w:shd w:val="clear" w:color="auto" w:fill="1F3864"/>
          </w:tcPr>
          <w:p>
            <w:r/>
            <w:r>
              <w:rPr>
                <w:b/>
                <w:color w:val="FFFFFF"/>
                <w:sz w:val="16"/>
              </w:rPr>
              <w:t>Element</w:t>
            </w:r>
          </w:p>
        </w:tc>
        <w:tc>
          <w:tcPr>
            <w:tcW w:type="dxa" w:w="11520"/>
            <w:shd w:val="clear" w:color="auto" w:fill="1F3864"/>
          </w:tcPr>
          <w:p>
            <w:r/>
            <w:r>
              <w:rPr>
                <w:b/>
                <w:color w:val="FFFFFF"/>
                <w:sz w:val="16"/>
              </w:rPr>
              <w:t>Detail</w:t>
            </w:r>
          </w:p>
        </w:tc>
      </w:tr>
      <w:tr>
        <w:tc>
          <w:tcPr>
            <w:tcW w:type="dxa" w:w="2448"/>
          </w:tcPr>
          <w:p>
            <w:pPr>
              <w:spacing w:after="20"/>
            </w:pPr>
            <w:r/>
            <w:r>
              <w:rPr>
                <w:b/>
                <w:i w:val="0"/>
                <w:sz w:val="16"/>
              </w:rPr>
              <w:t>Overall rating</w:t>
            </w:r>
          </w:p>
        </w:tc>
        <w:tc>
          <w:tcPr>
            <w:tcW w:type="dxa" w:w="11520"/>
            <w:shd w:val="clear" w:color="auto" w:fill="FFE699"/>
          </w:tcPr>
          <w:p>
            <w:pPr>
              <w:spacing w:after="20"/>
            </w:pPr>
            <w:r/>
            <w:r>
              <w:rPr>
                <w:b w:val="0"/>
                <w:i w:val="0"/>
                <w:sz w:val="16"/>
              </w:rPr>
              <w:t>AMBER — fundable at closing, but sufficiency cushion is thin; non-waivable</w:t>
            </w:r>
          </w:p>
        </w:tc>
      </w:tr>
      <w:tr>
        <w:tc>
          <w:tcPr>
            <w:tcW w:type="dxa" w:w="2448"/>
          </w:tcPr>
          <w:p>
            <w:pPr>
              <w:spacing w:after="20"/>
            </w:pPr>
            <w:r/>
            <w:r>
              <w:rPr>
                <w:b/>
                <w:i w:val="0"/>
                <w:sz w:val="16"/>
              </w:rPr>
              <w:t>Requirement</w:t>
            </w:r>
          </w:p>
        </w:tc>
        <w:tc>
          <w:tcPr>
            <w:tcW w:type="dxa" w:w="11520"/>
          </w:tcPr>
          <w:p>
            <w:pPr>
              <w:spacing w:after="20"/>
            </w:pPr>
            <w:r/>
            <w:r>
              <w:rPr>
                <w:b w:val="0"/>
                <w:i w:val="0"/>
                <w:sz w:val="16"/>
              </w:rPr>
              <w:t xml:space="preserve">Escrow established and funded in the amount of $26,000,000 (Plan §§ 2.02, 9.01(c)); funded from cash on hand and/or Exit ABL proceeds (CO ¶¶ 33(c), 42; CL § 2.2 permits ABL use up to $26.0M). Interest-bearing account at an institution acceptable to the Debtor </w:t>
            </w:r>
            <w:r>
              <w:rPr>
                <w:b/>
                <w:i w:val="0"/>
                <w:sz w:val="16"/>
              </w:rPr>
              <w:t>and the Committee</w:t>
            </w:r>
            <w:r>
              <w:rPr>
                <w:b w:val="0"/>
                <w:i w:val="0"/>
                <w:sz w:val="16"/>
              </w:rPr>
              <w:t xml:space="preserve"> (Plan § 2.02). </w:t>
            </w:r>
            <w:r>
              <w:rPr>
                <w:b/>
                <w:i w:val="0"/>
                <w:sz w:val="16"/>
              </w:rPr>
              <w:t>Non-waivable</w:t>
            </w:r>
            <w:r>
              <w:rPr>
                <w:b w:val="0"/>
                <w:i w:val="0"/>
                <w:sz w:val="16"/>
              </w:rPr>
              <w:t xml:space="preserve"> (Plan § 9.02).</w:t>
            </w:r>
          </w:p>
        </w:tc>
      </w:tr>
      <w:tr>
        <w:tc>
          <w:tcPr>
            <w:tcW w:type="dxa" w:w="2448"/>
          </w:tcPr>
          <w:p>
            <w:pPr>
              <w:spacing w:after="20"/>
            </w:pPr>
            <w:r/>
            <w:r>
              <w:rPr>
                <w:b/>
                <w:i w:val="0"/>
                <w:sz w:val="16"/>
              </w:rPr>
              <w:t>Status</w:t>
            </w:r>
          </w:p>
        </w:tc>
        <w:tc>
          <w:tcPr>
            <w:tcW w:type="dxa" w:w="11520"/>
          </w:tcPr>
          <w:p>
            <w:pPr>
              <w:spacing w:after="20"/>
            </w:pPr>
            <w:r/>
            <w:r>
              <w:rPr>
                <w:b w:val="0"/>
                <w:i w:val="0"/>
                <w:sz w:val="16"/>
              </w:rPr>
              <w:t xml:space="preserve">Not yet funded (funds at closing). Status Report: fees through January 2025 ≈ </w:t>
            </w:r>
            <w:r>
              <w:rPr>
                <w:b/>
                <w:i w:val="0"/>
                <w:sz w:val="16"/>
              </w:rPr>
              <w:t>$24.8M</w:t>
            </w:r>
            <w:r>
              <w:rPr>
                <w:b w:val="0"/>
                <w:i w:val="0"/>
                <w:sz w:val="16"/>
              </w:rPr>
              <w:t xml:space="preserve"> vs. $23.5M at the Disclosure Statement; escrow “expected to be sufficient.” No escrow agent or account identified.</w:t>
            </w:r>
          </w:p>
        </w:tc>
      </w:tr>
      <w:tr>
        <w:tc>
          <w:tcPr>
            <w:tcW w:type="dxa" w:w="2448"/>
          </w:tcPr>
          <w:p>
            <w:pPr>
              <w:spacing w:after="20"/>
            </w:pPr>
            <w:r/>
            <w:r>
              <w:rPr>
                <w:b/>
                <w:i w:val="0"/>
                <w:sz w:val="16"/>
              </w:rPr>
              <w:t>Issues</w:t>
            </w:r>
          </w:p>
        </w:tc>
        <w:tc>
          <w:tcPr>
            <w:tcW w:type="dxa" w:w="11520"/>
          </w:tcPr>
          <w:p>
            <w:pPr>
              <w:spacing w:after="20"/>
            </w:pPr>
            <w:r/>
            <w:r>
              <w:rPr>
                <w:b w:val="0"/>
                <w:i w:val="0"/>
                <w:sz w:val="16"/>
              </w:rPr>
              <w:t>(1) Cushion of ~$1.2M must absorb February fees (including heavy pre-closing work) and any success/transaction fees payable on emergence (e.g., Petworth, subject to its $8.5M fee cap per Dkt. No. 78). (2) The Plan fixes the amount at $26.0M; if estimates exceed it, an increase should be documented with RCFLL consent and noticed, since the Plan says the Debtor “has determined [it] is sufficient.” (3) Escrow is not estate property (Plan § 2.02); escrow agreement should say so and provide for return of residual to Reorganized Oakvale. (4) The $26.0M depends on the ABL closing — ties this non-waivable condition to the Exit Facility critical path.</w:t>
            </w:r>
          </w:p>
        </w:tc>
      </w:tr>
      <w:tr>
        <w:tc>
          <w:tcPr>
            <w:tcW w:type="dxa" w:w="2448"/>
          </w:tcPr>
          <w:p>
            <w:pPr>
              <w:spacing w:after="20"/>
            </w:pPr>
            <w:r/>
            <w:r>
              <w:rPr>
                <w:b/>
                <w:i w:val="0"/>
                <w:sz w:val="16"/>
              </w:rPr>
              <w:t>Closing evidence</w:t>
            </w:r>
          </w:p>
        </w:tc>
        <w:tc>
          <w:tcPr>
            <w:tcW w:type="dxa" w:w="11520"/>
          </w:tcPr>
          <w:p>
            <w:pPr>
              <w:spacing w:after="20"/>
            </w:pPr>
            <w:r/>
            <w:r>
              <w:rPr>
                <w:b w:val="0"/>
                <w:i w:val="0"/>
                <w:sz w:val="16"/>
              </w:rPr>
              <w:t>☐ Escrow agreement executed  ☐ Committee written acceptance of institution  ☐ Wire confirmation of $26,000,000</w:t>
            </w:r>
          </w:p>
        </w:tc>
      </w:tr>
      <w:tr>
        <w:tc>
          <w:tcPr>
            <w:tcW w:type="dxa" w:w="2448"/>
          </w:tcPr>
          <w:p>
            <w:pPr>
              <w:spacing w:after="20"/>
            </w:pPr>
            <w:r/>
            <w:r>
              <w:rPr>
                <w:b/>
                <w:i w:val="0"/>
                <w:sz w:val="16"/>
              </w:rPr>
              <w:t>Actions</w:t>
            </w:r>
          </w:p>
        </w:tc>
        <w:tc>
          <w:tcPr>
            <w:tcW w:type="dxa" w:w="11520"/>
          </w:tcPr>
          <w:p>
            <w:pPr>
              <w:spacing w:after="20"/>
            </w:pPr>
            <w:r/>
            <w:r>
              <w:rPr>
                <w:b w:val="0"/>
                <w:i w:val="0"/>
                <w:sz w:val="16"/>
              </w:rPr>
              <w:t xml:space="preserve">☐ Request good-faith accrued-and-unpaid fee estimates through ED from every retained Professional (Debtor and Committee) by </w:t>
            </w:r>
            <w:r>
              <w:rPr>
                <w:b/>
                <w:i w:val="0"/>
                <w:sz w:val="16"/>
              </w:rPr>
              <w:t>Feb. 11</w:t>
            </w:r>
            <w:r>
              <w:rPr>
                <w:b w:val="0"/>
                <w:i w:val="0"/>
                <w:sz w:val="16"/>
              </w:rPr>
              <w:t>.  ☐ Petworth to stress-test cushion.  ☐ Select bank; circulate escrow agreement to Committee counsel by Feb. 11.</w:t>
            </w:r>
          </w:p>
        </w:tc>
      </w:tr>
    </w:tbl>
    <w:p>
      <w:pPr>
        <w:spacing w:after="40"/>
      </w:pPr>
    </w:p>
    <w:p>
      <w:pPr>
        <w:pStyle w:val="Heading2"/>
      </w:pPr>
      <w:r>
        <w:rPr>
          <w:color w:val="1F3864"/>
        </w:rPr>
        <w:t>4.4 Plan § 9.01(d) — New Organizational Documents</w:t>
      </w:r>
    </w:p>
    <w:tbl>
      <w:tblPr>
        <w:tblStyle w:val="TableGrid"/>
        <w:tblW w:type="auto" w:w="0"/>
        <w:jc w:val="center"/>
        <w:tblLayout w:type="fixed"/>
        <w:tblLook w:firstColumn="1" w:firstRow="1" w:lastColumn="0" w:lastRow="0" w:noHBand="0" w:noVBand="1" w:val="04A0"/>
      </w:tblPr>
      <w:tblGrid>
        <w:gridCol w:w="2448"/>
        <w:gridCol w:w="11520"/>
      </w:tblGrid>
      <w:tr>
        <w:trPr>
          <w:tblHeader w:val="true"/>
        </w:trPr>
        <w:tc>
          <w:tcPr>
            <w:tcW w:type="dxa" w:w="2448"/>
            <w:shd w:val="clear" w:color="auto" w:fill="1F3864"/>
          </w:tcPr>
          <w:p>
            <w:r/>
            <w:r>
              <w:rPr>
                <w:b/>
                <w:color w:val="FFFFFF"/>
                <w:sz w:val="16"/>
              </w:rPr>
              <w:t>Element</w:t>
            </w:r>
          </w:p>
        </w:tc>
        <w:tc>
          <w:tcPr>
            <w:tcW w:type="dxa" w:w="11520"/>
            <w:shd w:val="clear" w:color="auto" w:fill="1F3864"/>
          </w:tcPr>
          <w:p>
            <w:r/>
            <w:r>
              <w:rPr>
                <w:b/>
                <w:color w:val="FFFFFF"/>
                <w:sz w:val="16"/>
              </w:rPr>
              <w:t>Detail</w:t>
            </w:r>
          </w:p>
        </w:tc>
      </w:tr>
      <w:tr>
        <w:tc>
          <w:tcPr>
            <w:tcW w:type="dxa" w:w="2448"/>
          </w:tcPr>
          <w:p>
            <w:pPr>
              <w:spacing w:after="20"/>
            </w:pPr>
            <w:r/>
            <w:r>
              <w:rPr>
                <w:b/>
                <w:i w:val="0"/>
                <w:sz w:val="16"/>
              </w:rPr>
              <w:t>Overall rating</w:t>
            </w:r>
          </w:p>
        </w:tc>
        <w:tc>
          <w:tcPr>
            <w:tcW w:type="dxa" w:w="11520"/>
            <w:shd w:val="clear" w:color="auto" w:fill="FFE699"/>
          </w:tcPr>
          <w:p>
            <w:pPr>
              <w:spacing w:after="20"/>
            </w:pPr>
            <w:r/>
            <w:r>
              <w:rPr>
                <w:b w:val="0"/>
                <w:i w:val="0"/>
                <w:sz w:val="16"/>
              </w:rPr>
              <w:t>AMBER — documents final; filing mechanics and legal-name issue open</w:t>
            </w:r>
          </w:p>
        </w:tc>
      </w:tr>
      <w:tr>
        <w:tc>
          <w:tcPr>
            <w:tcW w:type="dxa" w:w="2448"/>
          </w:tcPr>
          <w:p>
            <w:pPr>
              <w:spacing w:after="20"/>
            </w:pPr>
            <w:r/>
            <w:r>
              <w:rPr>
                <w:b/>
                <w:i w:val="0"/>
                <w:sz w:val="16"/>
              </w:rPr>
              <w:t>Requirement</w:t>
            </w:r>
          </w:p>
        </w:tc>
        <w:tc>
          <w:tcPr>
            <w:tcW w:type="dxa" w:w="11520"/>
          </w:tcPr>
          <w:p>
            <w:pPr>
              <w:spacing w:after="20"/>
            </w:pPr>
            <w:r/>
            <w:r>
              <w:rPr>
                <w:b w:val="0"/>
                <w:i w:val="0"/>
                <w:sz w:val="16"/>
              </w:rPr>
              <w:t xml:space="preserve">A&amp;R Certificate of Incorporation filed with the Delaware Secretary of State and A&amp;R Bylaws adopted (Plan §§ 5.06, 6.01, 9.01(d)). Must authorize 10,000,000 common and 2,000,000 undesignated preferred, par $0.001 (CO ¶¶ 33(f), 51) and prohibit non-voting equity (§ 1123(a)(6)). CO ¶ 33(f) requires bylaws adopted by the </w:t>
            </w:r>
            <w:r>
              <w:rPr>
                <w:b/>
                <w:i w:val="0"/>
                <w:sz w:val="16"/>
              </w:rPr>
              <w:t>Board of Directors of Reorganized Oakvale</w:t>
            </w:r>
            <w:r>
              <w:rPr>
                <w:b w:val="0"/>
                <w:i w:val="0"/>
                <w:sz w:val="16"/>
              </w:rPr>
              <w:t xml:space="preserve"> (Plan: “by the Debtor”). CL § 3.1(e) requires the documents to be reasonably satisfactory to the Commitment Parties. Post-emergence name: “Reorganized Oakvale Industrial Holdings, Inc.” (CO ¶ 54).</w:t>
            </w:r>
          </w:p>
        </w:tc>
      </w:tr>
      <w:tr>
        <w:tc>
          <w:tcPr>
            <w:tcW w:type="dxa" w:w="2448"/>
          </w:tcPr>
          <w:p>
            <w:pPr>
              <w:spacing w:after="20"/>
            </w:pPr>
            <w:r/>
            <w:r>
              <w:rPr>
                <w:b/>
                <w:i w:val="0"/>
                <w:sz w:val="16"/>
              </w:rPr>
              <w:t>Status</w:t>
            </w:r>
          </w:p>
        </w:tc>
        <w:tc>
          <w:tcPr>
            <w:tcW w:type="dxa" w:w="11520"/>
          </w:tcPr>
          <w:p>
            <w:pPr>
              <w:spacing w:after="20"/>
            </w:pPr>
            <w:r/>
            <w:r>
              <w:rPr>
                <w:b w:val="0"/>
                <w:i w:val="0"/>
                <w:sz w:val="16"/>
              </w:rPr>
              <w:t>Final form; approved by Hollowell Craine &amp; Burgess as counsel to RCFLL. COI “will be filed with the Delaware Secretary of State on the Effective Date.”</w:t>
            </w:r>
          </w:p>
        </w:tc>
      </w:tr>
      <w:tr>
        <w:tc>
          <w:tcPr>
            <w:tcW w:type="dxa" w:w="2448"/>
          </w:tcPr>
          <w:p>
            <w:pPr>
              <w:spacing w:after="20"/>
            </w:pPr>
            <w:r/>
            <w:r>
              <w:rPr>
                <w:b/>
                <w:i w:val="0"/>
                <w:sz w:val="16"/>
              </w:rPr>
              <w:t>Issues</w:t>
            </w:r>
          </w:p>
        </w:tc>
        <w:tc>
          <w:tcPr>
            <w:tcW w:type="dxa" w:w="11520"/>
          </w:tcPr>
          <w:p>
            <w:pPr>
              <w:spacing w:after="20"/>
            </w:pPr>
            <w:r/>
            <w:r>
              <w:rPr>
                <w:b w:val="0"/>
                <w:i w:val="0"/>
                <w:sz w:val="16"/>
              </w:rPr>
              <w:t xml:space="preserve">(1) </w:t>
            </w:r>
            <w:r>
              <w:rPr>
                <w:b/>
                <w:i w:val="0"/>
                <w:sz w:val="16"/>
              </w:rPr>
              <w:t>Entity name.</w:t>
            </w:r>
            <w:r>
              <w:rPr>
                <w:b w:val="0"/>
                <w:i w:val="0"/>
                <w:sz w:val="16"/>
              </w:rPr>
              <w:t xml:space="preserve"> The Plan, CO, KERP Order, Status Report captions and signature blocks of the Plan, LTA and Commitment Letter use “Ridgemont Industrial Holdings, Inc.”; the bodies of all documents use “Oakvale Industrial Holdings, Inc.” (same EIN 27-4831956). The COI, UCC-1s (seriously-misleading-name risk under UCC § 9-506), credit documents and the share register must use the exact registered legal name; any rename must be in the COI. (2) Filing “on the Effective Date” is circular with the Plan definition of ED (Section 1); use DGCL § 103(d) future effective time and escrowed filing. (3) Commitment Party sign-off on COI/Bylaws not evidenced. (4) MIP is not a condition (Plan § 5.04; CO ¶ 53) but the COI/bylaws should accommodate the 8% MIP reserve and the 500,000 Series A Warrant shares within the authorized 10,000,000 shares — </w:t>
            </w:r>
            <w:r>
              <w:rPr>
                <w:b/>
                <w:i w:val="0"/>
                <w:sz w:val="16"/>
              </w:rPr>
              <w:t>all 10,000,000 authorized common shares are issued at emergence (Plan § 5.02), leaving no authorized shares for warrant exercise or MIP awards.</w:t>
            </w:r>
            <w:r>
              <w:rPr>
                <w:b w:val="0"/>
                <w:i w:val="0"/>
                <w:sz w:val="16"/>
              </w:rPr>
              <w:t xml:space="preserve"> Confirm the authorized share count or a charter amendment mechanism before filing.</w:t>
            </w:r>
          </w:p>
        </w:tc>
      </w:tr>
      <w:tr>
        <w:tc>
          <w:tcPr>
            <w:tcW w:type="dxa" w:w="2448"/>
          </w:tcPr>
          <w:p>
            <w:pPr>
              <w:spacing w:after="20"/>
            </w:pPr>
            <w:r/>
            <w:r>
              <w:rPr>
                <w:b/>
                <w:i w:val="0"/>
                <w:sz w:val="16"/>
              </w:rPr>
              <w:t>Closing evidence</w:t>
            </w:r>
          </w:p>
        </w:tc>
        <w:tc>
          <w:tcPr>
            <w:tcW w:type="dxa" w:w="11520"/>
          </w:tcPr>
          <w:p>
            <w:pPr>
              <w:spacing w:after="20"/>
            </w:pPr>
            <w:r/>
            <w:r>
              <w:rPr>
                <w:b w:val="0"/>
                <w:i w:val="0"/>
                <w:sz w:val="16"/>
              </w:rPr>
              <w:t>☐ DE SOS filing receipt / certified COI  ☐ Board resolution adopting bylaws  ☐ Certified copies to lenders (CL Ex. C item 11)  ☐ DE good standing (CL Ex. C item 12)</w:t>
            </w:r>
          </w:p>
        </w:tc>
      </w:tr>
      <w:tr>
        <w:tc>
          <w:tcPr>
            <w:tcW w:type="dxa" w:w="2448"/>
          </w:tcPr>
          <w:p>
            <w:pPr>
              <w:spacing w:after="20"/>
            </w:pPr>
            <w:r/>
            <w:r>
              <w:rPr>
                <w:b/>
                <w:i w:val="0"/>
                <w:sz w:val="16"/>
              </w:rPr>
              <w:t>Actions</w:t>
            </w:r>
          </w:p>
        </w:tc>
        <w:tc>
          <w:tcPr>
            <w:tcW w:type="dxa" w:w="11520"/>
          </w:tcPr>
          <w:p>
            <w:pPr>
              <w:spacing w:after="20"/>
            </w:pPr>
            <w:r/>
            <w:r>
              <w:rPr>
                <w:b w:val="0"/>
                <w:i w:val="0"/>
                <w:sz w:val="16"/>
              </w:rPr>
              <w:t xml:space="preserve">☐ Confirm legal name with DE SOS records — </w:t>
            </w:r>
            <w:r>
              <w:rPr>
                <w:b/>
                <w:i w:val="0"/>
                <w:sz w:val="16"/>
              </w:rPr>
              <w:t>Feb. 10</w:t>
            </w:r>
            <w:r>
              <w:rPr>
                <w:b w:val="0"/>
                <w:i w:val="0"/>
                <w:sz w:val="16"/>
              </w:rPr>
              <w:t xml:space="preserve">.  ☐ Resolve authorized-share capacity for warrants and MIP with RCFLL — </w:t>
            </w:r>
            <w:r>
              <w:rPr>
                <w:b/>
                <w:i w:val="0"/>
                <w:sz w:val="16"/>
              </w:rPr>
              <w:t>Feb. 11</w:t>
            </w:r>
            <w:r>
              <w:rPr>
                <w:b w:val="0"/>
                <w:i w:val="0"/>
                <w:sz w:val="16"/>
              </w:rPr>
              <w:t>.  ☐ Pre-clear COI; file with effective time at closing.  ☐ Obtain Commitment Parties’ sign-off.</w:t>
            </w:r>
          </w:p>
        </w:tc>
      </w:tr>
    </w:tbl>
    <w:p>
      <w:pPr>
        <w:spacing w:after="40"/>
      </w:pPr>
    </w:p>
    <w:p>
      <w:pPr>
        <w:pStyle w:val="Heading2"/>
      </w:pPr>
      <w:r>
        <w:rPr>
          <w:color w:val="1F3864"/>
        </w:rPr>
        <w:t>4.5 Plan § 9.01(e) — Shareholders’ Agreement</w:t>
      </w:r>
    </w:p>
    <w:tbl>
      <w:tblPr>
        <w:tblStyle w:val="TableGrid"/>
        <w:tblW w:type="auto" w:w="0"/>
        <w:jc w:val="center"/>
        <w:tblLayout w:type="fixed"/>
        <w:tblLook w:firstColumn="1" w:firstRow="1" w:lastColumn="0" w:lastRow="0" w:noHBand="0" w:noVBand="1" w:val="04A0"/>
      </w:tblPr>
      <w:tblGrid>
        <w:gridCol w:w="2448"/>
        <w:gridCol w:w="11520"/>
      </w:tblGrid>
      <w:tr>
        <w:trPr>
          <w:tblHeader w:val="true"/>
        </w:trPr>
        <w:tc>
          <w:tcPr>
            <w:tcW w:type="dxa" w:w="2448"/>
            <w:shd w:val="clear" w:color="auto" w:fill="1F3864"/>
          </w:tcPr>
          <w:p>
            <w:r/>
            <w:r>
              <w:rPr>
                <w:b/>
                <w:color w:val="FFFFFF"/>
                <w:sz w:val="16"/>
              </w:rPr>
              <w:t>Element</w:t>
            </w:r>
          </w:p>
        </w:tc>
        <w:tc>
          <w:tcPr>
            <w:tcW w:type="dxa" w:w="11520"/>
            <w:shd w:val="clear" w:color="auto" w:fill="1F3864"/>
          </w:tcPr>
          <w:p>
            <w:r/>
            <w:r>
              <w:rPr>
                <w:b/>
                <w:color w:val="FFFFFF"/>
                <w:sz w:val="16"/>
              </w:rPr>
              <w:t>Detail</w:t>
            </w:r>
          </w:p>
        </w:tc>
      </w:tr>
      <w:tr>
        <w:tc>
          <w:tcPr>
            <w:tcW w:type="dxa" w:w="2448"/>
          </w:tcPr>
          <w:p>
            <w:pPr>
              <w:spacing w:after="20"/>
            </w:pPr>
            <w:r/>
            <w:r>
              <w:rPr>
                <w:b/>
                <w:i w:val="0"/>
                <w:sz w:val="16"/>
              </w:rPr>
              <w:t>Overall rating</w:t>
            </w:r>
          </w:p>
        </w:tc>
        <w:tc>
          <w:tcPr>
            <w:tcW w:type="dxa" w:w="11520"/>
            <w:shd w:val="clear" w:color="auto" w:fill="FFE699"/>
          </w:tcPr>
          <w:p>
            <w:pPr>
              <w:spacing w:after="20"/>
            </w:pPr>
            <w:r/>
            <w:r>
              <w:rPr>
                <w:b w:val="0"/>
                <w:i w:val="0"/>
                <w:sz w:val="16"/>
              </w:rPr>
              <w:t>AMBER — substantially final; execution standard differs between Plan and CO</w:t>
            </w:r>
          </w:p>
        </w:tc>
      </w:tr>
      <w:tr>
        <w:tc>
          <w:tcPr>
            <w:tcW w:type="dxa" w:w="2448"/>
          </w:tcPr>
          <w:p>
            <w:pPr>
              <w:spacing w:after="20"/>
            </w:pPr>
            <w:r/>
            <w:r>
              <w:rPr>
                <w:b/>
                <w:i w:val="0"/>
                <w:sz w:val="16"/>
              </w:rPr>
              <w:t>Requirement</w:t>
            </w:r>
          </w:p>
        </w:tc>
        <w:tc>
          <w:tcPr>
            <w:tcW w:type="dxa" w:w="11520"/>
          </w:tcPr>
          <w:p>
            <w:pPr>
              <w:spacing w:after="20"/>
            </w:pPr>
            <w:r/>
            <w:r>
              <w:rPr>
                <w:b w:val="0"/>
                <w:i w:val="0"/>
                <w:sz w:val="16"/>
              </w:rPr>
              <w:t xml:space="preserve">Plan § 9.01(e): executed and delivered </w:t>
            </w:r>
            <w:r>
              <w:rPr>
                <w:b/>
                <w:i w:val="0"/>
                <w:sz w:val="16"/>
              </w:rPr>
              <w:t>by the Debtor or Reorganized Oakvale</w:t>
            </w:r>
            <w:r>
              <w:rPr>
                <w:b w:val="0"/>
                <w:i w:val="0"/>
                <w:sz w:val="16"/>
              </w:rPr>
              <w:t>, reasonably acceptable to RCFLL. CO ¶¶ 33(g), 52: executed “</w:t>
            </w:r>
            <w:r>
              <w:rPr>
                <w:b/>
                <w:i w:val="0"/>
                <w:sz w:val="16"/>
              </w:rPr>
              <w:t>by or on behalf of all holders</w:t>
            </w:r>
            <w:r>
              <w:rPr>
                <w:b w:val="0"/>
                <w:i w:val="0"/>
                <w:sz w:val="16"/>
              </w:rPr>
              <w:t xml:space="preserve"> entitled to receive Reorganized Common Stock,” reasonably acceptable to RCFLL and the Debtor. Terms: registration rights (demand/piggyback), 18-month transfer restriction, tag/drag (Plan § 5.03).</w:t>
            </w:r>
          </w:p>
        </w:tc>
      </w:tr>
      <w:tr>
        <w:tc>
          <w:tcPr>
            <w:tcW w:type="dxa" w:w="2448"/>
          </w:tcPr>
          <w:p>
            <w:pPr>
              <w:spacing w:after="20"/>
            </w:pPr>
            <w:r/>
            <w:r>
              <w:rPr>
                <w:b/>
                <w:i w:val="0"/>
                <w:sz w:val="16"/>
              </w:rPr>
              <w:t>Status</w:t>
            </w:r>
          </w:p>
        </w:tc>
        <w:tc>
          <w:tcPr>
            <w:tcW w:type="dxa" w:w="11520"/>
          </w:tcPr>
          <w:p>
            <w:pPr>
              <w:spacing w:after="20"/>
            </w:pPr>
            <w:r/>
            <w:r>
              <w:rPr>
                <w:b w:val="0"/>
                <w:i w:val="0"/>
                <w:sz w:val="16"/>
              </w:rPr>
              <w:t>Substantially final; minor conforming edits to track final Exit Facility documents and LTA (Status Report § III.C).</w:t>
            </w:r>
          </w:p>
        </w:tc>
      </w:tr>
      <w:tr>
        <w:tc>
          <w:tcPr>
            <w:tcW w:type="dxa" w:w="2448"/>
          </w:tcPr>
          <w:p>
            <w:pPr>
              <w:spacing w:after="20"/>
            </w:pPr>
            <w:r/>
            <w:r>
              <w:rPr>
                <w:b/>
                <w:i w:val="0"/>
                <w:sz w:val="16"/>
              </w:rPr>
              <w:t>Issues</w:t>
            </w:r>
          </w:p>
        </w:tc>
        <w:tc>
          <w:tcPr>
            <w:tcW w:type="dxa" w:w="11520"/>
          </w:tcPr>
          <w:p>
            <w:pPr>
              <w:spacing w:after="20"/>
            </w:pPr>
            <w:r/>
            <w:r>
              <w:rPr>
                <w:b w:val="0"/>
                <w:i w:val="0"/>
                <w:sz w:val="16"/>
              </w:rPr>
              <w:t>Literal compliance with the CO formulation (signatures from every Class 1/2/5 holder, including ~$139M of unsecured and Senior Notes holders) is impracticable by Feb. 14. Plan § 5.03 deems every recipient to have accepted and be bound; the SHA should include an express deemed-joinder and the ED notice should recite it. Transfer restrictions on § 1145 securities should be reconciled with DTC eligibility for the Class 5 distribution.</w:t>
            </w:r>
          </w:p>
        </w:tc>
      </w:tr>
      <w:tr>
        <w:tc>
          <w:tcPr>
            <w:tcW w:type="dxa" w:w="2448"/>
          </w:tcPr>
          <w:p>
            <w:pPr>
              <w:spacing w:after="20"/>
            </w:pPr>
            <w:r/>
            <w:r>
              <w:rPr>
                <w:b/>
                <w:i w:val="0"/>
                <w:sz w:val="16"/>
              </w:rPr>
              <w:t>Closing evidence</w:t>
            </w:r>
          </w:p>
        </w:tc>
        <w:tc>
          <w:tcPr>
            <w:tcW w:type="dxa" w:w="11520"/>
          </w:tcPr>
          <w:p>
            <w:pPr>
              <w:spacing w:after="20"/>
            </w:pPr>
            <w:r/>
            <w:r>
              <w:rPr>
                <w:b w:val="0"/>
                <w:i w:val="0"/>
                <w:sz w:val="16"/>
              </w:rPr>
              <w:t>☐ SHA executed by Reorganized Oakvale  ☐ RCFLL written acceptance  ☐ Deemed-joinder language in SHA and ED notice</w:t>
            </w:r>
          </w:p>
        </w:tc>
      </w:tr>
      <w:tr>
        <w:tc>
          <w:tcPr>
            <w:tcW w:type="dxa" w:w="2448"/>
          </w:tcPr>
          <w:p>
            <w:pPr>
              <w:spacing w:after="20"/>
            </w:pPr>
            <w:r/>
            <w:r>
              <w:rPr>
                <w:b/>
                <w:i w:val="0"/>
                <w:sz w:val="16"/>
              </w:rPr>
              <w:t>Actions</w:t>
            </w:r>
          </w:p>
        </w:tc>
        <w:tc>
          <w:tcPr>
            <w:tcW w:type="dxa" w:w="11520"/>
          </w:tcPr>
          <w:p>
            <w:pPr>
              <w:spacing w:after="20"/>
            </w:pPr>
            <w:r/>
            <w:r>
              <w:rPr>
                <w:b w:val="0"/>
                <w:i w:val="0"/>
                <w:sz w:val="16"/>
              </w:rPr>
              <w:t>☐ Finalize conforming edits after ICA/LTA settle (by Feb. 13).  ☐ Obtain RCFLL written confirmation that deemed execution satisfies CO ¶ 33(g) (or documented § 9.02 waiver of any residual).</w:t>
            </w:r>
          </w:p>
        </w:tc>
      </w:tr>
    </w:tbl>
    <w:p>
      <w:pPr>
        <w:spacing w:after="40"/>
      </w:pPr>
    </w:p>
    <w:p>
      <w:pPr>
        <w:pStyle w:val="Heading2"/>
      </w:pPr>
      <w:r>
        <w:rPr>
          <w:color w:val="1F3864"/>
        </w:rPr>
        <w:t>4.6 Plan § 9.01(f) — Board Designations</w:t>
      </w:r>
    </w:p>
    <w:tbl>
      <w:tblPr>
        <w:tblStyle w:val="TableGrid"/>
        <w:tblW w:type="auto" w:w="0"/>
        <w:jc w:val="center"/>
        <w:tblLayout w:type="fixed"/>
        <w:tblLook w:firstColumn="1" w:firstRow="1" w:lastColumn="0" w:lastRow="0" w:noHBand="0" w:noVBand="1" w:val="04A0"/>
      </w:tblPr>
      <w:tblGrid>
        <w:gridCol w:w="2448"/>
        <w:gridCol w:w="11520"/>
      </w:tblGrid>
      <w:tr>
        <w:trPr>
          <w:tblHeader w:val="true"/>
        </w:trPr>
        <w:tc>
          <w:tcPr>
            <w:tcW w:type="dxa" w:w="2448"/>
            <w:shd w:val="clear" w:color="auto" w:fill="1F3864"/>
          </w:tcPr>
          <w:p>
            <w:r/>
            <w:r>
              <w:rPr>
                <w:b/>
                <w:color w:val="FFFFFF"/>
                <w:sz w:val="16"/>
              </w:rPr>
              <w:t>Element</w:t>
            </w:r>
          </w:p>
        </w:tc>
        <w:tc>
          <w:tcPr>
            <w:tcW w:type="dxa" w:w="11520"/>
            <w:shd w:val="clear" w:color="auto" w:fill="1F3864"/>
          </w:tcPr>
          <w:p>
            <w:r/>
            <w:r>
              <w:rPr>
                <w:b/>
                <w:color w:val="FFFFFF"/>
                <w:sz w:val="16"/>
              </w:rPr>
              <w:t>Detail</w:t>
            </w:r>
          </w:p>
        </w:tc>
      </w:tr>
      <w:tr>
        <w:tc>
          <w:tcPr>
            <w:tcW w:type="dxa" w:w="2448"/>
          </w:tcPr>
          <w:p>
            <w:pPr>
              <w:spacing w:after="20"/>
            </w:pPr>
            <w:r/>
            <w:r>
              <w:rPr>
                <w:b/>
                <w:i w:val="0"/>
                <w:sz w:val="16"/>
              </w:rPr>
              <w:t>Overall rating</w:t>
            </w:r>
          </w:p>
        </w:tc>
        <w:tc>
          <w:tcPr>
            <w:tcW w:type="dxa" w:w="11520"/>
            <w:shd w:val="clear" w:color="auto" w:fill="FFE699"/>
          </w:tcPr>
          <w:p>
            <w:pPr>
              <w:spacing w:after="20"/>
            </w:pPr>
            <w:r/>
            <w:r>
              <w:rPr>
                <w:b w:val="0"/>
                <w:i w:val="0"/>
                <w:sz w:val="16"/>
              </w:rPr>
              <w:t>AMBER — Second Lien designee outstanding; deadline Monday, February 10</w:t>
            </w:r>
          </w:p>
        </w:tc>
      </w:tr>
      <w:tr>
        <w:tc>
          <w:tcPr>
            <w:tcW w:type="dxa" w:w="2448"/>
          </w:tcPr>
          <w:p>
            <w:pPr>
              <w:spacing w:after="20"/>
            </w:pPr>
            <w:r/>
            <w:r>
              <w:rPr>
                <w:b/>
                <w:i w:val="0"/>
                <w:sz w:val="16"/>
              </w:rPr>
              <w:t>Requirement</w:t>
            </w:r>
          </w:p>
        </w:tc>
        <w:tc>
          <w:tcPr>
            <w:tcW w:type="dxa" w:w="11520"/>
          </w:tcPr>
          <w:p>
            <w:pPr>
              <w:spacing w:after="20"/>
            </w:pPr>
            <w:r/>
            <w:r>
              <w:rPr>
                <w:b w:val="0"/>
                <w:i w:val="0"/>
                <w:sz w:val="16"/>
              </w:rPr>
              <w:t>Five-member board: three RCFLL designees; one Second Lien designee (through Capstone, as Second Lien Agent); Gerald T. Harwick. Written notice of each designee (identity and qualifications) no later than 5 Business Days before the ED (Plan §§ 4.03, 5.07, 6.02, 9.01(f); CO ¶¶ 12(a)(5)(i), 33(j)); identities disclosed in a Court filing at least 3 Business Days before ED (Plan § 5.07). Board must be reasonably satisfactory to the Commitment Parties (CL § 3.1(f)).</w:t>
            </w:r>
          </w:p>
        </w:tc>
      </w:tr>
      <w:tr>
        <w:tc>
          <w:tcPr>
            <w:tcW w:type="dxa" w:w="2448"/>
          </w:tcPr>
          <w:p>
            <w:pPr>
              <w:spacing w:after="20"/>
            </w:pPr>
            <w:r/>
            <w:r>
              <w:rPr>
                <w:b/>
                <w:i w:val="0"/>
                <w:sz w:val="16"/>
              </w:rPr>
              <w:t>Status</w:t>
            </w:r>
          </w:p>
        </w:tc>
        <w:tc>
          <w:tcPr>
            <w:tcW w:type="dxa" w:w="11520"/>
          </w:tcPr>
          <w:p>
            <w:pPr>
              <w:spacing w:after="20"/>
            </w:pPr>
            <w:r/>
            <w:r>
              <w:rPr>
                <w:b w:val="0"/>
                <w:i w:val="0"/>
                <w:sz w:val="16"/>
              </w:rPr>
              <w:t>☑ RCFLL designees: Margaret Chao, David Leinart, Robert Peña.  ☑ Harwick continues as CEO/director; Pellegrino continues as CFO.  ☐ Second Lien designee not received.  ☐ Court disclosure filing not made.</w:t>
            </w:r>
          </w:p>
        </w:tc>
      </w:tr>
      <w:tr>
        <w:tc>
          <w:tcPr>
            <w:tcW w:type="dxa" w:w="2448"/>
          </w:tcPr>
          <w:p>
            <w:pPr>
              <w:spacing w:after="20"/>
            </w:pPr>
            <w:r/>
            <w:r>
              <w:rPr>
                <w:b/>
                <w:i w:val="0"/>
                <w:sz w:val="16"/>
              </w:rPr>
              <w:t>Issues</w:t>
            </w:r>
          </w:p>
        </w:tc>
        <w:tc>
          <w:tcPr>
            <w:tcW w:type="dxa" w:w="11520"/>
          </w:tcPr>
          <w:p>
            <w:pPr>
              <w:spacing w:after="20"/>
            </w:pPr>
            <w:r/>
            <w:r>
              <w:rPr>
                <w:b w:val="0"/>
                <w:i w:val="0"/>
                <w:sz w:val="16"/>
              </w:rPr>
              <w:t xml:space="preserve">(1) With Presidents’ Day excluded, the 5-Business-Day deadline for a Feb. 18 ED is </w:t>
            </w:r>
            <w:r>
              <w:rPr>
                <w:b/>
                <w:i w:val="0"/>
                <w:sz w:val="16"/>
              </w:rPr>
              <w:t>Mon., Feb. 10</w:t>
            </w:r>
            <w:r>
              <w:rPr>
                <w:b w:val="0"/>
                <w:i w:val="0"/>
                <w:sz w:val="16"/>
              </w:rPr>
              <w:t xml:space="preserve"> (not Feb. 11). (2) Plan § 6.02 says failure to designate does not prevent the ED (seat remains vacant), but § 9.01(f) and CO ¶ 33(j) make timely designation a condition — reconcile by a documented § 9.02 waiver (Debtor + RCFLL written consent) limited to the vacant Second Lien seat. (3) Board disclosure supports § 1129(a)(5) findings (CO ¶ 12(a)(5)). (4) If ED moves, the deadlines move with it.</w:t>
            </w:r>
          </w:p>
        </w:tc>
      </w:tr>
      <w:tr>
        <w:tc>
          <w:tcPr>
            <w:tcW w:type="dxa" w:w="2448"/>
          </w:tcPr>
          <w:p>
            <w:pPr>
              <w:spacing w:after="20"/>
            </w:pPr>
            <w:r/>
            <w:r>
              <w:rPr>
                <w:b/>
                <w:i w:val="0"/>
                <w:sz w:val="16"/>
              </w:rPr>
              <w:t>Closing evidence</w:t>
            </w:r>
          </w:p>
        </w:tc>
        <w:tc>
          <w:tcPr>
            <w:tcW w:type="dxa" w:w="11520"/>
          </w:tcPr>
          <w:p>
            <w:pPr>
              <w:spacing w:after="20"/>
            </w:pPr>
            <w:r/>
            <w:r>
              <w:rPr>
                <w:b w:val="0"/>
                <w:i w:val="0"/>
                <w:sz w:val="16"/>
              </w:rPr>
              <w:t>☐ Designation notices (Plan Supplement Ex. L)  ☐ Notice of board identities filed  ☐ D&amp;O questionnaires / consents to serve  ☐ Initial board meeting within 5 Business Days after ED (by Feb. 25)</w:t>
            </w:r>
          </w:p>
        </w:tc>
      </w:tr>
      <w:tr>
        <w:tc>
          <w:tcPr>
            <w:tcW w:type="dxa" w:w="2448"/>
          </w:tcPr>
          <w:p>
            <w:pPr>
              <w:spacing w:after="20"/>
            </w:pPr>
            <w:r/>
            <w:r>
              <w:rPr>
                <w:b/>
                <w:i w:val="0"/>
                <w:sz w:val="16"/>
              </w:rPr>
              <w:t>Actions</w:t>
            </w:r>
          </w:p>
        </w:tc>
        <w:tc>
          <w:tcPr>
            <w:tcW w:type="dxa" w:w="11520"/>
          </w:tcPr>
          <w:p>
            <w:pPr>
              <w:spacing w:after="20"/>
            </w:pPr>
            <w:r/>
            <w:r>
              <w:rPr>
                <w:b w:val="0"/>
                <w:i w:val="0"/>
                <w:sz w:val="16"/>
              </w:rPr>
              <w:t xml:space="preserve">☐ Written notice to Capstone and its counsel today requiring designee by </w:t>
            </w:r>
            <w:r>
              <w:rPr>
                <w:b/>
                <w:i w:val="0"/>
                <w:sz w:val="16"/>
              </w:rPr>
              <w:t>Feb. 10</w:t>
            </w:r>
            <w:r>
              <w:rPr>
                <w:b w:val="0"/>
                <w:i w:val="0"/>
                <w:sz w:val="16"/>
              </w:rPr>
              <w:t xml:space="preserve">.  ☐ File board notice by </w:t>
            </w:r>
            <w:r>
              <w:rPr>
                <w:b/>
                <w:i w:val="0"/>
                <w:sz w:val="16"/>
              </w:rPr>
              <w:t>Feb. 12</w:t>
            </w:r>
            <w:r>
              <w:rPr>
                <w:b w:val="0"/>
                <w:i w:val="0"/>
                <w:sz w:val="16"/>
              </w:rPr>
              <w:t>.  ☐ Pre-draft limited waiver for vacant seat.</w:t>
            </w:r>
          </w:p>
        </w:tc>
      </w:tr>
    </w:tbl>
    <w:p>
      <w:pPr>
        <w:spacing w:after="40"/>
      </w:pPr>
    </w:p>
    <w:p>
      <w:pPr>
        <w:pStyle w:val="Heading2"/>
      </w:pPr>
      <w:r>
        <w:rPr>
          <w:color w:val="1F3864"/>
        </w:rPr>
        <w:t>4.7 Plan § 9.01(g) — Litigation Trust Agreement and Trustee Acceptance</w:t>
      </w:r>
    </w:p>
    <w:tbl>
      <w:tblPr>
        <w:tblStyle w:val="TableGrid"/>
        <w:tblW w:type="auto" w:w="0"/>
        <w:jc w:val="center"/>
        <w:tblLayout w:type="fixed"/>
        <w:tblLook w:firstColumn="1" w:firstRow="1" w:lastColumn="0" w:lastRow="0" w:noHBand="0" w:noVBand="1" w:val="04A0"/>
      </w:tblPr>
      <w:tblGrid>
        <w:gridCol w:w="2448"/>
        <w:gridCol w:w="11520"/>
      </w:tblGrid>
      <w:tr>
        <w:trPr>
          <w:tblHeader w:val="true"/>
        </w:trPr>
        <w:tc>
          <w:tcPr>
            <w:tcW w:type="dxa" w:w="2448"/>
            <w:shd w:val="clear" w:color="auto" w:fill="1F3864"/>
          </w:tcPr>
          <w:p>
            <w:r/>
            <w:r>
              <w:rPr>
                <w:b/>
                <w:color w:val="FFFFFF"/>
                <w:sz w:val="16"/>
              </w:rPr>
              <w:t>Element</w:t>
            </w:r>
          </w:p>
        </w:tc>
        <w:tc>
          <w:tcPr>
            <w:tcW w:type="dxa" w:w="11520"/>
            <w:shd w:val="clear" w:color="auto" w:fill="1F3864"/>
          </w:tcPr>
          <w:p>
            <w:r/>
            <w:r>
              <w:rPr>
                <w:b/>
                <w:color w:val="FFFFFF"/>
                <w:sz w:val="16"/>
              </w:rPr>
              <w:t>Detail</w:t>
            </w:r>
          </w:p>
        </w:tc>
      </w:tr>
      <w:tr>
        <w:tc>
          <w:tcPr>
            <w:tcW w:type="dxa" w:w="2448"/>
          </w:tcPr>
          <w:p>
            <w:pPr>
              <w:spacing w:after="20"/>
            </w:pPr>
            <w:r/>
            <w:r>
              <w:rPr>
                <w:b/>
                <w:i w:val="0"/>
                <w:sz w:val="16"/>
              </w:rPr>
              <w:t>Overall rating</w:t>
            </w:r>
          </w:p>
        </w:tc>
        <w:tc>
          <w:tcPr>
            <w:tcW w:type="dxa" w:w="11520"/>
            <w:shd w:val="clear" w:color="auto" w:fill="F4B6B6"/>
          </w:tcPr>
          <w:p>
            <w:pPr>
              <w:spacing w:after="20"/>
            </w:pPr>
            <w:r/>
            <w:r>
              <w:rPr>
                <w:b w:val="0"/>
                <w:i w:val="0"/>
                <w:sz w:val="16"/>
              </w:rPr>
              <w:t>RED — draft not executable; Trustee acceptance outstanding</w:t>
            </w:r>
          </w:p>
        </w:tc>
      </w:tr>
      <w:tr>
        <w:tc>
          <w:tcPr>
            <w:tcW w:type="dxa" w:w="2448"/>
          </w:tcPr>
          <w:p>
            <w:pPr>
              <w:spacing w:after="20"/>
            </w:pPr>
            <w:r/>
            <w:r>
              <w:rPr>
                <w:b/>
                <w:i w:val="0"/>
                <w:sz w:val="16"/>
              </w:rPr>
              <w:t>Requirement</w:t>
            </w:r>
          </w:p>
        </w:tc>
        <w:tc>
          <w:tcPr>
            <w:tcW w:type="dxa" w:w="11520"/>
          </w:tcPr>
          <w:p>
            <w:pPr>
              <w:spacing w:after="20"/>
            </w:pPr>
            <w:r/>
            <w:r>
              <w:rPr>
                <w:b w:val="0"/>
                <w:i w:val="0"/>
                <w:sz w:val="16"/>
              </w:rPr>
              <w:t>LTA executed and delivered; Litigation Trustee (Hon. Harold B. Vincenzo, ret.) qualified and has executed written acceptance (Plan §§ 7.02, 9.01(g); CO ¶¶ 33(d), 46, 49). CO ¶ 49 confirms failure means the condition is not satisfied and ED cannot occur unless waived under Plan § 9.02. Separately, the trust must receive $1.5M initial funding (CO ¶ 33(e); Section 4.14).</w:t>
            </w:r>
          </w:p>
        </w:tc>
      </w:tr>
      <w:tr>
        <w:tc>
          <w:tcPr>
            <w:tcW w:type="dxa" w:w="2448"/>
          </w:tcPr>
          <w:p>
            <w:pPr>
              <w:spacing w:after="20"/>
            </w:pPr>
            <w:r/>
            <w:r>
              <w:rPr>
                <w:b/>
                <w:i w:val="0"/>
                <w:sz w:val="16"/>
              </w:rPr>
              <w:t>Status</w:t>
            </w:r>
          </w:p>
        </w:tc>
        <w:tc>
          <w:tcPr>
            <w:tcW w:type="dxa" w:w="11520"/>
          </w:tcPr>
          <w:p>
            <w:pPr>
              <w:spacing w:after="20"/>
            </w:pPr>
            <w:r/>
            <w:r>
              <w:rPr>
                <w:b w:val="0"/>
                <w:i w:val="0"/>
                <w:sz w:val="16"/>
              </w:rPr>
              <w:t xml:space="preserve">LTA marked “DRAFT — NOT FOR EXECUTION,” dated “February [__], 2025.” Exhibit 1 Acceptance circulated but </w:t>
            </w:r>
            <w:r>
              <w:rPr>
                <w:b/>
                <w:i w:val="0"/>
                <w:sz w:val="16"/>
              </w:rPr>
              <w:t>not returned</w:t>
            </w:r>
            <w:r>
              <w:rPr>
                <w:b w:val="0"/>
                <w:i w:val="0"/>
                <w:sz w:val="16"/>
              </w:rPr>
              <w:t>; Status Report says compensation, expense reimbursement and indemnification still under discussion with Mr. Vincenzo and his counsel. Committee signatory “to be designated.” Trustee notice details blank.</w:t>
            </w:r>
          </w:p>
        </w:tc>
      </w:tr>
      <w:tr>
        <w:tc>
          <w:tcPr>
            <w:tcW w:type="dxa" w:w="2448"/>
          </w:tcPr>
          <w:p>
            <w:pPr>
              <w:spacing w:after="20"/>
            </w:pPr>
            <w:r/>
            <w:r>
              <w:rPr>
                <w:b/>
                <w:i w:val="0"/>
                <w:sz w:val="16"/>
              </w:rPr>
              <w:t>Issues — conflicts with Plan/CO (Plan controls, LTA §§ 1.02, 11.05)</w:t>
            </w:r>
          </w:p>
        </w:tc>
        <w:tc>
          <w:tcPr>
            <w:tcW w:type="dxa" w:w="11520"/>
          </w:tcPr>
          <w:p>
            <w:pPr>
              <w:spacing w:after="20"/>
            </w:pPr>
            <w:r/>
            <w:r>
              <w:rPr>
                <w:b w:val="0"/>
                <w:i w:val="0"/>
                <w:sz w:val="16"/>
              </w:rPr>
              <w:t xml:space="preserve">(1) </w:t>
            </w:r>
            <w:r>
              <w:rPr>
                <w:b/>
                <w:i w:val="0"/>
                <w:sz w:val="16"/>
              </w:rPr>
              <w:t>Scope of assigned claims.</w:t>
            </w:r>
            <w:r>
              <w:rPr>
                <w:b w:val="0"/>
                <w:i w:val="0"/>
                <w:sz w:val="16"/>
              </w:rPr>
              <w:t xml:space="preserve"> LTA § 5.01(d) and Schedule A add an “Other Claims (Catch-All)” category sweeping in all estate claims “not specifically retained … under Section [●] of the Plan.” The Plan definition of Litigation Trust Causes of Action is limited to three categories (§ 1.01; § 7.04; CO ¶ 48) and Plan § 5.11 preserves all other Causes of Action for Reorganized Oakvale. Delete or conform. LTA also expands the Lockwood &amp; Mathers claims to malpractice/negligence (Plan: “indemnification claims”; CO ¶ 48(c): “indemnification claims and related claims”) — acceptable if within CO ¶ 48(c) but confirm with RCFLL. (2) </w:t>
            </w:r>
            <w:r>
              <w:rPr>
                <w:b/>
                <w:i w:val="0"/>
                <w:sz w:val="16"/>
              </w:rPr>
              <w:t>Trust Advisory Board.</w:t>
            </w:r>
            <w:r>
              <w:rPr>
                <w:b w:val="0"/>
                <w:i w:val="0"/>
                <w:sz w:val="16"/>
              </w:rPr>
              <w:t xml:space="preserve"> Plan § 7.06: three members = Vantage Supply Co., Ironclad Coatings, LLC and one member appointed </w:t>
            </w:r>
            <w:r>
              <w:rPr>
                <w:b/>
                <w:i w:val="0"/>
                <w:sz w:val="16"/>
              </w:rPr>
              <w:t>by the Court</w:t>
            </w:r>
            <w:r>
              <w:rPr>
                <w:b w:val="0"/>
                <w:i w:val="0"/>
                <w:sz w:val="16"/>
              </w:rPr>
              <w:t xml:space="preserve"> on application; LTA § 4.01/Schedule B: Committee designates all three and suggests a Senior Notes representative. An application for the Court-appointed member should be filed now. (3) </w:t>
            </w:r>
            <w:r>
              <w:rPr>
                <w:b/>
                <w:i w:val="0"/>
                <w:sz w:val="16"/>
              </w:rPr>
              <w:t>Settlement thresholds.</w:t>
            </w:r>
            <w:r>
              <w:rPr>
                <w:b w:val="0"/>
                <w:i w:val="0"/>
                <w:sz w:val="16"/>
              </w:rPr>
              <w:t xml:space="preserve"> Plan § 7.06: TAB approves settlements “in excess of $500,000”; LTA § 5.03(b): $500,000 “or more,” plus $1M aggregate and &gt; $2M Court approval tiers. (4) </w:t>
            </w:r>
            <w:r>
              <w:rPr>
                <w:b/>
                <w:i w:val="0"/>
                <w:sz w:val="16"/>
              </w:rPr>
              <w:t>Tax characterization.</w:t>
            </w:r>
            <w:r>
              <w:rPr>
                <w:b w:val="0"/>
                <w:i w:val="0"/>
                <w:sz w:val="16"/>
              </w:rPr>
              <w:t xml:space="preserve"> Plan § 7.01: qualified settlement fund (Treas. Reg. § 1.468B-1) or, alternatively, grantor trust; LTA §§ 2.01, 8.01: liquidating trust under § 301.7701-4(d) / grantor trust. Align with Tax Opinion. (5) </w:t>
            </w:r>
            <w:r>
              <w:rPr>
                <w:b/>
                <w:i w:val="0"/>
                <w:sz w:val="16"/>
              </w:rPr>
              <w:t>Citations and dates.</w:t>
            </w:r>
            <w:r>
              <w:rPr>
                <w:b w:val="0"/>
                <w:i w:val="0"/>
                <w:sz w:val="16"/>
              </w:rPr>
              <w:t xml:space="preserve"> LTA recites Plan dated December 6, 2024 (Plan is dated January 10, 2025) and Plan Supplement filed January 3, 2025 (Plan says January 8, 2025); cites Plan “Section 7.04” for the trustee designation (it is § 7.02); § 9.01 cross-references left blank. (6) Signature blocks name “Ridgemont.” (7) Unclaimed distributions: LTA 90 days vs. Plan § 8.05 180 days for Plan distributions — confirm intended.</w:t>
            </w:r>
          </w:p>
        </w:tc>
      </w:tr>
      <w:tr>
        <w:tc>
          <w:tcPr>
            <w:tcW w:type="dxa" w:w="2448"/>
          </w:tcPr>
          <w:p>
            <w:pPr>
              <w:spacing w:after="20"/>
            </w:pPr>
            <w:r/>
            <w:r>
              <w:rPr>
                <w:b/>
                <w:i w:val="0"/>
                <w:sz w:val="16"/>
              </w:rPr>
              <w:t>Other open drafting items</w:t>
            </w:r>
          </w:p>
        </w:tc>
        <w:tc>
          <w:tcPr>
            <w:tcW w:type="dxa" w:w="11520"/>
          </w:tcPr>
          <w:p>
            <w:pPr>
              <w:spacing w:after="20"/>
            </w:pPr>
            <w:r/>
            <w:r>
              <w:rPr>
                <w:b w:val="0"/>
                <w:i w:val="0"/>
                <w:sz w:val="16"/>
              </w:rPr>
              <w:t>Schedule A transferee schedules (preference/fraudulent transfer defendants “[●]”); Schedule B; Committee designation deadline “[●] Business Days” (§ 4.01); Trustee contact details; trust EIN and account (§§ 2.03(b), 8.01); Trustee compensation ($650/hr; $350,000 annual cap; 3% success fee above $5M Net Litigation Proceeds) — the success fee is not in the Plan and should be disclosed in the Plan Supplement.</w:t>
            </w:r>
          </w:p>
        </w:tc>
      </w:tr>
      <w:tr>
        <w:tc>
          <w:tcPr>
            <w:tcW w:type="dxa" w:w="2448"/>
          </w:tcPr>
          <w:p>
            <w:pPr>
              <w:spacing w:after="20"/>
            </w:pPr>
            <w:r/>
            <w:r>
              <w:rPr>
                <w:b/>
                <w:i w:val="0"/>
                <w:sz w:val="16"/>
              </w:rPr>
              <w:t>D&amp;O interaction</w:t>
            </w:r>
          </w:p>
        </w:tc>
        <w:tc>
          <w:tcPr>
            <w:tcW w:type="dxa" w:w="11520"/>
          </w:tcPr>
          <w:p>
            <w:pPr>
              <w:spacing w:after="20"/>
            </w:pPr>
            <w:r/>
            <w:r>
              <w:rPr>
                <w:b w:val="0"/>
                <w:i w:val="0"/>
                <w:sz w:val="16"/>
              </w:rPr>
              <w:t>The fiduciary-duty claims against Stanmore and Haight ($12M est.) will likely look to D&amp;O coverage for recovery. Confirm the Sentinel tail policy (Section 4.9) does not contain an insured-versus-insured exclusion that would bar claims by the Litigation Trust as assignee of the estate, or obtain a carve-out.</w:t>
            </w:r>
          </w:p>
        </w:tc>
      </w:tr>
      <w:tr>
        <w:tc>
          <w:tcPr>
            <w:tcW w:type="dxa" w:w="2448"/>
          </w:tcPr>
          <w:p>
            <w:pPr>
              <w:spacing w:after="20"/>
            </w:pPr>
            <w:r/>
            <w:r>
              <w:rPr>
                <w:b/>
                <w:i w:val="0"/>
                <w:sz w:val="16"/>
              </w:rPr>
              <w:t>Closing evidence</w:t>
            </w:r>
          </w:p>
        </w:tc>
        <w:tc>
          <w:tcPr>
            <w:tcW w:type="dxa" w:w="11520"/>
          </w:tcPr>
          <w:p>
            <w:pPr>
              <w:spacing w:after="20"/>
            </w:pPr>
            <w:r/>
            <w:r>
              <w:rPr>
                <w:b w:val="0"/>
                <w:i w:val="0"/>
                <w:sz w:val="16"/>
              </w:rPr>
              <w:t>☐ Executed LTA (Debtor, Reorganized Debtor at closing, Committee, Trustee)  ☐ Executed Acceptance (Ex. 1)  ☐ Final Schedules A and B  ☐ Trust EIN and bank account  ☐ Wire of $1,500,000</w:t>
            </w:r>
          </w:p>
        </w:tc>
      </w:tr>
      <w:tr>
        <w:tc>
          <w:tcPr>
            <w:tcW w:type="dxa" w:w="2448"/>
          </w:tcPr>
          <w:p>
            <w:pPr>
              <w:spacing w:after="20"/>
            </w:pPr>
            <w:r/>
            <w:r>
              <w:rPr>
                <w:b/>
                <w:i w:val="0"/>
                <w:sz w:val="16"/>
              </w:rPr>
              <w:t>Actions</w:t>
            </w:r>
          </w:p>
        </w:tc>
        <w:tc>
          <w:tcPr>
            <w:tcW w:type="dxa" w:w="11520"/>
          </w:tcPr>
          <w:p>
            <w:pPr>
              <w:spacing w:after="20"/>
            </w:pPr>
            <w:r/>
            <w:r>
              <w:rPr>
                <w:b w:val="0"/>
                <w:i w:val="0"/>
                <w:sz w:val="16"/>
              </w:rPr>
              <w:t xml:space="preserve">☐ Partner-level call with Mr. Vincenzo’s counsel </w:t>
            </w:r>
            <w:r>
              <w:rPr>
                <w:b/>
                <w:i w:val="0"/>
                <w:sz w:val="16"/>
              </w:rPr>
              <w:t>Feb. 10</w:t>
            </w:r>
            <w:r>
              <w:rPr>
                <w:b w:val="0"/>
                <w:i w:val="0"/>
                <w:sz w:val="16"/>
              </w:rPr>
              <w:t xml:space="preserve"> to close compensation/indemnity and obtain signed Acceptance (can be held in escrow).  ☐ Conform LTA to Plan (items 1–7) and circulate to Committee counsel and RCFLL by </w:t>
            </w:r>
            <w:r>
              <w:rPr>
                <w:b/>
                <w:i w:val="0"/>
                <w:sz w:val="16"/>
              </w:rPr>
              <w:t>Feb. 11</w:t>
            </w:r>
            <w:r>
              <w:rPr>
                <w:b w:val="0"/>
                <w:i w:val="0"/>
                <w:sz w:val="16"/>
              </w:rPr>
              <w:t>.  ☐ File application for Court-appointed TAB member.  ☐ Fill Schedules A/B by Feb. 12.</w:t>
            </w:r>
          </w:p>
        </w:tc>
      </w:tr>
    </w:tbl>
    <w:p>
      <w:pPr>
        <w:spacing w:after="40"/>
      </w:pPr>
    </w:p>
    <w:p>
      <w:pPr>
        <w:pStyle w:val="Heading2"/>
      </w:pPr>
      <w:r>
        <w:rPr>
          <w:color w:val="1F3864"/>
        </w:rPr>
        <w:t>4.8 Plan § 9.01(h) — Assumption of Executory Contracts; Cure</w:t>
      </w:r>
    </w:p>
    <w:tbl>
      <w:tblPr>
        <w:tblStyle w:val="TableGrid"/>
        <w:tblW w:type="auto" w:w="0"/>
        <w:jc w:val="center"/>
        <w:tblLayout w:type="fixed"/>
        <w:tblLook w:firstColumn="1" w:firstRow="1" w:lastColumn="0" w:lastRow="0" w:noHBand="0" w:noVBand="1" w:val="04A0"/>
      </w:tblPr>
      <w:tblGrid>
        <w:gridCol w:w="2448"/>
        <w:gridCol w:w="11520"/>
      </w:tblGrid>
      <w:tr>
        <w:trPr>
          <w:tblHeader w:val="true"/>
        </w:trPr>
        <w:tc>
          <w:tcPr>
            <w:tcW w:type="dxa" w:w="2448"/>
            <w:shd w:val="clear" w:color="auto" w:fill="1F3864"/>
          </w:tcPr>
          <w:p>
            <w:r/>
            <w:r>
              <w:rPr>
                <w:b/>
                <w:color w:val="FFFFFF"/>
                <w:sz w:val="16"/>
              </w:rPr>
              <w:t>Element</w:t>
            </w:r>
          </w:p>
        </w:tc>
        <w:tc>
          <w:tcPr>
            <w:tcW w:type="dxa" w:w="11520"/>
            <w:shd w:val="clear" w:color="auto" w:fill="1F3864"/>
          </w:tcPr>
          <w:p>
            <w:r/>
            <w:r>
              <w:rPr>
                <w:b/>
                <w:color w:val="FFFFFF"/>
                <w:sz w:val="16"/>
              </w:rPr>
              <w:t>Detail</w:t>
            </w:r>
          </w:p>
        </w:tc>
      </w:tr>
      <w:tr>
        <w:tc>
          <w:tcPr>
            <w:tcW w:type="dxa" w:w="2448"/>
          </w:tcPr>
          <w:p>
            <w:pPr>
              <w:spacing w:after="20"/>
            </w:pPr>
            <w:r/>
            <w:r>
              <w:rPr>
                <w:b/>
                <w:i w:val="0"/>
                <w:sz w:val="16"/>
              </w:rPr>
              <w:t>Overall rating</w:t>
            </w:r>
          </w:p>
        </w:tc>
        <w:tc>
          <w:tcPr>
            <w:tcW w:type="dxa" w:w="11520"/>
            <w:shd w:val="clear" w:color="auto" w:fill="F4B6B6"/>
          </w:tcPr>
          <w:p>
            <w:pPr>
              <w:spacing w:after="20"/>
            </w:pPr>
            <w:r/>
            <w:r>
              <w:rPr>
                <w:b w:val="0"/>
                <w:i w:val="0"/>
                <w:sz w:val="16"/>
              </w:rPr>
              <w:t>RED — Kepler dispute unresolved; CO provides no carve-out</w:t>
            </w:r>
          </w:p>
        </w:tc>
      </w:tr>
      <w:tr>
        <w:tc>
          <w:tcPr>
            <w:tcW w:type="dxa" w:w="2448"/>
          </w:tcPr>
          <w:p>
            <w:pPr>
              <w:spacing w:after="20"/>
            </w:pPr>
            <w:r/>
            <w:r>
              <w:rPr>
                <w:b/>
                <w:i w:val="0"/>
                <w:sz w:val="16"/>
              </w:rPr>
              <w:t>Requirement</w:t>
            </w:r>
          </w:p>
        </w:tc>
        <w:tc>
          <w:tcPr>
            <w:tcW w:type="dxa" w:w="11520"/>
          </w:tcPr>
          <w:p>
            <w:pPr>
              <w:spacing w:after="20"/>
            </w:pPr>
            <w:r/>
            <w:r>
              <w:rPr>
                <w:b w:val="0"/>
                <w:i w:val="0"/>
                <w:sz w:val="16"/>
              </w:rPr>
              <w:t xml:space="preserve">All 43 contracts/leases on the Assumption Schedule (Plan Supplement Ex. E) assumed; all Cure Costs paid or “arrangements for payment … made in a manner satisfactory to the counterparties and the Debtor” (Plan § 9.01(h)). CO ¶ 33(h): cure paid or reserves established </w:t>
            </w:r>
            <w:r>
              <w:rPr>
                <w:b/>
                <w:i w:val="0"/>
                <w:sz w:val="16"/>
              </w:rPr>
              <w:t>and</w:t>
            </w:r>
            <w:r>
              <w:rPr>
                <w:b w:val="0"/>
                <w:i w:val="0"/>
                <w:sz w:val="16"/>
              </w:rPr>
              <w:t xml:space="preserve"> all disputed cure amounts resolved by the Court or agreement; disputed assumption not given effect until resolved (CO ¶¶ 62, 65). CO ¶ 65: no carve-out, severance or exception for Kepler.</w:t>
            </w:r>
          </w:p>
        </w:tc>
      </w:tr>
      <w:tr>
        <w:tc>
          <w:tcPr>
            <w:tcW w:type="dxa" w:w="2448"/>
          </w:tcPr>
          <w:p>
            <w:pPr>
              <w:spacing w:after="20"/>
            </w:pPr>
            <w:r/>
            <w:r>
              <w:rPr>
                <w:b/>
                <w:i w:val="0"/>
                <w:sz w:val="16"/>
              </w:rPr>
              <w:t>Status (Cure Notice Schedule, Feb. 7)</w:t>
            </w:r>
          </w:p>
        </w:tc>
        <w:tc>
          <w:tcPr>
            <w:tcW w:type="dxa" w:w="11520"/>
          </w:tcPr>
          <w:p>
            <w:pPr>
              <w:spacing w:after="20"/>
            </w:pPr>
            <w:r/>
            <w:r>
              <w:rPr>
                <w:b w:val="0"/>
                <w:i w:val="0"/>
                <w:sz w:val="16"/>
              </w:rPr>
              <w:t xml:space="preserve">Cure notices served Nov. 15, 2024; objection deadline Dec. 15, 2024. 42 counterparties resolved with no objection (real property $2,750,000; software $500,000; equipment other than Kepler $100,000; 35 zero-cure contracts). </w:t>
            </w:r>
            <w:r>
              <w:rPr>
                <w:b/>
                <w:i w:val="0"/>
                <w:sz w:val="16"/>
              </w:rPr>
              <w:t>Kepler Manufacturing Systems, Inc.</w:t>
            </w:r>
            <w:r>
              <w:rPr>
                <w:b w:val="0"/>
                <w:i w:val="0"/>
                <w:sz w:val="16"/>
              </w:rPr>
              <w:t xml:space="preserve"> (CNC lease, 3 Model X-400 milling centers; objection filed Dec. 10, 2024, Dkt. No. 498): Debtor $500,000 vs. Kepler $780,000 (late fees $180,000 — Debtor says unenforceable penalty; maintenance surcharges $100,000 — Debtor says not properly invoiced). Maximum cure exposure $4,130,000.</w:t>
            </w:r>
          </w:p>
        </w:tc>
      </w:tr>
      <w:tr>
        <w:tc>
          <w:tcPr>
            <w:tcW w:type="dxa" w:w="2448"/>
          </w:tcPr>
          <w:p>
            <w:pPr>
              <w:spacing w:after="20"/>
            </w:pPr>
            <w:r/>
            <w:r>
              <w:rPr>
                <w:b/>
                <w:i w:val="0"/>
                <w:sz w:val="16"/>
              </w:rPr>
              <w:t>Timing problem</w:t>
            </w:r>
          </w:p>
        </w:tc>
        <w:tc>
          <w:tcPr>
            <w:tcW w:type="dxa" w:w="11520"/>
          </w:tcPr>
          <w:p>
            <w:pPr>
              <w:spacing w:after="20"/>
            </w:pPr>
            <w:r/>
            <w:r>
              <w:rPr>
                <w:b w:val="0"/>
                <w:i w:val="0"/>
                <w:sz w:val="16"/>
              </w:rPr>
              <w:t xml:space="preserve">CO ¶ 64 gives the parties until </w:t>
            </w:r>
            <w:r>
              <w:rPr>
                <w:b/>
                <w:i w:val="0"/>
                <w:sz w:val="16"/>
              </w:rPr>
              <w:t>Feb. 16</w:t>
            </w:r>
            <w:r>
              <w:rPr>
                <w:b w:val="0"/>
                <w:i w:val="0"/>
                <w:sz w:val="16"/>
              </w:rPr>
              <w:t xml:space="preserve"> to settle; thereafter either party may request a hearing on ≥ 7 days’ notice — i.e., no adjudication before roughly Feb. 24 absent an order shortening notice. Feb. 18 therefore requires a consensual outcome.</w:t>
            </w:r>
          </w:p>
        </w:tc>
      </w:tr>
      <w:tr>
        <w:tc>
          <w:tcPr>
            <w:tcW w:type="dxa" w:w="2448"/>
          </w:tcPr>
          <w:p>
            <w:pPr>
              <w:spacing w:after="20"/>
            </w:pPr>
            <w:r/>
            <w:r>
              <w:rPr>
                <w:b/>
                <w:i w:val="0"/>
                <w:sz w:val="16"/>
              </w:rPr>
              <w:t>Options</w:t>
            </w:r>
          </w:p>
        </w:tc>
        <w:tc>
          <w:tcPr>
            <w:tcW w:type="dxa" w:w="11520"/>
          </w:tcPr>
          <w:p>
            <w:pPr>
              <w:spacing w:after="20"/>
            </w:pPr>
            <w:r/>
            <w:r>
              <w:rPr>
                <w:b/>
                <w:i w:val="0"/>
                <w:sz w:val="16"/>
              </w:rPr>
              <w:t>A. Settle</w:t>
            </w:r>
            <w:r>
              <w:rPr>
                <w:b w:val="0"/>
                <w:i w:val="0"/>
                <w:sz w:val="16"/>
              </w:rPr>
              <w:t xml:space="preserve"> (preferred): delta is $280,000 (0.5% of ED cash needs); a split or waiver of the late-fee component is economically rational given the cost of delay. </w:t>
            </w:r>
            <w:r>
              <w:rPr>
                <w:b/>
                <w:i w:val="0"/>
                <w:sz w:val="16"/>
              </w:rPr>
              <w:t>B. Consensual escrow:</w:t>
            </w:r>
            <w:r>
              <w:rPr>
                <w:b w:val="0"/>
                <w:i w:val="0"/>
                <w:sz w:val="16"/>
              </w:rPr>
              <w:t xml:space="preserve"> pay $500,000 and escrow the $280,000 delta (or pay $780,000 into escrow) with Kepler’s written agreement that assumption is effective and the balance will be released per settlement or Court order — this satisfies § 9.01(h) on its own terms (“arrangements … satisfactory to the counterparties”) and, with a short stipulated order, CO ¶ 33(h). </w:t>
            </w:r>
            <w:r>
              <w:rPr>
                <w:b/>
                <w:i w:val="0"/>
                <w:sz w:val="16"/>
              </w:rPr>
              <w:t>C. Partial waiver</w:t>
            </w:r>
            <w:r>
              <w:rPr>
                <w:b w:val="0"/>
                <w:i w:val="0"/>
                <w:sz w:val="16"/>
              </w:rPr>
              <w:t xml:space="preserve"> of § 9.01(h) as to Kepler only (Debtor + RCFLL prior written consent; Plan § 9.02; CO ¶ 34), with assumption deferred until resolution and Debtor continuing to perform (CO ¶ 62). Given CO ¶ 65, file a certification of counsel / proposed order or notice so the Court and Kepler are not surprised. </w:t>
            </w:r>
            <w:r>
              <w:rPr>
                <w:b/>
                <w:i w:val="0"/>
                <w:sz w:val="16"/>
              </w:rPr>
              <w:t>D. Remove the Kepler lease from the Assumption Schedule</w:t>
            </w:r>
            <w:r>
              <w:rPr>
                <w:b w:val="0"/>
                <w:i w:val="0"/>
                <w:sz w:val="16"/>
              </w:rPr>
              <w:t xml:space="preserve"> (deemed rejected, Plan § 10.03): eliminates the condition but loses three CNC milling centers and creates a rejection-damages claim; requires operational sign-off and RCFLL consent. </w:t>
            </w:r>
            <w:r>
              <w:rPr>
                <w:b/>
                <w:i w:val="0"/>
                <w:sz w:val="16"/>
              </w:rPr>
              <w:t>E. Expedite</w:t>
            </w:r>
            <w:r>
              <w:rPr>
                <w:b w:val="0"/>
                <w:i w:val="0"/>
                <w:sz w:val="16"/>
              </w:rPr>
              <w:t>: move to shorten notice for an evidentiary hearing (Del. Bankr. L.R. 9006-1(e)) as a backstop.</w:t>
            </w:r>
          </w:p>
        </w:tc>
      </w:tr>
      <w:tr>
        <w:tc>
          <w:tcPr>
            <w:tcW w:type="dxa" w:w="2448"/>
          </w:tcPr>
          <w:p>
            <w:pPr>
              <w:spacing w:after="20"/>
            </w:pPr>
            <w:r/>
            <w:r>
              <w:rPr>
                <w:b/>
                <w:i w:val="0"/>
                <w:sz w:val="16"/>
              </w:rPr>
              <w:t>Other issues</w:t>
            </w:r>
          </w:p>
        </w:tc>
        <w:tc>
          <w:tcPr>
            <w:tcW w:type="dxa" w:w="11520"/>
          </w:tcPr>
          <w:p>
            <w:pPr>
              <w:spacing w:after="20"/>
            </w:pPr>
            <w:r/>
            <w:r>
              <w:rPr>
                <w:b w:val="0"/>
                <w:i w:val="0"/>
                <w:sz w:val="16"/>
              </w:rPr>
              <w:t xml:space="preserve">(1) Counterparty names differ across documents: HQ lease — Plan “Commerce Parkway Properties, LLC” vs. Schedule “Brandywine Realty Partners, LP”; Baton Rouge — “Pelican Industrial Realty Partners” (CO: 7820 Industrial Blvd.) vs. “Magnolia Industrial Properties, LLC” (2200 Industrial Blvd.); Houston — “Gulf Tower Management, Inc.” (CO: 1100 Travis St.) vs. “Lone Star Office Group, Inc.” (3400 Westheimer Rd.). Confirm payee and wire instructions against the leases before paying. (2) The Plan § 10.01 cure table shows software at “$0 (current)” and Kepler $500,000 separately from “equipment leases $600,000”; the Schedule and CO ¶ 61 show software $500,000 and equipment $600,000 </w:t>
            </w:r>
            <w:r>
              <w:rPr>
                <w:b/>
                <w:i w:val="0"/>
                <w:sz w:val="16"/>
              </w:rPr>
              <w:t>including</w:t>
            </w:r>
            <w:r>
              <w:rPr>
                <w:b w:val="0"/>
                <w:i w:val="0"/>
                <w:sz w:val="16"/>
              </w:rPr>
              <w:t xml:space="preserve"> Kepler. Totals match ($3.85M) but the Plan table is internally wrong. (3) Plan § 10.02 sets the cure-objection deadline at 14 days before the Confirmation Hearing (Dec. 30, 2024) vs. the noticed Dec. 15, 2024 — no practical effect (no late objections) but note for the record. (4) Status Report § III.H says assumption must be “by order of the Court” — assumption is effected by the Plan and CO ¶ 60.</w:t>
            </w:r>
          </w:p>
        </w:tc>
      </w:tr>
      <w:tr>
        <w:tc>
          <w:tcPr>
            <w:tcW w:type="dxa" w:w="2448"/>
          </w:tcPr>
          <w:p>
            <w:pPr>
              <w:spacing w:after="20"/>
            </w:pPr>
            <w:r/>
            <w:r>
              <w:rPr>
                <w:b/>
                <w:i w:val="0"/>
                <w:sz w:val="16"/>
              </w:rPr>
              <w:t>Closing evidence</w:t>
            </w:r>
          </w:p>
        </w:tc>
        <w:tc>
          <w:tcPr>
            <w:tcW w:type="dxa" w:w="11520"/>
          </w:tcPr>
          <w:p>
            <w:pPr>
              <w:spacing w:after="20"/>
            </w:pPr>
            <w:r/>
            <w:r>
              <w:rPr>
                <w:b w:val="0"/>
                <w:i w:val="0"/>
                <w:sz w:val="16"/>
              </w:rPr>
              <w:t>☐ Kepler settlement agreement / stipulation and order, or executed escrow agreement, or executed waiver  ☐ Cure payment wires for 42 resolved contracts (verify payees)  ☐ Final Assumption Schedule</w:t>
            </w:r>
          </w:p>
        </w:tc>
      </w:tr>
      <w:tr>
        <w:tc>
          <w:tcPr>
            <w:tcW w:type="dxa" w:w="2448"/>
          </w:tcPr>
          <w:p>
            <w:pPr>
              <w:spacing w:after="20"/>
            </w:pPr>
            <w:r/>
            <w:r>
              <w:rPr>
                <w:b/>
                <w:i w:val="0"/>
                <w:sz w:val="16"/>
              </w:rPr>
              <w:t>Actions</w:t>
            </w:r>
          </w:p>
        </w:tc>
        <w:tc>
          <w:tcPr>
            <w:tcW w:type="dxa" w:w="11520"/>
          </w:tcPr>
          <w:p>
            <w:pPr>
              <w:spacing w:after="20"/>
            </w:pPr>
            <w:r/>
            <w:r>
              <w:rPr>
                <w:b w:val="0"/>
                <w:i w:val="0"/>
                <w:sz w:val="16"/>
              </w:rPr>
              <w:t xml:space="preserve">☐ Settlement proposal to Kepler </w:t>
            </w:r>
            <w:r>
              <w:rPr>
                <w:b/>
                <w:i w:val="0"/>
                <w:sz w:val="16"/>
              </w:rPr>
              <w:t>Feb. 10</w:t>
            </w:r>
            <w:r>
              <w:rPr>
                <w:b w:val="0"/>
                <w:i w:val="0"/>
                <w:sz w:val="16"/>
              </w:rPr>
              <w:t>, with escrow alternative.  ☐ RCFLL pre-clearance of settlement authority and fallback waiver.  ☐ Prepare motion to shorten notice as backstop.  ☐ CFO: cure payee verification.</w:t>
            </w:r>
          </w:p>
        </w:tc>
      </w:tr>
    </w:tbl>
    <w:p>
      <w:pPr>
        <w:spacing w:after="40"/>
      </w:pPr>
    </w:p>
    <w:p>
      <w:pPr>
        <w:pStyle w:val="Heading2"/>
      </w:pPr>
      <w:r>
        <w:rPr>
          <w:color w:val="1F3864"/>
        </w:rPr>
        <w:t>4.9 Plan § 9.01(i) — D&amp;O Tail Policy</w:t>
      </w:r>
    </w:p>
    <w:tbl>
      <w:tblPr>
        <w:tblStyle w:val="TableGrid"/>
        <w:tblW w:type="auto" w:w="0"/>
        <w:jc w:val="center"/>
        <w:tblLayout w:type="fixed"/>
        <w:tblLook w:firstColumn="1" w:firstRow="1" w:lastColumn="0" w:lastRow="0" w:noHBand="0" w:noVBand="1" w:val="04A0"/>
      </w:tblPr>
      <w:tblGrid>
        <w:gridCol w:w="2448"/>
        <w:gridCol w:w="11520"/>
      </w:tblGrid>
      <w:tr>
        <w:trPr>
          <w:tblHeader w:val="true"/>
        </w:trPr>
        <w:tc>
          <w:tcPr>
            <w:tcW w:type="dxa" w:w="2448"/>
            <w:shd w:val="clear" w:color="auto" w:fill="1F3864"/>
          </w:tcPr>
          <w:p>
            <w:r/>
            <w:r>
              <w:rPr>
                <w:b/>
                <w:color w:val="FFFFFF"/>
                <w:sz w:val="16"/>
              </w:rPr>
              <w:t>Element</w:t>
            </w:r>
          </w:p>
        </w:tc>
        <w:tc>
          <w:tcPr>
            <w:tcW w:type="dxa" w:w="11520"/>
            <w:shd w:val="clear" w:color="auto" w:fill="1F3864"/>
          </w:tcPr>
          <w:p>
            <w:r/>
            <w:r>
              <w:rPr>
                <w:b/>
                <w:color w:val="FFFFFF"/>
                <w:sz w:val="16"/>
              </w:rPr>
              <w:t>Detail</w:t>
            </w:r>
          </w:p>
        </w:tc>
      </w:tr>
      <w:tr>
        <w:tc>
          <w:tcPr>
            <w:tcW w:type="dxa" w:w="2448"/>
          </w:tcPr>
          <w:p>
            <w:pPr>
              <w:spacing w:after="20"/>
            </w:pPr>
            <w:r/>
            <w:r>
              <w:rPr>
                <w:b/>
                <w:i w:val="0"/>
                <w:sz w:val="16"/>
              </w:rPr>
              <w:t>Overall rating</w:t>
            </w:r>
          </w:p>
        </w:tc>
        <w:tc>
          <w:tcPr>
            <w:tcW w:type="dxa" w:w="11520"/>
            <w:shd w:val="clear" w:color="auto" w:fill="FFE699"/>
          </w:tcPr>
          <w:p>
            <w:pPr>
              <w:spacing w:after="20"/>
            </w:pPr>
            <w:r/>
            <w:r>
              <w:rPr>
                <w:b w:val="0"/>
                <w:i w:val="0"/>
                <w:sz w:val="16"/>
              </w:rPr>
              <w:t>AMBER — within Debtor’s control, but not yet bound or paid</w:t>
            </w:r>
          </w:p>
        </w:tc>
      </w:tr>
      <w:tr>
        <w:tc>
          <w:tcPr>
            <w:tcW w:type="dxa" w:w="2448"/>
          </w:tcPr>
          <w:p>
            <w:pPr>
              <w:spacing w:after="20"/>
            </w:pPr>
            <w:r/>
            <w:r>
              <w:rPr>
                <w:b/>
                <w:i w:val="0"/>
                <w:sz w:val="16"/>
              </w:rPr>
              <w:t>Requirement</w:t>
            </w:r>
          </w:p>
        </w:tc>
        <w:tc>
          <w:tcPr>
            <w:tcW w:type="dxa" w:w="11520"/>
          </w:tcPr>
          <w:p>
            <w:pPr>
              <w:spacing w:after="20"/>
            </w:pPr>
            <w:r/>
            <w:r>
              <w:rPr>
                <w:b w:val="0"/>
                <w:i w:val="0"/>
                <w:sz w:val="16"/>
              </w:rPr>
              <w:t xml:space="preserve">Six-year runoff D&amp;O policy from Sentinel Specialty Insurance Group, premium $1,350,000, bound and effective with evidence of coverage delivered (Plan §§ 1.01, 9.01(i)). CO ¶ 33(i): bound </w:t>
            </w:r>
            <w:r>
              <w:rPr>
                <w:b/>
                <w:i w:val="0"/>
                <w:sz w:val="16"/>
              </w:rPr>
              <w:t>and initial premium paid</w:t>
            </w:r>
            <w:r>
              <w:rPr>
                <w:b w:val="0"/>
                <w:i w:val="0"/>
                <w:sz w:val="16"/>
              </w:rPr>
              <w:t>. CO ¶ 56 permits another carrier approved by the Debtor with RCFLL consent; premium payable as an administrative expense.</w:t>
            </w:r>
          </w:p>
        </w:tc>
      </w:tr>
      <w:tr>
        <w:tc>
          <w:tcPr>
            <w:tcW w:type="dxa" w:w="2448"/>
          </w:tcPr>
          <w:p>
            <w:pPr>
              <w:spacing w:after="20"/>
            </w:pPr>
            <w:r/>
            <w:r>
              <w:rPr>
                <w:b/>
                <w:i w:val="0"/>
                <w:sz w:val="16"/>
              </w:rPr>
              <w:t>Status</w:t>
            </w:r>
          </w:p>
        </w:tc>
        <w:tc>
          <w:tcPr>
            <w:tcW w:type="dxa" w:w="11520"/>
          </w:tcPr>
          <w:p>
            <w:pPr>
              <w:spacing w:after="20"/>
            </w:pPr>
            <w:r/>
            <w:r>
              <w:rPr>
                <w:b w:val="0"/>
                <w:i w:val="0"/>
                <w:sz w:val="16"/>
              </w:rPr>
              <w:t>Quote only (Status Report § III.I): Sentinel, six years, $15,000,000 aggregate limit, $1,350,000 premium; Debtor “intends to bind” before ED. The draft LTA (§ 9.03) refers to Policy No. SSI-D&amp;O-2024-09173 — confirm whether that is a quote reference or an issued policy.</w:t>
            </w:r>
          </w:p>
        </w:tc>
      </w:tr>
      <w:tr>
        <w:tc>
          <w:tcPr>
            <w:tcW w:type="dxa" w:w="2448"/>
          </w:tcPr>
          <w:p>
            <w:pPr>
              <w:spacing w:after="20"/>
            </w:pPr>
            <w:r/>
            <w:r>
              <w:rPr>
                <w:b/>
                <w:i w:val="0"/>
                <w:sz w:val="16"/>
              </w:rPr>
              <w:t>Issues</w:t>
            </w:r>
          </w:p>
        </w:tc>
        <w:tc>
          <w:tcPr>
            <w:tcW w:type="dxa" w:w="11520"/>
          </w:tcPr>
          <w:p>
            <w:pPr>
              <w:spacing w:after="20"/>
            </w:pPr>
            <w:r/>
            <w:r>
              <w:rPr>
                <w:b w:val="0"/>
                <w:i w:val="0"/>
                <w:sz w:val="16"/>
              </w:rPr>
              <w:t>(1) Binding and premium payment must precede the ED under CO ¶ 33(i); coordinate the premium wire (cash on hand) ahead of the Exit funding or arrange binder with premium due at closing acceptable to carrier and lenders. (2) Coverage terms: confirm insured-v-insured exclusion carve-out for claims brought by the Litigation Trust/Trustee as estate assignee (claims against Stanmore and Haight are expressly preserved — Plan § 12.01; CO ¶ 71), and that Stanmore/Haight remain insureds only to the extent intended. (3) Plan Supplement Ex. K (Tail Policy Terms) must be final and RCFLL-acceptable (§ 9.01(m)).</w:t>
            </w:r>
          </w:p>
        </w:tc>
      </w:tr>
      <w:tr>
        <w:tc>
          <w:tcPr>
            <w:tcW w:type="dxa" w:w="2448"/>
          </w:tcPr>
          <w:p>
            <w:pPr>
              <w:spacing w:after="20"/>
            </w:pPr>
            <w:r/>
            <w:r>
              <w:rPr>
                <w:b/>
                <w:i w:val="0"/>
                <w:sz w:val="16"/>
              </w:rPr>
              <w:t>Closing evidence</w:t>
            </w:r>
          </w:p>
        </w:tc>
        <w:tc>
          <w:tcPr>
            <w:tcW w:type="dxa" w:w="11520"/>
          </w:tcPr>
          <w:p>
            <w:pPr>
              <w:spacing w:after="20"/>
            </w:pPr>
            <w:r/>
            <w:r>
              <w:rPr>
                <w:b w:val="0"/>
                <w:i w:val="0"/>
                <w:sz w:val="16"/>
              </w:rPr>
              <w:t>☐ Binder / policy declarations  ☐ Premium payment confirmation ($1,350,000)  ☐ Broker evidence-of-coverage letter</w:t>
            </w:r>
          </w:p>
        </w:tc>
      </w:tr>
      <w:tr>
        <w:tc>
          <w:tcPr>
            <w:tcW w:type="dxa" w:w="2448"/>
          </w:tcPr>
          <w:p>
            <w:pPr>
              <w:spacing w:after="20"/>
            </w:pPr>
            <w:r/>
            <w:r>
              <w:rPr>
                <w:b/>
                <w:i w:val="0"/>
                <w:sz w:val="16"/>
              </w:rPr>
              <w:t>Actions</w:t>
            </w:r>
          </w:p>
        </w:tc>
        <w:tc>
          <w:tcPr>
            <w:tcW w:type="dxa" w:w="11520"/>
          </w:tcPr>
          <w:p>
            <w:pPr>
              <w:spacing w:after="20"/>
            </w:pPr>
            <w:r/>
            <w:r>
              <w:rPr>
                <w:b w:val="0"/>
                <w:i w:val="0"/>
                <w:sz w:val="16"/>
              </w:rPr>
              <w:t xml:space="preserve">☐ Instruct broker to bind by </w:t>
            </w:r>
            <w:r>
              <w:rPr>
                <w:b/>
                <w:i w:val="0"/>
                <w:sz w:val="16"/>
              </w:rPr>
              <w:t>Feb. 12</w:t>
            </w:r>
            <w:r>
              <w:rPr>
                <w:b w:val="0"/>
                <w:i w:val="0"/>
                <w:sz w:val="16"/>
              </w:rPr>
              <w:t>; premium funded by Feb. 14.  ☐ Coverage counsel review of exclusions by Feb. 11.</w:t>
            </w:r>
          </w:p>
        </w:tc>
      </w:tr>
    </w:tbl>
    <w:p>
      <w:pPr>
        <w:spacing w:after="40"/>
      </w:pPr>
    </w:p>
    <w:p>
      <w:pPr>
        <w:pStyle w:val="Heading2"/>
      </w:pPr>
      <w:r>
        <w:rPr>
          <w:color w:val="1F3864"/>
        </w:rPr>
        <w:t>4.10 Plan § 9.01(j) — Governmental and Regulatory Approvals</w:t>
      </w:r>
    </w:p>
    <w:tbl>
      <w:tblPr>
        <w:tblStyle w:val="TableGrid"/>
        <w:tblW w:type="auto" w:w="0"/>
        <w:jc w:val="center"/>
        <w:tblLayout w:type="fixed"/>
        <w:tblLook w:firstColumn="1" w:firstRow="1" w:lastColumn="0" w:lastRow="0" w:noHBand="0" w:noVBand="1" w:val="04A0"/>
      </w:tblPr>
      <w:tblGrid>
        <w:gridCol w:w="2448"/>
        <w:gridCol w:w="11520"/>
      </w:tblGrid>
      <w:tr>
        <w:trPr>
          <w:tblHeader w:val="true"/>
        </w:trPr>
        <w:tc>
          <w:tcPr>
            <w:tcW w:type="dxa" w:w="2448"/>
            <w:shd w:val="clear" w:color="auto" w:fill="1F3864"/>
          </w:tcPr>
          <w:p>
            <w:r/>
            <w:r>
              <w:rPr>
                <w:b/>
                <w:color w:val="FFFFFF"/>
                <w:sz w:val="16"/>
              </w:rPr>
              <w:t>Element</w:t>
            </w:r>
          </w:p>
        </w:tc>
        <w:tc>
          <w:tcPr>
            <w:tcW w:type="dxa" w:w="11520"/>
            <w:shd w:val="clear" w:color="auto" w:fill="1F3864"/>
          </w:tcPr>
          <w:p>
            <w:r/>
            <w:r>
              <w:rPr>
                <w:b/>
                <w:color w:val="FFFFFF"/>
                <w:sz w:val="16"/>
              </w:rPr>
              <w:t>Detail</w:t>
            </w:r>
          </w:p>
        </w:tc>
      </w:tr>
      <w:tr>
        <w:tc>
          <w:tcPr>
            <w:tcW w:type="dxa" w:w="2448"/>
          </w:tcPr>
          <w:p>
            <w:pPr>
              <w:spacing w:after="20"/>
            </w:pPr>
            <w:r/>
            <w:r>
              <w:rPr>
                <w:b/>
                <w:i w:val="0"/>
                <w:sz w:val="16"/>
              </w:rPr>
              <w:t>Overall rating</w:t>
            </w:r>
          </w:p>
        </w:tc>
        <w:tc>
          <w:tcPr>
            <w:tcW w:type="dxa" w:w="11520"/>
            <w:shd w:val="clear" w:color="auto" w:fill="F4B6B6"/>
          </w:tcPr>
          <w:p>
            <w:pPr>
              <w:spacing w:after="20"/>
            </w:pPr>
            <w:r/>
            <w:r>
              <w:rPr>
                <w:b w:val="0"/>
                <w:i w:val="0"/>
                <w:sz w:val="16"/>
              </w:rPr>
              <w:t>RED — DNREC determination not made; possible response period cannot run before February 18</w:t>
            </w:r>
          </w:p>
        </w:tc>
      </w:tr>
      <w:tr>
        <w:tc>
          <w:tcPr>
            <w:tcW w:type="dxa" w:w="2448"/>
          </w:tcPr>
          <w:p>
            <w:pPr>
              <w:spacing w:after="20"/>
            </w:pPr>
            <w:r/>
            <w:r>
              <w:rPr>
                <w:b/>
                <w:i w:val="0"/>
                <w:sz w:val="16"/>
              </w:rPr>
              <w:t>Requirement</w:t>
            </w:r>
          </w:p>
        </w:tc>
        <w:tc>
          <w:tcPr>
            <w:tcW w:type="dxa" w:w="11520"/>
          </w:tcPr>
          <w:p>
            <w:pPr>
              <w:spacing w:after="20"/>
            </w:pPr>
            <w:r/>
            <w:r>
              <w:rPr>
                <w:b w:val="0"/>
                <w:i w:val="0"/>
                <w:sz w:val="16"/>
              </w:rPr>
              <w:t xml:space="preserve">All governmental/regulatory approvals and consents necessary to implement the Plan, including (i) confirmation that no Change of Control notice is required under the DNREC Environmental Permits or, if required, that notice has been given </w:t>
            </w:r>
            <w:r>
              <w:rPr>
                <w:b/>
                <w:i w:val="0"/>
                <w:sz w:val="16"/>
              </w:rPr>
              <w:t>and no objection received within the applicable response period</w:t>
            </w:r>
            <w:r>
              <w:rPr>
                <w:b w:val="0"/>
                <w:i w:val="0"/>
                <w:sz w:val="16"/>
              </w:rPr>
              <w:t xml:space="preserve">; and (ii) confirmation that DOD supplier qualification MIL-V-24509 remains in full force and is not revoked, suspended or subject to any pending adverse action (Plan § 9.01(j)). CO ¶¶ 26–27: Debtor must confirm DNREC position before ED and, if notice is required and was not timely given, promptly give it and </w:t>
            </w:r>
            <w:r>
              <w:rPr>
                <w:b/>
                <w:i w:val="0"/>
                <w:sz w:val="16"/>
              </w:rPr>
              <w:t>advise the Court and the parties</w:t>
            </w:r>
            <w:r>
              <w:rPr>
                <w:b w:val="0"/>
                <w:i w:val="0"/>
                <w:sz w:val="16"/>
              </w:rPr>
              <w:t xml:space="preserve">; must also confirm no change-of-control notification is required under the DOD qualification </w:t>
            </w:r>
            <w:r>
              <w:rPr>
                <w:b/>
                <w:i w:val="0"/>
                <w:sz w:val="16"/>
              </w:rPr>
              <w:t>or any related defense contracts</w:t>
            </w:r>
            <w:r>
              <w:rPr>
                <w:b w:val="0"/>
                <w:i w:val="0"/>
                <w:sz w:val="16"/>
              </w:rPr>
              <w:t>. CO ¶ 33(k). CL § 3.1(i) makes regulatory approvals (environmental, defense, antitrust) a funding CP.</w:t>
            </w:r>
          </w:p>
        </w:tc>
      </w:tr>
      <w:tr>
        <w:tc>
          <w:tcPr>
            <w:tcW w:type="dxa" w:w="2448"/>
          </w:tcPr>
          <w:p>
            <w:pPr>
              <w:spacing w:after="20"/>
            </w:pPr>
            <w:r/>
            <w:r>
              <w:rPr>
                <w:b/>
                <w:i w:val="0"/>
                <w:sz w:val="16"/>
              </w:rPr>
              <w:t>DNREC — status/issues</w:t>
            </w:r>
          </w:p>
        </w:tc>
        <w:tc>
          <w:tcPr>
            <w:tcW w:type="dxa" w:w="11520"/>
          </w:tcPr>
          <w:p>
            <w:pPr>
              <w:spacing w:after="20"/>
            </w:pPr>
            <w:r/>
            <w:r>
              <w:rPr>
                <w:b w:val="0"/>
                <w:i w:val="0"/>
                <w:sz w:val="16"/>
              </w:rPr>
              <w:t xml:space="preserve">As of Feb. 7 the Debtor is “reviewing the terms of its DNREC permits.” The Plan defines the Environmental Permits as Air Quality Permit No. AQM-2019-0472 and NPDES Permit No. DE-0023817 (Wilmington facility); the Status Report instead describes a Title V Air Quality Permit and an RCRA Part B Permit (and a 19802 ZIP code). A complete permit inventory is required. The issuance of 100% of the New Common Stock to creditors and cancellation of existing equity is a change in ultimate ownership that may trigger transfer/change-of-ownership notice provisions even though the permittee entity does not change. If notice is required, the condition requires both notice and lapse of the response period without objection — </w:t>
            </w:r>
            <w:r>
              <w:rPr>
                <w:b/>
                <w:i w:val="0"/>
                <w:sz w:val="16"/>
              </w:rPr>
              <w:t>unlikely to be achievable by Feb. 14</w:t>
            </w:r>
            <w:r>
              <w:rPr>
                <w:b w:val="0"/>
                <w:i w:val="0"/>
                <w:sz w:val="16"/>
              </w:rPr>
              <w:t>, and CO ¶ 26 requires the Court and parties to be advised.</w:t>
            </w:r>
          </w:p>
        </w:tc>
      </w:tr>
      <w:tr>
        <w:tc>
          <w:tcPr>
            <w:tcW w:type="dxa" w:w="2448"/>
          </w:tcPr>
          <w:p>
            <w:pPr>
              <w:spacing w:after="20"/>
            </w:pPr>
            <w:r/>
            <w:r>
              <w:rPr>
                <w:b/>
                <w:i w:val="0"/>
                <w:sz w:val="16"/>
              </w:rPr>
              <w:t>DOD — status/issues</w:t>
            </w:r>
          </w:p>
        </w:tc>
        <w:tc>
          <w:tcPr>
            <w:tcW w:type="dxa" w:w="11520"/>
          </w:tcPr>
          <w:p>
            <w:pPr>
              <w:spacing w:after="20"/>
            </w:pPr>
            <w:r/>
            <w:r>
              <w:rPr>
                <w:b w:val="0"/>
                <w:i w:val="0"/>
                <w:sz w:val="16"/>
              </w:rPr>
              <w:t>Status Report: government contracts counsel “confirmed” the MIL-V-24509 qualification is unaffected. Obtain this in writing, covering (a) the qualification itself, (b) any change-of-ownership notification clauses in related defense contracts (CO ¶ 27), and (c) absence of any pending suspension or adverse action (Plan § 9.01(j)(ii)). KERP Order findings link retention of technical personnel to the qualification — confirm no key quality/engineering departures.</w:t>
            </w:r>
          </w:p>
        </w:tc>
      </w:tr>
      <w:tr>
        <w:tc>
          <w:tcPr>
            <w:tcW w:type="dxa" w:w="2448"/>
          </w:tcPr>
          <w:p>
            <w:pPr>
              <w:spacing w:after="20"/>
            </w:pPr>
            <w:r/>
            <w:r>
              <w:rPr>
                <w:b/>
                <w:i w:val="0"/>
                <w:sz w:val="16"/>
              </w:rPr>
              <w:t>HSR — status/issues</w:t>
            </w:r>
          </w:p>
        </w:tc>
        <w:tc>
          <w:tcPr>
            <w:tcW w:type="dxa" w:w="11520"/>
          </w:tcPr>
          <w:p>
            <w:pPr>
              <w:spacing w:after="20"/>
            </w:pPr>
            <w:r/>
            <w:r>
              <w:rPr>
                <w:b w:val="0"/>
                <w:i w:val="0"/>
                <w:sz w:val="16"/>
              </w:rPr>
              <w:t xml:space="preserve">Plan §§ 4.02, 13.09, CO ¶ 23 and CL § 8(h) rest the no-filing conclusion on no holder receiving more than 25% of the New Common Stock. That is not the HSR test: a filing obligation turns on the value of voting securities held by each acquiring person against the annually adjusted size-of-transaction threshold and on available exemptions. The CO makes </w:t>
            </w:r>
            <w:r>
              <w:rPr>
                <w:b/>
                <w:i w:val="0"/>
                <w:sz w:val="16"/>
              </w:rPr>
              <w:t>no</w:t>
            </w:r>
            <w:r>
              <w:rPr>
                <w:b w:val="0"/>
                <w:i w:val="0"/>
                <w:sz w:val="16"/>
              </w:rPr>
              <w:t xml:space="preserve"> independent finding as to individual holders (CO ¶ 23). Run a holder-level analysis of the largest Class 1 recipients (72% of equity spread across First Lien holders) using the Distribution Record Date register; CL § 3.1(i) requires any HSR waiting period to have expired.</w:t>
            </w:r>
          </w:p>
        </w:tc>
      </w:tr>
      <w:tr>
        <w:tc>
          <w:tcPr>
            <w:tcW w:type="dxa" w:w="2448"/>
          </w:tcPr>
          <w:p>
            <w:pPr>
              <w:spacing w:after="20"/>
            </w:pPr>
            <w:r/>
            <w:r>
              <w:rPr>
                <w:b/>
                <w:i w:val="0"/>
                <w:sz w:val="16"/>
              </w:rPr>
              <w:t>Closing evidence</w:t>
            </w:r>
          </w:p>
        </w:tc>
        <w:tc>
          <w:tcPr>
            <w:tcW w:type="dxa" w:w="11520"/>
          </w:tcPr>
          <w:p>
            <w:pPr>
              <w:spacing w:after="20"/>
            </w:pPr>
            <w:r/>
            <w:r>
              <w:rPr>
                <w:b w:val="0"/>
                <w:i w:val="0"/>
                <w:sz w:val="16"/>
              </w:rPr>
              <w:t>☐ Environmental counsel memo (permit-by-permit) and, if applicable, DNREC notice and written no-objection  ☐ Notice to Court/parties under CO ¶ 26 if late notice given  ☐ Government contracts counsel opinion/memo on MIL-V-24509 and defense contracts  ☐ Antitrust counsel HSR memo</w:t>
            </w:r>
          </w:p>
        </w:tc>
      </w:tr>
      <w:tr>
        <w:tc>
          <w:tcPr>
            <w:tcW w:type="dxa" w:w="2448"/>
          </w:tcPr>
          <w:p>
            <w:pPr>
              <w:spacing w:after="20"/>
            </w:pPr>
            <w:r/>
            <w:r>
              <w:rPr>
                <w:b/>
                <w:i w:val="0"/>
                <w:sz w:val="16"/>
              </w:rPr>
              <w:t>Actions</w:t>
            </w:r>
          </w:p>
        </w:tc>
        <w:tc>
          <w:tcPr>
            <w:tcW w:type="dxa" w:w="11520"/>
          </w:tcPr>
          <w:p>
            <w:pPr>
              <w:spacing w:after="20"/>
            </w:pPr>
            <w:r/>
            <w:r>
              <w:rPr>
                <w:b w:val="0"/>
                <w:i w:val="0"/>
                <w:sz w:val="16"/>
              </w:rPr>
              <w:t xml:space="preserve">☐ Environmental counsel to deliver permit inventory and determination by </w:t>
            </w:r>
            <w:r>
              <w:rPr>
                <w:b/>
                <w:i w:val="0"/>
                <w:sz w:val="16"/>
              </w:rPr>
              <w:t>Feb. 10</w:t>
            </w:r>
            <w:r>
              <w:rPr>
                <w:b w:val="0"/>
                <w:i w:val="0"/>
                <w:sz w:val="16"/>
              </w:rPr>
              <w:t xml:space="preserve">; if notice required, send immediately and request expedited written confirmation from DNREC.  ☐ If DNREC response period extends beyond Feb. 14, treat as ED-moving event or seek RCFLL waiver of § 9.01(j)(i) </w:t>
            </w:r>
            <w:r>
              <w:rPr>
                <w:b/>
                <w:i w:val="0"/>
                <w:sz w:val="16"/>
              </w:rPr>
              <w:t>only</w:t>
            </w:r>
            <w:r>
              <w:rPr>
                <w:b w:val="0"/>
                <w:i w:val="0"/>
                <w:sz w:val="16"/>
              </w:rPr>
              <w:t xml:space="preserve"> with DNREC comfort (waiver would not cure CO ¶ 26 obligations).  ☐ Written DOD memo by Feb. 11.  ☐ HSR holder analysis by Feb. 11.</w:t>
            </w:r>
          </w:p>
        </w:tc>
      </w:tr>
    </w:tbl>
    <w:p>
      <w:pPr>
        <w:spacing w:after="40"/>
      </w:pPr>
    </w:p>
    <w:p>
      <w:pPr>
        <w:pStyle w:val="Heading2"/>
      </w:pPr>
      <w:r>
        <w:rPr>
          <w:color w:val="1F3864"/>
        </w:rPr>
        <w:t>4.11 Plan § 9.01(k) — Tax Opinion</w:t>
      </w:r>
    </w:p>
    <w:tbl>
      <w:tblPr>
        <w:tblStyle w:val="TableGrid"/>
        <w:tblW w:type="auto" w:w="0"/>
        <w:jc w:val="center"/>
        <w:tblLayout w:type="fixed"/>
        <w:tblLook w:firstColumn="1" w:firstRow="1" w:lastColumn="0" w:lastRow="0" w:noHBand="0" w:noVBand="1" w:val="04A0"/>
      </w:tblPr>
      <w:tblGrid>
        <w:gridCol w:w="2448"/>
        <w:gridCol w:w="11520"/>
      </w:tblGrid>
      <w:tr>
        <w:trPr>
          <w:tblHeader w:val="true"/>
        </w:trPr>
        <w:tc>
          <w:tcPr>
            <w:tcW w:type="dxa" w:w="2448"/>
            <w:shd w:val="clear" w:color="auto" w:fill="1F3864"/>
          </w:tcPr>
          <w:p>
            <w:r/>
            <w:r>
              <w:rPr>
                <w:b/>
                <w:color w:val="FFFFFF"/>
                <w:sz w:val="16"/>
              </w:rPr>
              <w:t>Element</w:t>
            </w:r>
          </w:p>
        </w:tc>
        <w:tc>
          <w:tcPr>
            <w:tcW w:type="dxa" w:w="11520"/>
            <w:shd w:val="clear" w:color="auto" w:fill="1F3864"/>
          </w:tcPr>
          <w:p>
            <w:r/>
            <w:r>
              <w:rPr>
                <w:b/>
                <w:color w:val="FFFFFF"/>
                <w:sz w:val="16"/>
              </w:rPr>
              <w:t>Detail</w:t>
            </w:r>
          </w:p>
        </w:tc>
      </w:tr>
      <w:tr>
        <w:tc>
          <w:tcPr>
            <w:tcW w:type="dxa" w:w="2448"/>
          </w:tcPr>
          <w:p>
            <w:pPr>
              <w:spacing w:after="20"/>
            </w:pPr>
            <w:r/>
            <w:r>
              <w:rPr>
                <w:b/>
                <w:i w:val="0"/>
                <w:sz w:val="16"/>
              </w:rPr>
              <w:t>Overall rating</w:t>
            </w:r>
          </w:p>
        </w:tc>
        <w:tc>
          <w:tcPr>
            <w:tcW w:type="dxa" w:w="11520"/>
            <w:shd w:val="clear" w:color="auto" w:fill="FFE699"/>
          </w:tcPr>
          <w:p>
            <w:pPr>
              <w:spacing w:after="20"/>
            </w:pPr>
            <w:r/>
            <w:r>
              <w:rPr>
                <w:b w:val="0"/>
                <w:i w:val="0"/>
                <w:sz w:val="16"/>
              </w:rPr>
              <w:t>AMBER — in preparation; data dependency and expanded CO scope</w:t>
            </w:r>
          </w:p>
        </w:tc>
      </w:tr>
      <w:tr>
        <w:tc>
          <w:tcPr>
            <w:tcW w:type="dxa" w:w="2448"/>
          </w:tcPr>
          <w:p>
            <w:pPr>
              <w:spacing w:after="20"/>
            </w:pPr>
            <w:r/>
            <w:r>
              <w:rPr>
                <w:b/>
                <w:i w:val="0"/>
                <w:sz w:val="16"/>
              </w:rPr>
              <w:t>Requirement</w:t>
            </w:r>
          </w:p>
        </w:tc>
        <w:tc>
          <w:tcPr>
            <w:tcW w:type="dxa" w:w="11520"/>
          </w:tcPr>
          <w:p>
            <w:pPr>
              <w:spacing w:after="20"/>
            </w:pPr>
            <w:r/>
            <w:r>
              <w:rPr>
                <w:b w:val="0"/>
                <w:i w:val="0"/>
                <w:sz w:val="16"/>
              </w:rPr>
              <w:t xml:space="preserve">Written Tax Opinion of Merriweather &amp; Cain, CPA confirming anticipated tax treatment, including § 108(e)(8) and § 382(l)(5)/(l)(6) (Plan §§ 1.01, 9.01(k), 13.08). CO ¶¶ 33(l), 59 add: form and substance reasonably satisfactory to the Debtor </w:t>
            </w:r>
            <w:r>
              <w:rPr>
                <w:b/>
                <w:i w:val="0"/>
                <w:sz w:val="16"/>
              </w:rPr>
              <w:t>and RCFLL</w:t>
            </w:r>
            <w:r>
              <w:rPr>
                <w:b w:val="0"/>
                <w:i w:val="0"/>
                <w:sz w:val="16"/>
              </w:rPr>
              <w:t>; scope includes § 108(b) attribute reduction and estimated COD income of ~$98.7M. Form of opinion is Plan Supplement Ex. J.</w:t>
            </w:r>
          </w:p>
        </w:tc>
      </w:tr>
      <w:tr>
        <w:tc>
          <w:tcPr>
            <w:tcW w:type="dxa" w:w="2448"/>
          </w:tcPr>
          <w:p>
            <w:pPr>
              <w:spacing w:after="20"/>
            </w:pPr>
            <w:r/>
            <w:r>
              <w:rPr>
                <w:b/>
                <w:i w:val="0"/>
                <w:sz w:val="16"/>
              </w:rPr>
              <w:t>Status</w:t>
            </w:r>
          </w:p>
        </w:tc>
        <w:tc>
          <w:tcPr>
            <w:tcW w:type="dxa" w:w="11520"/>
          </w:tcPr>
          <w:p>
            <w:pPr>
              <w:spacing w:after="20"/>
            </w:pPr>
            <w:r/>
            <w:r>
              <w:rPr>
                <w:b w:val="0"/>
                <w:i w:val="0"/>
                <w:sz w:val="16"/>
              </w:rPr>
              <w:t>Being prepared; § 382 analysis depends on the final shareholder composition, which the Status Report says will not be fully determined until equity distributions are calculated under the Distribution Record Date provisions.</w:t>
            </w:r>
          </w:p>
        </w:tc>
      </w:tr>
      <w:tr>
        <w:tc>
          <w:tcPr>
            <w:tcW w:type="dxa" w:w="2448"/>
          </w:tcPr>
          <w:p>
            <w:pPr>
              <w:spacing w:after="20"/>
            </w:pPr>
            <w:r/>
            <w:r>
              <w:rPr>
                <w:b/>
                <w:i w:val="0"/>
                <w:sz w:val="16"/>
              </w:rPr>
              <w:t>Issues</w:t>
            </w:r>
          </w:p>
        </w:tc>
        <w:tc>
          <w:tcPr>
            <w:tcW w:type="dxa" w:w="11520"/>
          </w:tcPr>
          <w:p>
            <w:pPr>
              <w:spacing w:after="20"/>
            </w:pPr>
            <w:r/>
            <w:r>
              <w:rPr>
                <w:b w:val="0"/>
                <w:i w:val="0"/>
                <w:sz w:val="16"/>
              </w:rPr>
              <w:t>(1) The Distribution Record Date has passed (Jan. 27 by correct computation; Plan text says ~Jan. 24), so holder registers from the First Lien Agent, Second Lien Agent, Indenture Trustee (Fidelitas) and claims agent should be available now. (2) § 382(l)(5) eligibility (qualified creditor ownership) requires holder-level history; if unavailable, the opinion may need to be reasoned on assumptions acceptable to RCFLL. (3) Note on the senior notes: Plan/CL describe 8.25% Senior Notes due 2027; the Status Report describes 9.50% Senior Unsecured Notes due 2026 — the opinion must use the correct instrument. (4) Coordinate with the LTA’s trust classification (Section 4.7(4)) and Form 8937 (due 45 days after ED).</w:t>
            </w:r>
          </w:p>
        </w:tc>
      </w:tr>
      <w:tr>
        <w:tc>
          <w:tcPr>
            <w:tcW w:type="dxa" w:w="2448"/>
          </w:tcPr>
          <w:p>
            <w:pPr>
              <w:spacing w:after="20"/>
            </w:pPr>
            <w:r/>
            <w:r>
              <w:rPr>
                <w:b/>
                <w:i w:val="0"/>
                <w:sz w:val="16"/>
              </w:rPr>
              <w:t>Closing evidence</w:t>
            </w:r>
          </w:p>
        </w:tc>
        <w:tc>
          <w:tcPr>
            <w:tcW w:type="dxa" w:w="11520"/>
          </w:tcPr>
          <w:p>
            <w:pPr>
              <w:spacing w:after="20"/>
            </w:pPr>
            <w:r/>
            <w:r>
              <w:rPr>
                <w:b w:val="0"/>
                <w:i w:val="0"/>
                <w:sz w:val="16"/>
              </w:rPr>
              <w:t>☐ Executed Tax Opinion  ☐ RCFLL written acceptance</w:t>
            </w:r>
          </w:p>
        </w:tc>
      </w:tr>
      <w:tr>
        <w:tc>
          <w:tcPr>
            <w:tcW w:type="dxa" w:w="2448"/>
          </w:tcPr>
          <w:p>
            <w:pPr>
              <w:spacing w:after="20"/>
            </w:pPr>
            <w:r/>
            <w:r>
              <w:rPr>
                <w:b/>
                <w:i w:val="0"/>
                <w:sz w:val="16"/>
              </w:rPr>
              <w:t>Actions</w:t>
            </w:r>
          </w:p>
        </w:tc>
        <w:tc>
          <w:tcPr>
            <w:tcW w:type="dxa" w:w="11520"/>
          </w:tcPr>
          <w:p>
            <w:pPr>
              <w:spacing w:after="20"/>
            </w:pPr>
            <w:r/>
            <w:r>
              <w:rPr>
                <w:b w:val="0"/>
                <w:i w:val="0"/>
                <w:sz w:val="16"/>
              </w:rPr>
              <w:t xml:space="preserve">☐ Petworth/claims agent deliver holder allocation file to Merriweather &amp; Cain by </w:t>
            </w:r>
            <w:r>
              <w:rPr>
                <w:b/>
                <w:i w:val="0"/>
                <w:sz w:val="16"/>
              </w:rPr>
              <w:t>Feb. 10</w:t>
            </w:r>
            <w:r>
              <w:rPr>
                <w:b w:val="0"/>
                <w:i w:val="0"/>
                <w:sz w:val="16"/>
              </w:rPr>
              <w:t xml:space="preserve">.  ☐ Draft opinion to RCFLL by </w:t>
            </w:r>
            <w:r>
              <w:rPr>
                <w:b/>
                <w:i w:val="0"/>
                <w:sz w:val="16"/>
              </w:rPr>
              <w:t>Feb. 11</w:t>
            </w:r>
            <w:r>
              <w:rPr>
                <w:b w:val="0"/>
                <w:i w:val="0"/>
                <w:sz w:val="16"/>
              </w:rPr>
              <w:t>; final executed by Feb. 14.</w:t>
            </w:r>
          </w:p>
        </w:tc>
      </w:tr>
    </w:tbl>
    <w:p>
      <w:pPr>
        <w:spacing w:after="40"/>
      </w:pPr>
    </w:p>
    <w:p>
      <w:pPr>
        <w:pStyle w:val="Heading2"/>
      </w:pPr>
      <w:r>
        <w:rPr>
          <w:color w:val="1F3864"/>
        </w:rPr>
        <w:t>4.12 Plan § 9.01(l) — No Material Adverse Effect</w:t>
      </w:r>
    </w:p>
    <w:tbl>
      <w:tblPr>
        <w:tblStyle w:val="TableGrid"/>
        <w:tblW w:type="auto" w:w="0"/>
        <w:jc w:val="center"/>
        <w:tblLayout w:type="fixed"/>
        <w:tblLook w:firstColumn="1" w:firstRow="1" w:lastColumn="0" w:lastRow="0" w:noHBand="0" w:noVBand="1" w:val="04A0"/>
      </w:tblPr>
      <w:tblGrid>
        <w:gridCol w:w="2448"/>
        <w:gridCol w:w="11520"/>
      </w:tblGrid>
      <w:tr>
        <w:trPr>
          <w:tblHeader w:val="true"/>
        </w:trPr>
        <w:tc>
          <w:tcPr>
            <w:tcW w:type="dxa" w:w="2448"/>
            <w:shd w:val="clear" w:color="auto" w:fill="1F3864"/>
          </w:tcPr>
          <w:p>
            <w:r/>
            <w:r>
              <w:rPr>
                <w:b/>
                <w:color w:val="FFFFFF"/>
                <w:sz w:val="16"/>
              </w:rPr>
              <w:t>Element</w:t>
            </w:r>
          </w:p>
        </w:tc>
        <w:tc>
          <w:tcPr>
            <w:tcW w:type="dxa" w:w="11520"/>
            <w:shd w:val="clear" w:color="auto" w:fill="1F3864"/>
          </w:tcPr>
          <w:p>
            <w:r/>
            <w:r>
              <w:rPr>
                <w:b/>
                <w:color w:val="FFFFFF"/>
                <w:sz w:val="16"/>
              </w:rPr>
              <w:t>Detail</w:t>
            </w:r>
          </w:p>
        </w:tc>
      </w:tr>
      <w:tr>
        <w:tc>
          <w:tcPr>
            <w:tcW w:type="dxa" w:w="2448"/>
          </w:tcPr>
          <w:p>
            <w:pPr>
              <w:spacing w:after="20"/>
            </w:pPr>
            <w:r/>
            <w:r>
              <w:rPr>
                <w:b/>
                <w:i w:val="0"/>
                <w:sz w:val="16"/>
              </w:rPr>
              <w:t>Overall rating</w:t>
            </w:r>
          </w:p>
        </w:tc>
        <w:tc>
          <w:tcPr>
            <w:tcW w:type="dxa" w:w="11520"/>
            <w:shd w:val="clear" w:color="auto" w:fill="C6EFCE"/>
          </w:tcPr>
          <w:p>
            <w:pPr>
              <w:spacing w:after="20"/>
            </w:pPr>
            <w:r/>
            <w:r>
              <w:rPr>
                <w:b w:val="0"/>
                <w:i w:val="0"/>
                <w:sz w:val="16"/>
              </w:rPr>
              <w:t>GREEN — no MAE reported; bring-down required</w:t>
            </w:r>
          </w:p>
        </w:tc>
      </w:tr>
      <w:tr>
        <w:tc>
          <w:tcPr>
            <w:tcW w:type="dxa" w:w="2448"/>
          </w:tcPr>
          <w:p>
            <w:pPr>
              <w:spacing w:after="20"/>
            </w:pPr>
            <w:r/>
            <w:r>
              <w:rPr>
                <w:b/>
                <w:i w:val="0"/>
                <w:sz w:val="16"/>
              </w:rPr>
              <w:t>Requirement</w:t>
            </w:r>
          </w:p>
        </w:tc>
        <w:tc>
          <w:tcPr>
            <w:tcW w:type="dxa" w:w="11520"/>
          </w:tcPr>
          <w:p>
            <w:pPr>
              <w:spacing w:after="20"/>
            </w:pPr>
            <w:r/>
            <w:r>
              <w:rPr>
                <w:b w:val="0"/>
                <w:i w:val="0"/>
                <w:sz w:val="16"/>
              </w:rPr>
              <w:t>No event after the Confirmation Date constituting a Material Adverse Effect on the Debtor and its subsidiaries taken as a whole or on the Debtor’s ability to consummate the Plan (Plan § 9.01(l)).</w:t>
            </w:r>
          </w:p>
        </w:tc>
      </w:tr>
      <w:tr>
        <w:tc>
          <w:tcPr>
            <w:tcW w:type="dxa" w:w="2448"/>
          </w:tcPr>
          <w:p>
            <w:pPr>
              <w:spacing w:after="20"/>
            </w:pPr>
            <w:r/>
            <w:r>
              <w:rPr>
                <w:b/>
                <w:i w:val="0"/>
                <w:sz w:val="16"/>
              </w:rPr>
              <w:t>Status / Issues</w:t>
            </w:r>
          </w:p>
        </w:tc>
        <w:tc>
          <w:tcPr>
            <w:tcW w:type="dxa" w:w="11520"/>
          </w:tcPr>
          <w:p>
            <w:pPr>
              <w:spacing w:after="20"/>
            </w:pPr>
            <w:r/>
            <w:r>
              <w:rPr>
                <w:b w:val="0"/>
                <w:i w:val="0"/>
                <w:sz w:val="16"/>
              </w:rPr>
              <w:t xml:space="preserve">No MAE reported. Note the Commitment Letter MAE (§§ 3.1(c), 7, 8(e), 10.2(a)) is measured </w:t>
            </w:r>
            <w:r>
              <w:rPr>
                <w:b/>
                <w:i w:val="0"/>
                <w:sz w:val="16"/>
              </w:rPr>
              <w:t>from the Petition Date</w:t>
            </w:r>
            <w:r>
              <w:rPr>
                <w:b w:val="0"/>
                <w:i w:val="0"/>
                <w:sz w:val="16"/>
              </w:rPr>
              <w:t>, includes carve-outs (industry, macro, chapter 11 effects), and is a lender termination right that the Debtor cannot waive; the Plan MAE is measured from the Confirmation Date and has no carve-outs. CL § 3.1(j) (no litigation that could restrain the Transactions) and §§ 3.1(l)–(m) (reps true, no default) are related funding CPs. Greystone has flagged that delay could raise MAE questions.</w:t>
            </w:r>
          </w:p>
        </w:tc>
      </w:tr>
      <w:tr>
        <w:tc>
          <w:tcPr>
            <w:tcW w:type="dxa" w:w="2448"/>
          </w:tcPr>
          <w:p>
            <w:pPr>
              <w:spacing w:after="20"/>
            </w:pPr>
            <w:r/>
            <w:r>
              <w:rPr>
                <w:b/>
                <w:i w:val="0"/>
                <w:sz w:val="16"/>
              </w:rPr>
              <w:t>Closing evidence</w:t>
            </w:r>
          </w:p>
        </w:tc>
        <w:tc>
          <w:tcPr>
            <w:tcW w:type="dxa" w:w="11520"/>
          </w:tcPr>
          <w:p>
            <w:pPr>
              <w:spacing w:after="20"/>
            </w:pPr>
            <w:r/>
            <w:r>
              <w:rPr>
                <w:b w:val="0"/>
                <w:i w:val="0"/>
                <w:sz w:val="16"/>
              </w:rPr>
              <w:t>☐ Officer’s certificate (no MAE; no Default; reps true) — CL Ex. C item 14  ☐ Solvency certificate — CL Ex. C item 15</w:t>
            </w:r>
          </w:p>
        </w:tc>
      </w:tr>
      <w:tr>
        <w:tc>
          <w:tcPr>
            <w:tcW w:type="dxa" w:w="2448"/>
          </w:tcPr>
          <w:p>
            <w:pPr>
              <w:spacing w:after="20"/>
            </w:pPr>
            <w:r/>
            <w:r>
              <w:rPr>
                <w:b/>
                <w:i w:val="0"/>
                <w:sz w:val="16"/>
              </w:rPr>
              <w:t>Actions</w:t>
            </w:r>
          </w:p>
        </w:tc>
        <w:tc>
          <w:tcPr>
            <w:tcW w:type="dxa" w:w="11520"/>
          </w:tcPr>
          <w:p>
            <w:pPr>
              <w:spacing w:after="20"/>
            </w:pPr>
            <w:r/>
            <w:r>
              <w:rPr>
                <w:b w:val="0"/>
                <w:i w:val="0"/>
                <w:sz w:val="16"/>
              </w:rPr>
              <w:t>☐ CFO bring-down diligence (customers, DOD, DNREC, litigation) Feb. 13–14.</w:t>
            </w:r>
          </w:p>
        </w:tc>
      </w:tr>
    </w:tbl>
    <w:p>
      <w:pPr>
        <w:spacing w:after="40"/>
      </w:pPr>
    </w:p>
    <w:p>
      <w:pPr>
        <w:pStyle w:val="Heading2"/>
      </w:pPr>
      <w:r>
        <w:rPr>
          <w:color w:val="1F3864"/>
        </w:rPr>
        <w:t>4.13 Plan § 9.01(m) — Plan Supplement Documents</w:t>
      </w:r>
    </w:p>
    <w:tbl>
      <w:tblPr>
        <w:tblStyle w:val="TableGrid"/>
        <w:tblW w:type="auto" w:w="0"/>
        <w:jc w:val="center"/>
        <w:tblLayout w:type="fixed"/>
        <w:tblLook w:firstColumn="1" w:firstRow="1" w:lastColumn="0" w:lastRow="0" w:noHBand="0" w:noVBand="1" w:val="04A0"/>
      </w:tblPr>
      <w:tblGrid>
        <w:gridCol w:w="2448"/>
        <w:gridCol w:w="11520"/>
      </w:tblGrid>
      <w:tr>
        <w:trPr>
          <w:tblHeader w:val="true"/>
        </w:trPr>
        <w:tc>
          <w:tcPr>
            <w:tcW w:type="dxa" w:w="2448"/>
            <w:shd w:val="clear" w:color="auto" w:fill="1F3864"/>
          </w:tcPr>
          <w:p>
            <w:r/>
            <w:r>
              <w:rPr>
                <w:b/>
                <w:color w:val="FFFFFF"/>
                <w:sz w:val="16"/>
              </w:rPr>
              <w:t>Element</w:t>
            </w:r>
          </w:p>
        </w:tc>
        <w:tc>
          <w:tcPr>
            <w:tcW w:type="dxa" w:w="11520"/>
            <w:shd w:val="clear" w:color="auto" w:fill="1F3864"/>
          </w:tcPr>
          <w:p>
            <w:r/>
            <w:r>
              <w:rPr>
                <w:b/>
                <w:color w:val="FFFFFF"/>
                <w:sz w:val="16"/>
              </w:rPr>
              <w:t>Detail</w:t>
            </w:r>
          </w:p>
        </w:tc>
      </w:tr>
      <w:tr>
        <w:tc>
          <w:tcPr>
            <w:tcW w:type="dxa" w:w="2448"/>
          </w:tcPr>
          <w:p>
            <w:pPr>
              <w:spacing w:after="20"/>
            </w:pPr>
            <w:r/>
            <w:r>
              <w:rPr>
                <w:b/>
                <w:i w:val="0"/>
                <w:sz w:val="16"/>
              </w:rPr>
              <w:t>Overall rating</w:t>
            </w:r>
          </w:p>
        </w:tc>
        <w:tc>
          <w:tcPr>
            <w:tcW w:type="dxa" w:w="11520"/>
            <w:shd w:val="clear" w:color="auto" w:fill="FFE699"/>
          </w:tcPr>
          <w:p>
            <w:pPr>
              <w:spacing w:after="20"/>
            </w:pPr>
            <w:r/>
            <w:r>
              <w:rPr>
                <w:b w:val="0"/>
                <w:i w:val="0"/>
                <w:sz w:val="16"/>
              </w:rPr>
              <w:t>AMBER — several exhibits not final; warrant and stock-issuance mechanics unreported</w:t>
            </w:r>
          </w:p>
        </w:tc>
      </w:tr>
      <w:tr>
        <w:tc>
          <w:tcPr>
            <w:tcW w:type="dxa" w:w="2448"/>
          </w:tcPr>
          <w:p>
            <w:pPr>
              <w:spacing w:after="20"/>
            </w:pPr>
            <w:r/>
            <w:r>
              <w:rPr>
                <w:b/>
                <w:i w:val="0"/>
                <w:sz w:val="16"/>
              </w:rPr>
              <w:t>Requirement</w:t>
            </w:r>
          </w:p>
        </w:tc>
        <w:tc>
          <w:tcPr>
            <w:tcW w:type="dxa" w:w="11520"/>
          </w:tcPr>
          <w:p>
            <w:pPr>
              <w:spacing w:after="20"/>
            </w:pPr>
            <w:r/>
            <w:r>
              <w:rPr>
                <w:b w:val="0"/>
                <w:i w:val="0"/>
                <w:sz w:val="16"/>
              </w:rPr>
              <w:t>All Plan Supplement documents finalized in form and substance reasonably acceptable to the Debtor and RCFLL and, where required, executed and delivered (Plan § 9.01(m)). Plan Supplement filed January 8, 2025 (Plan, Plan Supplement Exhibits; LTA recites January 3).</w:t>
            </w:r>
          </w:p>
        </w:tc>
      </w:tr>
      <w:tr>
        <w:tc>
          <w:tcPr>
            <w:tcW w:type="dxa" w:w="2448"/>
          </w:tcPr>
          <w:p>
            <w:pPr>
              <w:spacing w:after="20"/>
            </w:pPr>
            <w:r/>
            <w:r>
              <w:rPr>
                <w:b/>
                <w:i w:val="0"/>
                <w:sz w:val="16"/>
              </w:rPr>
              <w:t>Exhibit status</w:t>
            </w:r>
          </w:p>
        </w:tc>
        <w:tc>
          <w:tcPr>
            <w:tcW w:type="dxa" w:w="11520"/>
          </w:tcPr>
          <w:p>
            <w:pPr>
              <w:spacing w:after="20"/>
            </w:pPr>
            <w:r/>
            <w:r>
              <w:rPr>
                <w:b w:val="0"/>
                <w:i w:val="0"/>
                <w:sz w:val="16"/>
              </w:rPr>
              <w:t xml:space="preserve">A — A&amp;R COI: final (name/share-capacity issues, § 4.4).  B — A&amp;R Bylaws: final.  C — Shareholders’ Agreement: substantially final (§ 4.5).  D — LTA: draft (§ 4.7).  E — Assumption Schedule: final save Kepler (§ 4.8).  F — Exit Term Loan CA: substantially final.  G — Exit ABL CA: open points.  H — Intercreditor: open business points.  I — Series A Warrant Agreement: </w:t>
            </w:r>
            <w:r>
              <w:rPr>
                <w:b/>
                <w:i w:val="0"/>
                <w:sz w:val="16"/>
              </w:rPr>
              <w:t>no status reported</w:t>
            </w:r>
            <w:r>
              <w:rPr>
                <w:b w:val="0"/>
                <w:i w:val="0"/>
                <w:sz w:val="16"/>
              </w:rPr>
              <w:t xml:space="preserve"> (500,000 shares; $12.50 strike; 5 years).  J — Tax Opinion form: in progress.  K — D&amp;O Tail terms: quote only.  L — Board designation notices: Second Lien notice missing.</w:t>
            </w:r>
          </w:p>
        </w:tc>
      </w:tr>
      <w:tr>
        <w:tc>
          <w:tcPr>
            <w:tcW w:type="dxa" w:w="2448"/>
          </w:tcPr>
          <w:p>
            <w:pPr>
              <w:spacing w:after="20"/>
            </w:pPr>
            <w:r/>
            <w:r>
              <w:rPr>
                <w:b/>
                <w:i w:val="0"/>
                <w:sz w:val="16"/>
              </w:rPr>
              <w:t>Issues</w:t>
            </w:r>
          </w:p>
        </w:tc>
        <w:tc>
          <w:tcPr>
            <w:tcW w:type="dxa" w:w="11520"/>
          </w:tcPr>
          <w:p>
            <w:pPr>
              <w:spacing w:after="20"/>
            </w:pPr>
            <w:r/>
            <w:r>
              <w:rPr>
                <w:b w:val="0"/>
                <w:i w:val="0"/>
                <w:sz w:val="16"/>
              </w:rPr>
              <w:t>(1) Material post-confirmation changes to Plan Supplement documents (e.g., LTA success fee, ICA terms) should be filed as an amended Plan Supplement; changes adverse to the Commitment Parties need their consent (CL §§ 3.1(b), 9(c)); Plan modifications after confirmation require RCFLL consent and § 1127(b) compliance (Plan § 13.02). (2) Equity issuance mechanics: transfer agent, DTC eligibility/CUSIPs for New Common Stock and Warrants, warrant agent, § 1145 legends — not addressed in any document reviewed.</w:t>
            </w:r>
          </w:p>
        </w:tc>
      </w:tr>
      <w:tr>
        <w:tc>
          <w:tcPr>
            <w:tcW w:type="dxa" w:w="2448"/>
          </w:tcPr>
          <w:p>
            <w:pPr>
              <w:spacing w:after="20"/>
            </w:pPr>
            <w:r/>
            <w:r>
              <w:rPr>
                <w:b/>
                <w:i w:val="0"/>
                <w:sz w:val="16"/>
              </w:rPr>
              <w:t>Closing evidence</w:t>
            </w:r>
          </w:p>
        </w:tc>
        <w:tc>
          <w:tcPr>
            <w:tcW w:type="dxa" w:w="11520"/>
          </w:tcPr>
          <w:p>
            <w:pPr>
              <w:spacing w:after="20"/>
            </w:pPr>
            <w:r/>
            <w:r>
              <w:rPr>
                <w:b w:val="0"/>
                <w:i w:val="0"/>
                <w:sz w:val="16"/>
              </w:rPr>
              <w:t>☐ RCFLL sign-off on each exhibit (sign-off log)  ☐ Executed Warrant Agreement  ☐ Transfer agent / warrant agent engagement</w:t>
            </w:r>
          </w:p>
        </w:tc>
      </w:tr>
      <w:tr>
        <w:tc>
          <w:tcPr>
            <w:tcW w:type="dxa" w:w="2448"/>
          </w:tcPr>
          <w:p>
            <w:pPr>
              <w:spacing w:after="20"/>
            </w:pPr>
            <w:r/>
            <w:r>
              <w:rPr>
                <w:b/>
                <w:i w:val="0"/>
                <w:sz w:val="16"/>
              </w:rPr>
              <w:t>Actions</w:t>
            </w:r>
          </w:p>
        </w:tc>
        <w:tc>
          <w:tcPr>
            <w:tcW w:type="dxa" w:w="11520"/>
          </w:tcPr>
          <w:p>
            <w:pPr>
              <w:spacing w:after="20"/>
            </w:pPr>
            <w:r/>
            <w:r>
              <w:rPr>
                <w:b w:val="0"/>
                <w:i w:val="0"/>
                <w:sz w:val="16"/>
              </w:rPr>
              <w:t xml:space="preserve">☐ Thornfield to circulate exhibit sign-off log to RCFLL counsel by </w:t>
            </w:r>
            <w:r>
              <w:rPr>
                <w:b/>
                <w:i w:val="0"/>
                <w:sz w:val="16"/>
              </w:rPr>
              <w:t>Feb. 10</w:t>
            </w:r>
            <w:r>
              <w:rPr>
                <w:b w:val="0"/>
                <w:i w:val="0"/>
                <w:sz w:val="16"/>
              </w:rPr>
              <w:t>.  ☐ Engage transfer/warrant agent; confirm DTC timing for Feb. 18 distributions.</w:t>
            </w:r>
          </w:p>
        </w:tc>
      </w:tr>
    </w:tbl>
    <w:p>
      <w:pPr>
        <w:spacing w:after="40"/>
      </w:pPr>
    </w:p>
    <w:p>
      <w:pPr>
        <w:pStyle w:val="Heading2"/>
      </w:pPr>
      <w:r>
        <w:rPr>
          <w:color w:val="1F3864"/>
        </w:rPr>
        <w:t>4.14–4.18 Additional Conditions Imposed by the Confirmation Order (not tracked in the Status Report)</w:t>
      </w:r>
    </w:p>
    <w:p>
      <w:pPr>
        <w:spacing w:after="80"/>
      </w:pPr>
      <w:r>
        <w:rPr>
          <w:b w:val="0"/>
          <w:i w:val="0"/>
          <w:sz w:val="18"/>
        </w:rPr>
        <w:t>CO ¶ 33 recites that the conditions “include, without limitation” the following items that do not appear in Plan § 9.01. Because CO ¶ 34 addresses waiver only of “conditions precedent set forth in Section 9.01 of the Plan,” it is not clear these CO-only conditions can be waived without a further Court order — treat them as mandatory.</w:t>
      </w:r>
    </w:p>
    <w:tbl>
      <w:tblPr>
        <w:tblStyle w:val="TableGrid"/>
        <w:tblW w:type="auto" w:w="0"/>
        <w:jc w:val="center"/>
        <w:tblLayout w:type="fixed"/>
        <w:tblLook w:firstColumn="1" w:firstRow="1" w:lastColumn="0" w:lastRow="0" w:noHBand="0" w:noVBand="1" w:val="04A0"/>
      </w:tblPr>
      <w:tblGrid>
        <w:gridCol w:w="576"/>
        <w:gridCol w:w="1584"/>
        <w:gridCol w:w="3024"/>
        <w:gridCol w:w="4824"/>
        <w:gridCol w:w="864"/>
        <w:gridCol w:w="3096"/>
      </w:tblGrid>
      <w:tr>
        <w:trPr>
          <w:tblHeader w:val="true"/>
        </w:trPr>
        <w:tc>
          <w:tcPr>
            <w:tcW w:type="dxa" w:w="576"/>
            <w:shd w:val="clear" w:color="auto" w:fill="1F3864"/>
          </w:tcPr>
          <w:p>
            <w:r/>
            <w:r>
              <w:rPr>
                <w:b/>
                <w:color w:val="FFFFFF"/>
                <w:sz w:val="15"/>
              </w:rPr>
              <w:t>#</w:t>
            </w:r>
          </w:p>
        </w:tc>
        <w:tc>
          <w:tcPr>
            <w:tcW w:type="dxa" w:w="1584"/>
            <w:shd w:val="clear" w:color="auto" w:fill="1F3864"/>
          </w:tcPr>
          <w:p>
            <w:r/>
            <w:r>
              <w:rPr>
                <w:b/>
                <w:color w:val="FFFFFF"/>
                <w:sz w:val="15"/>
              </w:rPr>
              <w:t>Condition</w:t>
            </w:r>
          </w:p>
        </w:tc>
        <w:tc>
          <w:tcPr>
            <w:tcW w:type="dxa" w:w="3024"/>
            <w:shd w:val="clear" w:color="auto" w:fill="1F3864"/>
          </w:tcPr>
          <w:p>
            <w:r/>
            <w:r>
              <w:rPr>
                <w:b/>
                <w:color w:val="FFFFFF"/>
                <w:sz w:val="15"/>
              </w:rPr>
              <w:t>Requirement</w:t>
            </w:r>
          </w:p>
        </w:tc>
        <w:tc>
          <w:tcPr>
            <w:tcW w:type="dxa" w:w="4824"/>
            <w:shd w:val="clear" w:color="auto" w:fill="1F3864"/>
          </w:tcPr>
          <w:p>
            <w:r/>
            <w:r>
              <w:rPr>
                <w:b/>
                <w:color w:val="FFFFFF"/>
                <w:sz w:val="15"/>
              </w:rPr>
              <w:t>Status / Issues</w:t>
            </w:r>
          </w:p>
        </w:tc>
        <w:tc>
          <w:tcPr>
            <w:tcW w:type="dxa" w:w="864"/>
            <w:shd w:val="clear" w:color="auto" w:fill="1F3864"/>
          </w:tcPr>
          <w:p>
            <w:r/>
            <w:r>
              <w:rPr>
                <w:b/>
                <w:color w:val="FFFFFF"/>
                <w:sz w:val="15"/>
              </w:rPr>
              <w:t>RAG</w:t>
            </w:r>
          </w:p>
        </w:tc>
        <w:tc>
          <w:tcPr>
            <w:tcW w:type="dxa" w:w="3096"/>
            <w:shd w:val="clear" w:color="auto" w:fill="1F3864"/>
          </w:tcPr>
          <w:p>
            <w:r/>
            <w:r>
              <w:rPr>
                <w:b/>
                <w:color w:val="FFFFFF"/>
                <w:sz w:val="15"/>
              </w:rPr>
              <w:t>Actions</w:t>
            </w:r>
          </w:p>
        </w:tc>
      </w:tr>
      <w:tr>
        <w:tc>
          <w:tcPr>
            <w:tcW w:type="dxa" w:w="576"/>
          </w:tcPr>
          <w:p>
            <w:pPr>
              <w:spacing w:after="20"/>
            </w:pPr>
            <w:r/>
            <w:r>
              <w:rPr>
                <w:b w:val="0"/>
                <w:i w:val="0"/>
                <w:sz w:val="15"/>
              </w:rPr>
              <w:t>4.14</w:t>
            </w:r>
          </w:p>
        </w:tc>
        <w:tc>
          <w:tcPr>
            <w:tcW w:type="dxa" w:w="1584"/>
          </w:tcPr>
          <w:p>
            <w:pPr>
              <w:spacing w:after="20"/>
            </w:pPr>
            <w:r/>
            <w:r>
              <w:rPr>
                <w:b w:val="0"/>
                <w:i w:val="0"/>
                <w:sz w:val="15"/>
              </w:rPr>
              <w:t>Litigation Trust funding</w:t>
            </w:r>
          </w:p>
        </w:tc>
        <w:tc>
          <w:tcPr>
            <w:tcW w:type="dxa" w:w="3024"/>
          </w:tcPr>
          <w:p>
            <w:pPr>
              <w:spacing w:after="20"/>
            </w:pPr>
            <w:r/>
            <w:r>
              <w:rPr>
                <w:b w:val="0"/>
                <w:i w:val="0"/>
                <w:sz w:val="15"/>
              </w:rPr>
              <w:t>Trust has received $1,500,000 cash from the estate (CO ¶¶ 33(e), 47; Plan § 7.03; CO ¶ 38(c) lists Exit Facility proceeds as a source).</w:t>
            </w:r>
          </w:p>
        </w:tc>
        <w:tc>
          <w:tcPr>
            <w:tcW w:type="dxa" w:w="4824"/>
          </w:tcPr>
          <w:p>
            <w:pPr>
              <w:spacing w:after="20"/>
            </w:pPr>
            <w:r/>
            <w:r>
              <w:rPr>
                <w:b w:val="0"/>
                <w:i w:val="0"/>
                <w:sz w:val="15"/>
              </w:rPr>
              <w:t>In budget. Requires trust EIN and account designated by Trustee (LTA § 2.03(b)); trust does not exist until ED (LTA § 2.01) — sequence the wire immediately after LTA effectiveness.</w:t>
            </w:r>
          </w:p>
        </w:tc>
        <w:tc>
          <w:tcPr>
            <w:tcW w:type="dxa" w:w="864"/>
            <w:shd w:val="clear" w:color="auto" w:fill="FFE699"/>
          </w:tcPr>
          <w:p>
            <w:pPr>
              <w:spacing w:after="20"/>
            </w:pPr>
            <w:r/>
            <w:r>
              <w:rPr>
                <w:b w:val="0"/>
                <w:i w:val="0"/>
                <w:sz w:val="15"/>
              </w:rPr>
              <w:t>AMBER</w:t>
            </w:r>
          </w:p>
        </w:tc>
        <w:tc>
          <w:tcPr>
            <w:tcW w:type="dxa" w:w="3096"/>
          </w:tcPr>
          <w:p>
            <w:pPr>
              <w:spacing w:after="20"/>
            </w:pPr>
            <w:r/>
            <w:r>
              <w:rPr>
                <w:b w:val="0"/>
                <w:i w:val="0"/>
                <w:sz w:val="15"/>
              </w:rPr>
              <w:t>☐ Trust account opened by Feb. 13  ☐ Call-back verified wire instructions  ☐ Include in funds flow</w:t>
            </w:r>
          </w:p>
        </w:tc>
      </w:tr>
      <w:tr>
        <w:tc>
          <w:tcPr>
            <w:tcW w:type="dxa" w:w="576"/>
          </w:tcPr>
          <w:p>
            <w:pPr>
              <w:spacing w:after="20"/>
            </w:pPr>
            <w:r/>
            <w:r>
              <w:rPr>
                <w:b w:val="0"/>
                <w:i w:val="0"/>
                <w:sz w:val="15"/>
              </w:rPr>
              <w:t>4.15</w:t>
            </w:r>
          </w:p>
        </w:tc>
        <w:tc>
          <w:tcPr>
            <w:tcW w:type="dxa" w:w="1584"/>
          </w:tcPr>
          <w:p>
            <w:pPr>
              <w:spacing w:after="20"/>
            </w:pPr>
            <w:r/>
            <w:r>
              <w:rPr>
                <w:b w:val="0"/>
                <w:i w:val="0"/>
                <w:sz w:val="15"/>
              </w:rPr>
              <w:t>KERP funding</w:t>
            </w:r>
          </w:p>
        </w:tc>
        <w:tc>
          <w:tcPr>
            <w:tcW w:type="dxa" w:w="3024"/>
          </w:tcPr>
          <w:p>
            <w:pPr>
              <w:spacing w:after="20"/>
            </w:pPr>
            <w:r/>
            <w:r>
              <w:rPr>
                <w:b w:val="0"/>
                <w:i w:val="0"/>
                <w:sz w:val="15"/>
              </w:rPr>
              <w:t>$2,150,000 to 14 participants funded and payable on ED (CO ¶¶ 13, 33(m), 55; Plan § 2.05; KERP Order ¶ 3: pay no later than 10 business days after ED).</w:t>
            </w:r>
          </w:p>
        </w:tc>
        <w:tc>
          <w:tcPr>
            <w:tcW w:type="dxa" w:w="4824"/>
          </w:tcPr>
          <w:p>
            <w:pPr>
              <w:spacing w:after="20"/>
            </w:pPr>
            <w:r/>
            <w:r>
              <w:rPr>
                <w:b/>
                <w:i w:val="0"/>
                <w:sz w:val="15"/>
              </w:rPr>
              <w:t>Forfeiture rules conflict:</w:t>
            </w:r>
            <w:r>
              <w:rPr>
                <w:b w:val="0"/>
                <w:i w:val="0"/>
                <w:sz w:val="15"/>
              </w:rPr>
              <w:t xml:space="preserve"> KERP Order ¶ 4 — forfeiture on any termination (including without cause), except 50% if terminated without cause within 30 days before ED; Plan § 2.05 — forfeiture only on voluntary resignation or termination for cause; CO ¶ 55 — forfeiture on any separation other than termination without cause. The CO controls over prior orders (CO ¶ 83), but KERP Order ¶ 8 bars modification without notice and hearing under § 503(c) — a without-cause termination would raise a dispute. Insider participants Harwick ($375,000) and Pellegrino ($325,000) are subject to § 503(c)(1). Status Report cites Dkt. No. 198; CO cites Dkt. No. 193. Forfeitures revert to the estate and may not be reallocated (KERP Order Ex. A).</w:t>
            </w:r>
          </w:p>
        </w:tc>
        <w:tc>
          <w:tcPr>
            <w:tcW w:type="dxa" w:w="864"/>
            <w:shd w:val="clear" w:color="auto" w:fill="FFE699"/>
          </w:tcPr>
          <w:p>
            <w:pPr>
              <w:spacing w:after="20"/>
            </w:pPr>
            <w:r/>
            <w:r>
              <w:rPr>
                <w:b w:val="0"/>
                <w:i w:val="0"/>
                <w:sz w:val="15"/>
              </w:rPr>
              <w:t>AMBER</w:t>
            </w:r>
          </w:p>
        </w:tc>
        <w:tc>
          <w:tcPr>
            <w:tcW w:type="dxa" w:w="3096"/>
          </w:tcPr>
          <w:p>
            <w:pPr>
              <w:spacing w:after="20"/>
            </w:pPr>
            <w:r/>
            <w:r>
              <w:rPr>
                <w:b w:val="0"/>
                <w:i w:val="0"/>
                <w:sz w:val="15"/>
              </w:rPr>
              <w:t>☐ HR certificate of continuous employment for all 14 as of ED  ☐ Payroll file with withholding (KERP Order ¶ 7)  ☐ Avoid any separations pre-ED; if one occurs, analyze under all three provisions before paying  ☐ Report in MOR (¶ 9)</w:t>
            </w:r>
          </w:p>
        </w:tc>
      </w:tr>
      <w:tr>
        <w:tc>
          <w:tcPr>
            <w:tcW w:type="dxa" w:w="576"/>
          </w:tcPr>
          <w:p>
            <w:pPr>
              <w:spacing w:after="20"/>
            </w:pPr>
            <w:r/>
            <w:r>
              <w:rPr>
                <w:b w:val="0"/>
                <w:i w:val="0"/>
                <w:sz w:val="15"/>
              </w:rPr>
              <w:t>4.16</w:t>
            </w:r>
          </w:p>
        </w:tc>
        <w:tc>
          <w:tcPr>
            <w:tcW w:type="dxa" w:w="1584"/>
          </w:tcPr>
          <w:p>
            <w:pPr>
              <w:spacing w:after="20"/>
            </w:pPr>
            <w:r/>
            <w:r>
              <w:rPr>
                <w:b w:val="0"/>
                <w:i w:val="0"/>
                <w:sz w:val="15"/>
              </w:rPr>
              <w:t>U.S. Trustee fees</w:t>
            </w:r>
          </w:p>
        </w:tc>
        <w:tc>
          <w:tcPr>
            <w:tcW w:type="dxa" w:w="3024"/>
          </w:tcPr>
          <w:p>
            <w:pPr>
              <w:spacing w:after="20"/>
            </w:pPr>
            <w:r/>
            <w:r>
              <w:rPr>
                <w:b w:val="0"/>
                <w:i w:val="0"/>
                <w:sz w:val="15"/>
              </w:rPr>
              <w:t>All 28 U.S.C. § 1930 fees, including quarterly fees accrued through ED, paid or reserved (CO ¶¶ 12(a)(12), 33(n); Plan § 13.05).</w:t>
            </w:r>
          </w:p>
        </w:tc>
        <w:tc>
          <w:tcPr>
            <w:tcW w:type="dxa" w:w="4824"/>
          </w:tcPr>
          <w:p>
            <w:pPr>
              <w:spacing w:after="20"/>
            </w:pPr>
            <w:r/>
            <w:r>
              <w:rPr>
                <w:b w:val="0"/>
                <w:i w:val="0"/>
                <w:sz w:val="15"/>
              </w:rPr>
              <w:t>Plan § 5.10 budgets $250,000; Status Report cash summary omits it. Q1 2025 fee will be driven by large ED disbursements.</w:t>
            </w:r>
          </w:p>
        </w:tc>
        <w:tc>
          <w:tcPr>
            <w:tcW w:type="dxa" w:w="864"/>
            <w:shd w:val="clear" w:color="auto" w:fill="FFE699"/>
          </w:tcPr>
          <w:p>
            <w:pPr>
              <w:spacing w:after="20"/>
            </w:pPr>
            <w:r/>
            <w:r>
              <w:rPr>
                <w:b w:val="0"/>
                <w:i w:val="0"/>
                <w:sz w:val="15"/>
              </w:rPr>
              <w:t>AMBER</w:t>
            </w:r>
          </w:p>
        </w:tc>
        <w:tc>
          <w:tcPr>
            <w:tcW w:type="dxa" w:w="3096"/>
          </w:tcPr>
          <w:p>
            <w:pPr>
              <w:spacing w:after="20"/>
            </w:pPr>
            <w:r/>
            <w:r>
              <w:rPr>
                <w:b w:val="0"/>
                <w:i w:val="0"/>
                <w:sz w:val="15"/>
              </w:rPr>
              <w:t>☐ Compute Q1 fee  ☐ Confirm all prior quarterly fees paid  ☐ Add to funds flow / reserve</w:t>
            </w:r>
          </w:p>
        </w:tc>
      </w:tr>
      <w:tr>
        <w:tc>
          <w:tcPr>
            <w:tcW w:type="dxa" w:w="576"/>
          </w:tcPr>
          <w:p>
            <w:pPr>
              <w:spacing w:after="20"/>
            </w:pPr>
            <w:r/>
            <w:r>
              <w:rPr>
                <w:b w:val="0"/>
                <w:i w:val="0"/>
                <w:sz w:val="15"/>
              </w:rPr>
              <w:t>4.17</w:t>
            </w:r>
          </w:p>
        </w:tc>
        <w:tc>
          <w:tcPr>
            <w:tcW w:type="dxa" w:w="1584"/>
          </w:tcPr>
          <w:p>
            <w:pPr>
              <w:spacing w:after="20"/>
            </w:pPr>
            <w:r/>
            <w:r>
              <w:rPr>
                <w:b w:val="0"/>
                <w:i w:val="0"/>
                <w:sz w:val="15"/>
              </w:rPr>
              <w:t>No stay</w:t>
            </w:r>
          </w:p>
        </w:tc>
        <w:tc>
          <w:tcPr>
            <w:tcW w:type="dxa" w:w="3024"/>
          </w:tcPr>
          <w:p>
            <w:pPr>
              <w:spacing w:after="20"/>
            </w:pPr>
            <w:r/>
            <w:r>
              <w:rPr>
                <w:b w:val="0"/>
                <w:i w:val="0"/>
                <w:sz w:val="15"/>
              </w:rPr>
              <w:t>No stay of the CO in effect (CO ¶ 33(o)).</w:t>
            </w:r>
          </w:p>
        </w:tc>
        <w:tc>
          <w:tcPr>
            <w:tcW w:type="dxa" w:w="4824"/>
          </w:tcPr>
          <w:p>
            <w:pPr>
              <w:spacing w:after="20"/>
            </w:pPr>
            <w:r/>
            <w:r>
              <w:rPr>
                <w:b w:val="0"/>
                <w:i w:val="0"/>
                <w:sz w:val="15"/>
              </w:rPr>
              <w:t>Rule 3020(e) stay waived (CO ¶¶ 78, 85); none reported.</w:t>
            </w:r>
          </w:p>
        </w:tc>
        <w:tc>
          <w:tcPr>
            <w:tcW w:type="dxa" w:w="864"/>
            <w:shd w:val="clear" w:color="auto" w:fill="C6EFCE"/>
          </w:tcPr>
          <w:p>
            <w:pPr>
              <w:spacing w:after="20"/>
            </w:pPr>
            <w:r/>
            <w:r>
              <w:rPr>
                <w:b w:val="0"/>
                <w:i w:val="0"/>
                <w:sz w:val="15"/>
              </w:rPr>
              <w:t>GREEN</w:t>
            </w:r>
          </w:p>
        </w:tc>
        <w:tc>
          <w:tcPr>
            <w:tcW w:type="dxa" w:w="3096"/>
          </w:tcPr>
          <w:p>
            <w:pPr>
              <w:spacing w:after="20"/>
            </w:pPr>
            <w:r/>
            <w:r>
              <w:rPr>
                <w:b w:val="0"/>
                <w:i w:val="0"/>
                <w:sz w:val="15"/>
              </w:rPr>
              <w:t>☐ Docket bring-down Feb. 14 and ED</w:t>
            </w:r>
          </w:p>
        </w:tc>
      </w:tr>
      <w:tr>
        <w:tc>
          <w:tcPr>
            <w:tcW w:type="dxa" w:w="576"/>
          </w:tcPr>
          <w:p>
            <w:pPr>
              <w:spacing w:after="20"/>
            </w:pPr>
            <w:r/>
            <w:r>
              <w:rPr>
                <w:b w:val="0"/>
                <w:i w:val="0"/>
                <w:sz w:val="15"/>
              </w:rPr>
              <w:t>4.18</w:t>
            </w:r>
          </w:p>
        </w:tc>
        <w:tc>
          <w:tcPr>
            <w:tcW w:type="dxa" w:w="1584"/>
          </w:tcPr>
          <w:p>
            <w:pPr>
              <w:spacing w:after="20"/>
            </w:pPr>
            <w:r/>
            <w:r>
              <w:rPr>
                <w:b w:val="0"/>
                <w:i w:val="0"/>
                <w:sz w:val="15"/>
              </w:rPr>
              <w:t>General insurance / lender insurance</w:t>
            </w:r>
          </w:p>
        </w:tc>
        <w:tc>
          <w:tcPr>
            <w:tcW w:type="dxa" w:w="3024"/>
          </w:tcPr>
          <w:p>
            <w:pPr>
              <w:spacing w:after="20"/>
            </w:pPr>
            <w:r/>
            <w:r>
              <w:rPr>
                <w:b w:val="0"/>
                <w:i w:val="0"/>
                <w:sz w:val="15"/>
              </w:rPr>
              <w:t>Debtor to confirm GL, property and other policies continue or replacement obtained (Plan § 10.04; CO ¶ 57); lender endorsements (CL § 3.1(k)).</w:t>
            </w:r>
          </w:p>
        </w:tc>
        <w:tc>
          <w:tcPr>
            <w:tcW w:type="dxa" w:w="4824"/>
          </w:tcPr>
          <w:p>
            <w:pPr>
              <w:spacing w:after="20"/>
            </w:pPr>
            <w:r/>
            <w:r>
              <w:rPr>
                <w:b w:val="0"/>
                <w:i w:val="0"/>
                <w:sz w:val="15"/>
              </w:rPr>
              <w:t>Broker Whitfield &amp; Prescott confirmed no lapse; the assumed contract list instead shows Heritage Insurance Brokers, LLC (Cure Schedule item 39) — confirm engagement. Lender additional insured / loss payee endorsements outstanding.</w:t>
            </w:r>
          </w:p>
        </w:tc>
        <w:tc>
          <w:tcPr>
            <w:tcW w:type="dxa" w:w="864"/>
            <w:shd w:val="clear" w:color="auto" w:fill="C6EFCE"/>
          </w:tcPr>
          <w:p>
            <w:pPr>
              <w:spacing w:after="20"/>
            </w:pPr>
            <w:r/>
            <w:r>
              <w:rPr>
                <w:b w:val="0"/>
                <w:i w:val="0"/>
                <w:sz w:val="15"/>
              </w:rPr>
              <w:t>GREEN</w:t>
            </w:r>
          </w:p>
        </w:tc>
        <w:tc>
          <w:tcPr>
            <w:tcW w:type="dxa" w:w="3096"/>
          </w:tcPr>
          <w:p>
            <w:pPr>
              <w:spacing w:after="20"/>
            </w:pPr>
            <w:r/>
            <w:r>
              <w:rPr>
                <w:b w:val="0"/>
                <w:i w:val="0"/>
                <w:sz w:val="15"/>
              </w:rPr>
              <w:t>☐ Certificates and endorsements for both Administrative Agents by Feb. 13</w:t>
            </w:r>
          </w:p>
        </w:tc>
      </w:tr>
    </w:tbl>
    <w:p>
      <w:pPr>
        <w:spacing w:after="40"/>
      </w:pPr>
    </w:p>
    <w:p>
      <w:pPr>
        <w:pStyle w:val="Heading1"/>
      </w:pPr>
      <w:r>
        <w:rPr>
          <w:color w:val="1F3864"/>
        </w:rPr>
        <w:t>5. Exit Facility Closing Deliverables Tracker (Commitment Letter § 3 and Exhibit C)</w:t>
      </w:r>
    </w:p>
    <w:p>
      <w:pPr>
        <w:spacing w:after="80"/>
      </w:pPr>
      <w:r>
        <w:rPr>
          <w:b w:val="0"/>
          <w:i w:val="0"/>
          <w:sz w:val="18"/>
        </w:rPr>
        <w:t>Status reflects only what the reviewed documents show; items marked “Not evidenced” may be in progress outside the file and should be confirmed with Ledgerstone and Greystone counsel.</w:t>
      </w:r>
    </w:p>
    <w:tbl>
      <w:tblPr>
        <w:tblStyle w:val="TableGrid"/>
        <w:tblW w:type="auto" w:w="0"/>
        <w:jc w:val="center"/>
        <w:tblLayout w:type="fixed"/>
        <w:tblLook w:firstColumn="1" w:firstRow="1" w:lastColumn="0" w:lastRow="0" w:noHBand="0" w:noVBand="1" w:val="04A0"/>
      </w:tblPr>
      <w:tblGrid>
        <w:gridCol w:w="1007"/>
        <w:gridCol w:w="4176"/>
        <w:gridCol w:w="1872"/>
        <w:gridCol w:w="2304"/>
        <w:gridCol w:w="3744"/>
        <w:gridCol w:w="864"/>
      </w:tblGrid>
      <w:tr>
        <w:trPr>
          <w:tblHeader w:val="true"/>
        </w:trPr>
        <w:tc>
          <w:tcPr>
            <w:tcW w:type="dxa" w:w="1008"/>
            <w:shd w:val="clear" w:color="auto" w:fill="1F3864"/>
          </w:tcPr>
          <w:p>
            <w:r/>
            <w:r>
              <w:rPr>
                <w:b/>
                <w:color w:val="FFFFFF"/>
                <w:sz w:val="15"/>
              </w:rPr>
              <w:t>Ex. C #</w:t>
            </w:r>
          </w:p>
        </w:tc>
        <w:tc>
          <w:tcPr>
            <w:tcW w:type="dxa" w:w="4176"/>
            <w:shd w:val="clear" w:color="auto" w:fill="1F3864"/>
          </w:tcPr>
          <w:p>
            <w:r/>
            <w:r>
              <w:rPr>
                <w:b/>
                <w:color w:val="FFFFFF"/>
                <w:sz w:val="15"/>
              </w:rPr>
              <w:t>Deliverable</w:t>
            </w:r>
          </w:p>
        </w:tc>
        <w:tc>
          <w:tcPr>
            <w:tcW w:type="dxa" w:w="1872"/>
            <w:shd w:val="clear" w:color="auto" w:fill="1F3864"/>
          </w:tcPr>
          <w:p>
            <w:r/>
            <w:r>
              <w:rPr>
                <w:b/>
                <w:color w:val="FFFFFF"/>
                <w:sz w:val="15"/>
              </w:rPr>
              <w:t>Responsible</w:t>
            </w:r>
          </w:p>
        </w:tc>
        <w:tc>
          <w:tcPr>
            <w:tcW w:type="dxa" w:w="2304"/>
            <w:shd w:val="clear" w:color="auto" w:fill="1F3864"/>
          </w:tcPr>
          <w:p>
            <w:r/>
            <w:r>
              <w:rPr>
                <w:b/>
                <w:color w:val="FFFFFF"/>
                <w:sz w:val="15"/>
              </w:rPr>
              <w:t>Deadline</w:t>
            </w:r>
          </w:p>
        </w:tc>
        <w:tc>
          <w:tcPr>
            <w:tcW w:type="dxa" w:w="3744"/>
            <w:shd w:val="clear" w:color="auto" w:fill="1F3864"/>
          </w:tcPr>
          <w:p>
            <w:r/>
            <w:r>
              <w:rPr>
                <w:b/>
                <w:color w:val="FFFFFF"/>
                <w:sz w:val="15"/>
              </w:rPr>
              <w:t>Status</w:t>
            </w:r>
          </w:p>
        </w:tc>
        <w:tc>
          <w:tcPr>
            <w:tcW w:type="dxa" w:w="864"/>
            <w:shd w:val="clear" w:color="auto" w:fill="1F3864"/>
          </w:tcPr>
          <w:p>
            <w:r/>
            <w:r>
              <w:rPr>
                <w:b/>
                <w:color w:val="FFFFFF"/>
                <w:sz w:val="15"/>
              </w:rPr>
              <w:t>RAG</w:t>
            </w:r>
          </w:p>
        </w:tc>
      </w:tr>
      <w:tr>
        <w:tc>
          <w:tcPr>
            <w:tcW w:type="dxa" w:w="1008"/>
          </w:tcPr>
          <w:p>
            <w:pPr>
              <w:spacing w:after="20"/>
            </w:pPr>
            <w:r/>
            <w:r>
              <w:rPr>
                <w:b w:val="0"/>
                <w:i w:val="0"/>
                <w:sz w:val="15"/>
              </w:rPr>
              <w:t>1</w:t>
            </w:r>
          </w:p>
        </w:tc>
        <w:tc>
          <w:tcPr>
            <w:tcW w:type="dxa" w:w="4176"/>
          </w:tcPr>
          <w:p>
            <w:pPr>
              <w:spacing w:after="20"/>
            </w:pPr>
            <w:r/>
            <w:r>
              <w:rPr>
                <w:b w:val="0"/>
                <w:i w:val="0"/>
                <w:sz w:val="15"/>
              </w:rPr>
              <w:t>Executed Exit Term Loan Credit Agreement</w:t>
            </w:r>
          </w:p>
        </w:tc>
        <w:tc>
          <w:tcPr>
            <w:tcW w:type="dxa" w:w="1872"/>
          </w:tcPr>
          <w:p>
            <w:pPr>
              <w:spacing w:after="20"/>
            </w:pPr>
            <w:r/>
            <w:r>
              <w:rPr>
                <w:b w:val="0"/>
                <w:i w:val="0"/>
                <w:sz w:val="15"/>
              </w:rPr>
              <w:t>All parties</w:t>
            </w:r>
          </w:p>
        </w:tc>
        <w:tc>
          <w:tcPr>
            <w:tcW w:type="dxa" w:w="2304"/>
          </w:tcPr>
          <w:p>
            <w:pPr>
              <w:spacing w:after="20"/>
            </w:pPr>
            <w:r/>
            <w:r>
              <w:rPr>
                <w:b w:val="0"/>
                <w:i w:val="0"/>
                <w:sz w:val="15"/>
              </w:rPr>
              <w:t>Feb. 12 (conservative) / Feb. 13 (stated)</w:t>
            </w:r>
          </w:p>
        </w:tc>
        <w:tc>
          <w:tcPr>
            <w:tcW w:type="dxa" w:w="3744"/>
          </w:tcPr>
          <w:p>
            <w:pPr>
              <w:spacing w:after="20"/>
            </w:pPr>
            <w:r/>
            <w:r>
              <w:rPr>
                <w:b w:val="0"/>
                <w:i w:val="0"/>
                <w:sz w:val="15"/>
              </w:rPr>
              <w:t>v.14 substantially final; schedules, certificates, opinions open</w:t>
            </w:r>
          </w:p>
        </w:tc>
        <w:tc>
          <w:tcPr>
            <w:tcW w:type="dxa" w:w="864"/>
            <w:shd w:val="clear" w:color="auto" w:fill="FFE699"/>
          </w:tcPr>
          <w:p>
            <w:pPr>
              <w:spacing w:after="20"/>
            </w:pPr>
            <w:r/>
            <w:r>
              <w:rPr>
                <w:b w:val="0"/>
                <w:i w:val="0"/>
                <w:sz w:val="15"/>
              </w:rPr>
              <w:t>AMBER</w:t>
            </w:r>
          </w:p>
        </w:tc>
      </w:tr>
      <w:tr>
        <w:tc>
          <w:tcPr>
            <w:tcW w:type="dxa" w:w="1008"/>
          </w:tcPr>
          <w:p>
            <w:pPr>
              <w:spacing w:after="20"/>
            </w:pPr>
            <w:r/>
            <w:r>
              <w:rPr>
                <w:b w:val="0"/>
                <w:i w:val="0"/>
                <w:sz w:val="15"/>
              </w:rPr>
              <w:t>2</w:t>
            </w:r>
          </w:p>
        </w:tc>
        <w:tc>
          <w:tcPr>
            <w:tcW w:type="dxa" w:w="4176"/>
          </w:tcPr>
          <w:p>
            <w:pPr>
              <w:spacing w:after="20"/>
            </w:pPr>
            <w:r/>
            <w:r>
              <w:rPr>
                <w:b w:val="0"/>
                <w:i w:val="0"/>
                <w:sz w:val="15"/>
              </w:rPr>
              <w:t>Executed Exit ABL Credit Agreement</w:t>
            </w:r>
          </w:p>
        </w:tc>
        <w:tc>
          <w:tcPr>
            <w:tcW w:type="dxa" w:w="1872"/>
          </w:tcPr>
          <w:p>
            <w:pPr>
              <w:spacing w:after="20"/>
            </w:pPr>
            <w:r/>
            <w:r>
              <w:rPr>
                <w:b w:val="0"/>
                <w:i w:val="0"/>
                <w:sz w:val="15"/>
              </w:rPr>
              <w:t>All parties</w:t>
            </w:r>
          </w:p>
        </w:tc>
        <w:tc>
          <w:tcPr>
            <w:tcW w:type="dxa" w:w="2304"/>
          </w:tcPr>
          <w:p>
            <w:pPr>
              <w:spacing w:after="20"/>
            </w:pPr>
            <w:r/>
            <w:r>
              <w:rPr>
                <w:b w:val="0"/>
                <w:i w:val="0"/>
                <w:sz w:val="15"/>
              </w:rPr>
              <w:t>Feb. 12 / 13</w:t>
            </w:r>
          </w:p>
        </w:tc>
        <w:tc>
          <w:tcPr>
            <w:tcW w:type="dxa" w:w="3744"/>
          </w:tcPr>
          <w:p>
            <w:pPr>
              <w:spacing w:after="20"/>
            </w:pPr>
            <w:r/>
            <w:r>
              <w:rPr>
                <w:b w:val="0"/>
                <w:i w:val="0"/>
                <w:sz w:val="15"/>
              </w:rPr>
              <w:t>Not final: foreign receivables eligibility (Oakvale Flow Solutions); cash dominion trigger</w:t>
            </w:r>
          </w:p>
        </w:tc>
        <w:tc>
          <w:tcPr>
            <w:tcW w:type="dxa" w:w="864"/>
            <w:shd w:val="clear" w:color="auto" w:fill="F4B6B6"/>
          </w:tcPr>
          <w:p>
            <w:pPr>
              <w:spacing w:after="20"/>
            </w:pPr>
            <w:r/>
            <w:r>
              <w:rPr>
                <w:b w:val="0"/>
                <w:i w:val="0"/>
                <w:sz w:val="15"/>
              </w:rPr>
              <w:t>RED</w:t>
            </w:r>
          </w:p>
        </w:tc>
      </w:tr>
      <w:tr>
        <w:tc>
          <w:tcPr>
            <w:tcW w:type="dxa" w:w="1008"/>
          </w:tcPr>
          <w:p>
            <w:pPr>
              <w:spacing w:after="20"/>
            </w:pPr>
            <w:r/>
            <w:r>
              <w:rPr>
                <w:b w:val="0"/>
                <w:i w:val="0"/>
                <w:sz w:val="15"/>
              </w:rPr>
              <w:t>3</w:t>
            </w:r>
          </w:p>
        </w:tc>
        <w:tc>
          <w:tcPr>
            <w:tcW w:type="dxa" w:w="4176"/>
          </w:tcPr>
          <w:p>
            <w:pPr>
              <w:spacing w:after="20"/>
            </w:pPr>
            <w:r/>
            <w:r>
              <w:rPr>
                <w:b w:val="0"/>
                <w:i w:val="0"/>
                <w:sz w:val="15"/>
              </w:rPr>
              <w:t>Executed Intercreditor Agreement (Ledgerstone / Greystone)</w:t>
            </w:r>
          </w:p>
        </w:tc>
        <w:tc>
          <w:tcPr>
            <w:tcW w:type="dxa" w:w="1872"/>
          </w:tcPr>
          <w:p>
            <w:pPr>
              <w:spacing w:after="20"/>
            </w:pPr>
            <w:r/>
            <w:r>
              <w:rPr>
                <w:b w:val="0"/>
                <w:i w:val="0"/>
                <w:sz w:val="15"/>
              </w:rPr>
              <w:t>Both agents</w:t>
            </w:r>
          </w:p>
        </w:tc>
        <w:tc>
          <w:tcPr>
            <w:tcW w:type="dxa" w:w="2304"/>
          </w:tcPr>
          <w:p>
            <w:pPr>
              <w:spacing w:after="20"/>
            </w:pPr>
            <w:r/>
            <w:r>
              <w:rPr>
                <w:b w:val="0"/>
                <w:i w:val="0"/>
                <w:sz w:val="15"/>
              </w:rPr>
              <w:t>Agreed form Feb. 11; execution Feb. 12 / 13</w:t>
            </w:r>
          </w:p>
        </w:tc>
        <w:tc>
          <w:tcPr>
            <w:tcW w:type="dxa" w:w="3744"/>
          </w:tcPr>
          <w:p>
            <w:pPr>
              <w:spacing w:after="20"/>
            </w:pPr>
            <w:r/>
            <w:r>
              <w:rPr>
                <w:b w:val="0"/>
                <w:i w:val="0"/>
                <w:sz w:val="15"/>
              </w:rPr>
              <w:t>Impasse: waterfall/mixed collateral; standstill 180 v. 90 days; DIP cooperation; releases</w:t>
            </w:r>
          </w:p>
        </w:tc>
        <w:tc>
          <w:tcPr>
            <w:tcW w:type="dxa" w:w="864"/>
            <w:shd w:val="clear" w:color="auto" w:fill="F4B6B6"/>
          </w:tcPr>
          <w:p>
            <w:pPr>
              <w:spacing w:after="20"/>
            </w:pPr>
            <w:r/>
            <w:r>
              <w:rPr>
                <w:b w:val="0"/>
                <w:i w:val="0"/>
                <w:sz w:val="15"/>
              </w:rPr>
              <w:t>RED</w:t>
            </w:r>
          </w:p>
        </w:tc>
      </w:tr>
      <w:tr>
        <w:tc>
          <w:tcPr>
            <w:tcW w:type="dxa" w:w="1008"/>
          </w:tcPr>
          <w:p>
            <w:pPr>
              <w:spacing w:after="20"/>
            </w:pPr>
            <w:r/>
            <w:r>
              <w:rPr>
                <w:b w:val="0"/>
                <w:i w:val="0"/>
                <w:sz w:val="15"/>
              </w:rPr>
              <w:t>4–5</w:t>
            </w:r>
          </w:p>
        </w:tc>
        <w:tc>
          <w:tcPr>
            <w:tcW w:type="dxa" w:w="4176"/>
          </w:tcPr>
          <w:p>
            <w:pPr>
              <w:spacing w:after="20"/>
            </w:pPr>
            <w:r/>
            <w:r>
              <w:rPr>
                <w:b w:val="0"/>
                <w:i w:val="0"/>
                <w:sz w:val="15"/>
              </w:rPr>
              <w:t>Term Loan and ABL Security Agreements</w:t>
            </w:r>
          </w:p>
        </w:tc>
        <w:tc>
          <w:tcPr>
            <w:tcW w:type="dxa" w:w="1872"/>
          </w:tcPr>
          <w:p>
            <w:pPr>
              <w:spacing w:after="20"/>
            </w:pPr>
            <w:r/>
            <w:r>
              <w:rPr>
                <w:b w:val="0"/>
                <w:i w:val="0"/>
                <w:sz w:val="15"/>
              </w:rPr>
              <w:t>Borrower / Guarantors</w:t>
            </w:r>
          </w:p>
        </w:tc>
        <w:tc>
          <w:tcPr>
            <w:tcW w:type="dxa" w:w="2304"/>
          </w:tcPr>
          <w:p>
            <w:pPr>
              <w:spacing w:after="20"/>
            </w:pPr>
            <w:r/>
            <w:r>
              <w:rPr>
                <w:b w:val="0"/>
                <w:i w:val="0"/>
                <w:sz w:val="15"/>
              </w:rPr>
              <w:t>Closing</w:t>
            </w:r>
          </w:p>
        </w:tc>
        <w:tc>
          <w:tcPr>
            <w:tcW w:type="dxa" w:w="3744"/>
          </w:tcPr>
          <w:p>
            <w:pPr>
              <w:spacing w:after="20"/>
            </w:pPr>
            <w:r/>
            <w:r>
              <w:rPr>
                <w:b w:val="0"/>
                <w:i w:val="0"/>
                <w:sz w:val="15"/>
              </w:rPr>
              <w:t>Not evidenced</w:t>
            </w:r>
          </w:p>
        </w:tc>
        <w:tc>
          <w:tcPr>
            <w:tcW w:type="dxa" w:w="864"/>
            <w:shd w:val="clear" w:color="auto" w:fill="FFE699"/>
          </w:tcPr>
          <w:p>
            <w:pPr>
              <w:spacing w:after="20"/>
            </w:pPr>
            <w:r/>
            <w:r>
              <w:rPr>
                <w:b w:val="0"/>
                <w:i w:val="0"/>
                <w:sz w:val="15"/>
              </w:rPr>
              <w:t>AMBER</w:t>
            </w:r>
          </w:p>
        </w:tc>
      </w:tr>
      <w:tr>
        <w:tc>
          <w:tcPr>
            <w:tcW w:type="dxa" w:w="1008"/>
          </w:tcPr>
          <w:p>
            <w:pPr>
              <w:spacing w:after="20"/>
            </w:pPr>
            <w:r/>
            <w:r>
              <w:rPr>
                <w:b w:val="0"/>
                <w:i w:val="0"/>
                <w:sz w:val="15"/>
              </w:rPr>
              <w:t>6</w:t>
            </w:r>
          </w:p>
        </w:tc>
        <w:tc>
          <w:tcPr>
            <w:tcW w:type="dxa" w:w="4176"/>
          </w:tcPr>
          <w:p>
            <w:pPr>
              <w:spacing w:after="20"/>
            </w:pPr>
            <w:r/>
            <w:r>
              <w:rPr>
                <w:b w:val="0"/>
                <w:i w:val="0"/>
                <w:sz w:val="15"/>
              </w:rPr>
              <w:t>Pledge Agreement (equity of Oakvale Valve Manufacturing, LLC and Oakvale Flow Solutions, Inc.)</w:t>
            </w:r>
          </w:p>
        </w:tc>
        <w:tc>
          <w:tcPr>
            <w:tcW w:type="dxa" w:w="1872"/>
          </w:tcPr>
          <w:p>
            <w:pPr>
              <w:spacing w:after="20"/>
            </w:pPr>
            <w:r/>
            <w:r>
              <w:rPr>
                <w:b w:val="0"/>
                <w:i w:val="0"/>
                <w:sz w:val="15"/>
              </w:rPr>
              <w:t>Borrower</w:t>
            </w:r>
          </w:p>
        </w:tc>
        <w:tc>
          <w:tcPr>
            <w:tcW w:type="dxa" w:w="2304"/>
          </w:tcPr>
          <w:p>
            <w:pPr>
              <w:spacing w:after="20"/>
            </w:pPr>
            <w:r/>
            <w:r>
              <w:rPr>
                <w:b w:val="0"/>
                <w:i w:val="0"/>
                <w:sz w:val="15"/>
              </w:rPr>
              <w:t>Closing</w:t>
            </w:r>
          </w:p>
        </w:tc>
        <w:tc>
          <w:tcPr>
            <w:tcW w:type="dxa" w:w="3744"/>
          </w:tcPr>
          <w:p>
            <w:pPr>
              <w:spacing w:after="20"/>
            </w:pPr>
            <w:r/>
            <w:r>
              <w:rPr>
                <w:b w:val="0"/>
                <w:i w:val="0"/>
                <w:sz w:val="15"/>
              </w:rPr>
              <w:t>Not evidenced; certificated interests to be delivered if any</w:t>
            </w:r>
          </w:p>
        </w:tc>
        <w:tc>
          <w:tcPr>
            <w:tcW w:type="dxa" w:w="864"/>
            <w:shd w:val="clear" w:color="auto" w:fill="FFE699"/>
          </w:tcPr>
          <w:p>
            <w:pPr>
              <w:spacing w:after="20"/>
            </w:pPr>
            <w:r/>
            <w:r>
              <w:rPr>
                <w:b w:val="0"/>
                <w:i w:val="0"/>
                <w:sz w:val="15"/>
              </w:rPr>
              <w:t>AMBER</w:t>
            </w:r>
          </w:p>
        </w:tc>
      </w:tr>
      <w:tr>
        <w:tc>
          <w:tcPr>
            <w:tcW w:type="dxa" w:w="1008"/>
          </w:tcPr>
          <w:p>
            <w:pPr>
              <w:spacing w:after="20"/>
            </w:pPr>
            <w:r/>
            <w:r>
              <w:rPr>
                <w:b w:val="0"/>
                <w:i w:val="0"/>
                <w:sz w:val="15"/>
              </w:rPr>
              <w:t>7</w:t>
            </w:r>
          </w:p>
        </w:tc>
        <w:tc>
          <w:tcPr>
            <w:tcW w:type="dxa" w:w="4176"/>
          </w:tcPr>
          <w:p>
            <w:pPr>
              <w:spacing w:after="20"/>
            </w:pPr>
            <w:r/>
            <w:r>
              <w:rPr>
                <w:b w:val="0"/>
                <w:i w:val="0"/>
                <w:sz w:val="15"/>
              </w:rPr>
              <w:t>Guaranty Agreement (each Guarantor)</w:t>
            </w:r>
          </w:p>
        </w:tc>
        <w:tc>
          <w:tcPr>
            <w:tcW w:type="dxa" w:w="1872"/>
          </w:tcPr>
          <w:p>
            <w:pPr>
              <w:spacing w:after="20"/>
            </w:pPr>
            <w:r/>
            <w:r>
              <w:rPr>
                <w:b w:val="0"/>
                <w:i w:val="0"/>
                <w:sz w:val="15"/>
              </w:rPr>
              <w:t>Guarantors</w:t>
            </w:r>
          </w:p>
        </w:tc>
        <w:tc>
          <w:tcPr>
            <w:tcW w:type="dxa" w:w="2304"/>
          </w:tcPr>
          <w:p>
            <w:pPr>
              <w:spacing w:after="20"/>
            </w:pPr>
            <w:r/>
            <w:r>
              <w:rPr>
                <w:b w:val="0"/>
                <w:i w:val="0"/>
                <w:sz w:val="15"/>
              </w:rPr>
              <w:t>Closing</w:t>
            </w:r>
          </w:p>
        </w:tc>
        <w:tc>
          <w:tcPr>
            <w:tcW w:type="dxa" w:w="3744"/>
          </w:tcPr>
          <w:p>
            <w:pPr>
              <w:spacing w:after="20"/>
            </w:pPr>
            <w:r/>
            <w:r>
              <w:rPr>
                <w:b w:val="0"/>
                <w:i w:val="0"/>
                <w:sz w:val="15"/>
              </w:rPr>
              <w:t>Non-debtor subsidiaries need their own authorizations (not covered by Plan § 5.08 / CO ¶ 86)</w:t>
            </w:r>
          </w:p>
        </w:tc>
        <w:tc>
          <w:tcPr>
            <w:tcW w:type="dxa" w:w="864"/>
            <w:shd w:val="clear" w:color="auto" w:fill="FFE699"/>
          </w:tcPr>
          <w:p>
            <w:pPr>
              <w:spacing w:after="20"/>
            </w:pPr>
            <w:r/>
            <w:r>
              <w:rPr>
                <w:b w:val="0"/>
                <w:i w:val="0"/>
                <w:sz w:val="15"/>
              </w:rPr>
              <w:t>AMBER</w:t>
            </w:r>
          </w:p>
        </w:tc>
      </w:tr>
      <w:tr>
        <w:tc>
          <w:tcPr>
            <w:tcW w:type="dxa" w:w="1008"/>
          </w:tcPr>
          <w:p>
            <w:pPr>
              <w:spacing w:after="20"/>
            </w:pPr>
            <w:r/>
            <w:r>
              <w:rPr>
                <w:b w:val="0"/>
                <w:i w:val="0"/>
                <w:sz w:val="15"/>
              </w:rPr>
              <w:t>8</w:t>
            </w:r>
          </w:p>
        </w:tc>
        <w:tc>
          <w:tcPr>
            <w:tcW w:type="dxa" w:w="4176"/>
          </w:tcPr>
          <w:p>
            <w:pPr>
              <w:spacing w:after="20"/>
            </w:pPr>
            <w:r/>
            <w:r>
              <w:rPr>
                <w:b w:val="0"/>
                <w:i w:val="0"/>
                <w:sz w:val="15"/>
              </w:rPr>
              <w:t>Account Control Agreements (deposit and securities accounts)</w:t>
            </w:r>
          </w:p>
        </w:tc>
        <w:tc>
          <w:tcPr>
            <w:tcW w:type="dxa" w:w="1872"/>
          </w:tcPr>
          <w:p>
            <w:pPr>
              <w:spacing w:after="20"/>
            </w:pPr>
            <w:r/>
            <w:r>
              <w:rPr>
                <w:b w:val="0"/>
                <w:i w:val="0"/>
                <w:sz w:val="15"/>
              </w:rPr>
              <w:t>Borrower / depository banks</w:t>
            </w:r>
          </w:p>
        </w:tc>
        <w:tc>
          <w:tcPr>
            <w:tcW w:type="dxa" w:w="2304"/>
          </w:tcPr>
          <w:p>
            <w:pPr>
              <w:spacing w:after="20"/>
            </w:pPr>
            <w:r/>
            <w:r>
              <w:rPr>
                <w:b w:val="0"/>
                <w:i w:val="0"/>
                <w:sz w:val="15"/>
              </w:rPr>
              <w:t>Closing (also ABL CP § 3.3(b))</w:t>
            </w:r>
          </w:p>
        </w:tc>
        <w:tc>
          <w:tcPr>
            <w:tcW w:type="dxa" w:w="3744"/>
          </w:tcPr>
          <w:p>
            <w:pPr>
              <w:spacing w:after="20"/>
            </w:pPr>
            <w:r/>
            <w:r>
              <w:rPr>
                <w:b w:val="0"/>
                <w:i w:val="0"/>
                <w:sz w:val="15"/>
              </w:rPr>
              <w:t>Not evidenced; third-party banks drive timing — start immediately</w:t>
            </w:r>
          </w:p>
        </w:tc>
        <w:tc>
          <w:tcPr>
            <w:tcW w:type="dxa" w:w="864"/>
            <w:shd w:val="clear" w:color="auto" w:fill="FFE699"/>
          </w:tcPr>
          <w:p>
            <w:pPr>
              <w:spacing w:after="20"/>
            </w:pPr>
            <w:r/>
            <w:r>
              <w:rPr>
                <w:b w:val="0"/>
                <w:i w:val="0"/>
                <w:sz w:val="15"/>
              </w:rPr>
              <w:t>AMBER</w:t>
            </w:r>
          </w:p>
        </w:tc>
      </w:tr>
      <w:tr>
        <w:tc>
          <w:tcPr>
            <w:tcW w:type="dxa" w:w="1008"/>
          </w:tcPr>
          <w:p>
            <w:pPr>
              <w:spacing w:after="20"/>
            </w:pPr>
            <w:r/>
            <w:r>
              <w:rPr>
                <w:b w:val="0"/>
                <w:i w:val="0"/>
                <w:sz w:val="15"/>
              </w:rPr>
              <w:t>9</w:t>
            </w:r>
          </w:p>
        </w:tc>
        <w:tc>
          <w:tcPr>
            <w:tcW w:type="dxa" w:w="4176"/>
          </w:tcPr>
          <w:p>
            <w:pPr>
              <w:spacing w:after="20"/>
            </w:pPr>
            <w:r/>
            <w:r>
              <w:rPr>
                <w:b w:val="0"/>
                <w:i w:val="0"/>
                <w:sz w:val="15"/>
              </w:rPr>
              <w:t>UCC-1 financing statements (Delaware and Texas)</w:t>
            </w:r>
          </w:p>
        </w:tc>
        <w:tc>
          <w:tcPr>
            <w:tcW w:type="dxa" w:w="1872"/>
          </w:tcPr>
          <w:p>
            <w:pPr>
              <w:spacing w:after="20"/>
            </w:pPr>
            <w:r/>
            <w:r>
              <w:rPr>
                <w:b w:val="0"/>
                <w:i w:val="0"/>
                <w:sz w:val="15"/>
              </w:rPr>
              <w:t>Borrower’s counsel</w:t>
            </w:r>
          </w:p>
        </w:tc>
        <w:tc>
          <w:tcPr>
            <w:tcW w:type="dxa" w:w="2304"/>
          </w:tcPr>
          <w:p>
            <w:pPr>
              <w:spacing w:after="20"/>
            </w:pPr>
            <w:r/>
            <w:r>
              <w:rPr>
                <w:b w:val="0"/>
                <w:i w:val="0"/>
                <w:sz w:val="15"/>
              </w:rPr>
              <w:t>Closing</w:t>
            </w:r>
          </w:p>
        </w:tc>
        <w:tc>
          <w:tcPr>
            <w:tcW w:type="dxa" w:w="3744"/>
          </w:tcPr>
          <w:p>
            <w:pPr>
              <w:spacing w:after="20"/>
            </w:pPr>
            <w:r/>
            <w:r>
              <w:rPr>
                <w:b w:val="0"/>
                <w:i w:val="0"/>
                <w:sz w:val="15"/>
              </w:rPr>
              <w:t>Exact legal name must be confirmed (Oakvale / Ridgemont)</w:t>
            </w:r>
          </w:p>
        </w:tc>
        <w:tc>
          <w:tcPr>
            <w:tcW w:type="dxa" w:w="864"/>
            <w:shd w:val="clear" w:color="auto" w:fill="FFE699"/>
          </w:tcPr>
          <w:p>
            <w:pPr>
              <w:spacing w:after="20"/>
            </w:pPr>
            <w:r/>
            <w:r>
              <w:rPr>
                <w:b w:val="0"/>
                <w:i w:val="0"/>
                <w:sz w:val="15"/>
              </w:rPr>
              <w:t>AMBER</w:t>
            </w:r>
          </w:p>
        </w:tc>
      </w:tr>
      <w:tr>
        <w:tc>
          <w:tcPr>
            <w:tcW w:type="dxa" w:w="1008"/>
          </w:tcPr>
          <w:p>
            <w:pPr>
              <w:spacing w:after="20"/>
            </w:pPr>
            <w:r/>
            <w:r>
              <w:rPr>
                <w:b w:val="0"/>
                <w:i w:val="0"/>
                <w:sz w:val="15"/>
              </w:rPr>
              <w:t>10</w:t>
            </w:r>
          </w:p>
        </w:tc>
        <w:tc>
          <w:tcPr>
            <w:tcW w:type="dxa" w:w="4176"/>
          </w:tcPr>
          <w:p>
            <w:pPr>
              <w:spacing w:after="20"/>
            </w:pPr>
            <w:r/>
            <w:r>
              <w:rPr>
                <w:b w:val="0"/>
                <w:i w:val="0"/>
                <w:sz w:val="15"/>
              </w:rPr>
              <w:t>IP Security Agreements (if applicable)</w:t>
            </w:r>
          </w:p>
        </w:tc>
        <w:tc>
          <w:tcPr>
            <w:tcW w:type="dxa" w:w="1872"/>
          </w:tcPr>
          <w:p>
            <w:pPr>
              <w:spacing w:after="20"/>
            </w:pPr>
            <w:r/>
            <w:r>
              <w:rPr>
                <w:b w:val="0"/>
                <w:i w:val="0"/>
                <w:sz w:val="15"/>
              </w:rPr>
              <w:t>Borrower</w:t>
            </w:r>
          </w:p>
        </w:tc>
        <w:tc>
          <w:tcPr>
            <w:tcW w:type="dxa" w:w="2304"/>
          </w:tcPr>
          <w:p>
            <w:pPr>
              <w:spacing w:after="20"/>
            </w:pPr>
            <w:r/>
            <w:r>
              <w:rPr>
                <w:b w:val="0"/>
                <w:i w:val="0"/>
                <w:sz w:val="15"/>
              </w:rPr>
              <w:t>Closing</w:t>
            </w:r>
          </w:p>
        </w:tc>
        <w:tc>
          <w:tcPr>
            <w:tcW w:type="dxa" w:w="3744"/>
          </w:tcPr>
          <w:p>
            <w:pPr>
              <w:spacing w:after="20"/>
            </w:pPr>
            <w:r/>
            <w:r>
              <w:rPr>
                <w:b w:val="0"/>
                <w:i w:val="0"/>
                <w:sz w:val="15"/>
              </w:rPr>
              <w:t>Patent/technology licenses on Assumption Schedule (items 32–35) — check anti-assignment/lien restrictions</w:t>
            </w:r>
          </w:p>
        </w:tc>
        <w:tc>
          <w:tcPr>
            <w:tcW w:type="dxa" w:w="864"/>
            <w:shd w:val="clear" w:color="auto" w:fill="FFE699"/>
          </w:tcPr>
          <w:p>
            <w:pPr>
              <w:spacing w:after="20"/>
            </w:pPr>
            <w:r/>
            <w:r>
              <w:rPr>
                <w:b w:val="0"/>
                <w:i w:val="0"/>
                <w:sz w:val="15"/>
              </w:rPr>
              <w:t>AMBER</w:t>
            </w:r>
          </w:p>
        </w:tc>
      </w:tr>
      <w:tr>
        <w:tc>
          <w:tcPr>
            <w:tcW w:type="dxa" w:w="1008"/>
          </w:tcPr>
          <w:p>
            <w:pPr>
              <w:spacing w:after="20"/>
            </w:pPr>
            <w:r/>
            <w:r>
              <w:rPr>
                <w:b w:val="0"/>
                <w:i w:val="0"/>
                <w:sz w:val="15"/>
              </w:rPr>
              <w:t>11</w:t>
            </w:r>
          </w:p>
        </w:tc>
        <w:tc>
          <w:tcPr>
            <w:tcW w:type="dxa" w:w="4176"/>
          </w:tcPr>
          <w:p>
            <w:pPr>
              <w:spacing w:after="20"/>
            </w:pPr>
            <w:r/>
            <w:r>
              <w:rPr>
                <w:b w:val="0"/>
                <w:i w:val="0"/>
                <w:sz w:val="15"/>
              </w:rPr>
              <w:t>Certified A&amp;R COI and Bylaws</w:t>
            </w:r>
          </w:p>
        </w:tc>
        <w:tc>
          <w:tcPr>
            <w:tcW w:type="dxa" w:w="1872"/>
          </w:tcPr>
          <w:p>
            <w:pPr>
              <w:spacing w:after="20"/>
            </w:pPr>
            <w:r/>
            <w:r>
              <w:rPr>
                <w:b w:val="0"/>
                <w:i w:val="0"/>
                <w:sz w:val="15"/>
              </w:rPr>
              <w:t>Borrower’s counsel</w:t>
            </w:r>
          </w:p>
        </w:tc>
        <w:tc>
          <w:tcPr>
            <w:tcW w:type="dxa" w:w="2304"/>
          </w:tcPr>
          <w:p>
            <w:pPr>
              <w:spacing w:after="20"/>
            </w:pPr>
            <w:r/>
            <w:r>
              <w:rPr>
                <w:b w:val="0"/>
                <w:i w:val="0"/>
                <w:sz w:val="15"/>
              </w:rPr>
              <w:t>Closing</w:t>
            </w:r>
          </w:p>
        </w:tc>
        <w:tc>
          <w:tcPr>
            <w:tcW w:type="dxa" w:w="3744"/>
          </w:tcPr>
          <w:p>
            <w:pPr>
              <w:spacing w:after="20"/>
            </w:pPr>
            <w:r/>
            <w:r>
              <w:rPr>
                <w:b w:val="0"/>
                <w:i w:val="0"/>
                <w:sz w:val="15"/>
              </w:rPr>
              <w:t>Final form; filing at closing</w:t>
            </w:r>
          </w:p>
        </w:tc>
        <w:tc>
          <w:tcPr>
            <w:tcW w:type="dxa" w:w="864"/>
            <w:shd w:val="clear" w:color="auto" w:fill="FFE699"/>
          </w:tcPr>
          <w:p>
            <w:pPr>
              <w:spacing w:after="20"/>
            </w:pPr>
            <w:r/>
            <w:r>
              <w:rPr>
                <w:b w:val="0"/>
                <w:i w:val="0"/>
                <w:sz w:val="15"/>
              </w:rPr>
              <w:t>AMBER</w:t>
            </w:r>
          </w:p>
        </w:tc>
      </w:tr>
      <w:tr>
        <w:tc>
          <w:tcPr>
            <w:tcW w:type="dxa" w:w="1008"/>
          </w:tcPr>
          <w:p>
            <w:pPr>
              <w:spacing w:after="20"/>
            </w:pPr>
            <w:r/>
            <w:r>
              <w:rPr>
                <w:b w:val="0"/>
                <w:i w:val="0"/>
                <w:sz w:val="15"/>
              </w:rPr>
              <w:t>12</w:t>
            </w:r>
          </w:p>
        </w:tc>
        <w:tc>
          <w:tcPr>
            <w:tcW w:type="dxa" w:w="4176"/>
          </w:tcPr>
          <w:p>
            <w:pPr>
              <w:spacing w:after="20"/>
            </w:pPr>
            <w:r/>
            <w:r>
              <w:rPr>
                <w:b w:val="0"/>
                <w:i w:val="0"/>
                <w:sz w:val="15"/>
              </w:rPr>
              <w:t>Good standing — DE (Reorganized Oakvale; Oakvale Valve Mfg.); TX (Oakvale Flow Solutions)</w:t>
            </w:r>
          </w:p>
        </w:tc>
        <w:tc>
          <w:tcPr>
            <w:tcW w:type="dxa" w:w="1872"/>
          </w:tcPr>
          <w:p>
            <w:pPr>
              <w:spacing w:after="20"/>
            </w:pPr>
            <w:r/>
            <w:r>
              <w:rPr>
                <w:b w:val="0"/>
                <w:i w:val="0"/>
                <w:sz w:val="15"/>
              </w:rPr>
              <w:t>Borrower’s counsel</w:t>
            </w:r>
          </w:p>
        </w:tc>
        <w:tc>
          <w:tcPr>
            <w:tcW w:type="dxa" w:w="2304"/>
          </w:tcPr>
          <w:p>
            <w:pPr>
              <w:spacing w:after="20"/>
            </w:pPr>
            <w:r/>
            <w:r>
              <w:rPr>
                <w:b w:val="0"/>
                <w:i w:val="0"/>
                <w:sz w:val="15"/>
              </w:rPr>
              <w:t>Closing (bring-down)</w:t>
            </w:r>
          </w:p>
        </w:tc>
        <w:tc>
          <w:tcPr>
            <w:tcW w:type="dxa" w:w="3744"/>
          </w:tcPr>
          <w:p>
            <w:pPr>
              <w:spacing w:after="20"/>
            </w:pPr>
            <w:r/>
            <w:r>
              <w:rPr>
                <w:b w:val="0"/>
                <w:i w:val="0"/>
                <w:sz w:val="15"/>
              </w:rPr>
              <w:t>Not evidenced</w:t>
            </w:r>
          </w:p>
        </w:tc>
        <w:tc>
          <w:tcPr>
            <w:tcW w:type="dxa" w:w="864"/>
            <w:shd w:val="clear" w:color="auto" w:fill="FFE699"/>
          </w:tcPr>
          <w:p>
            <w:pPr>
              <w:spacing w:after="20"/>
            </w:pPr>
            <w:r/>
            <w:r>
              <w:rPr>
                <w:b w:val="0"/>
                <w:i w:val="0"/>
                <w:sz w:val="15"/>
              </w:rPr>
              <w:t>AMBER</w:t>
            </w:r>
          </w:p>
        </w:tc>
      </w:tr>
      <w:tr>
        <w:tc>
          <w:tcPr>
            <w:tcW w:type="dxa" w:w="1008"/>
          </w:tcPr>
          <w:p>
            <w:pPr>
              <w:spacing w:after="20"/>
            </w:pPr>
            <w:r/>
            <w:r>
              <w:rPr>
                <w:b w:val="0"/>
                <w:i w:val="0"/>
                <w:sz w:val="15"/>
              </w:rPr>
              <w:t>13</w:t>
            </w:r>
          </w:p>
        </w:tc>
        <w:tc>
          <w:tcPr>
            <w:tcW w:type="dxa" w:w="4176"/>
          </w:tcPr>
          <w:p>
            <w:pPr>
              <w:spacing w:after="20"/>
            </w:pPr>
            <w:r/>
            <w:r>
              <w:rPr>
                <w:b w:val="0"/>
                <w:i w:val="0"/>
                <w:sz w:val="15"/>
              </w:rPr>
              <w:t>Secretary’s Certificates (resolutions, incumbency, specimen signatures)</w:t>
            </w:r>
          </w:p>
        </w:tc>
        <w:tc>
          <w:tcPr>
            <w:tcW w:type="dxa" w:w="1872"/>
          </w:tcPr>
          <w:p>
            <w:pPr>
              <w:spacing w:after="20"/>
            </w:pPr>
            <w:r/>
            <w:r>
              <w:rPr>
                <w:b w:val="0"/>
                <w:i w:val="0"/>
                <w:sz w:val="15"/>
              </w:rPr>
              <w:t>Borrower</w:t>
            </w:r>
          </w:p>
        </w:tc>
        <w:tc>
          <w:tcPr>
            <w:tcW w:type="dxa" w:w="2304"/>
          </w:tcPr>
          <w:p>
            <w:pPr>
              <w:spacing w:after="20"/>
            </w:pPr>
            <w:r/>
            <w:r>
              <w:rPr>
                <w:b w:val="0"/>
                <w:i w:val="0"/>
                <w:sz w:val="15"/>
              </w:rPr>
              <w:t>Closing</w:t>
            </w:r>
          </w:p>
        </w:tc>
        <w:tc>
          <w:tcPr>
            <w:tcW w:type="dxa" w:w="3744"/>
          </w:tcPr>
          <w:p>
            <w:pPr>
              <w:spacing w:after="20"/>
            </w:pPr>
            <w:r/>
            <w:r>
              <w:rPr>
                <w:b w:val="0"/>
                <w:i w:val="0"/>
                <w:sz w:val="15"/>
              </w:rPr>
              <w:t>Reorganized board must be seated to adopt post-ED resolutions; pre-ED authority via CO ¶ 86</w:t>
            </w:r>
          </w:p>
        </w:tc>
        <w:tc>
          <w:tcPr>
            <w:tcW w:type="dxa" w:w="864"/>
            <w:shd w:val="clear" w:color="auto" w:fill="FFE699"/>
          </w:tcPr>
          <w:p>
            <w:pPr>
              <w:spacing w:after="20"/>
            </w:pPr>
            <w:r/>
            <w:r>
              <w:rPr>
                <w:b w:val="0"/>
                <w:i w:val="0"/>
                <w:sz w:val="15"/>
              </w:rPr>
              <w:t>AMBER</w:t>
            </w:r>
          </w:p>
        </w:tc>
      </w:tr>
      <w:tr>
        <w:tc>
          <w:tcPr>
            <w:tcW w:type="dxa" w:w="1008"/>
          </w:tcPr>
          <w:p>
            <w:pPr>
              <w:spacing w:after="20"/>
            </w:pPr>
            <w:r/>
            <w:r>
              <w:rPr>
                <w:b w:val="0"/>
                <w:i w:val="0"/>
                <w:sz w:val="15"/>
              </w:rPr>
              <w:t>14</w:t>
            </w:r>
          </w:p>
        </w:tc>
        <w:tc>
          <w:tcPr>
            <w:tcW w:type="dxa" w:w="4176"/>
          </w:tcPr>
          <w:p>
            <w:pPr>
              <w:spacing w:after="20"/>
            </w:pPr>
            <w:r/>
            <w:r>
              <w:rPr>
                <w:b w:val="0"/>
                <w:i w:val="0"/>
                <w:sz w:val="15"/>
              </w:rPr>
              <w:t>Officer’s Certificate (no MAE, no Default, reps true)</w:t>
            </w:r>
          </w:p>
        </w:tc>
        <w:tc>
          <w:tcPr>
            <w:tcW w:type="dxa" w:w="1872"/>
          </w:tcPr>
          <w:p>
            <w:pPr>
              <w:spacing w:after="20"/>
            </w:pPr>
            <w:r/>
            <w:r>
              <w:rPr>
                <w:b w:val="0"/>
                <w:i w:val="0"/>
                <w:sz w:val="15"/>
              </w:rPr>
              <w:t>CFO</w:t>
            </w:r>
          </w:p>
        </w:tc>
        <w:tc>
          <w:tcPr>
            <w:tcW w:type="dxa" w:w="2304"/>
          </w:tcPr>
          <w:p>
            <w:pPr>
              <w:spacing w:after="20"/>
            </w:pPr>
            <w:r/>
            <w:r>
              <w:rPr>
                <w:b w:val="0"/>
                <w:i w:val="0"/>
                <w:sz w:val="15"/>
              </w:rPr>
              <w:t>Closing</w:t>
            </w:r>
          </w:p>
        </w:tc>
        <w:tc>
          <w:tcPr>
            <w:tcW w:type="dxa" w:w="3744"/>
          </w:tcPr>
          <w:p>
            <w:pPr>
              <w:spacing w:after="20"/>
            </w:pPr>
            <w:r/>
            <w:r>
              <w:rPr>
                <w:b w:val="0"/>
                <w:i w:val="0"/>
                <w:sz w:val="15"/>
              </w:rPr>
              <w:t>Bring-down diligence required</w:t>
            </w:r>
          </w:p>
        </w:tc>
        <w:tc>
          <w:tcPr>
            <w:tcW w:type="dxa" w:w="864"/>
            <w:shd w:val="clear" w:color="auto" w:fill="C6EFCE"/>
          </w:tcPr>
          <w:p>
            <w:pPr>
              <w:spacing w:after="20"/>
            </w:pPr>
            <w:r/>
            <w:r>
              <w:rPr>
                <w:b w:val="0"/>
                <w:i w:val="0"/>
                <w:sz w:val="15"/>
              </w:rPr>
              <w:t>GREEN</w:t>
            </w:r>
          </w:p>
        </w:tc>
      </w:tr>
      <w:tr>
        <w:tc>
          <w:tcPr>
            <w:tcW w:type="dxa" w:w="1008"/>
          </w:tcPr>
          <w:p>
            <w:pPr>
              <w:spacing w:after="20"/>
            </w:pPr>
            <w:r/>
            <w:r>
              <w:rPr>
                <w:b w:val="0"/>
                <w:i w:val="0"/>
                <w:sz w:val="15"/>
              </w:rPr>
              <w:t>15</w:t>
            </w:r>
          </w:p>
        </w:tc>
        <w:tc>
          <w:tcPr>
            <w:tcW w:type="dxa" w:w="4176"/>
          </w:tcPr>
          <w:p>
            <w:pPr>
              <w:spacing w:after="20"/>
            </w:pPr>
            <w:r/>
            <w:r>
              <w:rPr>
                <w:b w:val="0"/>
                <w:i w:val="0"/>
                <w:sz w:val="15"/>
              </w:rPr>
              <w:t>Solvency Certificate (D. Pellegrino)</w:t>
            </w:r>
          </w:p>
        </w:tc>
        <w:tc>
          <w:tcPr>
            <w:tcW w:type="dxa" w:w="1872"/>
          </w:tcPr>
          <w:p>
            <w:pPr>
              <w:spacing w:after="20"/>
            </w:pPr>
            <w:r/>
            <w:r>
              <w:rPr>
                <w:b w:val="0"/>
                <w:i w:val="0"/>
                <w:sz w:val="15"/>
              </w:rPr>
              <w:t>CFO</w:t>
            </w:r>
          </w:p>
        </w:tc>
        <w:tc>
          <w:tcPr>
            <w:tcW w:type="dxa" w:w="2304"/>
          </w:tcPr>
          <w:p>
            <w:pPr>
              <w:spacing w:after="20"/>
            </w:pPr>
            <w:r/>
            <w:r>
              <w:rPr>
                <w:b w:val="0"/>
                <w:i w:val="0"/>
                <w:sz w:val="15"/>
              </w:rPr>
              <w:t>Closing</w:t>
            </w:r>
          </w:p>
        </w:tc>
        <w:tc>
          <w:tcPr>
            <w:tcW w:type="dxa" w:w="3744"/>
          </w:tcPr>
          <w:p>
            <w:pPr>
              <w:spacing w:after="20"/>
            </w:pPr>
            <w:r/>
            <w:r>
              <w:rPr>
                <w:b w:val="0"/>
                <w:i w:val="0"/>
                <w:sz w:val="15"/>
              </w:rPr>
              <w:t>Form in Ex. A; Petworth support</w:t>
            </w:r>
          </w:p>
        </w:tc>
        <w:tc>
          <w:tcPr>
            <w:tcW w:type="dxa" w:w="864"/>
            <w:shd w:val="clear" w:color="auto" w:fill="FFE699"/>
          </w:tcPr>
          <w:p>
            <w:pPr>
              <w:spacing w:after="20"/>
            </w:pPr>
            <w:r/>
            <w:r>
              <w:rPr>
                <w:b w:val="0"/>
                <w:i w:val="0"/>
                <w:sz w:val="15"/>
              </w:rPr>
              <w:t>AMBER</w:t>
            </w:r>
          </w:p>
        </w:tc>
      </w:tr>
      <w:tr>
        <w:tc>
          <w:tcPr>
            <w:tcW w:type="dxa" w:w="1008"/>
          </w:tcPr>
          <w:p>
            <w:pPr>
              <w:spacing w:after="20"/>
            </w:pPr>
            <w:r/>
            <w:r>
              <w:rPr>
                <w:b w:val="0"/>
                <w:i w:val="0"/>
                <w:sz w:val="15"/>
              </w:rPr>
              <w:t>16</w:t>
            </w:r>
          </w:p>
        </w:tc>
        <w:tc>
          <w:tcPr>
            <w:tcW w:type="dxa" w:w="4176"/>
          </w:tcPr>
          <w:p>
            <w:pPr>
              <w:spacing w:after="20"/>
            </w:pPr>
            <w:r/>
            <w:r>
              <w:rPr>
                <w:b w:val="0"/>
                <w:i w:val="0"/>
                <w:sz w:val="15"/>
              </w:rPr>
              <w:t>Certified copy of Confirmation Order</w:t>
            </w:r>
          </w:p>
        </w:tc>
        <w:tc>
          <w:tcPr>
            <w:tcW w:type="dxa" w:w="1872"/>
          </w:tcPr>
          <w:p>
            <w:pPr>
              <w:spacing w:after="20"/>
            </w:pPr>
            <w:r/>
            <w:r>
              <w:rPr>
                <w:b w:val="0"/>
                <w:i w:val="0"/>
                <w:sz w:val="15"/>
              </w:rPr>
              <w:t>Borrower’s counsel</w:t>
            </w:r>
          </w:p>
        </w:tc>
        <w:tc>
          <w:tcPr>
            <w:tcW w:type="dxa" w:w="2304"/>
          </w:tcPr>
          <w:p>
            <w:pPr>
              <w:spacing w:after="20"/>
            </w:pPr>
            <w:r/>
            <w:r>
              <w:rPr>
                <w:b w:val="0"/>
                <w:i w:val="0"/>
                <w:sz w:val="15"/>
              </w:rPr>
              <w:t>Closing</w:t>
            </w:r>
          </w:p>
        </w:tc>
        <w:tc>
          <w:tcPr>
            <w:tcW w:type="dxa" w:w="3744"/>
          </w:tcPr>
          <w:p>
            <w:pPr>
              <w:spacing w:after="20"/>
            </w:pPr>
            <w:r/>
            <w:r>
              <w:rPr>
                <w:b w:val="0"/>
                <w:i w:val="0"/>
                <w:sz w:val="15"/>
              </w:rPr>
              <w:t>Available</w:t>
            </w:r>
          </w:p>
        </w:tc>
        <w:tc>
          <w:tcPr>
            <w:tcW w:type="dxa" w:w="864"/>
            <w:shd w:val="clear" w:color="auto" w:fill="C6EFCE"/>
          </w:tcPr>
          <w:p>
            <w:pPr>
              <w:spacing w:after="20"/>
            </w:pPr>
            <w:r/>
            <w:r>
              <w:rPr>
                <w:b w:val="0"/>
                <w:i w:val="0"/>
                <w:sz w:val="15"/>
              </w:rPr>
              <w:t>GREEN</w:t>
            </w:r>
          </w:p>
        </w:tc>
      </w:tr>
      <w:tr>
        <w:tc>
          <w:tcPr>
            <w:tcW w:type="dxa" w:w="1008"/>
          </w:tcPr>
          <w:p>
            <w:pPr>
              <w:spacing w:after="20"/>
            </w:pPr>
            <w:r/>
            <w:r>
              <w:rPr>
                <w:b w:val="0"/>
                <w:i w:val="0"/>
                <w:sz w:val="15"/>
              </w:rPr>
              <w:t>17</w:t>
            </w:r>
          </w:p>
        </w:tc>
        <w:tc>
          <w:tcPr>
            <w:tcW w:type="dxa" w:w="4176"/>
          </w:tcPr>
          <w:p>
            <w:pPr>
              <w:spacing w:after="20"/>
            </w:pPr>
            <w:r/>
            <w:r>
              <w:rPr>
                <w:b w:val="0"/>
                <w:i w:val="0"/>
                <w:sz w:val="15"/>
              </w:rPr>
              <w:t>Evidence CO is a Final Order</w:t>
            </w:r>
          </w:p>
        </w:tc>
        <w:tc>
          <w:tcPr>
            <w:tcW w:type="dxa" w:w="1872"/>
          </w:tcPr>
          <w:p>
            <w:pPr>
              <w:spacing w:after="20"/>
            </w:pPr>
            <w:r/>
            <w:r>
              <w:rPr>
                <w:b w:val="0"/>
                <w:i w:val="0"/>
                <w:sz w:val="15"/>
              </w:rPr>
              <w:t>Borrower’s counsel</w:t>
            </w:r>
          </w:p>
        </w:tc>
        <w:tc>
          <w:tcPr>
            <w:tcW w:type="dxa" w:w="2304"/>
          </w:tcPr>
          <w:p>
            <w:pPr>
              <w:spacing w:after="20"/>
            </w:pPr>
            <w:r/>
            <w:r>
              <w:rPr>
                <w:b w:val="0"/>
                <w:i w:val="0"/>
                <w:sz w:val="15"/>
              </w:rPr>
              <w:t>Closing</w:t>
            </w:r>
          </w:p>
        </w:tc>
        <w:tc>
          <w:tcPr>
            <w:tcW w:type="dxa" w:w="3744"/>
          </w:tcPr>
          <w:p>
            <w:pPr>
              <w:spacing w:after="20"/>
            </w:pPr>
            <w:r/>
            <w:r>
              <w:rPr>
                <w:b w:val="0"/>
                <w:i w:val="0"/>
                <w:sz w:val="15"/>
              </w:rPr>
              <w:t>Docket certification needed</w:t>
            </w:r>
          </w:p>
        </w:tc>
        <w:tc>
          <w:tcPr>
            <w:tcW w:type="dxa" w:w="864"/>
            <w:shd w:val="clear" w:color="auto" w:fill="C6EFCE"/>
          </w:tcPr>
          <w:p>
            <w:pPr>
              <w:spacing w:after="20"/>
            </w:pPr>
            <w:r/>
            <w:r>
              <w:rPr>
                <w:b w:val="0"/>
                <w:i w:val="0"/>
                <w:sz w:val="15"/>
              </w:rPr>
              <w:t>GREEN</w:t>
            </w:r>
          </w:p>
        </w:tc>
      </w:tr>
      <w:tr>
        <w:tc>
          <w:tcPr>
            <w:tcW w:type="dxa" w:w="1008"/>
          </w:tcPr>
          <w:p>
            <w:pPr>
              <w:spacing w:after="20"/>
            </w:pPr>
            <w:r/>
            <w:r>
              <w:rPr>
                <w:b w:val="0"/>
                <w:i w:val="0"/>
                <w:sz w:val="15"/>
              </w:rPr>
              <w:t>18</w:t>
            </w:r>
          </w:p>
        </w:tc>
        <w:tc>
          <w:tcPr>
            <w:tcW w:type="dxa" w:w="4176"/>
          </w:tcPr>
          <w:p>
            <w:pPr>
              <w:spacing w:after="20"/>
            </w:pPr>
            <w:r/>
            <w:r>
              <w:rPr>
                <w:b w:val="0"/>
                <w:i w:val="0"/>
                <w:sz w:val="15"/>
              </w:rPr>
              <w:t>Evidence of insurance with endorsements</w:t>
            </w:r>
          </w:p>
        </w:tc>
        <w:tc>
          <w:tcPr>
            <w:tcW w:type="dxa" w:w="1872"/>
          </w:tcPr>
          <w:p>
            <w:pPr>
              <w:spacing w:after="20"/>
            </w:pPr>
            <w:r/>
            <w:r>
              <w:rPr>
                <w:b w:val="0"/>
                <w:i w:val="0"/>
                <w:sz w:val="15"/>
              </w:rPr>
              <w:t>Borrower</w:t>
            </w:r>
          </w:p>
        </w:tc>
        <w:tc>
          <w:tcPr>
            <w:tcW w:type="dxa" w:w="2304"/>
          </w:tcPr>
          <w:p>
            <w:pPr>
              <w:spacing w:after="20"/>
            </w:pPr>
            <w:r/>
            <w:r>
              <w:rPr>
                <w:b w:val="0"/>
                <w:i w:val="0"/>
                <w:sz w:val="15"/>
              </w:rPr>
              <w:t>Closing</w:t>
            </w:r>
          </w:p>
        </w:tc>
        <w:tc>
          <w:tcPr>
            <w:tcW w:type="dxa" w:w="3744"/>
          </w:tcPr>
          <w:p>
            <w:pPr>
              <w:spacing w:after="20"/>
            </w:pPr>
            <w:r/>
            <w:r>
              <w:rPr>
                <w:b w:val="0"/>
                <w:i w:val="0"/>
                <w:sz w:val="15"/>
              </w:rPr>
              <w:t>Endorsements outstanding</w:t>
            </w:r>
          </w:p>
        </w:tc>
        <w:tc>
          <w:tcPr>
            <w:tcW w:type="dxa" w:w="864"/>
            <w:shd w:val="clear" w:color="auto" w:fill="FFE699"/>
          </w:tcPr>
          <w:p>
            <w:pPr>
              <w:spacing w:after="20"/>
            </w:pPr>
            <w:r/>
            <w:r>
              <w:rPr>
                <w:b w:val="0"/>
                <w:i w:val="0"/>
                <w:sz w:val="15"/>
              </w:rPr>
              <w:t>AMBER</w:t>
            </w:r>
          </w:p>
        </w:tc>
      </w:tr>
      <w:tr>
        <w:tc>
          <w:tcPr>
            <w:tcW w:type="dxa" w:w="1008"/>
          </w:tcPr>
          <w:p>
            <w:pPr>
              <w:spacing w:after="20"/>
            </w:pPr>
            <w:r/>
            <w:r>
              <w:rPr>
                <w:b w:val="0"/>
                <w:i w:val="0"/>
                <w:sz w:val="15"/>
              </w:rPr>
              <w:t>19</w:t>
            </w:r>
          </w:p>
        </w:tc>
        <w:tc>
          <w:tcPr>
            <w:tcW w:type="dxa" w:w="4176"/>
          </w:tcPr>
          <w:p>
            <w:pPr>
              <w:spacing w:after="20"/>
            </w:pPr>
            <w:r/>
            <w:r>
              <w:rPr>
                <w:b w:val="0"/>
                <w:i w:val="0"/>
                <w:sz w:val="15"/>
              </w:rPr>
              <w:t>Initial Borrowing Base Certificate (ABL)</w:t>
            </w:r>
          </w:p>
        </w:tc>
        <w:tc>
          <w:tcPr>
            <w:tcW w:type="dxa" w:w="1872"/>
          </w:tcPr>
          <w:p>
            <w:pPr>
              <w:spacing w:after="20"/>
            </w:pPr>
            <w:r/>
            <w:r>
              <w:rPr>
                <w:b w:val="0"/>
                <w:i w:val="0"/>
                <w:sz w:val="15"/>
              </w:rPr>
              <w:t>CFO</w:t>
            </w:r>
          </w:p>
        </w:tc>
        <w:tc>
          <w:tcPr>
            <w:tcW w:type="dxa" w:w="2304"/>
          </w:tcPr>
          <w:p>
            <w:pPr>
              <w:spacing w:after="20"/>
            </w:pPr>
            <w:r/>
            <w:r>
              <w:rPr>
                <w:b w:val="0"/>
                <w:i w:val="0"/>
                <w:sz w:val="15"/>
              </w:rPr>
              <w:t>Closing</w:t>
            </w:r>
          </w:p>
        </w:tc>
        <w:tc>
          <w:tcPr>
            <w:tcW w:type="dxa" w:w="3744"/>
          </w:tcPr>
          <w:p>
            <w:pPr>
              <w:spacing w:after="20"/>
            </w:pPr>
            <w:r/>
            <w:r>
              <w:rPr>
                <w:b w:val="0"/>
                <w:i w:val="0"/>
                <w:sz w:val="15"/>
              </w:rPr>
              <w:t>Depends on resolution of foreign receivables eligibility</w:t>
            </w:r>
          </w:p>
        </w:tc>
        <w:tc>
          <w:tcPr>
            <w:tcW w:type="dxa" w:w="864"/>
            <w:shd w:val="clear" w:color="auto" w:fill="FFE699"/>
          </w:tcPr>
          <w:p>
            <w:pPr>
              <w:spacing w:after="20"/>
            </w:pPr>
            <w:r/>
            <w:r>
              <w:rPr>
                <w:b w:val="0"/>
                <w:i w:val="0"/>
                <w:sz w:val="15"/>
              </w:rPr>
              <w:t>AMBER</w:t>
            </w:r>
          </w:p>
        </w:tc>
      </w:tr>
      <w:tr>
        <w:tc>
          <w:tcPr>
            <w:tcW w:type="dxa" w:w="1008"/>
          </w:tcPr>
          <w:p>
            <w:pPr>
              <w:spacing w:after="20"/>
            </w:pPr>
            <w:r/>
            <w:r>
              <w:rPr>
                <w:b w:val="0"/>
                <w:i w:val="0"/>
                <w:sz w:val="15"/>
              </w:rPr>
              <w:t>20</w:t>
            </w:r>
          </w:p>
        </w:tc>
        <w:tc>
          <w:tcPr>
            <w:tcW w:type="dxa" w:w="4176"/>
          </w:tcPr>
          <w:p>
            <w:pPr>
              <w:spacing w:after="20"/>
            </w:pPr>
            <w:r/>
            <w:r>
              <w:rPr>
                <w:b w:val="0"/>
                <w:i w:val="0"/>
                <w:sz w:val="15"/>
              </w:rPr>
              <w:t>Field examination and appraisal reports (ABL)</w:t>
            </w:r>
          </w:p>
        </w:tc>
        <w:tc>
          <w:tcPr>
            <w:tcW w:type="dxa" w:w="1872"/>
          </w:tcPr>
          <w:p>
            <w:pPr>
              <w:spacing w:after="20"/>
            </w:pPr>
            <w:r/>
            <w:r>
              <w:rPr>
                <w:b w:val="0"/>
                <w:i w:val="0"/>
                <w:sz w:val="15"/>
              </w:rPr>
              <w:t>ABL Agent</w:t>
            </w:r>
          </w:p>
        </w:tc>
        <w:tc>
          <w:tcPr>
            <w:tcW w:type="dxa" w:w="2304"/>
          </w:tcPr>
          <w:p>
            <w:pPr>
              <w:spacing w:after="20"/>
            </w:pPr>
            <w:r/>
            <w:r>
              <w:rPr>
                <w:b w:val="0"/>
                <w:i w:val="0"/>
                <w:sz w:val="15"/>
              </w:rPr>
              <w:t>Closing; dated no earlier than 30 days before closing</w:t>
            </w:r>
          </w:p>
        </w:tc>
        <w:tc>
          <w:tcPr>
            <w:tcW w:type="dxa" w:w="3744"/>
          </w:tcPr>
          <w:p>
            <w:pPr>
              <w:spacing w:after="20"/>
            </w:pPr>
            <w:r/>
            <w:r>
              <w:rPr>
                <w:b w:val="0"/>
                <w:i w:val="0"/>
                <w:sz w:val="15"/>
              </w:rPr>
              <w:t>Not evidenced; confirm date ≥ Jan. 19 for Feb. 18 closing</w:t>
            </w:r>
          </w:p>
        </w:tc>
        <w:tc>
          <w:tcPr>
            <w:tcW w:type="dxa" w:w="864"/>
            <w:shd w:val="clear" w:color="auto" w:fill="FFE699"/>
          </w:tcPr>
          <w:p>
            <w:pPr>
              <w:spacing w:after="20"/>
            </w:pPr>
            <w:r/>
            <w:r>
              <w:rPr>
                <w:b w:val="0"/>
                <w:i w:val="0"/>
                <w:sz w:val="15"/>
              </w:rPr>
              <w:t>AMBER</w:t>
            </w:r>
          </w:p>
        </w:tc>
      </w:tr>
      <w:tr>
        <w:tc>
          <w:tcPr>
            <w:tcW w:type="dxa" w:w="1008"/>
          </w:tcPr>
          <w:p>
            <w:pPr>
              <w:spacing w:after="20"/>
            </w:pPr>
            <w:r/>
            <w:r>
              <w:rPr>
                <w:b w:val="0"/>
                <w:i w:val="0"/>
                <w:sz w:val="15"/>
              </w:rPr>
              <w:t>21</w:t>
            </w:r>
          </w:p>
        </w:tc>
        <w:tc>
          <w:tcPr>
            <w:tcW w:type="dxa" w:w="4176"/>
          </w:tcPr>
          <w:p>
            <w:pPr>
              <w:spacing w:after="20"/>
            </w:pPr>
            <w:r/>
            <w:r>
              <w:rPr>
                <w:b w:val="0"/>
                <w:i w:val="0"/>
                <w:sz w:val="15"/>
              </w:rPr>
              <w:t>Legal opinions (Thornfield; local counsel — e.g., Texas)</w:t>
            </w:r>
          </w:p>
        </w:tc>
        <w:tc>
          <w:tcPr>
            <w:tcW w:type="dxa" w:w="1872"/>
          </w:tcPr>
          <w:p>
            <w:pPr>
              <w:spacing w:after="20"/>
            </w:pPr>
            <w:r/>
            <w:r>
              <w:rPr>
                <w:b w:val="0"/>
                <w:i w:val="0"/>
                <w:sz w:val="15"/>
              </w:rPr>
              <w:t>Borrower’s counsel</w:t>
            </w:r>
          </w:p>
        </w:tc>
        <w:tc>
          <w:tcPr>
            <w:tcW w:type="dxa" w:w="2304"/>
          </w:tcPr>
          <w:p>
            <w:pPr>
              <w:spacing w:after="20"/>
            </w:pPr>
            <w:r/>
            <w:r>
              <w:rPr>
                <w:b w:val="0"/>
                <w:i w:val="0"/>
                <w:sz w:val="15"/>
              </w:rPr>
              <w:t>Closing</w:t>
            </w:r>
          </w:p>
        </w:tc>
        <w:tc>
          <w:tcPr>
            <w:tcW w:type="dxa" w:w="3744"/>
          </w:tcPr>
          <w:p>
            <w:pPr>
              <w:spacing w:after="20"/>
            </w:pPr>
            <w:r/>
            <w:r>
              <w:rPr>
                <w:b w:val="0"/>
                <w:i w:val="0"/>
                <w:sz w:val="15"/>
              </w:rPr>
              <w:t>Open (per Archer e-mail)</w:t>
            </w:r>
          </w:p>
        </w:tc>
        <w:tc>
          <w:tcPr>
            <w:tcW w:type="dxa" w:w="864"/>
            <w:shd w:val="clear" w:color="auto" w:fill="FFE699"/>
          </w:tcPr>
          <w:p>
            <w:pPr>
              <w:spacing w:after="20"/>
            </w:pPr>
            <w:r/>
            <w:r>
              <w:rPr>
                <w:b w:val="0"/>
                <w:i w:val="0"/>
                <w:sz w:val="15"/>
              </w:rPr>
              <w:t>AMBER</w:t>
            </w:r>
          </w:p>
        </w:tc>
      </w:tr>
      <w:tr>
        <w:tc>
          <w:tcPr>
            <w:tcW w:type="dxa" w:w="1008"/>
          </w:tcPr>
          <w:p>
            <w:pPr>
              <w:spacing w:after="20"/>
            </w:pPr>
            <w:r/>
            <w:r>
              <w:rPr>
                <w:b w:val="0"/>
                <w:i w:val="0"/>
                <w:sz w:val="15"/>
              </w:rPr>
              <w:t>22</w:t>
            </w:r>
          </w:p>
        </w:tc>
        <w:tc>
          <w:tcPr>
            <w:tcW w:type="dxa" w:w="4176"/>
          </w:tcPr>
          <w:p>
            <w:pPr>
              <w:spacing w:after="20"/>
            </w:pPr>
            <w:r/>
            <w:r>
              <w:rPr>
                <w:b w:val="0"/>
                <w:i w:val="0"/>
                <w:sz w:val="15"/>
              </w:rPr>
              <w:t>Lien searches (UCC, tax, judgment) in each relevant jurisdiction</w:t>
            </w:r>
          </w:p>
        </w:tc>
        <w:tc>
          <w:tcPr>
            <w:tcW w:type="dxa" w:w="1872"/>
          </w:tcPr>
          <w:p>
            <w:pPr>
              <w:spacing w:after="20"/>
            </w:pPr>
            <w:r/>
            <w:r>
              <w:rPr>
                <w:b w:val="0"/>
                <w:i w:val="0"/>
                <w:sz w:val="15"/>
              </w:rPr>
              <w:t>Commitment Parties’ counsel</w:t>
            </w:r>
          </w:p>
        </w:tc>
        <w:tc>
          <w:tcPr>
            <w:tcW w:type="dxa" w:w="2304"/>
          </w:tcPr>
          <w:p>
            <w:pPr>
              <w:spacing w:after="20"/>
            </w:pPr>
            <w:r/>
            <w:r>
              <w:rPr>
                <w:b w:val="0"/>
                <w:i w:val="0"/>
                <w:sz w:val="15"/>
              </w:rPr>
              <w:t>Closing</w:t>
            </w:r>
          </w:p>
        </w:tc>
        <w:tc>
          <w:tcPr>
            <w:tcW w:type="dxa" w:w="3744"/>
          </w:tcPr>
          <w:p>
            <w:pPr>
              <w:spacing w:after="20"/>
            </w:pPr>
            <w:r/>
            <w:r>
              <w:rPr>
                <w:b w:val="0"/>
                <w:i w:val="0"/>
                <w:sz w:val="15"/>
              </w:rPr>
              <w:t>Not evidenced</w:t>
            </w:r>
          </w:p>
        </w:tc>
        <w:tc>
          <w:tcPr>
            <w:tcW w:type="dxa" w:w="864"/>
            <w:shd w:val="clear" w:color="auto" w:fill="FFE699"/>
          </w:tcPr>
          <w:p>
            <w:pPr>
              <w:spacing w:after="20"/>
            </w:pPr>
            <w:r/>
            <w:r>
              <w:rPr>
                <w:b w:val="0"/>
                <w:i w:val="0"/>
                <w:sz w:val="15"/>
              </w:rPr>
              <w:t>AMBER</w:t>
            </w:r>
          </w:p>
        </w:tc>
      </w:tr>
      <w:tr>
        <w:tc>
          <w:tcPr>
            <w:tcW w:type="dxa" w:w="1008"/>
          </w:tcPr>
          <w:p>
            <w:pPr>
              <w:spacing w:after="20"/>
            </w:pPr>
            <w:r/>
            <w:r>
              <w:rPr>
                <w:b w:val="0"/>
                <w:i w:val="0"/>
                <w:sz w:val="15"/>
              </w:rPr>
              <w:t>23</w:t>
            </w:r>
          </w:p>
        </w:tc>
        <w:tc>
          <w:tcPr>
            <w:tcW w:type="dxa" w:w="4176"/>
          </w:tcPr>
          <w:p>
            <w:pPr>
              <w:spacing w:after="20"/>
            </w:pPr>
            <w:r/>
            <w:r>
              <w:rPr>
                <w:b w:val="0"/>
                <w:i w:val="0"/>
                <w:sz w:val="15"/>
              </w:rPr>
              <w:t>Payment of Fee Letter fees and expenses</w:t>
            </w:r>
          </w:p>
        </w:tc>
        <w:tc>
          <w:tcPr>
            <w:tcW w:type="dxa" w:w="1872"/>
          </w:tcPr>
          <w:p>
            <w:pPr>
              <w:spacing w:after="20"/>
            </w:pPr>
            <w:r/>
            <w:r>
              <w:rPr>
                <w:b w:val="0"/>
                <w:i w:val="0"/>
                <w:sz w:val="15"/>
              </w:rPr>
              <w:t>Borrower</w:t>
            </w:r>
          </w:p>
        </w:tc>
        <w:tc>
          <w:tcPr>
            <w:tcW w:type="dxa" w:w="2304"/>
          </w:tcPr>
          <w:p>
            <w:pPr>
              <w:spacing w:after="20"/>
            </w:pPr>
            <w:r/>
            <w:r>
              <w:rPr>
                <w:b w:val="0"/>
                <w:i w:val="0"/>
                <w:sz w:val="15"/>
              </w:rPr>
              <w:t>Closing (CL § 3.1(n))</w:t>
            </w:r>
          </w:p>
        </w:tc>
        <w:tc>
          <w:tcPr>
            <w:tcW w:type="dxa" w:w="3744"/>
          </w:tcPr>
          <w:p>
            <w:pPr>
              <w:spacing w:after="20"/>
            </w:pPr>
            <w:r/>
            <w:r>
              <w:rPr>
                <w:b w:val="0"/>
                <w:i w:val="0"/>
                <w:sz w:val="15"/>
              </w:rPr>
              <w:t>Amounts not in ED cash budget — add to funds flow</w:t>
            </w:r>
          </w:p>
        </w:tc>
        <w:tc>
          <w:tcPr>
            <w:tcW w:type="dxa" w:w="864"/>
            <w:shd w:val="clear" w:color="auto" w:fill="FFE699"/>
          </w:tcPr>
          <w:p>
            <w:pPr>
              <w:spacing w:after="20"/>
            </w:pPr>
            <w:r/>
            <w:r>
              <w:rPr>
                <w:b w:val="0"/>
                <w:i w:val="0"/>
                <w:sz w:val="15"/>
              </w:rPr>
              <w:t>AMBER</w:t>
            </w:r>
          </w:p>
        </w:tc>
      </w:tr>
      <w:tr>
        <w:tc>
          <w:tcPr>
            <w:tcW w:type="dxa" w:w="1008"/>
          </w:tcPr>
          <w:p>
            <w:pPr>
              <w:spacing w:after="20"/>
            </w:pPr>
            <w:r/>
            <w:r>
              <w:rPr>
                <w:b w:val="0"/>
                <w:i w:val="0"/>
                <w:sz w:val="15"/>
              </w:rPr>
              <w:t>24</w:t>
            </w:r>
          </w:p>
        </w:tc>
        <w:tc>
          <w:tcPr>
            <w:tcW w:type="dxa" w:w="4176"/>
          </w:tcPr>
          <w:p>
            <w:pPr>
              <w:spacing w:after="20"/>
            </w:pPr>
            <w:r/>
            <w:r>
              <w:rPr>
                <w:b w:val="0"/>
                <w:i w:val="0"/>
                <w:sz w:val="15"/>
              </w:rPr>
              <w:t>Borrowing notice (Term Loan) ≥ 2 Business Days before funding</w:t>
            </w:r>
          </w:p>
        </w:tc>
        <w:tc>
          <w:tcPr>
            <w:tcW w:type="dxa" w:w="1872"/>
          </w:tcPr>
          <w:p>
            <w:pPr>
              <w:spacing w:after="20"/>
            </w:pPr>
            <w:r/>
            <w:r>
              <w:rPr>
                <w:b w:val="0"/>
                <w:i w:val="0"/>
                <w:sz w:val="15"/>
              </w:rPr>
              <w:t>Borrower</w:t>
            </w:r>
          </w:p>
        </w:tc>
        <w:tc>
          <w:tcPr>
            <w:tcW w:type="dxa" w:w="2304"/>
          </w:tcPr>
          <w:p>
            <w:pPr>
              <w:spacing w:after="20"/>
            </w:pPr>
            <w:r/>
            <w:r>
              <w:rPr>
                <w:b/>
                <w:i w:val="0"/>
                <w:sz w:val="15"/>
              </w:rPr>
              <w:t>Thu. Feb. 13</w:t>
            </w:r>
            <w:r>
              <w:rPr>
                <w:b w:val="0"/>
                <w:i w:val="0"/>
                <w:sz w:val="15"/>
              </w:rPr>
              <w:t xml:space="preserve"> for Feb. 18 funding</w:t>
            </w:r>
          </w:p>
        </w:tc>
        <w:tc>
          <w:tcPr>
            <w:tcW w:type="dxa" w:w="3744"/>
          </w:tcPr>
          <w:p>
            <w:pPr>
              <w:spacing w:after="20"/>
            </w:pPr>
            <w:r/>
            <w:r>
              <w:rPr>
                <w:b w:val="0"/>
                <w:i w:val="0"/>
                <w:sz w:val="15"/>
              </w:rPr>
              <w:t>Prepare now</w:t>
            </w:r>
          </w:p>
        </w:tc>
        <w:tc>
          <w:tcPr>
            <w:tcW w:type="dxa" w:w="864"/>
            <w:shd w:val="clear" w:color="auto" w:fill="FFE699"/>
          </w:tcPr>
          <w:p>
            <w:pPr>
              <w:spacing w:after="20"/>
            </w:pPr>
            <w:r/>
            <w:r>
              <w:rPr>
                <w:b w:val="0"/>
                <w:i w:val="0"/>
                <w:sz w:val="15"/>
              </w:rPr>
              <w:t>AMBER</w:t>
            </w:r>
          </w:p>
        </w:tc>
      </w:tr>
      <w:tr>
        <w:tc>
          <w:tcPr>
            <w:tcW w:type="dxa" w:w="1008"/>
          </w:tcPr>
          <w:p>
            <w:pPr>
              <w:spacing w:after="20"/>
            </w:pPr>
            <w:r/>
            <w:r>
              <w:rPr>
                <w:b w:val="0"/>
                <w:i w:val="0"/>
                <w:sz w:val="15"/>
              </w:rPr>
              <w:t>25</w:t>
            </w:r>
          </w:p>
        </w:tc>
        <w:tc>
          <w:tcPr>
            <w:tcW w:type="dxa" w:w="4176"/>
          </w:tcPr>
          <w:p>
            <w:pPr>
              <w:spacing w:after="20"/>
            </w:pPr>
            <w:r/>
            <w:r>
              <w:rPr>
                <w:b w:val="0"/>
                <w:i w:val="0"/>
                <w:sz w:val="15"/>
              </w:rPr>
              <w:t>Other documents reasonably requested</w:t>
            </w:r>
          </w:p>
        </w:tc>
        <w:tc>
          <w:tcPr>
            <w:tcW w:type="dxa" w:w="1872"/>
          </w:tcPr>
          <w:p>
            <w:pPr>
              <w:spacing w:after="20"/>
            </w:pPr>
            <w:r/>
            <w:r>
              <w:rPr>
                <w:b w:val="0"/>
                <w:i w:val="0"/>
                <w:sz w:val="15"/>
              </w:rPr>
              <w:t>As applicable</w:t>
            </w:r>
          </w:p>
        </w:tc>
        <w:tc>
          <w:tcPr>
            <w:tcW w:type="dxa" w:w="2304"/>
          </w:tcPr>
          <w:p>
            <w:pPr>
              <w:spacing w:after="20"/>
            </w:pPr>
            <w:r/>
            <w:r>
              <w:rPr>
                <w:b w:val="0"/>
                <w:i w:val="0"/>
                <w:sz w:val="15"/>
              </w:rPr>
              <w:t>Closing</w:t>
            </w:r>
          </w:p>
        </w:tc>
        <w:tc>
          <w:tcPr>
            <w:tcW w:type="dxa" w:w="3744"/>
          </w:tcPr>
          <w:p>
            <w:pPr>
              <w:spacing w:after="20"/>
            </w:pPr>
            <w:r/>
            <w:r>
              <w:rPr>
                <w:b w:val="0"/>
                <w:i w:val="0"/>
                <w:sz w:val="15"/>
              </w:rPr>
              <w:t>Request lenders’ closing checklist</w:t>
            </w:r>
          </w:p>
        </w:tc>
        <w:tc>
          <w:tcPr>
            <w:tcW w:type="dxa" w:w="864"/>
            <w:shd w:val="clear" w:color="auto" w:fill="FFE699"/>
          </w:tcPr>
          <w:p>
            <w:pPr>
              <w:spacing w:after="20"/>
            </w:pPr>
            <w:r/>
            <w:r>
              <w:rPr>
                <w:b w:val="0"/>
                <w:i w:val="0"/>
                <w:sz w:val="15"/>
              </w:rPr>
              <w:t>AMBER</w:t>
            </w:r>
          </w:p>
        </w:tc>
      </w:tr>
      <w:tr>
        <w:tc>
          <w:tcPr>
            <w:tcW w:type="dxa" w:w="1008"/>
          </w:tcPr>
          <w:p>
            <w:pPr>
              <w:spacing w:after="20"/>
            </w:pPr>
            <w:r/>
            <w:r>
              <w:rPr>
                <w:b w:val="0"/>
                <w:i w:val="0"/>
                <w:sz w:val="15"/>
              </w:rPr>
              <w:t>CL § 3.2(c)</w:t>
            </w:r>
          </w:p>
        </w:tc>
        <w:tc>
          <w:tcPr>
            <w:tcW w:type="dxa" w:w="4176"/>
          </w:tcPr>
          <w:p>
            <w:pPr>
              <w:spacing w:after="20"/>
            </w:pPr>
            <w:r/>
            <w:r>
              <w:rPr>
                <w:b w:val="0"/>
                <w:i w:val="0"/>
                <w:sz w:val="15"/>
              </w:rPr>
              <w:t>Evidence of sufficiency of funds for ED payments</w:t>
            </w:r>
          </w:p>
        </w:tc>
        <w:tc>
          <w:tcPr>
            <w:tcW w:type="dxa" w:w="1872"/>
          </w:tcPr>
          <w:p>
            <w:pPr>
              <w:spacing w:after="20"/>
            </w:pPr>
            <w:r/>
            <w:r>
              <w:rPr>
                <w:b w:val="0"/>
                <w:i w:val="0"/>
                <w:sz w:val="15"/>
              </w:rPr>
              <w:t>CFO / Petworth</w:t>
            </w:r>
          </w:p>
        </w:tc>
        <w:tc>
          <w:tcPr>
            <w:tcW w:type="dxa" w:w="2304"/>
          </w:tcPr>
          <w:p>
            <w:pPr>
              <w:spacing w:after="20"/>
            </w:pPr>
            <w:r/>
            <w:r>
              <w:rPr>
                <w:b w:val="0"/>
                <w:i w:val="0"/>
                <w:sz w:val="15"/>
              </w:rPr>
              <w:t>Closing</w:t>
            </w:r>
          </w:p>
        </w:tc>
        <w:tc>
          <w:tcPr>
            <w:tcW w:type="dxa" w:w="3744"/>
          </w:tcPr>
          <w:p>
            <w:pPr>
              <w:spacing w:after="20"/>
            </w:pPr>
            <w:r/>
            <w:r>
              <w:rPr>
                <w:b w:val="0"/>
                <w:i w:val="0"/>
                <w:sz w:val="15"/>
              </w:rPr>
              <w:t>Use Plan § 5.10 build ($54.4M) plus fees/OID; Pellegrino asked to confirm (Wynn e-mail)</w:t>
            </w:r>
          </w:p>
        </w:tc>
        <w:tc>
          <w:tcPr>
            <w:tcW w:type="dxa" w:w="864"/>
            <w:shd w:val="clear" w:color="auto" w:fill="FFE699"/>
          </w:tcPr>
          <w:p>
            <w:pPr>
              <w:spacing w:after="20"/>
            </w:pPr>
            <w:r/>
            <w:r>
              <w:rPr>
                <w:b w:val="0"/>
                <w:i w:val="0"/>
                <w:sz w:val="15"/>
              </w:rPr>
              <w:t>AMBER</w:t>
            </w:r>
          </w:p>
        </w:tc>
      </w:tr>
      <w:tr>
        <w:tc>
          <w:tcPr>
            <w:tcW w:type="dxa" w:w="1008"/>
          </w:tcPr>
          <w:p>
            <w:pPr>
              <w:spacing w:after="20"/>
            </w:pPr>
            <w:r/>
            <w:r>
              <w:rPr>
                <w:b w:val="0"/>
                <w:i w:val="0"/>
                <w:sz w:val="15"/>
              </w:rPr>
              <w:t>CL § 3.1(h)</w:t>
            </w:r>
          </w:p>
        </w:tc>
        <w:tc>
          <w:tcPr>
            <w:tcW w:type="dxa" w:w="4176"/>
          </w:tcPr>
          <w:p>
            <w:pPr>
              <w:spacing w:after="20"/>
            </w:pPr>
            <w:r/>
            <w:r>
              <w:rPr>
                <w:b w:val="0"/>
                <w:i w:val="0"/>
                <w:sz w:val="15"/>
              </w:rPr>
              <w:t>Solvency after giving effect to Transactions</w:t>
            </w:r>
          </w:p>
        </w:tc>
        <w:tc>
          <w:tcPr>
            <w:tcW w:type="dxa" w:w="1872"/>
          </w:tcPr>
          <w:p>
            <w:pPr>
              <w:spacing w:after="20"/>
            </w:pPr>
            <w:r/>
            <w:r>
              <w:rPr>
                <w:b w:val="0"/>
                <w:i w:val="0"/>
                <w:sz w:val="15"/>
              </w:rPr>
              <w:t>CFO</w:t>
            </w:r>
          </w:p>
        </w:tc>
        <w:tc>
          <w:tcPr>
            <w:tcW w:type="dxa" w:w="2304"/>
          </w:tcPr>
          <w:p>
            <w:pPr>
              <w:spacing w:after="20"/>
            </w:pPr>
            <w:r/>
            <w:r>
              <w:rPr>
                <w:b w:val="0"/>
                <w:i w:val="0"/>
                <w:sz w:val="15"/>
              </w:rPr>
              <w:t>Closing</w:t>
            </w:r>
          </w:p>
        </w:tc>
        <w:tc>
          <w:tcPr>
            <w:tcW w:type="dxa" w:w="3744"/>
          </w:tcPr>
          <w:p>
            <w:pPr>
              <w:spacing w:after="20"/>
            </w:pPr>
            <w:r/>
            <w:r>
              <w:rPr>
                <w:b w:val="0"/>
                <w:i w:val="0"/>
                <w:sz w:val="15"/>
              </w:rPr>
              <w:t>See item 15</w:t>
            </w:r>
          </w:p>
        </w:tc>
        <w:tc>
          <w:tcPr>
            <w:tcW w:type="dxa" w:w="864"/>
            <w:shd w:val="clear" w:color="auto" w:fill="FFE699"/>
          </w:tcPr>
          <w:p>
            <w:pPr>
              <w:spacing w:after="20"/>
            </w:pPr>
            <w:r/>
            <w:r>
              <w:rPr>
                <w:b w:val="0"/>
                <w:i w:val="0"/>
                <w:sz w:val="15"/>
              </w:rPr>
              <w:t>AMBER</w:t>
            </w:r>
          </w:p>
        </w:tc>
      </w:tr>
    </w:tbl>
    <w:p>
      <w:pPr>
        <w:spacing w:after="40"/>
      </w:pPr>
    </w:p>
    <w:p>
      <w:pPr>
        <w:pStyle w:val="Heading1"/>
      </w:pPr>
      <w:r>
        <w:rPr>
          <w:color w:val="1F3864"/>
        </w:rPr>
        <w:t>6. Critical Path to a February 18 Effective Date</w:t>
      </w:r>
    </w:p>
    <w:tbl>
      <w:tblPr>
        <w:tblStyle w:val="TableGrid"/>
        <w:tblW w:type="auto" w:w="0"/>
        <w:jc w:val="center"/>
        <w:tblLayout w:type="fixed"/>
        <w:tblLook w:firstColumn="1" w:firstRow="1" w:lastColumn="0" w:lastRow="0" w:noHBand="0" w:noVBand="1" w:val="04A0"/>
      </w:tblPr>
      <w:tblGrid>
        <w:gridCol w:w="1440"/>
        <w:gridCol w:w="4320"/>
        <w:gridCol w:w="4320"/>
        <w:gridCol w:w="3888"/>
      </w:tblGrid>
      <w:tr>
        <w:trPr>
          <w:tblHeader w:val="true"/>
        </w:trPr>
        <w:tc>
          <w:tcPr>
            <w:tcW w:type="dxa" w:w="1440"/>
            <w:shd w:val="clear" w:color="auto" w:fill="1F3864"/>
          </w:tcPr>
          <w:p>
            <w:r/>
            <w:r>
              <w:rPr>
                <w:b/>
                <w:color w:val="FFFFFF"/>
                <w:sz w:val="15"/>
              </w:rPr>
              <w:t>Date</w:t>
            </w:r>
          </w:p>
        </w:tc>
        <w:tc>
          <w:tcPr>
            <w:tcW w:type="dxa" w:w="4320"/>
            <w:shd w:val="clear" w:color="auto" w:fill="1F3864"/>
          </w:tcPr>
          <w:p>
            <w:r/>
            <w:r>
              <w:rPr>
                <w:b/>
                <w:color w:val="FFFFFF"/>
                <w:sz w:val="15"/>
              </w:rPr>
              <w:t>Exit Facility / Funds Flow</w:t>
            </w:r>
          </w:p>
        </w:tc>
        <w:tc>
          <w:tcPr>
            <w:tcW w:type="dxa" w:w="4320"/>
            <w:shd w:val="clear" w:color="auto" w:fill="1F3864"/>
          </w:tcPr>
          <w:p>
            <w:r/>
            <w:r>
              <w:rPr>
                <w:b/>
                <w:color w:val="FFFFFF"/>
                <w:sz w:val="15"/>
              </w:rPr>
              <w:t>Plan Documents &amp; Conditions</w:t>
            </w:r>
          </w:p>
        </w:tc>
        <w:tc>
          <w:tcPr>
            <w:tcW w:type="dxa" w:w="3888"/>
            <w:shd w:val="clear" w:color="auto" w:fill="1F3864"/>
          </w:tcPr>
          <w:p>
            <w:r/>
            <w:r>
              <w:rPr>
                <w:b/>
                <w:color w:val="FFFFFF"/>
                <w:sz w:val="15"/>
              </w:rPr>
              <w:t>Court / Regulatory</w:t>
            </w:r>
          </w:p>
        </w:tc>
      </w:tr>
      <w:tr>
        <w:tc>
          <w:tcPr>
            <w:tcW w:type="dxa" w:w="1440"/>
          </w:tcPr>
          <w:p>
            <w:pPr>
              <w:spacing w:after="20"/>
            </w:pPr>
            <w:r/>
            <w:r>
              <w:rPr>
                <w:b w:val="0"/>
                <w:i w:val="0"/>
                <w:sz w:val="15"/>
              </w:rPr>
              <w:t>Fri. Feb. 7</w:t>
            </w:r>
          </w:p>
        </w:tc>
        <w:tc>
          <w:tcPr>
            <w:tcW w:type="dxa" w:w="4320"/>
          </w:tcPr>
          <w:p>
            <w:pPr>
              <w:spacing w:after="20"/>
            </w:pPr>
            <w:r/>
            <w:r>
              <w:rPr>
                <w:b w:val="0"/>
                <w:i w:val="0"/>
                <w:sz w:val="15"/>
              </w:rPr>
              <w:t>3:00 p.m. ET principals call (standstill, waterfall). Archer to circulate marked ICA. Pellegrino to confirm ED cash position.</w:t>
            </w:r>
          </w:p>
        </w:tc>
        <w:tc>
          <w:tcPr>
            <w:tcW w:type="dxa" w:w="4320"/>
          </w:tcPr>
          <w:p>
            <w:pPr>
              <w:spacing w:after="20"/>
            </w:pPr>
            <w:r/>
            <w:r>
              <w:rPr>
                <w:b w:val="0"/>
                <w:i w:val="0"/>
                <w:sz w:val="15"/>
              </w:rPr>
              <w:t>Send Capstone written demand for board designee. Call Vincenzo’s counsel. Kepler settlement outreach.</w:t>
            </w:r>
          </w:p>
        </w:tc>
        <w:tc>
          <w:tcPr>
            <w:tcW w:type="dxa" w:w="3888"/>
          </w:tcPr>
          <w:p>
            <w:pPr>
              <w:spacing w:after="20"/>
            </w:pPr>
            <w:r/>
            <w:r>
              <w:rPr>
                <w:b w:val="0"/>
                <w:i w:val="0"/>
                <w:sz w:val="15"/>
              </w:rPr>
              <w:t>Status Report filed. Order docket certification (Final Order).</w:t>
            </w:r>
          </w:p>
        </w:tc>
      </w:tr>
      <w:tr>
        <w:tc>
          <w:tcPr>
            <w:tcW w:type="dxa" w:w="1440"/>
          </w:tcPr>
          <w:p>
            <w:pPr>
              <w:spacing w:after="20"/>
            </w:pPr>
            <w:r/>
            <w:r>
              <w:rPr>
                <w:b w:val="0"/>
                <w:i w:val="0"/>
                <w:sz w:val="15"/>
              </w:rPr>
              <w:t>Sat.–Sun. Feb. 8–9</w:t>
            </w:r>
          </w:p>
        </w:tc>
        <w:tc>
          <w:tcPr>
            <w:tcW w:type="dxa" w:w="4320"/>
          </w:tcPr>
          <w:p>
            <w:pPr>
              <w:spacing w:after="20"/>
            </w:pPr>
            <w:r/>
            <w:r>
              <w:rPr>
                <w:b w:val="0"/>
                <w:i w:val="0"/>
                <w:sz w:val="15"/>
              </w:rPr>
              <w:t>Counsel turn revised ICA reflecting call outcome.</w:t>
            </w:r>
          </w:p>
        </w:tc>
        <w:tc>
          <w:tcPr>
            <w:tcW w:type="dxa" w:w="4320"/>
          </w:tcPr>
          <w:p>
            <w:pPr>
              <w:spacing w:after="20"/>
            </w:pPr>
            <w:r/>
            <w:r>
              <w:rPr>
                <w:b w:val="0"/>
                <w:i w:val="0"/>
                <w:sz w:val="15"/>
              </w:rPr>
              <w:t>Conform LTA to Plan; draft SHA deemed-joinder; draft Kepler stipulation/escrow agreement; draft limited waivers (board seat; Kepler) for RCFLL.</w:t>
            </w:r>
          </w:p>
        </w:tc>
        <w:tc>
          <w:tcPr>
            <w:tcW w:type="dxa" w:w="3888"/>
          </w:tcPr>
          <w:p>
            <w:pPr>
              <w:spacing w:after="20"/>
            </w:pPr>
            <w:r/>
          </w:p>
        </w:tc>
      </w:tr>
      <w:tr>
        <w:tc>
          <w:tcPr>
            <w:tcW w:type="dxa" w:w="1440"/>
          </w:tcPr>
          <w:p>
            <w:pPr>
              <w:spacing w:after="20"/>
            </w:pPr>
            <w:r/>
            <w:r>
              <w:rPr>
                <w:b w:val="0"/>
                <w:i w:val="0"/>
                <w:sz w:val="15"/>
              </w:rPr>
              <w:t>Mon. Feb. 10</w:t>
            </w:r>
          </w:p>
        </w:tc>
        <w:tc>
          <w:tcPr>
            <w:tcW w:type="dxa" w:w="4320"/>
          </w:tcPr>
          <w:p>
            <w:pPr>
              <w:spacing w:after="20"/>
            </w:pPr>
            <w:r/>
            <w:r>
              <w:rPr>
                <w:b w:val="0"/>
                <w:i w:val="0"/>
                <w:sz w:val="15"/>
              </w:rPr>
              <w:t xml:space="preserve">Final comments on ICA; ABL open points closed. </w:t>
            </w:r>
            <w:r>
              <w:rPr>
                <w:b/>
                <w:i w:val="0"/>
                <w:sz w:val="15"/>
              </w:rPr>
              <w:t>Go/no-go: if ICA not agreed in principle, reset target ED.</w:t>
            </w:r>
            <w:r>
              <w:rPr>
                <w:b w:val="0"/>
                <w:i w:val="0"/>
                <w:sz w:val="15"/>
              </w:rPr>
              <w:t xml:space="preserve"> Written confirmation from Commitment Parties of Feb. 12 vs. 13 execution deadline.</w:t>
            </w:r>
          </w:p>
        </w:tc>
        <w:tc>
          <w:tcPr>
            <w:tcW w:type="dxa" w:w="4320"/>
          </w:tcPr>
          <w:p>
            <w:pPr>
              <w:spacing w:after="20"/>
            </w:pPr>
            <w:r/>
            <w:r>
              <w:rPr>
                <w:b/>
                <w:i w:val="0"/>
                <w:sz w:val="15"/>
              </w:rPr>
              <w:t>Board designation deadline.</w:t>
            </w:r>
            <w:r>
              <w:rPr>
                <w:b w:val="0"/>
                <w:i w:val="0"/>
                <w:sz w:val="15"/>
              </w:rPr>
              <w:t xml:space="preserve"> Exhibit sign-off log to RCFLL. Holder allocation file to Merriweather &amp; Cain. Kepler proposal delivered. Vincenzo comp terms closed.</w:t>
            </w:r>
          </w:p>
        </w:tc>
        <w:tc>
          <w:tcPr>
            <w:tcW w:type="dxa" w:w="3888"/>
          </w:tcPr>
          <w:p>
            <w:pPr>
              <w:spacing w:after="20"/>
            </w:pPr>
            <w:r/>
            <w:r>
              <w:rPr>
                <w:b w:val="0"/>
                <w:i w:val="0"/>
                <w:sz w:val="15"/>
              </w:rPr>
              <w:t>DNREC permit determination due. HSR holder analysis kicked off. Notice-party list reconciled.</w:t>
            </w:r>
          </w:p>
        </w:tc>
      </w:tr>
      <w:tr>
        <w:tc>
          <w:tcPr>
            <w:tcW w:type="dxa" w:w="1440"/>
          </w:tcPr>
          <w:p>
            <w:pPr>
              <w:spacing w:after="20"/>
            </w:pPr>
            <w:r/>
            <w:r>
              <w:rPr>
                <w:b w:val="0"/>
                <w:i w:val="0"/>
                <w:sz w:val="15"/>
              </w:rPr>
              <w:t>Tue. Feb. 11</w:t>
            </w:r>
          </w:p>
        </w:tc>
        <w:tc>
          <w:tcPr>
            <w:tcW w:type="dxa" w:w="4320"/>
          </w:tcPr>
          <w:p>
            <w:pPr>
              <w:spacing w:after="20"/>
            </w:pPr>
            <w:r/>
            <w:r>
              <w:rPr>
                <w:b/>
                <w:i w:val="0"/>
                <w:sz w:val="15"/>
              </w:rPr>
              <w:t>ICA agreed final form (Greystone hard deadline).</w:t>
            </w:r>
            <w:r>
              <w:rPr>
                <w:b w:val="0"/>
                <w:i w:val="0"/>
                <w:sz w:val="15"/>
              </w:rPr>
              <w:t xml:space="preserve"> Greystone/Ledgerstone credit committees begin. Professional fee estimates in.</w:t>
            </w:r>
          </w:p>
        </w:tc>
        <w:tc>
          <w:tcPr>
            <w:tcW w:type="dxa" w:w="4320"/>
          </w:tcPr>
          <w:p>
            <w:pPr>
              <w:spacing w:after="20"/>
            </w:pPr>
            <w:r/>
            <w:r>
              <w:rPr>
                <w:b w:val="0"/>
                <w:i w:val="0"/>
                <w:sz w:val="15"/>
              </w:rPr>
              <w:t>Tax Opinion draft to RCFLL. LTA final draft to Committee/RCFLL. D&amp;O coverage review complete.</w:t>
            </w:r>
          </w:p>
        </w:tc>
        <w:tc>
          <w:tcPr>
            <w:tcW w:type="dxa" w:w="3888"/>
          </w:tcPr>
          <w:p>
            <w:pPr>
              <w:spacing w:after="20"/>
            </w:pPr>
            <w:r/>
            <w:r>
              <w:rPr>
                <w:b w:val="0"/>
                <w:i w:val="0"/>
                <w:sz w:val="15"/>
              </w:rPr>
              <w:t>DOD written memo. If DNREC notice required: send and advise Court/parties (CO ¶ 26); assess ED impact.</w:t>
            </w:r>
          </w:p>
        </w:tc>
      </w:tr>
      <w:tr>
        <w:tc>
          <w:tcPr>
            <w:tcW w:type="dxa" w:w="1440"/>
          </w:tcPr>
          <w:p>
            <w:pPr>
              <w:spacing w:after="20"/>
            </w:pPr>
            <w:r/>
            <w:r>
              <w:rPr>
                <w:b w:val="0"/>
                <w:i w:val="0"/>
                <w:sz w:val="15"/>
              </w:rPr>
              <w:t>Wed. Feb. 12</w:t>
            </w:r>
          </w:p>
        </w:tc>
        <w:tc>
          <w:tcPr>
            <w:tcW w:type="dxa" w:w="4320"/>
          </w:tcPr>
          <w:p>
            <w:pPr>
              <w:spacing w:after="20"/>
            </w:pPr>
            <w:r/>
            <w:r>
              <w:rPr>
                <w:b w:val="0"/>
                <w:i w:val="0"/>
                <w:sz w:val="15"/>
              </w:rPr>
              <w:t xml:space="preserve">Credit committee approvals. </w:t>
            </w:r>
            <w:r>
              <w:rPr>
                <w:b/>
                <w:i w:val="0"/>
                <w:sz w:val="15"/>
              </w:rPr>
              <w:t>Conservative execution deadline</w:t>
            </w:r>
            <w:r>
              <w:rPr>
                <w:b w:val="0"/>
                <w:i w:val="0"/>
                <w:sz w:val="15"/>
              </w:rPr>
              <w:t xml:space="preserve"> for Term Loan CA, ABL CA, ICA (signatures into escrow). Non-debtor subsidiary resolutions.</w:t>
            </w:r>
          </w:p>
        </w:tc>
        <w:tc>
          <w:tcPr>
            <w:tcW w:type="dxa" w:w="4320"/>
          </w:tcPr>
          <w:p>
            <w:pPr>
              <w:spacing w:after="20"/>
            </w:pPr>
            <w:r/>
            <w:r>
              <w:rPr>
                <w:b w:val="0"/>
                <w:i w:val="0"/>
                <w:sz w:val="15"/>
              </w:rPr>
              <w:t>Bind D&amp;O tail. Schedules A/B to LTA final.</w:t>
            </w:r>
          </w:p>
        </w:tc>
        <w:tc>
          <w:tcPr>
            <w:tcW w:type="dxa" w:w="3888"/>
          </w:tcPr>
          <w:p>
            <w:pPr>
              <w:spacing w:after="20"/>
            </w:pPr>
            <w:r/>
            <w:r>
              <w:rPr>
                <w:b/>
                <w:i w:val="0"/>
                <w:sz w:val="15"/>
              </w:rPr>
              <w:t>File notice of Reorganized Board identities (Plan § 5.07).</w:t>
            </w:r>
            <w:r>
              <w:rPr>
                <w:b w:val="0"/>
                <w:i w:val="0"/>
                <w:sz w:val="15"/>
              </w:rPr>
              <w:t xml:space="preserve"> Pre-clear COI with DE SOS.</w:t>
            </w:r>
          </w:p>
        </w:tc>
      </w:tr>
      <w:tr>
        <w:tc>
          <w:tcPr>
            <w:tcW w:type="dxa" w:w="1440"/>
          </w:tcPr>
          <w:p>
            <w:pPr>
              <w:spacing w:after="20"/>
            </w:pPr>
            <w:r/>
            <w:r>
              <w:rPr>
                <w:b w:val="0"/>
                <w:i w:val="0"/>
                <w:sz w:val="15"/>
              </w:rPr>
              <w:t>Thu. Feb. 13</w:t>
            </w:r>
          </w:p>
        </w:tc>
        <w:tc>
          <w:tcPr>
            <w:tcW w:type="dxa" w:w="4320"/>
          </w:tcPr>
          <w:p>
            <w:pPr>
              <w:spacing w:after="20"/>
            </w:pPr>
            <w:r/>
            <w:r>
              <w:rPr>
                <w:b w:val="0"/>
                <w:i w:val="0"/>
                <w:sz w:val="15"/>
              </w:rPr>
              <w:t xml:space="preserve">Stated execution deadline (CO ¶ 36). </w:t>
            </w:r>
            <w:r>
              <w:rPr>
                <w:b/>
                <w:i w:val="0"/>
                <w:sz w:val="15"/>
              </w:rPr>
              <w:t>Term Loan borrowing notice.</w:t>
            </w:r>
            <w:r>
              <w:rPr>
                <w:b w:val="0"/>
                <w:i w:val="0"/>
                <w:sz w:val="15"/>
              </w:rPr>
              <w:t xml:space="preserve"> Borrowing base certificate. Funds flow memo final; wire instructions call-back verified.</w:t>
            </w:r>
          </w:p>
        </w:tc>
        <w:tc>
          <w:tcPr>
            <w:tcW w:type="dxa" w:w="4320"/>
          </w:tcPr>
          <w:p>
            <w:pPr>
              <w:spacing w:after="20"/>
            </w:pPr>
            <w:r/>
            <w:r>
              <w:rPr>
                <w:b w:val="0"/>
                <w:i w:val="0"/>
                <w:sz w:val="15"/>
              </w:rPr>
              <w:t>SHA, LTA, Acceptance, Warrant Agreement in escrow. Kepler settlement/escrow signed. Tax Opinion final.</w:t>
            </w:r>
          </w:p>
        </w:tc>
        <w:tc>
          <w:tcPr>
            <w:tcW w:type="dxa" w:w="3888"/>
          </w:tcPr>
          <w:p>
            <w:pPr>
              <w:spacing w:after="20"/>
            </w:pPr>
            <w:r/>
          </w:p>
        </w:tc>
      </w:tr>
      <w:tr>
        <w:tc>
          <w:tcPr>
            <w:tcW w:type="dxa" w:w="1440"/>
          </w:tcPr>
          <w:p>
            <w:pPr>
              <w:spacing w:after="20"/>
            </w:pPr>
            <w:r/>
            <w:r>
              <w:rPr>
                <w:b w:val="0"/>
                <w:i w:val="0"/>
                <w:sz w:val="15"/>
              </w:rPr>
              <w:t>Fri. Feb. 14</w:t>
            </w:r>
          </w:p>
        </w:tc>
        <w:tc>
          <w:tcPr>
            <w:tcW w:type="dxa" w:w="4320"/>
          </w:tcPr>
          <w:p>
            <w:pPr>
              <w:spacing w:after="20"/>
            </w:pPr>
            <w:r/>
            <w:r>
              <w:rPr>
                <w:b w:val="0"/>
                <w:i w:val="0"/>
                <w:sz w:val="15"/>
              </w:rPr>
              <w:t>Pre-closing: all signature pages in escrow; officer, solvency, secretary’s certificates; insurance endorsements.</w:t>
            </w:r>
          </w:p>
        </w:tc>
        <w:tc>
          <w:tcPr>
            <w:tcW w:type="dxa" w:w="4320"/>
          </w:tcPr>
          <w:p>
            <w:pPr>
              <w:spacing w:after="20"/>
            </w:pPr>
            <w:r/>
            <w:r>
              <w:rPr>
                <w:b w:val="0"/>
                <w:i w:val="0"/>
                <w:sz w:val="15"/>
              </w:rPr>
              <w:t>RCFLL written consent: (i) CO ¶ 31 ED designation for Feb. 18; (ii) any § 9.02 waivers. Bring-down of all conditions.</w:t>
            </w:r>
          </w:p>
        </w:tc>
        <w:tc>
          <w:tcPr>
            <w:tcW w:type="dxa" w:w="3888"/>
          </w:tcPr>
          <w:p>
            <w:pPr>
              <w:spacing w:after="20"/>
            </w:pPr>
            <w:r/>
            <w:r>
              <w:rPr>
                <w:b w:val="0"/>
                <w:i w:val="0"/>
                <w:sz w:val="15"/>
              </w:rPr>
              <w:t>Docket bring-down (no appeal/stay).</w:t>
            </w:r>
          </w:p>
        </w:tc>
      </w:tr>
      <w:tr>
        <w:tc>
          <w:tcPr>
            <w:tcW w:type="dxa" w:w="1440"/>
          </w:tcPr>
          <w:p>
            <w:pPr>
              <w:spacing w:after="20"/>
            </w:pPr>
            <w:r/>
            <w:r>
              <w:rPr>
                <w:b w:val="0"/>
                <w:i w:val="0"/>
                <w:sz w:val="15"/>
              </w:rPr>
              <w:t>Mon. Feb. 17</w:t>
            </w:r>
          </w:p>
        </w:tc>
        <w:tc>
          <w:tcPr>
            <w:tcW w:type="dxa" w:w="4320"/>
          </w:tcPr>
          <w:p>
            <w:pPr>
              <w:spacing w:after="20"/>
            </w:pPr>
            <w:r/>
            <w:r>
              <w:rPr>
                <w:b w:val="0"/>
                <w:i w:val="0"/>
                <w:sz w:val="15"/>
              </w:rPr>
              <w:t>Presidents’ Day — no wires.</w:t>
            </w:r>
          </w:p>
        </w:tc>
        <w:tc>
          <w:tcPr>
            <w:tcW w:type="dxa" w:w="4320"/>
          </w:tcPr>
          <w:p>
            <w:pPr>
              <w:spacing w:after="20"/>
            </w:pPr>
            <w:r/>
          </w:p>
        </w:tc>
        <w:tc>
          <w:tcPr>
            <w:tcW w:type="dxa" w:w="3888"/>
          </w:tcPr>
          <w:p>
            <w:pPr>
              <w:spacing w:after="20"/>
            </w:pPr>
            <w:r/>
          </w:p>
        </w:tc>
      </w:tr>
      <w:tr>
        <w:tc>
          <w:tcPr>
            <w:tcW w:type="dxa" w:w="1440"/>
          </w:tcPr>
          <w:p>
            <w:pPr>
              <w:spacing w:after="20"/>
            </w:pPr>
            <w:r/>
            <w:r>
              <w:rPr>
                <w:b/>
                <w:i w:val="0"/>
                <w:sz w:val="15"/>
              </w:rPr>
              <w:t>Tue. Feb. 18</w:t>
            </w:r>
          </w:p>
        </w:tc>
        <w:tc>
          <w:tcPr>
            <w:tcW w:type="dxa" w:w="4320"/>
          </w:tcPr>
          <w:p>
            <w:pPr>
              <w:spacing w:after="20"/>
            </w:pPr>
            <w:r/>
            <w:r>
              <w:rPr>
                <w:b w:val="0"/>
                <w:i w:val="0"/>
                <w:sz w:val="15"/>
              </w:rPr>
              <w:t>Release escrows; COI effective; Exit funding; wires: Prof. Fee Escrow $26.0M; LT $1.5M; cure payments; admin and priority claims; KERP; D&amp;O premium (if not prepaid); U.S. Trustee fees; Fee Letter.</w:t>
            </w:r>
          </w:p>
        </w:tc>
        <w:tc>
          <w:tcPr>
            <w:tcW w:type="dxa" w:w="4320"/>
          </w:tcPr>
          <w:p>
            <w:pPr>
              <w:spacing w:after="20"/>
            </w:pPr>
            <w:r/>
            <w:r>
              <w:rPr>
                <w:b w:val="0"/>
                <w:i w:val="0"/>
                <w:sz w:val="15"/>
              </w:rPr>
              <w:t>Board adopts bylaws/resolutions; New Common Stock and Warrants issued; LTA effective and assets vest; Committee dissolves (limited survival, Plan § 13.06).</w:t>
            </w:r>
          </w:p>
        </w:tc>
        <w:tc>
          <w:tcPr>
            <w:tcW w:type="dxa" w:w="3888"/>
          </w:tcPr>
          <w:p>
            <w:pPr>
              <w:spacing w:after="20"/>
            </w:pPr>
            <w:r/>
            <w:r>
              <w:rPr>
                <w:b w:val="0"/>
                <w:i w:val="0"/>
                <w:sz w:val="15"/>
              </w:rPr>
              <w:t>Effective Date occurs.</w:t>
            </w:r>
          </w:p>
        </w:tc>
      </w:tr>
      <w:tr>
        <w:tc>
          <w:tcPr>
            <w:tcW w:type="dxa" w:w="1440"/>
          </w:tcPr>
          <w:p>
            <w:pPr>
              <w:spacing w:after="20"/>
            </w:pPr>
            <w:r/>
            <w:r>
              <w:rPr>
                <w:b w:val="0"/>
                <w:i w:val="0"/>
                <w:sz w:val="15"/>
              </w:rPr>
              <w:t>Thu. Feb. 20</w:t>
            </w:r>
          </w:p>
        </w:tc>
        <w:tc>
          <w:tcPr>
            <w:tcW w:type="dxa" w:w="4320"/>
          </w:tcPr>
          <w:p>
            <w:pPr>
              <w:spacing w:after="20"/>
            </w:pPr>
            <w:r/>
          </w:p>
        </w:tc>
        <w:tc>
          <w:tcPr>
            <w:tcW w:type="dxa" w:w="4320"/>
          </w:tcPr>
          <w:p>
            <w:pPr>
              <w:spacing w:after="20"/>
            </w:pPr>
            <w:r/>
          </w:p>
        </w:tc>
        <w:tc>
          <w:tcPr>
            <w:tcW w:type="dxa" w:w="3888"/>
          </w:tcPr>
          <w:p>
            <w:pPr>
              <w:spacing w:after="20"/>
            </w:pPr>
            <w:r/>
            <w:r>
              <w:rPr>
                <w:b w:val="0"/>
                <w:i w:val="0"/>
                <w:sz w:val="15"/>
              </w:rPr>
              <w:t>File and serve Notice of Effective Date (CO ¶ 80).</w:t>
            </w:r>
          </w:p>
        </w:tc>
      </w:tr>
    </w:tbl>
    <w:p>
      <w:pPr>
        <w:spacing w:after="40"/>
      </w:pPr>
    </w:p>
    <w:p>
      <w:pPr>
        <w:pStyle w:val="Heading1"/>
      </w:pPr>
      <w:r>
        <w:rPr>
          <w:color w:val="1F3864"/>
        </w:rPr>
        <w:t>7. Effective Date Cash Requirements — Reconciliation</w:t>
      </w:r>
    </w:p>
    <w:tbl>
      <w:tblPr>
        <w:tblStyle w:val="TableGrid"/>
        <w:tblW w:type="auto" w:w="0"/>
        <w:jc w:val="center"/>
        <w:tblLayout w:type="fixed"/>
        <w:tblLook w:firstColumn="1" w:firstRow="1" w:lastColumn="0" w:lastRow="0" w:noHBand="0" w:noVBand="1" w:val="04A0"/>
      </w:tblPr>
      <w:tblGrid>
        <w:gridCol w:w="3456"/>
        <w:gridCol w:w="1584"/>
        <w:gridCol w:w="1872"/>
        <w:gridCol w:w="2304"/>
        <w:gridCol w:w="4752"/>
      </w:tblGrid>
      <w:tr>
        <w:trPr>
          <w:tblHeader w:val="true"/>
        </w:trPr>
        <w:tc>
          <w:tcPr>
            <w:tcW w:type="dxa" w:w="3456"/>
            <w:shd w:val="clear" w:color="auto" w:fill="1F3864"/>
          </w:tcPr>
          <w:p>
            <w:r/>
            <w:r>
              <w:rPr>
                <w:b/>
                <w:color w:val="FFFFFF"/>
                <w:sz w:val="15"/>
              </w:rPr>
              <w:t>Item</w:t>
            </w:r>
          </w:p>
        </w:tc>
        <w:tc>
          <w:tcPr>
            <w:tcW w:type="dxa" w:w="1584"/>
            <w:shd w:val="clear" w:color="auto" w:fill="1F3864"/>
          </w:tcPr>
          <w:p>
            <w:r/>
            <w:r>
              <w:rPr>
                <w:b/>
                <w:color w:val="FFFFFF"/>
                <w:sz w:val="15"/>
              </w:rPr>
              <w:t>Plan § 5.10</w:t>
            </w:r>
          </w:p>
        </w:tc>
        <w:tc>
          <w:tcPr>
            <w:tcW w:type="dxa" w:w="1872"/>
            <w:shd w:val="clear" w:color="auto" w:fill="1F3864"/>
          </w:tcPr>
          <w:p>
            <w:r/>
            <w:r>
              <w:rPr>
                <w:b/>
                <w:color w:val="FFFFFF"/>
                <w:sz w:val="15"/>
              </w:rPr>
              <w:t>Status Report § IV</w:t>
            </w:r>
          </w:p>
        </w:tc>
        <w:tc>
          <w:tcPr>
            <w:tcW w:type="dxa" w:w="2304"/>
            <w:shd w:val="clear" w:color="auto" w:fill="1F3864"/>
          </w:tcPr>
          <w:p>
            <w:r/>
            <w:r>
              <w:rPr>
                <w:b/>
                <w:color w:val="FFFFFF"/>
                <w:sz w:val="15"/>
              </w:rPr>
              <w:t>High case (recommended planning figure)</w:t>
            </w:r>
          </w:p>
        </w:tc>
        <w:tc>
          <w:tcPr>
            <w:tcW w:type="dxa" w:w="4752"/>
            <w:shd w:val="clear" w:color="auto" w:fill="1F3864"/>
          </w:tcPr>
          <w:p>
            <w:r/>
            <w:r>
              <w:rPr>
                <w:b/>
                <w:color w:val="FFFFFF"/>
                <w:sz w:val="15"/>
              </w:rPr>
              <w:t>Comment</w:t>
            </w:r>
          </w:p>
        </w:tc>
      </w:tr>
      <w:tr>
        <w:tc>
          <w:tcPr>
            <w:tcW w:type="dxa" w:w="3456"/>
          </w:tcPr>
          <w:p>
            <w:pPr>
              <w:spacing w:after="20"/>
            </w:pPr>
            <w:r/>
            <w:r>
              <w:rPr>
                <w:b w:val="0"/>
                <w:i w:val="0"/>
                <w:sz w:val="15"/>
              </w:rPr>
              <w:t>Administrative Claims (other than professional fees and § 503(b)(9))</w:t>
            </w:r>
          </w:p>
        </w:tc>
        <w:tc>
          <w:tcPr>
            <w:tcW w:type="dxa" w:w="1584"/>
          </w:tcPr>
          <w:p>
            <w:pPr>
              <w:spacing w:after="20"/>
            </w:pPr>
            <w:r/>
            <w:r>
              <w:rPr>
                <w:b w:val="0"/>
                <w:i w:val="0"/>
                <w:sz w:val="15"/>
              </w:rPr>
              <w:t>$8,000,000</w:t>
            </w:r>
          </w:p>
        </w:tc>
        <w:tc>
          <w:tcPr>
            <w:tcW w:type="dxa" w:w="1872"/>
          </w:tcPr>
          <w:p>
            <w:pPr>
              <w:spacing w:after="20"/>
            </w:pPr>
            <w:r/>
            <w:r>
              <w:rPr>
                <w:b w:val="0"/>
                <w:i w:val="0"/>
                <w:sz w:val="15"/>
              </w:rPr>
              <w:t>$14,700,000 (combined)</w:t>
            </w:r>
          </w:p>
        </w:tc>
        <w:tc>
          <w:tcPr>
            <w:tcW w:type="dxa" w:w="2304"/>
          </w:tcPr>
          <w:p>
            <w:pPr>
              <w:spacing w:after="20"/>
            </w:pPr>
            <w:r/>
            <w:r>
              <w:rPr>
                <w:b w:val="0"/>
                <w:i w:val="0"/>
                <w:sz w:val="15"/>
              </w:rPr>
              <w:t>$8,000,000</w:t>
            </w:r>
          </w:p>
        </w:tc>
        <w:tc>
          <w:tcPr>
            <w:tcW w:type="dxa" w:w="4752"/>
          </w:tcPr>
          <w:p>
            <w:pPr>
              <w:spacing w:after="20"/>
            </w:pPr>
            <w:r/>
            <w:r>
              <w:rPr>
                <w:b w:val="0"/>
                <w:i w:val="0"/>
                <w:sz w:val="15"/>
              </w:rPr>
              <w:t>Status Report combines with § 503(b)(9)</w:t>
            </w:r>
          </w:p>
        </w:tc>
      </w:tr>
      <w:tr>
        <w:tc>
          <w:tcPr>
            <w:tcW w:type="dxa" w:w="3456"/>
          </w:tcPr>
          <w:p>
            <w:pPr>
              <w:spacing w:after="20"/>
            </w:pPr>
            <w:r/>
            <w:r>
              <w:rPr>
                <w:b w:val="0"/>
                <w:i w:val="0"/>
                <w:sz w:val="15"/>
              </w:rPr>
              <w:t>Section 503(b)(9) Claims</w:t>
            </w:r>
          </w:p>
        </w:tc>
        <w:tc>
          <w:tcPr>
            <w:tcW w:type="dxa" w:w="1584"/>
          </w:tcPr>
          <w:p>
            <w:pPr>
              <w:spacing w:after="20"/>
            </w:pPr>
            <w:r/>
            <w:r>
              <w:rPr>
                <w:b w:val="0"/>
                <w:i w:val="0"/>
                <w:sz w:val="15"/>
              </w:rPr>
              <w:t>$6,700,000</w:t>
            </w:r>
          </w:p>
        </w:tc>
        <w:tc>
          <w:tcPr>
            <w:tcW w:type="dxa" w:w="1872"/>
          </w:tcPr>
          <w:p>
            <w:pPr>
              <w:spacing w:after="20"/>
            </w:pPr>
            <w:r/>
            <w:r>
              <w:rPr>
                <w:b w:val="0"/>
                <w:i w:val="0"/>
                <w:sz w:val="15"/>
              </w:rPr>
              <w:t>(included above)</w:t>
            </w:r>
          </w:p>
        </w:tc>
        <w:tc>
          <w:tcPr>
            <w:tcW w:type="dxa" w:w="2304"/>
          </w:tcPr>
          <w:p>
            <w:pPr>
              <w:spacing w:after="20"/>
            </w:pPr>
            <w:r/>
            <w:r>
              <w:rPr>
                <w:b w:val="0"/>
                <w:i w:val="0"/>
                <w:sz w:val="15"/>
              </w:rPr>
              <w:t>$6,700,000</w:t>
            </w:r>
          </w:p>
        </w:tc>
        <w:tc>
          <w:tcPr>
            <w:tcW w:type="dxa" w:w="4752"/>
          </w:tcPr>
          <w:p>
            <w:pPr>
              <w:spacing w:after="20"/>
            </w:pPr>
            <w:r/>
          </w:p>
        </w:tc>
      </w:tr>
      <w:tr>
        <w:tc>
          <w:tcPr>
            <w:tcW w:type="dxa" w:w="3456"/>
          </w:tcPr>
          <w:p>
            <w:pPr>
              <w:spacing w:after="20"/>
            </w:pPr>
            <w:r/>
            <w:r>
              <w:rPr>
                <w:b w:val="0"/>
                <w:i w:val="0"/>
                <w:sz w:val="15"/>
              </w:rPr>
              <w:t>Professional Fee Escrow</w:t>
            </w:r>
          </w:p>
        </w:tc>
        <w:tc>
          <w:tcPr>
            <w:tcW w:type="dxa" w:w="1584"/>
          </w:tcPr>
          <w:p>
            <w:pPr>
              <w:spacing w:after="20"/>
            </w:pPr>
            <w:r/>
            <w:r>
              <w:rPr>
                <w:b w:val="0"/>
                <w:i w:val="0"/>
                <w:sz w:val="15"/>
              </w:rPr>
              <w:t>$26,000,000</w:t>
            </w:r>
          </w:p>
        </w:tc>
        <w:tc>
          <w:tcPr>
            <w:tcW w:type="dxa" w:w="1872"/>
          </w:tcPr>
          <w:p>
            <w:pPr>
              <w:spacing w:after="20"/>
            </w:pPr>
            <w:r/>
            <w:r>
              <w:rPr>
                <w:b w:val="0"/>
                <w:i w:val="0"/>
                <w:sz w:val="15"/>
              </w:rPr>
              <w:t>$26,000,000</w:t>
            </w:r>
          </w:p>
        </w:tc>
        <w:tc>
          <w:tcPr>
            <w:tcW w:type="dxa" w:w="2304"/>
          </w:tcPr>
          <w:p>
            <w:pPr>
              <w:spacing w:after="20"/>
            </w:pPr>
            <w:r/>
            <w:r>
              <w:rPr>
                <w:b w:val="0"/>
                <w:i w:val="0"/>
                <w:sz w:val="15"/>
              </w:rPr>
              <w:t>$26,000,000 +</w:t>
            </w:r>
          </w:p>
        </w:tc>
        <w:tc>
          <w:tcPr>
            <w:tcW w:type="dxa" w:w="4752"/>
          </w:tcPr>
          <w:p>
            <w:pPr>
              <w:spacing w:after="20"/>
            </w:pPr>
            <w:r/>
            <w:r>
              <w:rPr>
                <w:b w:val="0"/>
                <w:i w:val="0"/>
                <w:sz w:val="15"/>
              </w:rPr>
              <w:t>Fees ~$24.8M through Jan.; confirm sufficiency (Section 4.3)</w:t>
            </w:r>
          </w:p>
        </w:tc>
      </w:tr>
      <w:tr>
        <w:tc>
          <w:tcPr>
            <w:tcW w:type="dxa" w:w="3456"/>
          </w:tcPr>
          <w:p>
            <w:pPr>
              <w:spacing w:after="20"/>
            </w:pPr>
            <w:r/>
            <w:r>
              <w:rPr>
                <w:b w:val="0"/>
                <w:i w:val="0"/>
                <w:sz w:val="15"/>
              </w:rPr>
              <w:t>Priority Tax Claims</w:t>
            </w:r>
          </w:p>
        </w:tc>
        <w:tc>
          <w:tcPr>
            <w:tcW w:type="dxa" w:w="1584"/>
          </w:tcPr>
          <w:p>
            <w:pPr>
              <w:spacing w:after="20"/>
            </w:pPr>
            <w:r/>
            <w:r>
              <w:rPr>
                <w:b w:val="0"/>
                <w:i w:val="0"/>
                <w:sz w:val="15"/>
              </w:rPr>
              <w:t>$4,600,000</w:t>
            </w:r>
          </w:p>
        </w:tc>
        <w:tc>
          <w:tcPr>
            <w:tcW w:type="dxa" w:w="1872"/>
          </w:tcPr>
          <w:p>
            <w:pPr>
              <w:spacing w:after="20"/>
            </w:pPr>
            <w:r/>
            <w:r>
              <w:rPr>
                <w:b w:val="0"/>
                <w:i w:val="0"/>
                <w:sz w:val="15"/>
              </w:rPr>
              <w:t>$4,600,000</w:t>
            </w:r>
          </w:p>
        </w:tc>
        <w:tc>
          <w:tcPr>
            <w:tcW w:type="dxa" w:w="2304"/>
          </w:tcPr>
          <w:p>
            <w:pPr>
              <w:spacing w:after="20"/>
            </w:pPr>
            <w:r/>
            <w:r>
              <w:rPr>
                <w:b w:val="0"/>
                <w:i w:val="0"/>
                <w:sz w:val="15"/>
              </w:rPr>
              <w:t>$4,600,000</w:t>
            </w:r>
          </w:p>
        </w:tc>
        <w:tc>
          <w:tcPr>
            <w:tcW w:type="dxa" w:w="4752"/>
          </w:tcPr>
          <w:p>
            <w:pPr>
              <w:spacing w:after="20"/>
            </w:pPr>
            <w:r/>
            <w:r>
              <w:rPr>
                <w:b w:val="0"/>
                <w:i w:val="0"/>
                <w:sz w:val="15"/>
              </w:rPr>
              <w:t>Reduced if installment treatment elected (Plan § 2.04)</w:t>
            </w:r>
          </w:p>
        </w:tc>
      </w:tr>
      <w:tr>
        <w:tc>
          <w:tcPr>
            <w:tcW w:type="dxa" w:w="3456"/>
          </w:tcPr>
          <w:p>
            <w:pPr>
              <w:spacing w:after="20"/>
            </w:pPr>
            <w:r/>
            <w:r>
              <w:rPr>
                <w:b w:val="0"/>
                <w:i w:val="0"/>
                <w:sz w:val="15"/>
              </w:rPr>
              <w:t>Cure Costs</w:t>
            </w:r>
          </w:p>
        </w:tc>
        <w:tc>
          <w:tcPr>
            <w:tcW w:type="dxa" w:w="1584"/>
          </w:tcPr>
          <w:p>
            <w:pPr>
              <w:spacing w:after="20"/>
            </w:pPr>
            <w:r/>
            <w:r>
              <w:rPr>
                <w:b w:val="0"/>
                <w:i w:val="0"/>
                <w:sz w:val="15"/>
              </w:rPr>
              <w:t>$3,850,000</w:t>
            </w:r>
          </w:p>
        </w:tc>
        <w:tc>
          <w:tcPr>
            <w:tcW w:type="dxa" w:w="1872"/>
          </w:tcPr>
          <w:p>
            <w:pPr>
              <w:spacing w:after="20"/>
            </w:pPr>
            <w:r/>
            <w:r>
              <w:rPr>
                <w:b w:val="0"/>
                <w:i w:val="0"/>
                <w:sz w:val="15"/>
              </w:rPr>
              <w:t>$3,850,000</w:t>
            </w:r>
          </w:p>
        </w:tc>
        <w:tc>
          <w:tcPr>
            <w:tcW w:type="dxa" w:w="2304"/>
          </w:tcPr>
          <w:p>
            <w:pPr>
              <w:spacing w:after="20"/>
            </w:pPr>
            <w:r/>
            <w:r>
              <w:rPr>
                <w:b w:val="0"/>
                <w:i w:val="0"/>
                <w:sz w:val="15"/>
              </w:rPr>
              <w:t>$4,130,000</w:t>
            </w:r>
          </w:p>
        </w:tc>
        <w:tc>
          <w:tcPr>
            <w:tcW w:type="dxa" w:w="4752"/>
          </w:tcPr>
          <w:p>
            <w:pPr>
              <w:spacing w:after="20"/>
            </w:pPr>
            <w:r/>
            <w:r>
              <w:rPr>
                <w:b w:val="0"/>
                <w:i w:val="0"/>
                <w:sz w:val="15"/>
              </w:rPr>
              <w:t>Includes Kepler at $780,000 claimed</w:t>
            </w:r>
          </w:p>
        </w:tc>
      </w:tr>
      <w:tr>
        <w:tc>
          <w:tcPr>
            <w:tcW w:type="dxa" w:w="3456"/>
          </w:tcPr>
          <w:p>
            <w:pPr>
              <w:spacing w:after="20"/>
            </w:pPr>
            <w:r/>
            <w:r>
              <w:rPr>
                <w:b w:val="0"/>
                <w:i w:val="0"/>
                <w:sz w:val="15"/>
              </w:rPr>
              <w:t>Litigation Trust Funding</w:t>
            </w:r>
          </w:p>
        </w:tc>
        <w:tc>
          <w:tcPr>
            <w:tcW w:type="dxa" w:w="1584"/>
          </w:tcPr>
          <w:p>
            <w:pPr>
              <w:spacing w:after="20"/>
            </w:pPr>
            <w:r/>
            <w:r>
              <w:rPr>
                <w:b w:val="0"/>
                <w:i w:val="0"/>
                <w:sz w:val="15"/>
              </w:rPr>
              <w:t>$1,500,000</w:t>
            </w:r>
          </w:p>
        </w:tc>
        <w:tc>
          <w:tcPr>
            <w:tcW w:type="dxa" w:w="1872"/>
          </w:tcPr>
          <w:p>
            <w:pPr>
              <w:spacing w:after="20"/>
            </w:pPr>
            <w:r/>
            <w:r>
              <w:rPr>
                <w:b w:val="0"/>
                <w:i w:val="0"/>
                <w:sz w:val="15"/>
              </w:rPr>
              <w:t>$1,500,000</w:t>
            </w:r>
          </w:p>
        </w:tc>
        <w:tc>
          <w:tcPr>
            <w:tcW w:type="dxa" w:w="2304"/>
          </w:tcPr>
          <w:p>
            <w:pPr>
              <w:spacing w:after="20"/>
            </w:pPr>
            <w:r/>
            <w:r>
              <w:rPr>
                <w:b w:val="0"/>
                <w:i w:val="0"/>
                <w:sz w:val="15"/>
              </w:rPr>
              <w:t>$1,500,000</w:t>
            </w:r>
          </w:p>
        </w:tc>
        <w:tc>
          <w:tcPr>
            <w:tcW w:type="dxa" w:w="4752"/>
          </w:tcPr>
          <w:p>
            <w:pPr>
              <w:spacing w:after="20"/>
            </w:pPr>
            <w:r/>
            <w:r>
              <w:rPr>
                <w:b w:val="0"/>
                <w:i w:val="0"/>
                <w:sz w:val="15"/>
              </w:rPr>
              <w:t>Also a CO-only condition</w:t>
            </w:r>
          </w:p>
        </w:tc>
      </w:tr>
      <w:tr>
        <w:tc>
          <w:tcPr>
            <w:tcW w:type="dxa" w:w="3456"/>
          </w:tcPr>
          <w:p>
            <w:pPr>
              <w:spacing w:after="20"/>
            </w:pPr>
            <w:r/>
            <w:r>
              <w:rPr>
                <w:b w:val="0"/>
                <w:i w:val="0"/>
                <w:sz w:val="15"/>
              </w:rPr>
              <w:t>KERP Payments</w:t>
            </w:r>
          </w:p>
        </w:tc>
        <w:tc>
          <w:tcPr>
            <w:tcW w:type="dxa" w:w="1584"/>
          </w:tcPr>
          <w:p>
            <w:pPr>
              <w:spacing w:after="20"/>
            </w:pPr>
            <w:r/>
            <w:r>
              <w:rPr>
                <w:b w:val="0"/>
                <w:i w:val="0"/>
                <w:sz w:val="15"/>
              </w:rPr>
              <w:t>$2,150,000</w:t>
            </w:r>
          </w:p>
        </w:tc>
        <w:tc>
          <w:tcPr>
            <w:tcW w:type="dxa" w:w="1872"/>
          </w:tcPr>
          <w:p>
            <w:pPr>
              <w:spacing w:after="20"/>
            </w:pPr>
            <w:r/>
            <w:r>
              <w:rPr>
                <w:b w:val="0"/>
                <w:i w:val="0"/>
                <w:sz w:val="15"/>
              </w:rPr>
              <w:t>$2,150,000</w:t>
            </w:r>
          </w:p>
        </w:tc>
        <w:tc>
          <w:tcPr>
            <w:tcW w:type="dxa" w:w="2304"/>
          </w:tcPr>
          <w:p>
            <w:pPr>
              <w:spacing w:after="20"/>
            </w:pPr>
            <w:r/>
            <w:r>
              <w:rPr>
                <w:b w:val="0"/>
                <w:i w:val="0"/>
                <w:sz w:val="15"/>
              </w:rPr>
              <w:t>$2,150,000</w:t>
            </w:r>
          </w:p>
        </w:tc>
        <w:tc>
          <w:tcPr>
            <w:tcW w:type="dxa" w:w="4752"/>
          </w:tcPr>
          <w:p>
            <w:pPr>
              <w:spacing w:after="20"/>
            </w:pPr>
            <w:r/>
            <w:r>
              <w:rPr>
                <w:b w:val="0"/>
                <w:i w:val="0"/>
                <w:sz w:val="15"/>
              </w:rPr>
              <w:t>Less any forfeitures</w:t>
            </w:r>
          </w:p>
        </w:tc>
      </w:tr>
      <w:tr>
        <w:tc>
          <w:tcPr>
            <w:tcW w:type="dxa" w:w="3456"/>
          </w:tcPr>
          <w:p>
            <w:pPr>
              <w:spacing w:after="20"/>
            </w:pPr>
            <w:r/>
            <w:r>
              <w:rPr>
                <w:b w:val="0"/>
                <w:i w:val="0"/>
                <w:sz w:val="15"/>
              </w:rPr>
              <w:t>D&amp;O Tail Premium</w:t>
            </w:r>
          </w:p>
        </w:tc>
        <w:tc>
          <w:tcPr>
            <w:tcW w:type="dxa" w:w="1584"/>
          </w:tcPr>
          <w:p>
            <w:pPr>
              <w:spacing w:after="20"/>
            </w:pPr>
            <w:r/>
            <w:r>
              <w:rPr>
                <w:b w:val="0"/>
                <w:i w:val="0"/>
                <w:sz w:val="15"/>
              </w:rPr>
              <w:t>$1,350,000</w:t>
            </w:r>
          </w:p>
        </w:tc>
        <w:tc>
          <w:tcPr>
            <w:tcW w:type="dxa" w:w="1872"/>
          </w:tcPr>
          <w:p>
            <w:pPr>
              <w:spacing w:after="20"/>
            </w:pPr>
            <w:r/>
            <w:r>
              <w:rPr>
                <w:b w:val="0"/>
                <w:i w:val="0"/>
                <w:sz w:val="15"/>
              </w:rPr>
              <w:t>$1,350,000</w:t>
            </w:r>
          </w:p>
        </w:tc>
        <w:tc>
          <w:tcPr>
            <w:tcW w:type="dxa" w:w="2304"/>
          </w:tcPr>
          <w:p>
            <w:pPr>
              <w:spacing w:after="20"/>
            </w:pPr>
            <w:r/>
            <w:r>
              <w:rPr>
                <w:b w:val="0"/>
                <w:i w:val="0"/>
                <w:sz w:val="15"/>
              </w:rPr>
              <w:t>$1,350,000</w:t>
            </w:r>
          </w:p>
        </w:tc>
        <w:tc>
          <w:tcPr>
            <w:tcW w:type="dxa" w:w="4752"/>
          </w:tcPr>
          <w:p>
            <w:pPr>
              <w:spacing w:after="20"/>
            </w:pPr>
            <w:r/>
            <w:r>
              <w:rPr>
                <w:b w:val="0"/>
                <w:i w:val="0"/>
                <w:sz w:val="15"/>
              </w:rPr>
              <w:t>Must be paid before ED (CO ¶ 33(i))</w:t>
            </w:r>
          </w:p>
        </w:tc>
      </w:tr>
      <w:tr>
        <w:tc>
          <w:tcPr>
            <w:tcW w:type="dxa" w:w="3456"/>
          </w:tcPr>
          <w:p>
            <w:pPr>
              <w:spacing w:after="20"/>
            </w:pPr>
            <w:r/>
            <w:r>
              <w:rPr>
                <w:b w:val="0"/>
                <w:i w:val="0"/>
                <w:sz w:val="15"/>
              </w:rPr>
              <w:t>U.S. Trustee Fees</w:t>
            </w:r>
          </w:p>
        </w:tc>
        <w:tc>
          <w:tcPr>
            <w:tcW w:type="dxa" w:w="1584"/>
          </w:tcPr>
          <w:p>
            <w:pPr>
              <w:spacing w:after="20"/>
            </w:pPr>
            <w:r/>
            <w:r>
              <w:rPr>
                <w:b w:val="0"/>
                <w:i w:val="0"/>
                <w:sz w:val="15"/>
              </w:rPr>
              <w:t>$250,000</w:t>
            </w:r>
          </w:p>
        </w:tc>
        <w:tc>
          <w:tcPr>
            <w:tcW w:type="dxa" w:w="1872"/>
          </w:tcPr>
          <w:p>
            <w:pPr>
              <w:spacing w:after="20"/>
            </w:pPr>
            <w:r/>
            <w:r>
              <w:rPr>
                <w:b/>
                <w:i w:val="0"/>
                <w:sz w:val="15"/>
              </w:rPr>
              <w:t>omitted</w:t>
            </w:r>
          </w:p>
        </w:tc>
        <w:tc>
          <w:tcPr>
            <w:tcW w:type="dxa" w:w="2304"/>
          </w:tcPr>
          <w:p>
            <w:pPr>
              <w:spacing w:after="20"/>
            </w:pPr>
            <w:r/>
            <w:r>
              <w:rPr>
                <w:b w:val="0"/>
                <w:i w:val="0"/>
                <w:sz w:val="15"/>
              </w:rPr>
              <w:t>$250,000</w:t>
            </w:r>
          </w:p>
        </w:tc>
        <w:tc>
          <w:tcPr>
            <w:tcW w:type="dxa" w:w="4752"/>
          </w:tcPr>
          <w:p>
            <w:pPr>
              <w:spacing w:after="20"/>
            </w:pPr>
            <w:r/>
            <w:r>
              <w:rPr>
                <w:b w:val="0"/>
                <w:i w:val="0"/>
                <w:sz w:val="15"/>
              </w:rPr>
              <w:t>CO ¶ 33(n) condition</w:t>
            </w:r>
          </w:p>
        </w:tc>
      </w:tr>
      <w:tr>
        <w:tc>
          <w:tcPr>
            <w:tcW w:type="dxa" w:w="3456"/>
          </w:tcPr>
          <w:p>
            <w:pPr>
              <w:spacing w:after="20"/>
            </w:pPr>
            <w:r/>
            <w:r>
              <w:rPr>
                <w:b/>
                <w:i w:val="0"/>
                <w:sz w:val="15"/>
              </w:rPr>
              <w:t>Total</w:t>
            </w:r>
          </w:p>
        </w:tc>
        <w:tc>
          <w:tcPr>
            <w:tcW w:type="dxa" w:w="1584"/>
          </w:tcPr>
          <w:p>
            <w:pPr>
              <w:spacing w:after="20"/>
            </w:pPr>
            <w:r/>
            <w:r>
              <w:rPr>
                <w:b/>
                <w:i w:val="0"/>
                <w:sz w:val="15"/>
              </w:rPr>
              <w:t>$54,400,000</w:t>
            </w:r>
          </w:p>
        </w:tc>
        <w:tc>
          <w:tcPr>
            <w:tcW w:type="dxa" w:w="1872"/>
          </w:tcPr>
          <w:p>
            <w:pPr>
              <w:spacing w:after="20"/>
            </w:pPr>
            <w:r/>
            <w:r>
              <w:rPr>
                <w:b/>
                <w:i w:val="0"/>
                <w:sz w:val="15"/>
              </w:rPr>
              <w:t>~$54,150,000</w:t>
            </w:r>
          </w:p>
        </w:tc>
        <w:tc>
          <w:tcPr>
            <w:tcW w:type="dxa" w:w="2304"/>
          </w:tcPr>
          <w:p>
            <w:pPr>
              <w:spacing w:after="20"/>
            </w:pPr>
            <w:r/>
            <w:r>
              <w:rPr>
                <w:b/>
                <w:i w:val="0"/>
                <w:sz w:val="15"/>
              </w:rPr>
              <w:t>$54,680,000</w:t>
            </w:r>
          </w:p>
        </w:tc>
        <w:tc>
          <w:tcPr>
            <w:tcW w:type="dxa" w:w="4752"/>
          </w:tcPr>
          <w:p>
            <w:pPr>
              <w:spacing w:after="20"/>
            </w:pPr>
            <w:r/>
            <w:r>
              <w:rPr>
                <w:b w:val="0"/>
                <w:i w:val="0"/>
                <w:sz w:val="15"/>
              </w:rPr>
              <w:t>Excludes items below</w:t>
            </w:r>
          </w:p>
        </w:tc>
      </w:tr>
      <w:tr>
        <w:tc>
          <w:tcPr>
            <w:tcW w:type="dxa" w:w="3456"/>
          </w:tcPr>
          <w:p>
            <w:pPr>
              <w:spacing w:after="20"/>
            </w:pPr>
            <w:r/>
            <w:r>
              <w:rPr>
                <w:b w:val="0"/>
                <w:i w:val="0"/>
                <w:sz w:val="15"/>
              </w:rPr>
              <w:t>Not budgeted in either document</w:t>
            </w:r>
          </w:p>
        </w:tc>
        <w:tc>
          <w:tcPr>
            <w:tcW w:type="dxa" w:w="1584"/>
          </w:tcPr>
          <w:p>
            <w:pPr>
              <w:spacing w:after="20"/>
            </w:pPr>
            <w:r/>
            <w:r>
              <w:rPr>
                <w:b w:val="0"/>
                <w:i w:val="0"/>
                <w:sz w:val="15"/>
              </w:rPr>
              <w:t>—</w:t>
            </w:r>
          </w:p>
        </w:tc>
        <w:tc>
          <w:tcPr>
            <w:tcW w:type="dxa" w:w="1872"/>
          </w:tcPr>
          <w:p>
            <w:pPr>
              <w:spacing w:after="20"/>
            </w:pPr>
            <w:r/>
            <w:r>
              <w:rPr>
                <w:b w:val="0"/>
                <w:i w:val="0"/>
                <w:sz w:val="15"/>
              </w:rPr>
              <w:t>—</w:t>
            </w:r>
          </w:p>
        </w:tc>
        <w:tc>
          <w:tcPr>
            <w:tcW w:type="dxa" w:w="2304"/>
          </w:tcPr>
          <w:p>
            <w:pPr>
              <w:spacing w:after="20"/>
            </w:pPr>
            <w:r/>
            <w:r>
              <w:rPr>
                <w:b w:val="0"/>
                <w:i w:val="0"/>
                <w:sz w:val="15"/>
              </w:rPr>
              <w:t>TBD</w:t>
            </w:r>
          </w:p>
        </w:tc>
        <w:tc>
          <w:tcPr>
            <w:tcW w:type="dxa" w:w="4752"/>
          </w:tcPr>
          <w:p>
            <w:pPr>
              <w:spacing w:after="20"/>
            </w:pPr>
            <w:r/>
            <w:r>
              <w:rPr>
                <w:b w:val="0"/>
                <w:i w:val="0"/>
                <w:sz w:val="15"/>
              </w:rPr>
              <w:t>Fee Letter fees and lender expenses (CL §§ 3.1(n), 6); OID if flexed (up to 2.00% = up to $5,000,000 on the Term Loan); any Professional success fees beyond escrow; transfer/warrant agent and closing costs.</w:t>
            </w:r>
          </w:p>
        </w:tc>
      </w:tr>
    </w:tbl>
    <w:p>
      <w:pPr>
        <w:spacing w:after="40"/>
      </w:pPr>
    </w:p>
    <w:p>
      <w:pPr>
        <w:spacing w:after="80"/>
      </w:pPr>
      <w:r>
        <w:rPr>
          <w:b w:val="0"/>
          <w:i w:val="0"/>
          <w:sz w:val="18"/>
        </w:rPr>
        <w:t>Sources (Plan § 5.10; CO ¶ 38; CL §§ 2.1–2.2): cash on hand; Exit Term Loan proceeds (subject to the take-back vs. new-money question in Section 4.2); Exit ABL availability (borrowing base 85% eligible A/R + 65% eligible inventory, less reserves). The funds flow memorandum should tie each use to a source and identify any ABL draw needed on Day 1, since a Day-1 draw depends on the borrowing base certificate and the unresolved foreign receivables eligibility point.</w:t>
      </w:r>
    </w:p>
    <w:p>
      <w:pPr>
        <w:pStyle w:val="Heading1"/>
      </w:pPr>
      <w:r>
        <w:rPr>
          <w:color w:val="1F3864"/>
        </w:rPr>
        <w:t>8. Waiver and Consent Matrix</w:t>
      </w:r>
    </w:p>
    <w:tbl>
      <w:tblPr>
        <w:tblStyle w:val="TableGrid"/>
        <w:tblW w:type="auto" w:w="0"/>
        <w:jc w:val="center"/>
        <w:tblLayout w:type="fixed"/>
        <w:tblLook w:firstColumn="1" w:firstRow="1" w:lastColumn="0" w:lastRow="0" w:noHBand="0" w:noVBand="1" w:val="04A0"/>
      </w:tblPr>
      <w:tblGrid>
        <w:gridCol w:w="2160"/>
        <w:gridCol w:w="2880"/>
        <w:gridCol w:w="2736"/>
        <w:gridCol w:w="3024"/>
        <w:gridCol w:w="3168"/>
      </w:tblGrid>
      <w:tr>
        <w:trPr>
          <w:tblHeader w:val="true"/>
        </w:trPr>
        <w:tc>
          <w:tcPr>
            <w:tcW w:type="dxa" w:w="2160"/>
            <w:shd w:val="clear" w:color="auto" w:fill="1F3864"/>
          </w:tcPr>
          <w:p>
            <w:r/>
            <w:r>
              <w:rPr>
                <w:b/>
                <w:color w:val="FFFFFF"/>
                <w:sz w:val="15"/>
              </w:rPr>
              <w:t>Matter</w:t>
            </w:r>
          </w:p>
        </w:tc>
        <w:tc>
          <w:tcPr>
            <w:tcW w:type="dxa" w:w="2880"/>
            <w:shd w:val="clear" w:color="auto" w:fill="1F3864"/>
          </w:tcPr>
          <w:p>
            <w:r/>
            <w:r>
              <w:rPr>
                <w:b/>
                <w:color w:val="FFFFFF"/>
                <w:sz w:val="15"/>
              </w:rPr>
              <w:t>Plan</w:t>
            </w:r>
          </w:p>
        </w:tc>
        <w:tc>
          <w:tcPr>
            <w:tcW w:type="dxa" w:w="2736"/>
            <w:shd w:val="clear" w:color="auto" w:fill="1F3864"/>
          </w:tcPr>
          <w:p>
            <w:r/>
            <w:r>
              <w:rPr>
                <w:b/>
                <w:color w:val="FFFFFF"/>
                <w:sz w:val="15"/>
              </w:rPr>
              <w:t>Confirmation Order</w:t>
            </w:r>
          </w:p>
        </w:tc>
        <w:tc>
          <w:tcPr>
            <w:tcW w:type="dxa" w:w="3024"/>
            <w:shd w:val="clear" w:color="auto" w:fill="1F3864"/>
          </w:tcPr>
          <w:p>
            <w:r/>
            <w:r>
              <w:rPr>
                <w:b/>
                <w:color w:val="FFFFFF"/>
                <w:sz w:val="15"/>
              </w:rPr>
              <w:t>Commitment Letter overlay</w:t>
            </w:r>
          </w:p>
        </w:tc>
        <w:tc>
          <w:tcPr>
            <w:tcW w:type="dxa" w:w="3168"/>
            <w:shd w:val="clear" w:color="auto" w:fill="1F3864"/>
          </w:tcPr>
          <w:p>
            <w:r/>
            <w:r>
              <w:rPr>
                <w:b/>
                <w:color w:val="FFFFFF"/>
                <w:sz w:val="15"/>
              </w:rPr>
              <w:t>Recommended approach</w:t>
            </w:r>
          </w:p>
        </w:tc>
      </w:tr>
      <w:tr>
        <w:tc>
          <w:tcPr>
            <w:tcW w:type="dxa" w:w="2160"/>
          </w:tcPr>
          <w:p>
            <w:pPr>
              <w:spacing w:after="20"/>
            </w:pPr>
            <w:r/>
            <w:r>
              <w:rPr>
                <w:b w:val="0"/>
                <w:i w:val="0"/>
                <w:sz w:val="15"/>
              </w:rPr>
              <w:t>§ 9.01(a) Final Order</w:t>
            </w:r>
          </w:p>
        </w:tc>
        <w:tc>
          <w:tcPr>
            <w:tcW w:type="dxa" w:w="2880"/>
          </w:tcPr>
          <w:p>
            <w:pPr>
              <w:spacing w:after="20"/>
            </w:pPr>
            <w:r/>
            <w:r>
              <w:rPr>
                <w:b w:val="0"/>
                <w:i w:val="0"/>
                <w:sz w:val="15"/>
              </w:rPr>
              <w:t>Not waivable (§ 9.02)</w:t>
            </w:r>
          </w:p>
        </w:tc>
        <w:tc>
          <w:tcPr>
            <w:tcW w:type="dxa" w:w="2736"/>
          </w:tcPr>
          <w:p>
            <w:pPr>
              <w:spacing w:after="20"/>
            </w:pPr>
            <w:r/>
            <w:r>
              <w:rPr>
                <w:b w:val="0"/>
                <w:i w:val="0"/>
                <w:sz w:val="15"/>
              </w:rPr>
              <w:t>Not waivable (¶¶ 34, 75)</w:t>
            </w:r>
          </w:p>
        </w:tc>
        <w:tc>
          <w:tcPr>
            <w:tcW w:type="dxa" w:w="3024"/>
          </w:tcPr>
          <w:p>
            <w:pPr>
              <w:spacing w:after="20"/>
            </w:pPr>
            <w:r/>
            <w:r>
              <w:rPr>
                <w:b w:val="0"/>
                <w:i w:val="0"/>
                <w:sz w:val="15"/>
              </w:rPr>
              <w:t>CL § 3.1(a) lender CP (Final Order or at minimum not stayed / no material appeal)</w:t>
            </w:r>
          </w:p>
        </w:tc>
        <w:tc>
          <w:tcPr>
            <w:tcW w:type="dxa" w:w="3168"/>
          </w:tcPr>
          <w:p>
            <w:pPr>
              <w:spacing w:after="20"/>
            </w:pPr>
            <w:r/>
            <w:r>
              <w:rPr>
                <w:b w:val="0"/>
                <w:i w:val="0"/>
                <w:sz w:val="15"/>
              </w:rPr>
              <w:t>Satisfy; no waiver possible</w:t>
            </w:r>
          </w:p>
        </w:tc>
      </w:tr>
      <w:tr>
        <w:tc>
          <w:tcPr>
            <w:tcW w:type="dxa" w:w="2160"/>
          </w:tcPr>
          <w:p>
            <w:pPr>
              <w:spacing w:after="20"/>
            </w:pPr>
            <w:r/>
            <w:r>
              <w:rPr>
                <w:b w:val="0"/>
                <w:i w:val="0"/>
                <w:sz w:val="15"/>
              </w:rPr>
              <w:t>§ 9.01(b) Exit Facility</w:t>
            </w:r>
          </w:p>
        </w:tc>
        <w:tc>
          <w:tcPr>
            <w:tcW w:type="dxa" w:w="2880"/>
          </w:tcPr>
          <w:p>
            <w:pPr>
              <w:spacing w:after="20"/>
            </w:pPr>
            <w:r/>
            <w:r>
              <w:rPr>
                <w:b w:val="0"/>
                <w:i w:val="0"/>
                <w:sz w:val="15"/>
              </w:rPr>
              <w:t>Not waivable (§ 9.02)</w:t>
            </w:r>
          </w:p>
        </w:tc>
        <w:tc>
          <w:tcPr>
            <w:tcW w:type="dxa" w:w="2736"/>
          </w:tcPr>
          <w:p>
            <w:pPr>
              <w:spacing w:after="20"/>
            </w:pPr>
            <w:r/>
            <w:r>
              <w:rPr>
                <w:b w:val="0"/>
                <w:i w:val="0"/>
                <w:sz w:val="15"/>
              </w:rPr>
              <w:t>¶ 34 names only (a); CO controls on conflict (¶ 30)</w:t>
            </w:r>
          </w:p>
        </w:tc>
        <w:tc>
          <w:tcPr>
            <w:tcW w:type="dxa" w:w="3024"/>
          </w:tcPr>
          <w:p>
            <w:pPr>
              <w:spacing w:after="20"/>
            </w:pPr>
            <w:r/>
            <w:r>
              <w:rPr>
                <w:b w:val="0"/>
                <w:i w:val="0"/>
                <w:sz w:val="15"/>
              </w:rPr>
              <w:t>Each Commitment Party may waive its own CPs in sole discretion (CL § 3.1)</w:t>
            </w:r>
          </w:p>
        </w:tc>
        <w:tc>
          <w:tcPr>
            <w:tcW w:type="dxa" w:w="3168"/>
          </w:tcPr>
          <w:p>
            <w:pPr>
              <w:spacing w:after="20"/>
            </w:pPr>
            <w:r/>
            <w:r>
              <w:rPr>
                <w:b w:val="0"/>
                <w:i w:val="0"/>
                <w:sz w:val="15"/>
              </w:rPr>
              <w:t>Treat as non-waivable; use lender-level waivers/amendments (in writing, CL § 14.4) for timing CPs</w:t>
            </w:r>
          </w:p>
        </w:tc>
      </w:tr>
      <w:tr>
        <w:tc>
          <w:tcPr>
            <w:tcW w:type="dxa" w:w="2160"/>
          </w:tcPr>
          <w:p>
            <w:pPr>
              <w:spacing w:after="20"/>
            </w:pPr>
            <w:r/>
            <w:r>
              <w:rPr>
                <w:b w:val="0"/>
                <w:i w:val="0"/>
                <w:sz w:val="15"/>
              </w:rPr>
              <w:t>§ 9.01(c) Prof. Fee Escrow</w:t>
            </w:r>
          </w:p>
        </w:tc>
        <w:tc>
          <w:tcPr>
            <w:tcW w:type="dxa" w:w="2880"/>
          </w:tcPr>
          <w:p>
            <w:pPr>
              <w:spacing w:after="20"/>
            </w:pPr>
            <w:r/>
            <w:r>
              <w:rPr>
                <w:b w:val="0"/>
                <w:i w:val="0"/>
                <w:sz w:val="15"/>
              </w:rPr>
              <w:t>Not waivable (§ 9.02)</w:t>
            </w:r>
          </w:p>
        </w:tc>
        <w:tc>
          <w:tcPr>
            <w:tcW w:type="dxa" w:w="2736"/>
          </w:tcPr>
          <w:p>
            <w:pPr>
              <w:spacing w:after="20"/>
            </w:pPr>
            <w:r/>
            <w:r>
              <w:rPr>
                <w:b w:val="0"/>
                <w:i w:val="0"/>
                <w:sz w:val="15"/>
              </w:rPr>
              <w:t>Same as above</w:t>
            </w:r>
          </w:p>
        </w:tc>
        <w:tc>
          <w:tcPr>
            <w:tcW w:type="dxa" w:w="3024"/>
          </w:tcPr>
          <w:p>
            <w:pPr>
              <w:spacing w:after="20"/>
            </w:pPr>
            <w:r/>
            <w:r>
              <w:rPr>
                <w:b w:val="0"/>
                <w:i w:val="0"/>
                <w:sz w:val="15"/>
              </w:rPr>
              <w:t>—</w:t>
            </w:r>
          </w:p>
        </w:tc>
        <w:tc>
          <w:tcPr>
            <w:tcW w:type="dxa" w:w="3168"/>
          </w:tcPr>
          <w:p>
            <w:pPr>
              <w:spacing w:after="20"/>
            </w:pPr>
            <w:r/>
            <w:r>
              <w:rPr>
                <w:b w:val="0"/>
                <w:i w:val="0"/>
                <w:sz w:val="15"/>
              </w:rPr>
              <w:t>Treat as non-waivable</w:t>
            </w:r>
          </w:p>
        </w:tc>
      </w:tr>
      <w:tr>
        <w:tc>
          <w:tcPr>
            <w:tcW w:type="dxa" w:w="2160"/>
          </w:tcPr>
          <w:p>
            <w:pPr>
              <w:spacing w:after="20"/>
            </w:pPr>
            <w:r/>
            <w:r>
              <w:rPr>
                <w:b w:val="0"/>
                <w:i w:val="0"/>
                <w:sz w:val="15"/>
              </w:rPr>
              <w:t>§ 9.01(d)–(m)</w:t>
            </w:r>
          </w:p>
        </w:tc>
        <w:tc>
          <w:tcPr>
            <w:tcW w:type="dxa" w:w="2880"/>
          </w:tcPr>
          <w:p>
            <w:pPr>
              <w:spacing w:after="20"/>
            </w:pPr>
            <w:r/>
            <w:r>
              <w:rPr>
                <w:b w:val="0"/>
                <w:i w:val="0"/>
                <w:sz w:val="15"/>
              </w:rPr>
              <w:t xml:space="preserve">Waivable by Debtor with </w:t>
            </w:r>
            <w:r>
              <w:rPr>
                <w:b/>
                <w:i w:val="0"/>
                <w:sz w:val="15"/>
              </w:rPr>
              <w:t>prior written consent of RCFLL</w:t>
            </w:r>
            <w:r>
              <w:rPr>
                <w:b w:val="0"/>
                <w:i w:val="0"/>
                <w:sz w:val="15"/>
              </w:rPr>
              <w:t>, without notice or Court order; waiver of one is not waiver of another; rescindable by Debtor before ED</w:t>
            </w:r>
          </w:p>
        </w:tc>
        <w:tc>
          <w:tcPr>
            <w:tcW w:type="dxa" w:w="2736"/>
          </w:tcPr>
          <w:p>
            <w:pPr>
              <w:spacing w:after="20"/>
            </w:pPr>
            <w:r/>
            <w:r>
              <w:rPr>
                <w:b w:val="0"/>
                <w:i w:val="0"/>
                <w:sz w:val="15"/>
              </w:rPr>
              <w:t>¶ 34 consistent</w:t>
            </w:r>
          </w:p>
        </w:tc>
        <w:tc>
          <w:tcPr>
            <w:tcW w:type="dxa" w:w="3024"/>
          </w:tcPr>
          <w:p>
            <w:pPr>
              <w:spacing w:after="20"/>
            </w:pPr>
            <w:r/>
            <w:r>
              <w:rPr>
                <w:b w:val="0"/>
                <w:i w:val="0"/>
                <w:sz w:val="15"/>
              </w:rPr>
              <w:t>Several overlap lender CPs (org docs § 3.1(e); board § 3.1(f); regulatory § 3.1(i); insurance § 3.1(k); MAE § 3.1(c)) — lender waiver also needed</w:t>
            </w:r>
          </w:p>
        </w:tc>
        <w:tc>
          <w:tcPr>
            <w:tcW w:type="dxa" w:w="3168"/>
          </w:tcPr>
          <w:p>
            <w:pPr>
              <w:spacing w:after="20"/>
            </w:pPr>
            <w:r/>
            <w:r>
              <w:rPr>
                <w:b w:val="0"/>
                <w:i w:val="0"/>
                <w:sz w:val="15"/>
              </w:rPr>
              <w:t>Written waiver letters signed by holders constituting RCFLL (≥ 66⅔% of Consenting First Lien Lender holdings; verify against PSA signature pages); copy Commitment Parties</w:t>
            </w:r>
          </w:p>
        </w:tc>
      </w:tr>
      <w:tr>
        <w:tc>
          <w:tcPr>
            <w:tcW w:type="dxa" w:w="2160"/>
          </w:tcPr>
          <w:p>
            <w:pPr>
              <w:spacing w:after="20"/>
            </w:pPr>
            <w:r/>
            <w:r>
              <w:rPr>
                <w:b w:val="0"/>
                <w:i w:val="0"/>
                <w:sz w:val="15"/>
              </w:rPr>
              <w:t>CO-only conditions (CO ¶ 33(e), (m), (n), (o))</w:t>
            </w:r>
          </w:p>
        </w:tc>
        <w:tc>
          <w:tcPr>
            <w:tcW w:type="dxa" w:w="2880"/>
          </w:tcPr>
          <w:p>
            <w:pPr>
              <w:spacing w:after="20"/>
            </w:pPr>
            <w:r/>
            <w:r>
              <w:rPr>
                <w:b w:val="0"/>
                <w:i w:val="0"/>
                <w:sz w:val="15"/>
              </w:rPr>
              <w:t>—</w:t>
            </w:r>
          </w:p>
        </w:tc>
        <w:tc>
          <w:tcPr>
            <w:tcW w:type="dxa" w:w="2736"/>
          </w:tcPr>
          <w:p>
            <w:pPr>
              <w:spacing w:after="20"/>
            </w:pPr>
            <w:r/>
            <w:r>
              <w:rPr>
                <w:b w:val="0"/>
                <w:i w:val="0"/>
                <w:sz w:val="15"/>
              </w:rPr>
              <w:t>No express waiver mechanism (¶ 34 refers to § 9.01 conditions)</w:t>
            </w:r>
          </w:p>
        </w:tc>
        <w:tc>
          <w:tcPr>
            <w:tcW w:type="dxa" w:w="3024"/>
          </w:tcPr>
          <w:p>
            <w:pPr>
              <w:spacing w:after="20"/>
            </w:pPr>
            <w:r/>
            <w:r>
              <w:rPr>
                <w:b w:val="0"/>
                <w:i w:val="0"/>
                <w:sz w:val="15"/>
              </w:rPr>
              <w:t>—</w:t>
            </w:r>
          </w:p>
        </w:tc>
        <w:tc>
          <w:tcPr>
            <w:tcW w:type="dxa" w:w="3168"/>
          </w:tcPr>
          <w:p>
            <w:pPr>
              <w:spacing w:after="20"/>
            </w:pPr>
            <w:r/>
            <w:r>
              <w:rPr>
                <w:b w:val="0"/>
                <w:i w:val="0"/>
                <w:sz w:val="15"/>
              </w:rPr>
              <w:t>Treat as non-waivable absent further Court order</w:t>
            </w:r>
          </w:p>
        </w:tc>
      </w:tr>
      <w:tr>
        <w:tc>
          <w:tcPr>
            <w:tcW w:type="dxa" w:w="2160"/>
          </w:tcPr>
          <w:p>
            <w:pPr>
              <w:spacing w:after="20"/>
            </w:pPr>
            <w:r/>
            <w:r>
              <w:rPr>
                <w:b w:val="0"/>
                <w:i w:val="0"/>
                <w:sz w:val="15"/>
              </w:rPr>
              <w:t>Effective Date designation</w:t>
            </w:r>
          </w:p>
        </w:tc>
        <w:tc>
          <w:tcPr>
            <w:tcW w:type="dxa" w:w="2880"/>
          </w:tcPr>
          <w:p>
            <w:pPr>
              <w:spacing w:after="20"/>
            </w:pPr>
            <w:r/>
            <w:r>
              <w:rPr>
                <w:b w:val="0"/>
                <w:i w:val="0"/>
                <w:sz w:val="15"/>
              </w:rPr>
              <w:t>First Business Day after conditions satisfied/waived (§ 1.01)</w:t>
            </w:r>
          </w:p>
        </w:tc>
        <w:tc>
          <w:tcPr>
            <w:tcW w:type="dxa" w:w="2736"/>
          </w:tcPr>
          <w:p>
            <w:pPr>
              <w:spacing w:after="20"/>
            </w:pPr>
            <w:r/>
            <w:r>
              <w:rPr>
                <w:b w:val="0"/>
                <w:i w:val="0"/>
                <w:sz w:val="15"/>
              </w:rPr>
              <w:t>Same, “or on such other date as may be determined by the Debtor, with the written consent of the [RCFLL]” (¶ 31)</w:t>
            </w:r>
          </w:p>
        </w:tc>
        <w:tc>
          <w:tcPr>
            <w:tcW w:type="dxa" w:w="3024"/>
          </w:tcPr>
          <w:p>
            <w:pPr>
              <w:spacing w:after="20"/>
            </w:pPr>
            <w:r/>
            <w:r>
              <w:rPr>
                <w:b w:val="0"/>
                <w:i w:val="0"/>
                <w:sz w:val="15"/>
              </w:rPr>
              <w:t>Closing Date = ED (CL § 7)</w:t>
            </w:r>
          </w:p>
        </w:tc>
        <w:tc>
          <w:tcPr>
            <w:tcW w:type="dxa" w:w="3168"/>
          </w:tcPr>
          <w:p>
            <w:pPr>
              <w:spacing w:after="20"/>
            </w:pPr>
            <w:r/>
            <w:r>
              <w:rPr>
                <w:b w:val="0"/>
                <w:i w:val="0"/>
                <w:sz w:val="15"/>
              </w:rPr>
              <w:t>Obtain RCFLL written consent designating Feb. 18 (or fallback date) as ED for a simultaneous closing</w:t>
            </w:r>
          </w:p>
        </w:tc>
      </w:tr>
      <w:tr>
        <w:tc>
          <w:tcPr>
            <w:tcW w:type="dxa" w:w="2160"/>
          </w:tcPr>
          <w:p>
            <w:pPr>
              <w:spacing w:after="20"/>
            </w:pPr>
            <w:r/>
            <w:r>
              <w:rPr>
                <w:b w:val="0"/>
                <w:i w:val="0"/>
                <w:sz w:val="15"/>
              </w:rPr>
              <w:t>Outside Date extension</w:t>
            </w:r>
          </w:p>
        </w:tc>
        <w:tc>
          <w:tcPr>
            <w:tcW w:type="dxa" w:w="2880"/>
          </w:tcPr>
          <w:p>
            <w:pPr>
              <w:spacing w:after="20"/>
            </w:pPr>
            <w:r/>
            <w:r>
              <w:rPr>
                <w:b w:val="0"/>
                <w:i w:val="0"/>
                <w:sz w:val="15"/>
              </w:rPr>
              <w:t>By agreement of Debtor and RCFLL (§ 1.01 definition)</w:t>
            </w:r>
          </w:p>
        </w:tc>
        <w:tc>
          <w:tcPr>
            <w:tcW w:type="dxa" w:w="2736"/>
          </w:tcPr>
          <w:p>
            <w:pPr>
              <w:spacing w:after="20"/>
            </w:pPr>
            <w:r/>
            <w:r>
              <w:rPr>
                <w:b w:val="0"/>
                <w:i w:val="0"/>
                <w:sz w:val="15"/>
              </w:rPr>
              <w:t xml:space="preserve">Only </w:t>
            </w:r>
            <w:r>
              <w:rPr>
                <w:b/>
                <w:i w:val="0"/>
                <w:sz w:val="15"/>
              </w:rPr>
              <w:t>by Court order</w:t>
            </w:r>
            <w:r>
              <w:rPr>
                <w:b w:val="0"/>
                <w:i w:val="0"/>
                <w:sz w:val="15"/>
              </w:rPr>
              <w:t xml:space="preserve"> on Debtor motion with RCFLL consent (¶ 32) — controls</w:t>
            </w:r>
          </w:p>
        </w:tc>
        <w:tc>
          <w:tcPr>
            <w:tcW w:type="dxa" w:w="3024"/>
          </w:tcPr>
          <w:p>
            <w:pPr>
              <w:spacing w:after="20"/>
            </w:pPr>
            <w:r/>
            <w:r>
              <w:rPr>
                <w:b w:val="0"/>
                <w:i w:val="0"/>
                <w:sz w:val="15"/>
              </w:rPr>
              <w:t>Commitments terminate Apr. 17 regardless (§ 10.1(b)); amendment needs both Commitment Parties and Borrower (§ 14.4)</w:t>
            </w:r>
          </w:p>
        </w:tc>
        <w:tc>
          <w:tcPr>
            <w:tcW w:type="dxa" w:w="3168"/>
          </w:tcPr>
          <w:p>
            <w:pPr>
              <w:spacing w:after="20"/>
            </w:pPr>
            <w:r/>
            <w:r>
              <w:rPr>
                <w:b w:val="0"/>
                <w:i w:val="0"/>
                <w:sz w:val="15"/>
              </w:rPr>
              <w:t>If slip beyond ~Mar. 31 is foreseeable, file extension motion and negotiate CL amendment in parallel</w:t>
            </w:r>
          </w:p>
        </w:tc>
      </w:tr>
      <w:tr>
        <w:tc>
          <w:tcPr>
            <w:tcW w:type="dxa" w:w="2160"/>
          </w:tcPr>
          <w:p>
            <w:pPr>
              <w:spacing w:after="20"/>
            </w:pPr>
            <w:r/>
            <w:r>
              <w:rPr>
                <w:b w:val="0"/>
                <w:i w:val="0"/>
                <w:sz w:val="15"/>
              </w:rPr>
              <w:t>Post-confirmation Plan modification</w:t>
            </w:r>
          </w:p>
        </w:tc>
        <w:tc>
          <w:tcPr>
            <w:tcW w:type="dxa" w:w="2880"/>
          </w:tcPr>
          <w:p>
            <w:pPr>
              <w:spacing w:after="20"/>
            </w:pPr>
            <w:r/>
            <w:r>
              <w:rPr>
                <w:b w:val="0"/>
                <w:i w:val="0"/>
                <w:sz w:val="15"/>
              </w:rPr>
              <w:t>Debtor/Reorganized Oakvale with RCFLL written consent; not materially adverse to any Class; § 1127(b) (§ 13.02)</w:t>
            </w:r>
          </w:p>
        </w:tc>
        <w:tc>
          <w:tcPr>
            <w:tcW w:type="dxa" w:w="2736"/>
          </w:tcPr>
          <w:p>
            <w:pPr>
              <w:spacing w:after="20"/>
            </w:pPr>
            <w:r/>
            <w:r>
              <w:rPr>
                <w:b w:val="0"/>
                <w:i w:val="0"/>
                <w:sz w:val="15"/>
              </w:rPr>
              <w:t>Court retains jurisdiction (¶ 72(g))</w:t>
            </w:r>
          </w:p>
        </w:tc>
        <w:tc>
          <w:tcPr>
            <w:tcW w:type="dxa" w:w="3024"/>
          </w:tcPr>
          <w:p>
            <w:pPr>
              <w:spacing w:after="20"/>
            </w:pPr>
            <w:r/>
            <w:r>
              <w:rPr>
                <w:b w:val="0"/>
                <w:i w:val="0"/>
                <w:sz w:val="15"/>
              </w:rPr>
              <w:t>No amendment materially adverse to Commitment Parties without consent (CL §§ 3.1(b), 9(c), 10.2(c))</w:t>
            </w:r>
          </w:p>
        </w:tc>
        <w:tc>
          <w:tcPr>
            <w:tcW w:type="dxa" w:w="3168"/>
          </w:tcPr>
          <w:p>
            <w:pPr>
              <w:spacing w:after="20"/>
            </w:pPr>
            <w:r/>
            <w:r>
              <w:rPr>
                <w:b w:val="0"/>
                <w:i w:val="0"/>
                <w:sz w:val="15"/>
              </w:rPr>
              <w:t>Avoid; use Plan Supplement amendments and conforming notices where possible</w:t>
            </w:r>
          </w:p>
        </w:tc>
      </w:tr>
    </w:tbl>
    <w:p>
      <w:pPr>
        <w:spacing w:after="40"/>
      </w:pPr>
    </w:p>
    <w:p>
      <w:pPr>
        <w:pStyle w:val="Heading1"/>
      </w:pPr>
      <w:r>
        <w:rPr>
          <w:color w:val="1F3864"/>
        </w:rPr>
        <w:t>9. Document Inconsistencies and Clean-Up Log</w:t>
      </w:r>
    </w:p>
    <w:p>
      <w:pPr>
        <w:spacing w:after="80"/>
      </w:pPr>
      <w:r>
        <w:rPr>
          <w:b w:val="0"/>
          <w:i w:val="0"/>
          <w:sz w:val="18"/>
        </w:rPr>
        <w:t>Inconsistencies among the operative documents that bear on the Effective Date. Priority: H = must be fixed before closing; M = fix in closing documents or ED notice; L = record-keeping.</w:t>
      </w:r>
    </w:p>
    <w:tbl>
      <w:tblPr>
        <w:tblStyle w:val="TableGrid"/>
        <w:tblW w:type="auto" w:w="0"/>
        <w:jc w:val="center"/>
        <w:tblLayout w:type="fixed"/>
        <w:tblLook w:firstColumn="1" w:firstRow="1" w:lastColumn="0" w:lastRow="0" w:noHBand="0" w:noVBand="1" w:val="04A0"/>
      </w:tblPr>
      <w:tblGrid>
        <w:gridCol w:w="432"/>
        <w:gridCol w:w="3744"/>
        <w:gridCol w:w="2160"/>
        <w:gridCol w:w="2880"/>
        <w:gridCol w:w="3456"/>
        <w:gridCol w:w="576"/>
      </w:tblGrid>
      <w:tr>
        <w:trPr>
          <w:tblHeader w:val="true"/>
        </w:trPr>
        <w:tc>
          <w:tcPr>
            <w:tcW w:type="dxa" w:w="432"/>
            <w:shd w:val="clear" w:color="auto" w:fill="1F3864"/>
          </w:tcPr>
          <w:p>
            <w:r/>
            <w:r>
              <w:rPr>
                <w:b/>
                <w:color w:val="FFFFFF"/>
                <w:sz w:val="14"/>
              </w:rPr>
              <w:t>#</w:t>
            </w:r>
          </w:p>
        </w:tc>
        <w:tc>
          <w:tcPr>
            <w:tcW w:type="dxa" w:w="3744"/>
            <w:shd w:val="clear" w:color="auto" w:fill="1F3864"/>
          </w:tcPr>
          <w:p>
            <w:r/>
            <w:r>
              <w:rPr>
                <w:b/>
                <w:color w:val="FFFFFF"/>
                <w:sz w:val="14"/>
              </w:rPr>
              <w:t>Issue</w:t>
            </w:r>
          </w:p>
        </w:tc>
        <w:tc>
          <w:tcPr>
            <w:tcW w:type="dxa" w:w="2160"/>
            <w:shd w:val="clear" w:color="auto" w:fill="1F3864"/>
          </w:tcPr>
          <w:p>
            <w:r/>
            <w:r>
              <w:rPr>
                <w:b/>
                <w:color w:val="FFFFFF"/>
                <w:sz w:val="14"/>
              </w:rPr>
              <w:t>Where</w:t>
            </w:r>
          </w:p>
        </w:tc>
        <w:tc>
          <w:tcPr>
            <w:tcW w:type="dxa" w:w="2880"/>
            <w:shd w:val="clear" w:color="auto" w:fill="1F3864"/>
          </w:tcPr>
          <w:p>
            <w:r/>
            <w:r>
              <w:rPr>
                <w:b/>
                <w:color w:val="FFFFFF"/>
                <w:sz w:val="14"/>
              </w:rPr>
              <w:t>Why it matters</w:t>
            </w:r>
          </w:p>
        </w:tc>
        <w:tc>
          <w:tcPr>
            <w:tcW w:type="dxa" w:w="3456"/>
            <w:shd w:val="clear" w:color="auto" w:fill="1F3864"/>
          </w:tcPr>
          <w:p>
            <w:r/>
            <w:r>
              <w:rPr>
                <w:b/>
                <w:color w:val="FFFFFF"/>
                <w:sz w:val="14"/>
              </w:rPr>
              <w:t>Recommended fix</w:t>
            </w:r>
          </w:p>
        </w:tc>
        <w:tc>
          <w:tcPr>
            <w:tcW w:type="dxa" w:w="576"/>
            <w:shd w:val="clear" w:color="auto" w:fill="1F3864"/>
          </w:tcPr>
          <w:p>
            <w:r/>
            <w:r>
              <w:rPr>
                <w:b/>
                <w:color w:val="FFFFFF"/>
                <w:sz w:val="14"/>
              </w:rPr>
              <w:t>Pri.</w:t>
            </w:r>
          </w:p>
        </w:tc>
      </w:tr>
      <w:tr>
        <w:tc>
          <w:tcPr>
            <w:tcW w:type="dxa" w:w="432"/>
          </w:tcPr>
          <w:p>
            <w:pPr>
              <w:spacing w:after="20"/>
            </w:pPr>
            <w:r/>
            <w:r>
              <w:rPr>
                <w:b w:val="0"/>
                <w:i w:val="0"/>
                <w:sz w:val="14"/>
              </w:rPr>
              <w:t>1</w:t>
            </w:r>
          </w:p>
        </w:tc>
        <w:tc>
          <w:tcPr>
            <w:tcW w:type="dxa" w:w="3744"/>
          </w:tcPr>
          <w:p>
            <w:pPr>
              <w:spacing w:after="20"/>
            </w:pPr>
            <w:r/>
            <w:r>
              <w:rPr>
                <w:b w:val="0"/>
                <w:i w:val="0"/>
                <w:sz w:val="14"/>
              </w:rPr>
              <w:t>Debtor’s name: “Ridgemont Industrial Holdings, Inc.” in captions/signature blocks vs. “Oakvale Industrial Holdings, Inc.” in text (same EIN); Plan Art. VI heading “Reorganized Ridgemont”; CFO e-mail domain ridgemontindustrial.com; Kepler contract no. RIH-EQ-2021-0047</w:t>
            </w:r>
          </w:p>
        </w:tc>
        <w:tc>
          <w:tcPr>
            <w:tcW w:type="dxa" w:w="2160"/>
          </w:tcPr>
          <w:p>
            <w:pPr>
              <w:spacing w:after="20"/>
            </w:pPr>
            <w:r/>
            <w:r>
              <w:rPr>
                <w:b w:val="0"/>
                <w:i w:val="0"/>
                <w:sz w:val="14"/>
              </w:rPr>
              <w:t>Plan; CO; KERP Order; Status Report; CL signature page; LTA signature pages</w:t>
            </w:r>
          </w:p>
        </w:tc>
        <w:tc>
          <w:tcPr>
            <w:tcW w:type="dxa" w:w="2880"/>
          </w:tcPr>
          <w:p>
            <w:pPr>
              <w:spacing w:after="20"/>
            </w:pPr>
            <w:r/>
            <w:r>
              <w:rPr>
                <w:b w:val="0"/>
                <w:i w:val="0"/>
                <w:sz w:val="14"/>
              </w:rPr>
              <w:t>COI, UCC-1s, credit documents, stock certificates, DTC set-up must carry the exact registered name; UCC-1 name errors can defeat perfection</w:t>
            </w:r>
          </w:p>
        </w:tc>
        <w:tc>
          <w:tcPr>
            <w:tcW w:type="dxa" w:w="3456"/>
          </w:tcPr>
          <w:p>
            <w:pPr>
              <w:spacing w:after="20"/>
            </w:pPr>
            <w:r/>
            <w:r>
              <w:rPr>
                <w:b w:val="0"/>
                <w:i w:val="0"/>
                <w:sz w:val="14"/>
              </w:rPr>
              <w:t>Confirm registered name with DE SOS; conform all closing documents; address in ED notice if needed</w:t>
            </w:r>
          </w:p>
        </w:tc>
        <w:tc>
          <w:tcPr>
            <w:tcW w:type="dxa" w:w="576"/>
          </w:tcPr>
          <w:p>
            <w:pPr>
              <w:spacing w:after="20"/>
            </w:pPr>
            <w:r/>
            <w:r>
              <w:rPr>
                <w:b w:val="0"/>
                <w:i w:val="0"/>
                <w:sz w:val="14"/>
              </w:rPr>
              <w:t>H</w:t>
            </w:r>
          </w:p>
        </w:tc>
      </w:tr>
      <w:tr>
        <w:tc>
          <w:tcPr>
            <w:tcW w:type="dxa" w:w="432"/>
          </w:tcPr>
          <w:p>
            <w:pPr>
              <w:spacing w:after="20"/>
            </w:pPr>
            <w:r/>
            <w:r>
              <w:rPr>
                <w:b w:val="0"/>
                <w:i w:val="0"/>
                <w:sz w:val="14"/>
              </w:rPr>
              <w:t>2</w:t>
            </w:r>
          </w:p>
        </w:tc>
        <w:tc>
          <w:tcPr>
            <w:tcW w:type="dxa" w:w="3744"/>
          </w:tcPr>
          <w:p>
            <w:pPr>
              <w:spacing w:after="20"/>
            </w:pPr>
            <w:r/>
            <w:r>
              <w:rPr>
                <w:b w:val="0"/>
                <w:i w:val="0"/>
                <w:sz w:val="14"/>
              </w:rPr>
              <w:t>Status Report mis-numbers Plan conditions (labels org docs § 9.01(c), board (d), LT (e), escrow/admin (f), regulatory (g), tax (j)); omits § 9.01(e) SHA as a stand-alone condition, § 9.01(l) MAE and § 9.01(m) Plan Supplement; omits CO-only conditions</w:t>
            </w:r>
          </w:p>
        </w:tc>
        <w:tc>
          <w:tcPr>
            <w:tcW w:type="dxa" w:w="2160"/>
          </w:tcPr>
          <w:p>
            <w:pPr>
              <w:spacing w:after="20"/>
            </w:pPr>
            <w:r/>
            <w:r>
              <w:rPr>
                <w:b w:val="0"/>
                <w:i w:val="0"/>
                <w:sz w:val="14"/>
              </w:rPr>
              <w:t>Status Report § III</w:t>
            </w:r>
          </w:p>
        </w:tc>
        <w:tc>
          <w:tcPr>
            <w:tcW w:type="dxa" w:w="2880"/>
          </w:tcPr>
          <w:p>
            <w:pPr>
              <w:spacing w:after="20"/>
            </w:pPr>
            <w:r/>
            <w:r>
              <w:rPr>
                <w:b w:val="0"/>
                <w:i w:val="0"/>
                <w:sz w:val="14"/>
              </w:rPr>
              <w:t>Public record overstates readiness; parties may rely on wrong section references in waivers</w:t>
            </w:r>
          </w:p>
        </w:tc>
        <w:tc>
          <w:tcPr>
            <w:tcW w:type="dxa" w:w="3456"/>
          </w:tcPr>
          <w:p>
            <w:pPr>
              <w:spacing w:after="20"/>
            </w:pPr>
            <w:r/>
            <w:r>
              <w:rPr>
                <w:b w:val="0"/>
                <w:i w:val="0"/>
                <w:sz w:val="14"/>
              </w:rPr>
              <w:t>Use the numbering in this checklist; correct in any supplemental status report</w:t>
            </w:r>
          </w:p>
        </w:tc>
        <w:tc>
          <w:tcPr>
            <w:tcW w:type="dxa" w:w="576"/>
          </w:tcPr>
          <w:p>
            <w:pPr>
              <w:spacing w:after="20"/>
            </w:pPr>
            <w:r/>
            <w:r>
              <w:rPr>
                <w:b w:val="0"/>
                <w:i w:val="0"/>
                <w:sz w:val="14"/>
              </w:rPr>
              <w:t>M</w:t>
            </w:r>
          </w:p>
        </w:tc>
      </w:tr>
      <w:tr>
        <w:tc>
          <w:tcPr>
            <w:tcW w:type="dxa" w:w="432"/>
          </w:tcPr>
          <w:p>
            <w:pPr>
              <w:spacing w:after="20"/>
            </w:pPr>
            <w:r/>
            <w:r>
              <w:rPr>
                <w:b w:val="0"/>
                <w:i w:val="0"/>
                <w:sz w:val="14"/>
              </w:rPr>
              <w:t>3</w:t>
            </w:r>
          </w:p>
        </w:tc>
        <w:tc>
          <w:tcPr>
            <w:tcW w:type="dxa" w:w="3744"/>
          </w:tcPr>
          <w:p>
            <w:pPr>
              <w:spacing w:after="20"/>
            </w:pPr>
            <w:r/>
            <w:r>
              <w:rPr>
                <w:b w:val="0"/>
                <w:i w:val="0"/>
                <w:sz w:val="14"/>
              </w:rPr>
              <w:t>Business-day computations ignore Presidents’ Day (Feb. 17) and MLK Day (Jan. 20): Exit documents “Feb. 13” (should be Feb. 12); board designation deadline Feb. 10; Distribution Record Date Jan. 27 (not ~Jan. 24)</w:t>
            </w:r>
          </w:p>
        </w:tc>
        <w:tc>
          <w:tcPr>
            <w:tcW w:type="dxa" w:w="2160"/>
          </w:tcPr>
          <w:p>
            <w:pPr>
              <w:spacing w:after="20"/>
            </w:pPr>
            <w:r/>
            <w:r>
              <w:rPr>
                <w:b w:val="0"/>
                <w:i w:val="0"/>
                <w:sz w:val="14"/>
              </w:rPr>
              <w:t>CL §§ 3.1(d), 9(d), Exs. B–C; CO ¶ 36; Status Report; e-mails; Plan § 8.01</w:t>
            </w:r>
          </w:p>
        </w:tc>
        <w:tc>
          <w:tcPr>
            <w:tcW w:type="dxa" w:w="2880"/>
          </w:tcPr>
          <w:p>
            <w:pPr>
              <w:spacing w:after="20"/>
            </w:pPr>
            <w:r/>
            <w:r>
              <w:rPr>
                <w:b w:val="0"/>
                <w:i w:val="0"/>
                <w:sz w:val="14"/>
              </w:rPr>
              <w:t>A missed deadline is a failed CP; lenders could rely on the literal computation</w:t>
            </w:r>
          </w:p>
        </w:tc>
        <w:tc>
          <w:tcPr>
            <w:tcW w:type="dxa" w:w="3456"/>
          </w:tcPr>
          <w:p>
            <w:pPr>
              <w:spacing w:after="20"/>
            </w:pPr>
            <w:r/>
            <w:r>
              <w:rPr>
                <w:b w:val="0"/>
                <w:i w:val="0"/>
                <w:sz w:val="14"/>
              </w:rPr>
              <w:t>Written acknowledgment from Commitment Parties; plan to conservative dates</w:t>
            </w:r>
          </w:p>
        </w:tc>
        <w:tc>
          <w:tcPr>
            <w:tcW w:type="dxa" w:w="576"/>
          </w:tcPr>
          <w:p>
            <w:pPr>
              <w:spacing w:after="20"/>
            </w:pPr>
            <w:r/>
            <w:r>
              <w:rPr>
                <w:b w:val="0"/>
                <w:i w:val="0"/>
                <w:sz w:val="14"/>
              </w:rPr>
              <w:t>H</w:t>
            </w:r>
          </w:p>
        </w:tc>
      </w:tr>
      <w:tr>
        <w:tc>
          <w:tcPr>
            <w:tcW w:type="dxa" w:w="432"/>
          </w:tcPr>
          <w:p>
            <w:pPr>
              <w:spacing w:after="20"/>
            </w:pPr>
            <w:r/>
            <w:r>
              <w:rPr>
                <w:b w:val="0"/>
                <w:i w:val="0"/>
                <w:sz w:val="14"/>
              </w:rPr>
              <w:t>4</w:t>
            </w:r>
          </w:p>
        </w:tc>
        <w:tc>
          <w:tcPr>
            <w:tcW w:type="dxa" w:w="3744"/>
          </w:tcPr>
          <w:p>
            <w:pPr>
              <w:spacing w:after="20"/>
            </w:pPr>
            <w:r/>
            <w:r>
              <w:rPr>
                <w:b w:val="0"/>
                <w:i w:val="0"/>
                <w:sz w:val="14"/>
              </w:rPr>
              <w:t>Class numbering differs: Plan (1 Other Priority; 2 First Lien; 3 Second Lien; 4 Other Secured; 5 GUC incl. Senior Notes; 6 Equity) vs. CO (1 First Lien; 2 Second Lien; 3 Senior Notes; 4 Other Priority; 5 GUC; 6 Equity; no Other Secured class) vs. Status Report (adds “Class 5 Convenience Claims”)</w:t>
            </w:r>
          </w:p>
        </w:tc>
        <w:tc>
          <w:tcPr>
            <w:tcW w:type="dxa" w:w="2160"/>
          </w:tcPr>
          <w:p>
            <w:pPr>
              <w:spacing w:after="20"/>
            </w:pPr>
            <w:r/>
            <w:r>
              <w:rPr>
                <w:b w:val="0"/>
                <w:i w:val="0"/>
                <w:sz w:val="14"/>
              </w:rPr>
              <w:t>Plan Art. III–IV; CO ¶¶ 9, 43; Status Report § II</w:t>
            </w:r>
          </w:p>
        </w:tc>
        <w:tc>
          <w:tcPr>
            <w:tcW w:type="dxa" w:w="2880"/>
          </w:tcPr>
          <w:p>
            <w:pPr>
              <w:spacing w:after="20"/>
            </w:pPr>
            <w:r/>
            <w:r>
              <w:rPr>
                <w:b w:val="0"/>
                <w:i w:val="0"/>
                <w:sz w:val="14"/>
              </w:rPr>
              <w:t>Distribution agent, transfer agent and Tax Opinion need a single mapping; CO controls on conflict (¶ 30)</w:t>
            </w:r>
          </w:p>
        </w:tc>
        <w:tc>
          <w:tcPr>
            <w:tcW w:type="dxa" w:w="3456"/>
          </w:tcPr>
          <w:p>
            <w:pPr>
              <w:spacing w:after="20"/>
            </w:pPr>
            <w:r/>
            <w:r>
              <w:rPr>
                <w:b w:val="0"/>
                <w:i w:val="0"/>
                <w:sz w:val="14"/>
              </w:rPr>
              <w:t>Distribution memo mapping CO classes to Plan classes; consider conforming notice; confirm no Other Secured Claims go unpaid</w:t>
            </w:r>
          </w:p>
        </w:tc>
        <w:tc>
          <w:tcPr>
            <w:tcW w:type="dxa" w:w="576"/>
          </w:tcPr>
          <w:p>
            <w:pPr>
              <w:spacing w:after="20"/>
            </w:pPr>
            <w:r/>
            <w:r>
              <w:rPr>
                <w:b w:val="0"/>
                <w:i w:val="0"/>
                <w:sz w:val="14"/>
              </w:rPr>
              <w:t>M</w:t>
            </w:r>
          </w:p>
        </w:tc>
      </w:tr>
      <w:tr>
        <w:tc>
          <w:tcPr>
            <w:tcW w:type="dxa" w:w="432"/>
          </w:tcPr>
          <w:p>
            <w:pPr>
              <w:spacing w:after="20"/>
            </w:pPr>
            <w:r/>
            <w:r>
              <w:rPr>
                <w:b w:val="0"/>
                <w:i w:val="0"/>
                <w:sz w:val="14"/>
              </w:rPr>
              <w:t>5</w:t>
            </w:r>
          </w:p>
        </w:tc>
        <w:tc>
          <w:tcPr>
            <w:tcW w:type="dxa" w:w="3744"/>
          </w:tcPr>
          <w:p>
            <w:pPr>
              <w:spacing w:after="20"/>
            </w:pPr>
            <w:r/>
            <w:r>
              <w:rPr>
                <w:b w:val="0"/>
                <w:i w:val="0"/>
                <w:sz w:val="14"/>
              </w:rPr>
              <w:t>Non-waivable conditions: Plan § 9.02 lists (a), (b), (c); CO ¶ 34 lists only (a)</w:t>
            </w:r>
          </w:p>
        </w:tc>
        <w:tc>
          <w:tcPr>
            <w:tcW w:type="dxa" w:w="2160"/>
          </w:tcPr>
          <w:p>
            <w:pPr>
              <w:spacing w:after="20"/>
            </w:pPr>
            <w:r/>
            <w:r>
              <w:rPr>
                <w:b w:val="0"/>
                <w:i w:val="0"/>
                <w:sz w:val="14"/>
              </w:rPr>
              <w:t>Plan § 9.02; CO ¶ 34</w:t>
            </w:r>
          </w:p>
        </w:tc>
        <w:tc>
          <w:tcPr>
            <w:tcW w:type="dxa" w:w="2880"/>
          </w:tcPr>
          <w:p>
            <w:pPr>
              <w:spacing w:after="20"/>
            </w:pPr>
            <w:r/>
            <w:r>
              <w:rPr>
                <w:b w:val="0"/>
                <w:i w:val="0"/>
                <w:sz w:val="14"/>
              </w:rPr>
              <w:t>Uncertainty over waiver authority</w:t>
            </w:r>
          </w:p>
        </w:tc>
        <w:tc>
          <w:tcPr>
            <w:tcW w:type="dxa" w:w="3456"/>
          </w:tcPr>
          <w:p>
            <w:pPr>
              <w:spacing w:after="20"/>
            </w:pPr>
            <w:r/>
            <w:r>
              <w:rPr>
                <w:b w:val="0"/>
                <w:i w:val="0"/>
                <w:sz w:val="14"/>
              </w:rPr>
              <w:t>Treat (b) and (c) as non-waivable</w:t>
            </w:r>
          </w:p>
        </w:tc>
        <w:tc>
          <w:tcPr>
            <w:tcW w:type="dxa" w:w="576"/>
          </w:tcPr>
          <w:p>
            <w:pPr>
              <w:spacing w:after="20"/>
            </w:pPr>
            <w:r/>
            <w:r>
              <w:rPr>
                <w:b w:val="0"/>
                <w:i w:val="0"/>
                <w:sz w:val="14"/>
              </w:rPr>
              <w:t>M</w:t>
            </w:r>
          </w:p>
        </w:tc>
      </w:tr>
      <w:tr>
        <w:tc>
          <w:tcPr>
            <w:tcW w:type="dxa" w:w="432"/>
          </w:tcPr>
          <w:p>
            <w:pPr>
              <w:spacing w:after="20"/>
            </w:pPr>
            <w:r/>
            <w:r>
              <w:rPr>
                <w:b w:val="0"/>
                <w:i w:val="0"/>
                <w:sz w:val="14"/>
              </w:rPr>
              <w:t>6</w:t>
            </w:r>
          </w:p>
        </w:tc>
        <w:tc>
          <w:tcPr>
            <w:tcW w:type="dxa" w:w="3744"/>
          </w:tcPr>
          <w:p>
            <w:pPr>
              <w:spacing w:after="20"/>
            </w:pPr>
            <w:r/>
            <w:r>
              <w:rPr>
                <w:b w:val="0"/>
                <w:i w:val="0"/>
                <w:sz w:val="14"/>
              </w:rPr>
              <w:t>Outside Date extension: Plan — agreement of Debtor and RCFLL; CO ¶ 32 — Court order on motion</w:t>
            </w:r>
          </w:p>
        </w:tc>
        <w:tc>
          <w:tcPr>
            <w:tcW w:type="dxa" w:w="2160"/>
          </w:tcPr>
          <w:p>
            <w:pPr>
              <w:spacing w:after="20"/>
            </w:pPr>
            <w:r/>
            <w:r>
              <w:rPr>
                <w:b w:val="0"/>
                <w:i w:val="0"/>
                <w:sz w:val="14"/>
              </w:rPr>
              <w:t>Plan § 1.01; CO ¶ 32</w:t>
            </w:r>
          </w:p>
        </w:tc>
        <w:tc>
          <w:tcPr>
            <w:tcW w:type="dxa" w:w="2880"/>
          </w:tcPr>
          <w:p>
            <w:pPr>
              <w:spacing w:after="20"/>
            </w:pPr>
            <w:r/>
            <w:r>
              <w:rPr>
                <w:b w:val="0"/>
                <w:i w:val="0"/>
                <w:sz w:val="14"/>
              </w:rPr>
              <w:t>An agreed extension without an order would be ineffective</w:t>
            </w:r>
          </w:p>
        </w:tc>
        <w:tc>
          <w:tcPr>
            <w:tcW w:type="dxa" w:w="3456"/>
          </w:tcPr>
          <w:p>
            <w:pPr>
              <w:spacing w:after="20"/>
            </w:pPr>
            <w:r/>
            <w:r>
              <w:rPr>
                <w:b w:val="0"/>
                <w:i w:val="0"/>
                <w:sz w:val="14"/>
              </w:rPr>
              <w:t>Calendar motion if needed (Section 10)</w:t>
            </w:r>
          </w:p>
        </w:tc>
        <w:tc>
          <w:tcPr>
            <w:tcW w:type="dxa" w:w="576"/>
          </w:tcPr>
          <w:p>
            <w:pPr>
              <w:spacing w:after="20"/>
            </w:pPr>
            <w:r/>
            <w:r>
              <w:rPr>
                <w:b w:val="0"/>
                <w:i w:val="0"/>
                <w:sz w:val="14"/>
              </w:rPr>
              <w:t>M</w:t>
            </w:r>
          </w:p>
        </w:tc>
      </w:tr>
      <w:tr>
        <w:tc>
          <w:tcPr>
            <w:tcW w:type="dxa" w:w="432"/>
          </w:tcPr>
          <w:p>
            <w:pPr>
              <w:spacing w:after="20"/>
            </w:pPr>
            <w:r/>
            <w:r>
              <w:rPr>
                <w:b w:val="0"/>
                <w:i w:val="0"/>
                <w:sz w:val="14"/>
              </w:rPr>
              <w:t>7</w:t>
            </w:r>
          </w:p>
        </w:tc>
        <w:tc>
          <w:tcPr>
            <w:tcW w:type="dxa" w:w="3744"/>
          </w:tcPr>
          <w:p>
            <w:pPr>
              <w:spacing w:after="20"/>
            </w:pPr>
            <w:r/>
            <w:r>
              <w:rPr>
                <w:b w:val="0"/>
                <w:i w:val="0"/>
                <w:sz w:val="14"/>
              </w:rPr>
              <w:t>Wynn e-mail cites Exit Facility condition as § 9.01(d) (it is § 9.01(b)); refers to a “Joint Plan … et al.” (single-debtor plan); proposes extending the documentation deadline via “flex” (flex does not cover deadlines)</w:t>
            </w:r>
          </w:p>
        </w:tc>
        <w:tc>
          <w:tcPr>
            <w:tcW w:type="dxa" w:w="2160"/>
          </w:tcPr>
          <w:p>
            <w:pPr>
              <w:spacing w:after="20"/>
            </w:pPr>
            <w:r/>
            <w:r>
              <w:rPr>
                <w:b w:val="0"/>
                <w:i w:val="0"/>
                <w:sz w:val="14"/>
              </w:rPr>
              <w:t>Feb. 6 e-mail</w:t>
            </w:r>
          </w:p>
        </w:tc>
        <w:tc>
          <w:tcPr>
            <w:tcW w:type="dxa" w:w="2880"/>
          </w:tcPr>
          <w:p>
            <w:pPr>
              <w:spacing w:after="20"/>
            </w:pPr>
            <w:r/>
            <w:r>
              <w:rPr>
                <w:b w:val="0"/>
                <w:i w:val="0"/>
                <w:sz w:val="14"/>
              </w:rPr>
              <w:t>Mis-citations could carry into waiver/amendment documents</w:t>
            </w:r>
          </w:p>
        </w:tc>
        <w:tc>
          <w:tcPr>
            <w:tcW w:type="dxa" w:w="3456"/>
          </w:tcPr>
          <w:p>
            <w:pPr>
              <w:spacing w:after="20"/>
            </w:pPr>
            <w:r/>
            <w:r>
              <w:rPr>
                <w:b w:val="0"/>
                <w:i w:val="0"/>
                <w:sz w:val="14"/>
              </w:rPr>
              <w:t>Correct in next communication; use CL § 14.4 amendment</w:t>
            </w:r>
          </w:p>
        </w:tc>
        <w:tc>
          <w:tcPr>
            <w:tcW w:type="dxa" w:w="576"/>
          </w:tcPr>
          <w:p>
            <w:pPr>
              <w:spacing w:after="20"/>
            </w:pPr>
            <w:r/>
            <w:r>
              <w:rPr>
                <w:b w:val="0"/>
                <w:i w:val="0"/>
                <w:sz w:val="14"/>
              </w:rPr>
              <w:t>M</w:t>
            </w:r>
          </w:p>
        </w:tc>
      </w:tr>
      <w:tr>
        <w:tc>
          <w:tcPr>
            <w:tcW w:type="dxa" w:w="432"/>
          </w:tcPr>
          <w:p>
            <w:pPr>
              <w:spacing w:after="20"/>
            </w:pPr>
            <w:r/>
            <w:r>
              <w:rPr>
                <w:b w:val="0"/>
                <w:i w:val="0"/>
                <w:sz w:val="14"/>
              </w:rPr>
              <w:t>8</w:t>
            </w:r>
          </w:p>
        </w:tc>
        <w:tc>
          <w:tcPr>
            <w:tcW w:type="dxa" w:w="3744"/>
          </w:tcPr>
          <w:p>
            <w:pPr>
              <w:spacing w:after="20"/>
            </w:pPr>
            <w:r/>
            <w:r>
              <w:rPr>
                <w:b w:val="0"/>
                <w:i w:val="0"/>
                <w:sz w:val="14"/>
              </w:rPr>
              <w:t>Senior Notes described as 8.25% due 2027 (Plan, CL, LTA) vs. 9.50% due 2026 (Status Report); indenture trustee “Fidelitas Trust Company” vs. “Fidelitas Trust Company, N.A.” (LTA)</w:t>
            </w:r>
          </w:p>
        </w:tc>
        <w:tc>
          <w:tcPr>
            <w:tcW w:type="dxa" w:w="2160"/>
          </w:tcPr>
          <w:p>
            <w:pPr>
              <w:spacing w:after="20"/>
            </w:pPr>
            <w:r/>
            <w:r>
              <w:rPr>
                <w:b w:val="0"/>
                <w:i w:val="0"/>
                <w:sz w:val="14"/>
              </w:rPr>
              <w:t>Plan § 1.01; CL § 1; Status Report § II; LTA § 2.04</w:t>
            </w:r>
          </w:p>
        </w:tc>
        <w:tc>
          <w:tcPr>
            <w:tcW w:type="dxa" w:w="2880"/>
          </w:tcPr>
          <w:p>
            <w:pPr>
              <w:spacing w:after="20"/>
            </w:pPr>
            <w:r/>
            <w:r>
              <w:rPr>
                <w:b w:val="0"/>
                <w:i w:val="0"/>
                <w:sz w:val="14"/>
              </w:rPr>
              <w:t>Cancellation of indenture (Plan § 5.05), Tax Opinion, distributions via trustee/DTC</w:t>
            </w:r>
          </w:p>
        </w:tc>
        <w:tc>
          <w:tcPr>
            <w:tcW w:type="dxa" w:w="3456"/>
          </w:tcPr>
          <w:p>
            <w:pPr>
              <w:spacing w:after="20"/>
            </w:pPr>
            <w:r/>
            <w:r>
              <w:rPr>
                <w:b w:val="0"/>
                <w:i w:val="0"/>
                <w:sz w:val="14"/>
              </w:rPr>
              <w:t>Confirm from indenture; correct Status Report</w:t>
            </w:r>
          </w:p>
        </w:tc>
        <w:tc>
          <w:tcPr>
            <w:tcW w:type="dxa" w:w="576"/>
          </w:tcPr>
          <w:p>
            <w:pPr>
              <w:spacing w:after="20"/>
            </w:pPr>
            <w:r/>
            <w:r>
              <w:rPr>
                <w:b w:val="0"/>
                <w:i w:val="0"/>
                <w:sz w:val="14"/>
              </w:rPr>
              <w:t>M</w:t>
            </w:r>
          </w:p>
        </w:tc>
      </w:tr>
      <w:tr>
        <w:tc>
          <w:tcPr>
            <w:tcW w:type="dxa" w:w="432"/>
          </w:tcPr>
          <w:p>
            <w:pPr>
              <w:spacing w:after="20"/>
            </w:pPr>
            <w:r/>
            <w:r>
              <w:rPr>
                <w:b w:val="0"/>
                <w:i w:val="0"/>
                <w:sz w:val="14"/>
              </w:rPr>
              <w:t>9</w:t>
            </w:r>
          </w:p>
        </w:tc>
        <w:tc>
          <w:tcPr>
            <w:tcW w:type="dxa" w:w="3744"/>
          </w:tcPr>
          <w:p>
            <w:pPr>
              <w:spacing w:after="20"/>
            </w:pPr>
            <w:r/>
            <w:r>
              <w:rPr>
                <w:b w:val="0"/>
                <w:i w:val="0"/>
                <w:sz w:val="14"/>
              </w:rPr>
              <w:t>Committee counsel identified inconsistently: Hollowell Craine &amp; Burgess (Plan § 13.07; Released Parties) vs. Braxton, Levy &amp; Monroe (CO ¶ 81) vs. Ashford Whitman LLP (Status Report certificate of service). Hollowell is elsewhere counsel to Greystone (CO; CL; e-mails; KERP Order: “Counsel to the First Lien Lenders”)</w:t>
            </w:r>
          </w:p>
        </w:tc>
        <w:tc>
          <w:tcPr>
            <w:tcW w:type="dxa" w:w="2160"/>
          </w:tcPr>
          <w:p>
            <w:pPr>
              <w:spacing w:after="20"/>
            </w:pPr>
            <w:r/>
            <w:r>
              <w:rPr>
                <w:b w:val="0"/>
                <w:i w:val="0"/>
                <w:sz w:val="14"/>
              </w:rPr>
              <w:t>Plan; CO; Status Report</w:t>
            </w:r>
          </w:p>
        </w:tc>
        <w:tc>
          <w:tcPr>
            <w:tcW w:type="dxa" w:w="2880"/>
          </w:tcPr>
          <w:p>
            <w:pPr>
              <w:spacing w:after="20"/>
            </w:pPr>
            <w:r/>
            <w:r>
              <w:rPr>
                <w:b w:val="0"/>
                <w:i w:val="0"/>
                <w:sz w:val="14"/>
              </w:rPr>
              <w:t>Notice of waivers, Effective Date and escrow-institution approval must reach the correct Committee counsel; potential conflict question if Hollowell were in fact Committee counsel</w:t>
            </w:r>
          </w:p>
        </w:tc>
        <w:tc>
          <w:tcPr>
            <w:tcW w:type="dxa" w:w="3456"/>
          </w:tcPr>
          <w:p>
            <w:pPr>
              <w:spacing w:after="20"/>
            </w:pPr>
            <w:r/>
            <w:r>
              <w:rPr>
                <w:b w:val="0"/>
                <w:i w:val="0"/>
                <w:sz w:val="14"/>
              </w:rPr>
              <w:t>Confirm retained Committee counsel from retention order; build closing notice list</w:t>
            </w:r>
          </w:p>
        </w:tc>
        <w:tc>
          <w:tcPr>
            <w:tcW w:type="dxa" w:w="576"/>
          </w:tcPr>
          <w:p>
            <w:pPr>
              <w:spacing w:after="20"/>
            </w:pPr>
            <w:r/>
            <w:r>
              <w:rPr>
                <w:b w:val="0"/>
                <w:i w:val="0"/>
                <w:sz w:val="14"/>
              </w:rPr>
              <w:t>H</w:t>
            </w:r>
          </w:p>
        </w:tc>
      </w:tr>
      <w:tr>
        <w:tc>
          <w:tcPr>
            <w:tcW w:type="dxa" w:w="432"/>
          </w:tcPr>
          <w:p>
            <w:pPr>
              <w:spacing w:after="20"/>
            </w:pPr>
            <w:r/>
            <w:r>
              <w:rPr>
                <w:b w:val="0"/>
                <w:i w:val="0"/>
                <w:sz w:val="14"/>
              </w:rPr>
              <w:t>10</w:t>
            </w:r>
          </w:p>
        </w:tc>
        <w:tc>
          <w:tcPr>
            <w:tcW w:type="dxa" w:w="3744"/>
          </w:tcPr>
          <w:p>
            <w:pPr>
              <w:spacing w:after="20"/>
            </w:pPr>
            <w:r/>
            <w:r>
              <w:rPr>
                <w:b w:val="0"/>
                <w:i w:val="0"/>
                <w:sz w:val="14"/>
              </w:rPr>
              <w:t>Thornfield addresses/phone numbers vary (4500 Commerce Pkwy; 1201 N. Market St. Ste. 1400/1600; 1200 Market St. Ste. 1500/3400; One Rodney Square Ste. 1100); Second Lien Agent address varies (610 Lexington Ave. vs. 285 Park Ave.)</w:t>
            </w:r>
          </w:p>
        </w:tc>
        <w:tc>
          <w:tcPr>
            <w:tcW w:type="dxa" w:w="2160"/>
          </w:tcPr>
          <w:p>
            <w:pPr>
              <w:spacing w:after="20"/>
            </w:pPr>
            <w:r/>
            <w:r>
              <w:rPr>
                <w:b w:val="0"/>
                <w:i w:val="0"/>
                <w:sz w:val="14"/>
              </w:rPr>
              <w:t>Plan § 13.07; CO ¶ 81; CL § 15; LTA § 11.02; e-mail</w:t>
            </w:r>
          </w:p>
        </w:tc>
        <w:tc>
          <w:tcPr>
            <w:tcW w:type="dxa" w:w="2880"/>
          </w:tcPr>
          <w:p>
            <w:pPr>
              <w:spacing w:after="20"/>
            </w:pPr>
            <w:r/>
            <w:r>
              <w:rPr>
                <w:b w:val="0"/>
                <w:i w:val="0"/>
                <w:sz w:val="14"/>
              </w:rPr>
              <w:t>Notices (board designations, waivers) may be misdirected</w:t>
            </w:r>
          </w:p>
        </w:tc>
        <w:tc>
          <w:tcPr>
            <w:tcW w:type="dxa" w:w="3456"/>
          </w:tcPr>
          <w:p>
            <w:pPr>
              <w:spacing w:after="20"/>
            </w:pPr>
            <w:r/>
            <w:r>
              <w:rPr>
                <w:b w:val="0"/>
                <w:i w:val="0"/>
                <w:sz w:val="14"/>
              </w:rPr>
              <w:t>Single verified notice schedule</w:t>
            </w:r>
          </w:p>
        </w:tc>
        <w:tc>
          <w:tcPr>
            <w:tcW w:type="dxa" w:w="576"/>
          </w:tcPr>
          <w:p>
            <w:pPr>
              <w:spacing w:after="20"/>
            </w:pPr>
            <w:r/>
            <w:r>
              <w:rPr>
                <w:b w:val="0"/>
                <w:i w:val="0"/>
                <w:sz w:val="14"/>
              </w:rPr>
              <w:t>L</w:t>
            </w:r>
          </w:p>
        </w:tc>
      </w:tr>
      <w:tr>
        <w:tc>
          <w:tcPr>
            <w:tcW w:type="dxa" w:w="432"/>
          </w:tcPr>
          <w:p>
            <w:pPr>
              <w:spacing w:after="20"/>
            </w:pPr>
            <w:r/>
            <w:r>
              <w:rPr>
                <w:b w:val="0"/>
                <w:i w:val="0"/>
                <w:sz w:val="14"/>
              </w:rPr>
              <w:t>11</w:t>
            </w:r>
          </w:p>
        </w:tc>
        <w:tc>
          <w:tcPr>
            <w:tcW w:type="dxa" w:w="3744"/>
          </w:tcPr>
          <w:p>
            <w:pPr>
              <w:spacing w:after="20"/>
            </w:pPr>
            <w:r/>
            <w:r>
              <w:rPr>
                <w:b w:val="0"/>
                <w:i w:val="0"/>
                <w:sz w:val="14"/>
              </w:rPr>
              <w:t>Plan § 10.01 cure table (software $0; Kepler $500k shown separately from equipment $600k) vs. CO ¶ 61 and Cure Schedule (software $500k; equipment $600k incl. Kepler); landlord names/addresses differ (HQ, Baton Rouge, Houston)</w:t>
            </w:r>
          </w:p>
        </w:tc>
        <w:tc>
          <w:tcPr>
            <w:tcW w:type="dxa" w:w="2160"/>
          </w:tcPr>
          <w:p>
            <w:pPr>
              <w:spacing w:after="20"/>
            </w:pPr>
            <w:r/>
            <w:r>
              <w:rPr>
                <w:b w:val="0"/>
                <w:i w:val="0"/>
                <w:sz w:val="14"/>
              </w:rPr>
              <w:t>Plan § 10.01; CO ¶ 61; Cure Schedule</w:t>
            </w:r>
          </w:p>
        </w:tc>
        <w:tc>
          <w:tcPr>
            <w:tcW w:type="dxa" w:w="2880"/>
          </w:tcPr>
          <w:p>
            <w:pPr>
              <w:spacing w:after="20"/>
            </w:pPr>
            <w:r/>
            <w:r>
              <w:rPr>
                <w:b w:val="0"/>
                <w:i w:val="0"/>
                <w:sz w:val="14"/>
              </w:rPr>
              <w:t>Wrong payee risk on $2.75M of real-property cure payments</w:t>
            </w:r>
          </w:p>
        </w:tc>
        <w:tc>
          <w:tcPr>
            <w:tcW w:type="dxa" w:w="3456"/>
          </w:tcPr>
          <w:p>
            <w:pPr>
              <w:spacing w:after="20"/>
            </w:pPr>
            <w:r/>
            <w:r>
              <w:rPr>
                <w:b w:val="0"/>
                <w:i w:val="0"/>
                <w:sz w:val="14"/>
              </w:rPr>
              <w:t>Verify payees against leases; use Cure Schedule</w:t>
            </w:r>
          </w:p>
        </w:tc>
        <w:tc>
          <w:tcPr>
            <w:tcW w:type="dxa" w:w="576"/>
          </w:tcPr>
          <w:p>
            <w:pPr>
              <w:spacing w:after="20"/>
            </w:pPr>
            <w:r/>
            <w:r>
              <w:rPr>
                <w:b w:val="0"/>
                <w:i w:val="0"/>
                <w:sz w:val="14"/>
              </w:rPr>
              <w:t>H</w:t>
            </w:r>
          </w:p>
        </w:tc>
      </w:tr>
      <w:tr>
        <w:tc>
          <w:tcPr>
            <w:tcW w:type="dxa" w:w="432"/>
          </w:tcPr>
          <w:p>
            <w:pPr>
              <w:spacing w:after="20"/>
            </w:pPr>
            <w:r/>
            <w:r>
              <w:rPr>
                <w:b w:val="0"/>
                <w:i w:val="0"/>
                <w:sz w:val="14"/>
              </w:rPr>
              <w:t>12</w:t>
            </w:r>
          </w:p>
        </w:tc>
        <w:tc>
          <w:tcPr>
            <w:tcW w:type="dxa" w:w="3744"/>
          </w:tcPr>
          <w:p>
            <w:pPr>
              <w:spacing w:after="20"/>
            </w:pPr>
            <w:r/>
            <w:r>
              <w:rPr>
                <w:b w:val="0"/>
                <w:i w:val="0"/>
                <w:sz w:val="14"/>
              </w:rPr>
              <w:t>KERP: forfeiture rules conflict (KERP Order ¶ 4 vs. Plan § 2.05 vs. CO ¶ 55); docket cited as Dkt. 193 (CO) vs. 198 (Status Report); KERP Order signed “Katherine B. Osborne” vs. Judge Ostrander</w:t>
            </w:r>
          </w:p>
        </w:tc>
        <w:tc>
          <w:tcPr>
            <w:tcW w:type="dxa" w:w="2160"/>
          </w:tcPr>
          <w:p>
            <w:pPr>
              <w:spacing w:after="20"/>
            </w:pPr>
            <w:r/>
            <w:r>
              <w:rPr>
                <w:b w:val="0"/>
                <w:i w:val="0"/>
                <w:sz w:val="14"/>
              </w:rPr>
              <w:t>KERP Order; Plan; CO; Status Report</w:t>
            </w:r>
          </w:p>
        </w:tc>
        <w:tc>
          <w:tcPr>
            <w:tcW w:type="dxa" w:w="2880"/>
          </w:tcPr>
          <w:p>
            <w:pPr>
              <w:spacing w:after="20"/>
            </w:pPr>
            <w:r/>
            <w:r>
              <w:rPr>
                <w:b w:val="0"/>
                <w:i w:val="0"/>
                <w:sz w:val="14"/>
              </w:rPr>
              <w:t>Disputes if any participant separates before ED</w:t>
            </w:r>
          </w:p>
        </w:tc>
        <w:tc>
          <w:tcPr>
            <w:tcW w:type="dxa" w:w="3456"/>
          </w:tcPr>
          <w:p>
            <w:pPr>
              <w:spacing w:after="20"/>
            </w:pPr>
            <w:r/>
            <w:r>
              <w:rPr>
                <w:b w:val="0"/>
                <w:i w:val="0"/>
                <w:sz w:val="14"/>
              </w:rPr>
              <w:t>Avoid separations; analyze before paying; correct docket references</w:t>
            </w:r>
          </w:p>
        </w:tc>
        <w:tc>
          <w:tcPr>
            <w:tcW w:type="dxa" w:w="576"/>
          </w:tcPr>
          <w:p>
            <w:pPr>
              <w:spacing w:after="20"/>
            </w:pPr>
            <w:r/>
            <w:r>
              <w:rPr>
                <w:b w:val="0"/>
                <w:i w:val="0"/>
                <w:sz w:val="14"/>
              </w:rPr>
              <w:t>M</w:t>
            </w:r>
          </w:p>
        </w:tc>
      </w:tr>
      <w:tr>
        <w:tc>
          <w:tcPr>
            <w:tcW w:type="dxa" w:w="432"/>
          </w:tcPr>
          <w:p>
            <w:pPr>
              <w:spacing w:after="20"/>
            </w:pPr>
            <w:r/>
            <w:r>
              <w:rPr>
                <w:b w:val="0"/>
                <w:i w:val="0"/>
                <w:sz w:val="14"/>
              </w:rPr>
              <w:t>13</w:t>
            </w:r>
          </w:p>
        </w:tc>
        <w:tc>
          <w:tcPr>
            <w:tcW w:type="dxa" w:w="3744"/>
          </w:tcPr>
          <w:p>
            <w:pPr>
              <w:spacing w:after="20"/>
            </w:pPr>
            <w:r/>
            <w:r>
              <w:rPr>
                <w:b w:val="0"/>
                <w:i w:val="0"/>
                <w:sz w:val="14"/>
              </w:rPr>
              <w:t>Headquarters described as “One Oakvale Plaza” (Status Report) vs. 4500 Commerce Parkway; DNREC facility ZIP 19802 vs. 19801; DNREC permits (Title V / RCRA Part B vs. AQM-2019-0472 / NPDES DE-0023817)</w:t>
            </w:r>
          </w:p>
        </w:tc>
        <w:tc>
          <w:tcPr>
            <w:tcW w:type="dxa" w:w="2160"/>
          </w:tcPr>
          <w:p>
            <w:pPr>
              <w:spacing w:after="20"/>
            </w:pPr>
            <w:r/>
            <w:r>
              <w:rPr>
                <w:b w:val="0"/>
                <w:i w:val="0"/>
                <w:sz w:val="14"/>
              </w:rPr>
              <w:t>Status Report; Plan § 1.01</w:t>
            </w:r>
          </w:p>
        </w:tc>
        <w:tc>
          <w:tcPr>
            <w:tcW w:type="dxa" w:w="2880"/>
          </w:tcPr>
          <w:p>
            <w:pPr>
              <w:spacing w:after="20"/>
            </w:pPr>
            <w:r/>
            <w:r>
              <w:rPr>
                <w:b w:val="0"/>
                <w:i w:val="0"/>
                <w:sz w:val="14"/>
              </w:rPr>
              <w:t>Permit analysis and HQ lease cure may be keyed to the wrong instruments</w:t>
            </w:r>
          </w:p>
        </w:tc>
        <w:tc>
          <w:tcPr>
            <w:tcW w:type="dxa" w:w="3456"/>
          </w:tcPr>
          <w:p>
            <w:pPr>
              <w:spacing w:after="20"/>
            </w:pPr>
            <w:r/>
            <w:r>
              <w:rPr>
                <w:b w:val="0"/>
                <w:i w:val="0"/>
                <w:sz w:val="14"/>
              </w:rPr>
              <w:t>Complete permit inventory; verify lease premises</w:t>
            </w:r>
          </w:p>
        </w:tc>
        <w:tc>
          <w:tcPr>
            <w:tcW w:type="dxa" w:w="576"/>
          </w:tcPr>
          <w:p>
            <w:pPr>
              <w:spacing w:after="20"/>
            </w:pPr>
            <w:r/>
            <w:r>
              <w:rPr>
                <w:b w:val="0"/>
                <w:i w:val="0"/>
                <w:sz w:val="14"/>
              </w:rPr>
              <w:t>H</w:t>
            </w:r>
          </w:p>
        </w:tc>
      </w:tr>
      <w:tr>
        <w:tc>
          <w:tcPr>
            <w:tcW w:type="dxa" w:w="432"/>
          </w:tcPr>
          <w:p>
            <w:pPr>
              <w:spacing w:after="20"/>
            </w:pPr>
            <w:r/>
            <w:r>
              <w:rPr>
                <w:b w:val="0"/>
                <w:i w:val="0"/>
                <w:sz w:val="14"/>
              </w:rPr>
              <w:t>14</w:t>
            </w:r>
          </w:p>
        </w:tc>
        <w:tc>
          <w:tcPr>
            <w:tcW w:type="dxa" w:w="3744"/>
          </w:tcPr>
          <w:p>
            <w:pPr>
              <w:spacing w:after="20"/>
            </w:pPr>
            <w:r/>
            <w:r>
              <w:rPr>
                <w:b w:val="0"/>
                <w:i w:val="0"/>
                <w:sz w:val="14"/>
              </w:rPr>
              <w:t>Status Report cash requirements ($54.15M) omit $250,000 U.S. Trustee fees and Kepler upside</w:t>
            </w:r>
          </w:p>
        </w:tc>
        <w:tc>
          <w:tcPr>
            <w:tcW w:type="dxa" w:w="2160"/>
          </w:tcPr>
          <w:p>
            <w:pPr>
              <w:spacing w:after="20"/>
            </w:pPr>
            <w:r/>
            <w:r>
              <w:rPr>
                <w:b w:val="0"/>
                <w:i w:val="0"/>
                <w:sz w:val="14"/>
              </w:rPr>
              <w:t>Status Report § IV; Plan § 5.10</w:t>
            </w:r>
          </w:p>
        </w:tc>
        <w:tc>
          <w:tcPr>
            <w:tcW w:type="dxa" w:w="2880"/>
          </w:tcPr>
          <w:p>
            <w:pPr>
              <w:spacing w:after="20"/>
            </w:pPr>
            <w:r/>
            <w:r>
              <w:rPr>
                <w:b w:val="0"/>
                <w:i w:val="0"/>
                <w:sz w:val="14"/>
              </w:rPr>
              <w:t>CL § 3.2(c) sufficiency evidence; CO ¶ 33(n)</w:t>
            </w:r>
          </w:p>
        </w:tc>
        <w:tc>
          <w:tcPr>
            <w:tcW w:type="dxa" w:w="3456"/>
          </w:tcPr>
          <w:p>
            <w:pPr>
              <w:spacing w:after="20"/>
            </w:pPr>
            <w:r/>
            <w:r>
              <w:rPr>
                <w:b w:val="0"/>
                <w:i w:val="0"/>
                <w:sz w:val="14"/>
              </w:rPr>
              <w:t>Use $54.68M high case plus fees/OID</w:t>
            </w:r>
          </w:p>
        </w:tc>
        <w:tc>
          <w:tcPr>
            <w:tcW w:type="dxa" w:w="576"/>
          </w:tcPr>
          <w:p>
            <w:pPr>
              <w:spacing w:after="20"/>
            </w:pPr>
            <w:r/>
            <w:r>
              <w:rPr>
                <w:b w:val="0"/>
                <w:i w:val="0"/>
                <w:sz w:val="14"/>
              </w:rPr>
              <w:t>M</w:t>
            </w:r>
          </w:p>
        </w:tc>
      </w:tr>
      <w:tr>
        <w:tc>
          <w:tcPr>
            <w:tcW w:type="dxa" w:w="432"/>
          </w:tcPr>
          <w:p>
            <w:pPr>
              <w:spacing w:after="20"/>
            </w:pPr>
            <w:r/>
            <w:r>
              <w:rPr>
                <w:b w:val="0"/>
                <w:i w:val="0"/>
                <w:sz w:val="14"/>
              </w:rPr>
              <w:t>15</w:t>
            </w:r>
          </w:p>
        </w:tc>
        <w:tc>
          <w:tcPr>
            <w:tcW w:type="dxa" w:w="3744"/>
          </w:tcPr>
          <w:p>
            <w:pPr>
              <w:spacing w:after="20"/>
            </w:pPr>
            <w:r/>
            <w:r>
              <w:rPr>
                <w:b w:val="0"/>
                <w:i w:val="0"/>
                <w:sz w:val="14"/>
              </w:rPr>
              <w:t>Shareholders’ Agreement execution standard (Debtor only vs. all holders) and bylaws adoption (Debtor vs. Reorganized Board)</w:t>
            </w:r>
          </w:p>
        </w:tc>
        <w:tc>
          <w:tcPr>
            <w:tcW w:type="dxa" w:w="2160"/>
          </w:tcPr>
          <w:p>
            <w:pPr>
              <w:spacing w:after="20"/>
            </w:pPr>
            <w:r/>
            <w:r>
              <w:rPr>
                <w:b w:val="0"/>
                <w:i w:val="0"/>
                <w:sz w:val="14"/>
              </w:rPr>
              <w:t>Plan § 9.01(d)–(e); CO ¶¶ 33(f)–(g), 52</w:t>
            </w:r>
          </w:p>
        </w:tc>
        <w:tc>
          <w:tcPr>
            <w:tcW w:type="dxa" w:w="2880"/>
          </w:tcPr>
          <w:p>
            <w:pPr>
              <w:spacing w:after="20"/>
            </w:pPr>
            <w:r/>
            <w:r>
              <w:rPr>
                <w:b w:val="0"/>
                <w:i w:val="0"/>
                <w:sz w:val="14"/>
              </w:rPr>
              <w:t>Literal CO compliance required</w:t>
            </w:r>
          </w:p>
        </w:tc>
        <w:tc>
          <w:tcPr>
            <w:tcW w:type="dxa" w:w="3456"/>
          </w:tcPr>
          <w:p>
            <w:pPr>
              <w:spacing w:after="20"/>
            </w:pPr>
            <w:r/>
            <w:r>
              <w:rPr>
                <w:b w:val="0"/>
                <w:i w:val="0"/>
                <w:sz w:val="14"/>
              </w:rPr>
              <w:t>Deemed joinder; board adoption at closing</w:t>
            </w:r>
          </w:p>
        </w:tc>
        <w:tc>
          <w:tcPr>
            <w:tcW w:type="dxa" w:w="576"/>
          </w:tcPr>
          <w:p>
            <w:pPr>
              <w:spacing w:after="20"/>
            </w:pPr>
            <w:r/>
            <w:r>
              <w:rPr>
                <w:b w:val="0"/>
                <w:i w:val="0"/>
                <w:sz w:val="14"/>
              </w:rPr>
              <w:t>H</w:t>
            </w:r>
          </w:p>
        </w:tc>
      </w:tr>
      <w:tr>
        <w:tc>
          <w:tcPr>
            <w:tcW w:type="dxa" w:w="432"/>
          </w:tcPr>
          <w:p>
            <w:pPr>
              <w:spacing w:after="20"/>
            </w:pPr>
            <w:r/>
            <w:r>
              <w:rPr>
                <w:b w:val="0"/>
                <w:i w:val="0"/>
                <w:sz w:val="14"/>
              </w:rPr>
              <w:t>16</w:t>
            </w:r>
          </w:p>
        </w:tc>
        <w:tc>
          <w:tcPr>
            <w:tcW w:type="dxa" w:w="3744"/>
          </w:tcPr>
          <w:p>
            <w:pPr>
              <w:spacing w:after="20"/>
            </w:pPr>
            <w:r/>
            <w:r>
              <w:rPr>
                <w:b w:val="0"/>
                <w:i w:val="0"/>
                <w:sz w:val="14"/>
              </w:rPr>
              <w:t>Exit Term Loan described as First Lien holders’ “participation” (take-back) in Plan § 4.02 / CO ¶ 43 vs. new-money arranged facility in CL § 2.1</w:t>
            </w:r>
          </w:p>
        </w:tc>
        <w:tc>
          <w:tcPr>
            <w:tcW w:type="dxa" w:w="2160"/>
          </w:tcPr>
          <w:p>
            <w:pPr>
              <w:spacing w:after="20"/>
            </w:pPr>
            <w:r/>
            <w:r>
              <w:rPr>
                <w:b w:val="0"/>
                <w:i w:val="0"/>
                <w:sz w:val="14"/>
              </w:rPr>
              <w:t>Plan; CO; CL</w:t>
            </w:r>
          </w:p>
        </w:tc>
        <w:tc>
          <w:tcPr>
            <w:tcW w:type="dxa" w:w="2880"/>
          </w:tcPr>
          <w:p>
            <w:pPr>
              <w:spacing w:after="20"/>
            </w:pPr>
            <w:r/>
            <w:r>
              <w:rPr>
                <w:b w:val="0"/>
                <w:i w:val="0"/>
                <w:sz w:val="14"/>
              </w:rPr>
              <w:t>Determines whether Term Loan proceeds fund ED cash needs; syndication/allocation to First Lien holders</w:t>
            </w:r>
          </w:p>
        </w:tc>
        <w:tc>
          <w:tcPr>
            <w:tcW w:type="dxa" w:w="3456"/>
          </w:tcPr>
          <w:p>
            <w:pPr>
              <w:spacing w:after="20"/>
            </w:pPr>
            <w:r/>
            <w:r>
              <w:rPr>
                <w:b w:val="0"/>
                <w:i w:val="0"/>
                <w:sz w:val="14"/>
              </w:rPr>
              <w:t>Funds flow and allocation memo agreed with Ledgerstone and RCFLL</w:t>
            </w:r>
          </w:p>
        </w:tc>
        <w:tc>
          <w:tcPr>
            <w:tcW w:type="dxa" w:w="576"/>
          </w:tcPr>
          <w:p>
            <w:pPr>
              <w:spacing w:after="20"/>
            </w:pPr>
            <w:r/>
            <w:r>
              <w:rPr>
                <w:b w:val="0"/>
                <w:i w:val="0"/>
                <w:sz w:val="14"/>
              </w:rPr>
              <w:t>H</w:t>
            </w:r>
          </w:p>
        </w:tc>
      </w:tr>
      <w:tr>
        <w:tc>
          <w:tcPr>
            <w:tcW w:type="dxa" w:w="432"/>
          </w:tcPr>
          <w:p>
            <w:pPr>
              <w:spacing w:after="20"/>
            </w:pPr>
            <w:r/>
            <w:r>
              <w:rPr>
                <w:b w:val="0"/>
                <w:i w:val="0"/>
                <w:sz w:val="14"/>
              </w:rPr>
              <w:t>17</w:t>
            </w:r>
          </w:p>
        </w:tc>
        <w:tc>
          <w:tcPr>
            <w:tcW w:type="dxa" w:w="3744"/>
          </w:tcPr>
          <w:p>
            <w:pPr>
              <w:spacing w:after="20"/>
            </w:pPr>
            <w:r/>
            <w:r>
              <w:rPr>
                <w:b w:val="0"/>
                <w:i w:val="0"/>
                <w:sz w:val="14"/>
              </w:rPr>
              <w:t>Authorized common stock (10,000,000) fully issued at ED; no authorized capacity for 500,000 Warrant shares or the 8% MIP pool</w:t>
            </w:r>
          </w:p>
        </w:tc>
        <w:tc>
          <w:tcPr>
            <w:tcW w:type="dxa" w:w="2160"/>
          </w:tcPr>
          <w:p>
            <w:pPr>
              <w:spacing w:after="20"/>
            </w:pPr>
            <w:r/>
            <w:r>
              <w:rPr>
                <w:b w:val="0"/>
                <w:i w:val="0"/>
                <w:sz w:val="14"/>
              </w:rPr>
              <w:t>Plan §§ 1.01, 5.02, 5.04, 5.06; CO ¶¶ 10, 51</w:t>
            </w:r>
          </w:p>
        </w:tc>
        <w:tc>
          <w:tcPr>
            <w:tcW w:type="dxa" w:w="2880"/>
          </w:tcPr>
          <w:p>
            <w:pPr>
              <w:spacing w:after="20"/>
            </w:pPr>
            <w:r/>
            <w:r>
              <w:rPr>
                <w:b w:val="0"/>
                <w:i w:val="0"/>
                <w:sz w:val="14"/>
              </w:rPr>
              <w:t>Warrants may be unexercisable without charter amendment; reservation covenant breach</w:t>
            </w:r>
          </w:p>
        </w:tc>
        <w:tc>
          <w:tcPr>
            <w:tcW w:type="dxa" w:w="3456"/>
          </w:tcPr>
          <w:p>
            <w:pPr>
              <w:spacing w:after="20"/>
            </w:pPr>
            <w:r/>
            <w:r>
              <w:rPr>
                <w:b w:val="0"/>
                <w:i w:val="0"/>
                <w:sz w:val="14"/>
              </w:rPr>
              <w:t>Increase authorized shares in COI (within Plan intent) with RCFLL consent, or document mechanism</w:t>
            </w:r>
          </w:p>
        </w:tc>
        <w:tc>
          <w:tcPr>
            <w:tcW w:type="dxa" w:w="576"/>
          </w:tcPr>
          <w:p>
            <w:pPr>
              <w:spacing w:after="20"/>
            </w:pPr>
            <w:r/>
            <w:r>
              <w:rPr>
                <w:b w:val="0"/>
                <w:i w:val="0"/>
                <w:sz w:val="14"/>
              </w:rPr>
              <w:t>H</w:t>
            </w:r>
          </w:p>
        </w:tc>
      </w:tr>
      <w:tr>
        <w:tc>
          <w:tcPr>
            <w:tcW w:type="dxa" w:w="432"/>
          </w:tcPr>
          <w:p>
            <w:pPr>
              <w:spacing w:after="20"/>
            </w:pPr>
            <w:r/>
            <w:r>
              <w:rPr>
                <w:b w:val="0"/>
                <w:i w:val="0"/>
                <w:sz w:val="14"/>
              </w:rPr>
              <w:t>18</w:t>
            </w:r>
          </w:p>
        </w:tc>
        <w:tc>
          <w:tcPr>
            <w:tcW w:type="dxa" w:w="3744"/>
          </w:tcPr>
          <w:p>
            <w:pPr>
              <w:spacing w:after="20"/>
            </w:pPr>
            <w:r/>
            <w:r>
              <w:rPr>
                <w:b w:val="0"/>
                <w:i w:val="0"/>
                <w:sz w:val="14"/>
              </w:rPr>
              <w:t>LTA conflicts with Plan (claims scope catch-all; TAB composition; settlement thresholds; tax classification; Plan date Dec. 6, 2024 and Plan Supplement Jan. 3, 2025; § 7.04 cross-reference; blanks)</w:t>
            </w:r>
          </w:p>
        </w:tc>
        <w:tc>
          <w:tcPr>
            <w:tcW w:type="dxa" w:w="2160"/>
          </w:tcPr>
          <w:p>
            <w:pPr>
              <w:spacing w:after="20"/>
            </w:pPr>
            <w:r/>
            <w:r>
              <w:rPr>
                <w:b w:val="0"/>
                <w:i w:val="0"/>
                <w:sz w:val="14"/>
              </w:rPr>
              <w:t>LTA; Plan Art. VII</w:t>
            </w:r>
          </w:p>
        </w:tc>
        <w:tc>
          <w:tcPr>
            <w:tcW w:type="dxa" w:w="2880"/>
          </w:tcPr>
          <w:p>
            <w:pPr>
              <w:spacing w:after="20"/>
            </w:pPr>
            <w:r/>
            <w:r>
              <w:rPr>
                <w:b w:val="0"/>
                <w:i w:val="0"/>
                <w:sz w:val="14"/>
              </w:rPr>
              <w:t>Plan controls, but execution of a conflicting LTA invites dispute with Reorganized Oakvale and RCFLL</w:t>
            </w:r>
          </w:p>
        </w:tc>
        <w:tc>
          <w:tcPr>
            <w:tcW w:type="dxa" w:w="3456"/>
          </w:tcPr>
          <w:p>
            <w:pPr>
              <w:spacing w:after="20"/>
            </w:pPr>
            <w:r/>
            <w:r>
              <w:rPr>
                <w:b w:val="0"/>
                <w:i w:val="0"/>
                <w:sz w:val="14"/>
              </w:rPr>
              <w:t>Conform before execution (Section 4.7)</w:t>
            </w:r>
          </w:p>
        </w:tc>
        <w:tc>
          <w:tcPr>
            <w:tcW w:type="dxa" w:w="576"/>
          </w:tcPr>
          <w:p>
            <w:pPr>
              <w:spacing w:after="20"/>
            </w:pPr>
            <w:r/>
            <w:r>
              <w:rPr>
                <w:b w:val="0"/>
                <w:i w:val="0"/>
                <w:sz w:val="14"/>
              </w:rPr>
              <w:t>H</w:t>
            </w:r>
          </w:p>
        </w:tc>
      </w:tr>
      <w:tr>
        <w:tc>
          <w:tcPr>
            <w:tcW w:type="dxa" w:w="432"/>
          </w:tcPr>
          <w:p>
            <w:pPr>
              <w:spacing w:after="20"/>
            </w:pPr>
            <w:r/>
            <w:r>
              <w:rPr>
                <w:b w:val="0"/>
                <w:i w:val="0"/>
                <w:sz w:val="14"/>
              </w:rPr>
              <w:t>19</w:t>
            </w:r>
          </w:p>
        </w:tc>
        <w:tc>
          <w:tcPr>
            <w:tcW w:type="dxa" w:w="3744"/>
          </w:tcPr>
          <w:p>
            <w:pPr>
              <w:spacing w:after="20"/>
            </w:pPr>
            <w:r/>
            <w:r>
              <w:rPr>
                <w:b w:val="0"/>
                <w:i w:val="0"/>
                <w:sz w:val="14"/>
              </w:rPr>
              <w:t>Plan dated January 10, 2025 (after Plan Supplement filed Jan. 8 and after voting deadline) while CO confirms Dkt. No. 487 and LTA recites a December 6, 2024 Plan</w:t>
            </w:r>
          </w:p>
        </w:tc>
        <w:tc>
          <w:tcPr>
            <w:tcW w:type="dxa" w:w="2160"/>
          </w:tcPr>
          <w:p>
            <w:pPr>
              <w:spacing w:after="20"/>
            </w:pPr>
            <w:r/>
            <w:r>
              <w:rPr>
                <w:b w:val="0"/>
                <w:i w:val="0"/>
                <w:sz w:val="14"/>
              </w:rPr>
              <w:t>Plan cover; CO; LTA</w:t>
            </w:r>
          </w:p>
        </w:tc>
        <w:tc>
          <w:tcPr>
            <w:tcW w:type="dxa" w:w="2880"/>
          </w:tcPr>
          <w:p>
            <w:pPr>
              <w:spacing w:after="20"/>
            </w:pPr>
            <w:r/>
            <w:r>
              <w:rPr>
                <w:b w:val="0"/>
                <w:i w:val="0"/>
                <w:sz w:val="14"/>
              </w:rPr>
              <w:t>Identify the confirmed version for all closing documents</w:t>
            </w:r>
          </w:p>
        </w:tc>
        <w:tc>
          <w:tcPr>
            <w:tcW w:type="dxa" w:w="3456"/>
          </w:tcPr>
          <w:p>
            <w:pPr>
              <w:spacing w:after="20"/>
            </w:pPr>
            <w:r/>
            <w:r>
              <w:rPr>
                <w:b w:val="0"/>
                <w:i w:val="0"/>
                <w:sz w:val="14"/>
              </w:rPr>
              <w:t>Confirm Dkt. No. 487 version and any modifications approved at confirmation</w:t>
            </w:r>
          </w:p>
        </w:tc>
        <w:tc>
          <w:tcPr>
            <w:tcW w:type="dxa" w:w="576"/>
          </w:tcPr>
          <w:p>
            <w:pPr>
              <w:spacing w:after="20"/>
            </w:pPr>
            <w:r/>
            <w:r>
              <w:rPr>
                <w:b w:val="0"/>
                <w:i w:val="0"/>
                <w:sz w:val="14"/>
              </w:rPr>
              <w:t>M</w:t>
            </w:r>
          </w:p>
        </w:tc>
      </w:tr>
      <w:tr>
        <w:tc>
          <w:tcPr>
            <w:tcW w:type="dxa" w:w="432"/>
          </w:tcPr>
          <w:p>
            <w:pPr>
              <w:spacing w:after="20"/>
            </w:pPr>
            <w:r/>
            <w:r>
              <w:rPr>
                <w:b w:val="0"/>
                <w:i w:val="0"/>
                <w:sz w:val="14"/>
              </w:rPr>
              <w:t>20</w:t>
            </w:r>
          </w:p>
        </w:tc>
        <w:tc>
          <w:tcPr>
            <w:tcW w:type="dxa" w:w="3744"/>
          </w:tcPr>
          <w:p>
            <w:pPr>
              <w:spacing w:after="20"/>
            </w:pPr>
            <w:r/>
            <w:r>
              <w:rPr>
                <w:b w:val="0"/>
                <w:i w:val="0"/>
                <w:sz w:val="14"/>
              </w:rPr>
              <w:t>Final Order and MAE definitions differ across Plan, CO and CL</w:t>
            </w:r>
          </w:p>
        </w:tc>
        <w:tc>
          <w:tcPr>
            <w:tcW w:type="dxa" w:w="2160"/>
          </w:tcPr>
          <w:p>
            <w:pPr>
              <w:spacing w:after="20"/>
            </w:pPr>
            <w:r/>
            <w:r>
              <w:rPr>
                <w:b w:val="0"/>
                <w:i w:val="0"/>
                <w:sz w:val="14"/>
              </w:rPr>
              <w:t>Plan § 1.01, § 9.01(l); CO ¶ 33(a); CL §§ 3.1(a), 7</w:t>
            </w:r>
          </w:p>
        </w:tc>
        <w:tc>
          <w:tcPr>
            <w:tcW w:type="dxa" w:w="2880"/>
          </w:tcPr>
          <w:p>
            <w:pPr>
              <w:spacing w:after="20"/>
            </w:pPr>
            <w:r/>
            <w:r>
              <w:rPr>
                <w:b w:val="0"/>
                <w:i w:val="0"/>
                <w:sz w:val="14"/>
              </w:rPr>
              <w:t>Different bring-down standards for Plan vs. funding</w:t>
            </w:r>
          </w:p>
        </w:tc>
        <w:tc>
          <w:tcPr>
            <w:tcW w:type="dxa" w:w="3456"/>
          </w:tcPr>
          <w:p>
            <w:pPr>
              <w:spacing w:after="20"/>
            </w:pPr>
            <w:r/>
            <w:r>
              <w:rPr>
                <w:b w:val="0"/>
                <w:i w:val="0"/>
                <w:sz w:val="14"/>
              </w:rPr>
              <w:t>Certify to the stricter standard in each document</w:t>
            </w:r>
          </w:p>
        </w:tc>
        <w:tc>
          <w:tcPr>
            <w:tcW w:type="dxa" w:w="576"/>
          </w:tcPr>
          <w:p>
            <w:pPr>
              <w:spacing w:after="20"/>
            </w:pPr>
            <w:r/>
            <w:r>
              <w:rPr>
                <w:b w:val="0"/>
                <w:i w:val="0"/>
                <w:sz w:val="14"/>
              </w:rPr>
              <w:t>L</w:t>
            </w:r>
          </w:p>
        </w:tc>
      </w:tr>
      <w:tr>
        <w:tc>
          <w:tcPr>
            <w:tcW w:type="dxa" w:w="432"/>
          </w:tcPr>
          <w:p>
            <w:pPr>
              <w:spacing w:after="20"/>
            </w:pPr>
            <w:r/>
            <w:r>
              <w:rPr>
                <w:b w:val="0"/>
                <w:i w:val="0"/>
                <w:sz w:val="14"/>
              </w:rPr>
              <w:t>21</w:t>
            </w:r>
          </w:p>
        </w:tc>
        <w:tc>
          <w:tcPr>
            <w:tcW w:type="dxa" w:w="3744"/>
          </w:tcPr>
          <w:p>
            <w:pPr>
              <w:spacing w:after="20"/>
            </w:pPr>
            <w:r/>
            <w:r>
              <w:rPr>
                <w:b w:val="0"/>
                <w:i w:val="0"/>
                <w:sz w:val="14"/>
              </w:rPr>
              <w:t>Insurance broker: Whitfield &amp; Prescott (Status Report) vs. Heritage Insurance Brokers (assumed contract, Cure Schedule item 39)</w:t>
            </w:r>
          </w:p>
        </w:tc>
        <w:tc>
          <w:tcPr>
            <w:tcW w:type="dxa" w:w="2160"/>
          </w:tcPr>
          <w:p>
            <w:pPr>
              <w:spacing w:after="20"/>
            </w:pPr>
            <w:r/>
            <w:r>
              <w:rPr>
                <w:b w:val="0"/>
                <w:i w:val="0"/>
                <w:sz w:val="14"/>
              </w:rPr>
              <w:t>Status Report; Cure Schedule</w:t>
            </w:r>
          </w:p>
        </w:tc>
        <w:tc>
          <w:tcPr>
            <w:tcW w:type="dxa" w:w="2880"/>
          </w:tcPr>
          <w:p>
            <w:pPr>
              <w:spacing w:after="20"/>
            </w:pPr>
            <w:r/>
            <w:r>
              <w:rPr>
                <w:b w:val="0"/>
                <w:i w:val="0"/>
                <w:sz w:val="14"/>
              </w:rPr>
              <w:t>Who delivers binders/endorsements</w:t>
            </w:r>
          </w:p>
        </w:tc>
        <w:tc>
          <w:tcPr>
            <w:tcW w:type="dxa" w:w="3456"/>
          </w:tcPr>
          <w:p>
            <w:pPr>
              <w:spacing w:after="20"/>
            </w:pPr>
            <w:r/>
            <w:r>
              <w:rPr>
                <w:b w:val="0"/>
                <w:i w:val="0"/>
                <w:sz w:val="14"/>
              </w:rPr>
              <w:t>Confirm</w:t>
            </w:r>
          </w:p>
        </w:tc>
        <w:tc>
          <w:tcPr>
            <w:tcW w:type="dxa" w:w="576"/>
          </w:tcPr>
          <w:p>
            <w:pPr>
              <w:spacing w:after="20"/>
            </w:pPr>
            <w:r/>
            <w:r>
              <w:rPr>
                <w:b w:val="0"/>
                <w:i w:val="0"/>
                <w:sz w:val="14"/>
              </w:rPr>
              <w:t>L</w:t>
            </w:r>
          </w:p>
        </w:tc>
      </w:tr>
    </w:tbl>
    <w:p>
      <w:pPr>
        <w:spacing w:after="40"/>
      </w:pPr>
    </w:p>
    <w:p>
      <w:pPr>
        <w:pStyle w:val="Heading1"/>
      </w:pPr>
      <w:r>
        <w:rPr>
          <w:color w:val="1F3864"/>
        </w:rPr>
        <w:t>10. Contingency Planning if the Effective Date Slips</w:t>
      </w:r>
    </w:p>
    <w:p>
      <w:pPr>
        <w:pStyle w:val="ListBullet"/>
        <w:spacing w:after="40"/>
      </w:pPr>
      <w:r>
        <w:rPr>
          <w:b/>
          <w:i w:val="0"/>
          <w:sz w:val="18"/>
        </w:rPr>
        <w:t>Notify and re-baseline.</w:t>
      </w:r>
      <w:r>
        <w:rPr>
          <w:b w:val="0"/>
          <w:i w:val="0"/>
          <w:sz w:val="18"/>
        </w:rPr>
        <w:t xml:space="preserve"> Promptly notify the Commitment Parties of any change in the target ED (CL § 9(f)) and recompute every ED-keyed deadline: Exit documentation (3 Business Days prior), borrowing notice (2 Business Days), board designations (5 Business Days) and Court filing (3 Business Days), KERP payment window, and the 30-day freshness of the ABL field exam (CL § 3.3(c)).</w:t>
      </w:r>
    </w:p>
    <w:p>
      <w:pPr>
        <w:pStyle w:val="ListBullet"/>
        <w:spacing w:after="40"/>
      </w:pPr>
      <w:r>
        <w:rPr>
          <w:b/>
          <w:i w:val="0"/>
          <w:sz w:val="18"/>
        </w:rPr>
        <w:t>Lender leverage points.</w:t>
      </w:r>
      <w:r>
        <w:rPr>
          <w:b w:val="0"/>
          <w:i w:val="0"/>
          <w:sz w:val="18"/>
        </w:rPr>
        <w:t xml:space="preserve"> A new “anticipated Closing Date” may allow the Commitment Parties to argue a new flex window (written flex notice no later than 10 Business Days before the anticipated Closing Date, CL § 5); the MAE condition (from the Petition Date) and no-litigation condition are re-tested at closing. Seek a written CL amendment (§ 14.4) that resets the documentation deadline without reopening flex.</w:t>
      </w:r>
    </w:p>
    <w:p>
      <w:pPr>
        <w:pStyle w:val="ListBullet"/>
        <w:spacing w:after="40"/>
      </w:pPr>
      <w:r>
        <w:rPr>
          <w:b/>
          <w:i w:val="0"/>
          <w:sz w:val="18"/>
        </w:rPr>
        <w:t>Outside Date.</w:t>
      </w:r>
      <w:r>
        <w:rPr>
          <w:b w:val="0"/>
          <w:i w:val="0"/>
          <w:sz w:val="18"/>
        </w:rPr>
        <w:t xml:space="preserve"> April 17, 2025. Extension requires a Court order on Debtor motion with RCFLL consent (CO ¶ 32); the Commitment Letter terminates automatically on that date and must be separately amended. Calendar a decision point of </w:t>
      </w:r>
      <w:r>
        <w:rPr>
          <w:b/>
          <w:i w:val="0"/>
          <w:sz w:val="18"/>
        </w:rPr>
        <w:t>March 28, 2025</w:t>
      </w:r>
      <w:r>
        <w:rPr>
          <w:b w:val="0"/>
          <w:i w:val="0"/>
          <w:sz w:val="18"/>
        </w:rPr>
        <w:t xml:space="preserve"> and file any extension motion no later than about </w:t>
      </w:r>
      <w:r>
        <w:rPr>
          <w:b/>
          <w:i w:val="0"/>
          <w:sz w:val="18"/>
        </w:rPr>
        <w:t>April 2, 2025</w:t>
      </w:r>
      <w:r>
        <w:rPr>
          <w:b w:val="0"/>
          <w:i w:val="0"/>
          <w:sz w:val="18"/>
        </w:rPr>
        <w:t>. If the ED does not occur by the Outside Date, the Plan is null and void and the CO vacated (Plan § 9.03; CO ¶ 32); the Commitment Parties’ expense reimbursement survives as an allowed administrative claim (CL § 6.2).</w:t>
      </w:r>
    </w:p>
    <w:p>
      <w:pPr>
        <w:pStyle w:val="ListBullet"/>
        <w:spacing w:after="40"/>
      </w:pPr>
      <w:r>
        <w:rPr>
          <w:b/>
          <w:i w:val="0"/>
          <w:sz w:val="18"/>
        </w:rPr>
        <w:t>Professional fees.</w:t>
      </w:r>
      <w:r>
        <w:rPr>
          <w:b w:val="0"/>
          <w:i w:val="0"/>
          <w:sz w:val="18"/>
        </w:rPr>
        <w:t xml:space="preserve"> Each week of delay adds fees against a fixed $26.0M escrow; refresh estimates weekly and decide early whether to propose (with RCFLL consent) a larger escrow.</w:t>
      </w:r>
    </w:p>
    <w:p>
      <w:pPr>
        <w:pStyle w:val="ListBullet"/>
        <w:spacing w:after="40"/>
      </w:pPr>
      <w:r>
        <w:rPr>
          <w:b/>
          <w:i w:val="0"/>
          <w:sz w:val="18"/>
        </w:rPr>
        <w:t>KERP.</w:t>
      </w:r>
      <w:r>
        <w:rPr>
          <w:b w:val="0"/>
          <w:i w:val="0"/>
          <w:sz w:val="18"/>
        </w:rPr>
        <w:t xml:space="preserve"> Participants must remain employed through the actual ED; a slip extends the retention period and the 30-day without-cause window (KERP Order ¶ 4).</w:t>
      </w:r>
    </w:p>
    <w:p>
      <w:pPr>
        <w:pStyle w:val="ListBullet"/>
        <w:spacing w:after="40"/>
      </w:pPr>
      <w:r>
        <w:rPr>
          <w:b/>
          <w:i w:val="0"/>
          <w:sz w:val="18"/>
        </w:rPr>
        <w:t>Court reporting.</w:t>
      </w:r>
      <w:r>
        <w:rPr>
          <w:b w:val="0"/>
          <w:i w:val="0"/>
          <w:sz w:val="18"/>
        </w:rPr>
        <w:t xml:space="preserve"> File a supplemental status report correcting the record (Section 9, item 2) and, if DNREC notice is given late, advise the Court and parties as CO ¶ 26 requires.</w:t>
      </w:r>
    </w:p>
    <w:p>
      <w:pPr>
        <w:pStyle w:val="Heading1"/>
      </w:pPr>
      <w:r>
        <w:rPr>
          <w:color w:val="1F3864"/>
        </w:rPr>
        <w:t>11. Post-Effective Date Obligations (assuming a February 18, 2025 Effective Date)</w:t>
      </w:r>
    </w:p>
    <w:tbl>
      <w:tblPr>
        <w:tblStyle w:val="TableGrid"/>
        <w:tblW w:type="auto" w:w="0"/>
        <w:jc w:val="center"/>
        <w:tblLayout w:type="fixed"/>
        <w:tblLook w:firstColumn="1" w:firstRow="1" w:lastColumn="0" w:lastRow="0" w:noHBand="0" w:noVBand="1" w:val="04A0"/>
      </w:tblPr>
      <w:tblGrid>
        <w:gridCol w:w="2160"/>
        <w:gridCol w:w="6336"/>
        <w:gridCol w:w="3168"/>
        <w:gridCol w:w="2304"/>
      </w:tblGrid>
      <w:tr>
        <w:trPr>
          <w:tblHeader w:val="true"/>
        </w:trPr>
        <w:tc>
          <w:tcPr>
            <w:tcW w:type="dxa" w:w="2160"/>
            <w:shd w:val="clear" w:color="auto" w:fill="1F3864"/>
          </w:tcPr>
          <w:p>
            <w:r/>
            <w:r>
              <w:rPr>
                <w:b/>
                <w:color w:val="FFFFFF"/>
                <w:sz w:val="15"/>
              </w:rPr>
              <w:t>Deadline</w:t>
            </w:r>
          </w:p>
        </w:tc>
        <w:tc>
          <w:tcPr>
            <w:tcW w:type="dxa" w:w="6336"/>
            <w:shd w:val="clear" w:color="auto" w:fill="1F3864"/>
          </w:tcPr>
          <w:p>
            <w:r/>
            <w:r>
              <w:rPr>
                <w:b/>
                <w:color w:val="FFFFFF"/>
                <w:sz w:val="15"/>
              </w:rPr>
              <w:t>Obligation</w:t>
            </w:r>
          </w:p>
        </w:tc>
        <w:tc>
          <w:tcPr>
            <w:tcW w:type="dxa" w:w="3168"/>
            <w:shd w:val="clear" w:color="auto" w:fill="1F3864"/>
          </w:tcPr>
          <w:p>
            <w:r/>
            <w:r>
              <w:rPr>
                <w:b/>
                <w:color w:val="FFFFFF"/>
                <w:sz w:val="15"/>
              </w:rPr>
              <w:t>Source</w:t>
            </w:r>
          </w:p>
        </w:tc>
        <w:tc>
          <w:tcPr>
            <w:tcW w:type="dxa" w:w="2304"/>
            <w:shd w:val="clear" w:color="auto" w:fill="1F3864"/>
          </w:tcPr>
          <w:p>
            <w:r/>
            <w:r>
              <w:rPr>
                <w:b/>
                <w:color w:val="FFFFFF"/>
                <w:sz w:val="15"/>
              </w:rPr>
              <w:t>Owner</w:t>
            </w:r>
          </w:p>
        </w:tc>
      </w:tr>
      <w:tr>
        <w:tc>
          <w:tcPr>
            <w:tcW w:type="dxa" w:w="2160"/>
          </w:tcPr>
          <w:p>
            <w:pPr>
              <w:spacing w:after="20"/>
            </w:pPr>
            <w:r/>
            <w:r>
              <w:rPr>
                <w:b w:val="0"/>
                <w:i w:val="0"/>
                <w:sz w:val="15"/>
              </w:rPr>
              <w:t>Thu. Feb. 20, 2025</w:t>
            </w:r>
          </w:p>
        </w:tc>
        <w:tc>
          <w:tcPr>
            <w:tcW w:type="dxa" w:w="6336"/>
          </w:tcPr>
          <w:p>
            <w:pPr>
              <w:spacing w:after="20"/>
            </w:pPr>
            <w:r/>
            <w:r>
              <w:rPr>
                <w:b w:val="0"/>
                <w:i w:val="0"/>
                <w:sz w:val="15"/>
              </w:rPr>
              <w:t>File and serve Notice of Effective Date</w:t>
            </w:r>
          </w:p>
        </w:tc>
        <w:tc>
          <w:tcPr>
            <w:tcW w:type="dxa" w:w="3168"/>
          </w:tcPr>
          <w:p>
            <w:pPr>
              <w:spacing w:after="20"/>
            </w:pPr>
            <w:r/>
            <w:r>
              <w:rPr>
                <w:b w:val="0"/>
                <w:i w:val="0"/>
                <w:sz w:val="15"/>
              </w:rPr>
              <w:t>CO ¶ 80</w:t>
            </w:r>
          </w:p>
        </w:tc>
        <w:tc>
          <w:tcPr>
            <w:tcW w:type="dxa" w:w="2304"/>
          </w:tcPr>
          <w:p>
            <w:pPr>
              <w:spacing w:after="20"/>
            </w:pPr>
            <w:r/>
            <w:r>
              <w:rPr>
                <w:b w:val="0"/>
                <w:i w:val="0"/>
                <w:sz w:val="15"/>
              </w:rPr>
              <w:t>Thornfield</w:t>
            </w:r>
          </w:p>
        </w:tc>
      </w:tr>
      <w:tr>
        <w:tc>
          <w:tcPr>
            <w:tcW w:type="dxa" w:w="2160"/>
          </w:tcPr>
          <w:p>
            <w:pPr>
              <w:spacing w:after="20"/>
            </w:pPr>
            <w:r/>
            <w:r>
              <w:rPr>
                <w:b w:val="0"/>
                <w:i w:val="0"/>
                <w:sz w:val="15"/>
              </w:rPr>
              <w:t>Tue. Feb. 25, 2025</w:t>
            </w:r>
          </w:p>
        </w:tc>
        <w:tc>
          <w:tcPr>
            <w:tcW w:type="dxa" w:w="6336"/>
          </w:tcPr>
          <w:p>
            <w:pPr>
              <w:spacing w:after="20"/>
            </w:pPr>
            <w:r/>
            <w:r>
              <w:rPr>
                <w:b w:val="0"/>
                <w:i w:val="0"/>
                <w:sz w:val="15"/>
              </w:rPr>
              <w:t>Initial Reorganized Oakvale Board meeting</w:t>
            </w:r>
          </w:p>
        </w:tc>
        <w:tc>
          <w:tcPr>
            <w:tcW w:type="dxa" w:w="3168"/>
          </w:tcPr>
          <w:p>
            <w:pPr>
              <w:spacing w:after="20"/>
            </w:pPr>
            <w:r/>
            <w:r>
              <w:rPr>
                <w:b w:val="0"/>
                <w:i w:val="0"/>
                <w:sz w:val="15"/>
              </w:rPr>
              <w:t>Plan § 6.02</w:t>
            </w:r>
          </w:p>
        </w:tc>
        <w:tc>
          <w:tcPr>
            <w:tcW w:type="dxa" w:w="2304"/>
          </w:tcPr>
          <w:p>
            <w:pPr>
              <w:spacing w:after="20"/>
            </w:pPr>
            <w:r/>
            <w:r>
              <w:rPr>
                <w:b w:val="0"/>
                <w:i w:val="0"/>
                <w:sz w:val="15"/>
              </w:rPr>
              <w:t>Reorganized Oakvale</w:t>
            </w:r>
          </w:p>
        </w:tc>
      </w:tr>
      <w:tr>
        <w:tc>
          <w:tcPr>
            <w:tcW w:type="dxa" w:w="2160"/>
          </w:tcPr>
          <w:p>
            <w:pPr>
              <w:spacing w:after="20"/>
            </w:pPr>
            <w:r/>
            <w:r>
              <w:rPr>
                <w:b w:val="0"/>
                <w:i w:val="0"/>
                <w:sz w:val="15"/>
              </w:rPr>
              <w:t>ED or ASAP after</w:t>
            </w:r>
          </w:p>
        </w:tc>
        <w:tc>
          <w:tcPr>
            <w:tcW w:type="dxa" w:w="6336"/>
          </w:tcPr>
          <w:p>
            <w:pPr>
              <w:spacing w:after="20"/>
            </w:pPr>
            <w:r/>
            <w:r>
              <w:rPr>
                <w:b w:val="0"/>
                <w:i w:val="0"/>
                <w:sz w:val="15"/>
              </w:rPr>
              <w:t>Distributions commence (New Common Stock, Warrants, Litigation Trust Interests; cash to Classes paid in cash); KERP payments</w:t>
            </w:r>
          </w:p>
        </w:tc>
        <w:tc>
          <w:tcPr>
            <w:tcW w:type="dxa" w:w="3168"/>
          </w:tcPr>
          <w:p>
            <w:pPr>
              <w:spacing w:after="20"/>
            </w:pPr>
            <w:r/>
            <w:r>
              <w:rPr>
                <w:b w:val="0"/>
                <w:i w:val="0"/>
                <w:sz w:val="15"/>
              </w:rPr>
              <w:t>Plan §§ 2.05, 8.02; CO ¶ 43</w:t>
            </w:r>
          </w:p>
        </w:tc>
        <w:tc>
          <w:tcPr>
            <w:tcW w:type="dxa" w:w="2304"/>
          </w:tcPr>
          <w:p>
            <w:pPr>
              <w:spacing w:after="20"/>
            </w:pPr>
            <w:r/>
            <w:r>
              <w:rPr>
                <w:b w:val="0"/>
                <w:i w:val="0"/>
                <w:sz w:val="15"/>
              </w:rPr>
              <w:t>Distribution Agent</w:t>
            </w:r>
          </w:p>
        </w:tc>
      </w:tr>
      <w:tr>
        <w:tc>
          <w:tcPr>
            <w:tcW w:type="dxa" w:w="2160"/>
          </w:tcPr>
          <w:p>
            <w:pPr>
              <w:spacing w:after="20"/>
            </w:pPr>
            <w:r/>
            <w:r>
              <w:rPr>
                <w:b w:val="0"/>
                <w:i w:val="0"/>
                <w:sz w:val="15"/>
              </w:rPr>
              <w:t>Tue. Mar. 4, 2025</w:t>
            </w:r>
          </w:p>
        </w:tc>
        <w:tc>
          <w:tcPr>
            <w:tcW w:type="dxa" w:w="6336"/>
          </w:tcPr>
          <w:p>
            <w:pPr>
              <w:spacing w:after="20"/>
            </w:pPr>
            <w:r/>
            <w:r>
              <w:rPr>
                <w:b w:val="0"/>
                <w:i w:val="0"/>
                <w:sz w:val="15"/>
              </w:rPr>
              <w:t>KERP payments no later than 10 business days after ED</w:t>
            </w:r>
          </w:p>
        </w:tc>
        <w:tc>
          <w:tcPr>
            <w:tcW w:type="dxa" w:w="3168"/>
          </w:tcPr>
          <w:p>
            <w:pPr>
              <w:spacing w:after="20"/>
            </w:pPr>
            <w:r/>
            <w:r>
              <w:rPr>
                <w:b w:val="0"/>
                <w:i w:val="0"/>
                <w:sz w:val="15"/>
              </w:rPr>
              <w:t>KERP Order ¶ 3</w:t>
            </w:r>
          </w:p>
        </w:tc>
        <w:tc>
          <w:tcPr>
            <w:tcW w:type="dxa" w:w="2304"/>
          </w:tcPr>
          <w:p>
            <w:pPr>
              <w:spacing w:after="20"/>
            </w:pPr>
            <w:r/>
            <w:r>
              <w:rPr>
                <w:b w:val="0"/>
                <w:i w:val="0"/>
                <w:sz w:val="15"/>
              </w:rPr>
              <w:t>CFO / payroll</w:t>
            </w:r>
          </w:p>
        </w:tc>
      </w:tr>
      <w:tr>
        <w:tc>
          <w:tcPr>
            <w:tcW w:type="dxa" w:w="2160"/>
          </w:tcPr>
          <w:p>
            <w:pPr>
              <w:spacing w:after="20"/>
            </w:pPr>
            <w:r/>
            <w:r>
              <w:rPr>
                <w:b w:val="0"/>
                <w:i w:val="0"/>
                <w:sz w:val="15"/>
              </w:rPr>
              <w:t>Thu. Mar. 20, 2025</w:t>
            </w:r>
          </w:p>
        </w:tc>
        <w:tc>
          <w:tcPr>
            <w:tcW w:type="dxa" w:w="6336"/>
          </w:tcPr>
          <w:p>
            <w:pPr>
              <w:spacing w:after="20"/>
            </w:pPr>
            <w:r/>
            <w:r>
              <w:rPr>
                <w:b w:val="0"/>
                <w:i w:val="0"/>
                <w:sz w:val="15"/>
              </w:rPr>
              <w:t>Bar date for Administrative Claim requests and rejection damages claims; Litigation Trust Initial Budget to TAB</w:t>
            </w:r>
          </w:p>
        </w:tc>
        <w:tc>
          <w:tcPr>
            <w:tcW w:type="dxa" w:w="3168"/>
          </w:tcPr>
          <w:p>
            <w:pPr>
              <w:spacing w:after="20"/>
            </w:pPr>
            <w:r/>
            <w:r>
              <w:rPr>
                <w:b w:val="0"/>
                <w:i w:val="0"/>
                <w:sz w:val="15"/>
              </w:rPr>
              <w:t>Plan §§ 2.01, 10.03; LTA § 3.06</w:t>
            </w:r>
          </w:p>
        </w:tc>
        <w:tc>
          <w:tcPr>
            <w:tcW w:type="dxa" w:w="2304"/>
          </w:tcPr>
          <w:p>
            <w:pPr>
              <w:spacing w:after="20"/>
            </w:pPr>
            <w:r/>
            <w:r>
              <w:rPr>
                <w:b w:val="0"/>
                <w:i w:val="0"/>
                <w:sz w:val="15"/>
              </w:rPr>
              <w:t>Thornfield; Trustee</w:t>
            </w:r>
          </w:p>
        </w:tc>
      </w:tr>
      <w:tr>
        <w:tc>
          <w:tcPr>
            <w:tcW w:type="dxa" w:w="2160"/>
          </w:tcPr>
          <w:p>
            <w:pPr>
              <w:spacing w:after="20"/>
            </w:pPr>
            <w:r/>
            <w:r>
              <w:rPr>
                <w:b w:val="0"/>
                <w:i w:val="0"/>
                <w:sz w:val="15"/>
              </w:rPr>
              <w:t>Fri. Apr. 4, 2025</w:t>
            </w:r>
          </w:p>
        </w:tc>
        <w:tc>
          <w:tcPr>
            <w:tcW w:type="dxa" w:w="6336"/>
          </w:tcPr>
          <w:p>
            <w:pPr>
              <w:spacing w:after="20"/>
            </w:pPr>
            <w:r/>
            <w:r>
              <w:rPr>
                <w:b w:val="0"/>
                <w:i w:val="0"/>
                <w:sz w:val="15"/>
              </w:rPr>
              <w:t>Final fee applications; IRS Form 8937</w:t>
            </w:r>
          </w:p>
        </w:tc>
        <w:tc>
          <w:tcPr>
            <w:tcW w:type="dxa" w:w="3168"/>
          </w:tcPr>
          <w:p>
            <w:pPr>
              <w:spacing w:after="20"/>
            </w:pPr>
            <w:r/>
            <w:r>
              <w:rPr>
                <w:b w:val="0"/>
                <w:i w:val="0"/>
                <w:sz w:val="15"/>
              </w:rPr>
              <w:t>Plan §§ 2.02, 8.06, 13.08; CO ¶¶ 42, 58</w:t>
            </w:r>
          </w:p>
        </w:tc>
        <w:tc>
          <w:tcPr>
            <w:tcW w:type="dxa" w:w="2304"/>
          </w:tcPr>
          <w:p>
            <w:pPr>
              <w:spacing w:after="20"/>
            </w:pPr>
            <w:r/>
            <w:r>
              <w:rPr>
                <w:b w:val="0"/>
                <w:i w:val="0"/>
                <w:sz w:val="15"/>
              </w:rPr>
              <w:t>All Professionals; Merriweather &amp; Cain</w:t>
            </w:r>
          </w:p>
        </w:tc>
      </w:tr>
      <w:tr>
        <w:tc>
          <w:tcPr>
            <w:tcW w:type="dxa" w:w="2160"/>
          </w:tcPr>
          <w:p>
            <w:pPr>
              <w:spacing w:after="20"/>
            </w:pPr>
            <w:r/>
            <w:r>
              <w:rPr>
                <w:b w:val="0"/>
                <w:i w:val="0"/>
                <w:sz w:val="15"/>
              </w:rPr>
              <w:t>Promptly after ED</w:t>
            </w:r>
          </w:p>
        </w:tc>
        <w:tc>
          <w:tcPr>
            <w:tcW w:type="dxa" w:w="6336"/>
          </w:tcPr>
          <w:p>
            <w:pPr>
              <w:spacing w:after="20"/>
            </w:pPr>
            <w:r/>
            <w:r>
              <w:rPr>
                <w:b w:val="0"/>
                <w:i w:val="0"/>
                <w:sz w:val="15"/>
              </w:rPr>
              <w:t>MIP term sheet finalized (RCFLL and Harwick) and filed with the Court for informational purposes</w:t>
            </w:r>
          </w:p>
        </w:tc>
        <w:tc>
          <w:tcPr>
            <w:tcW w:type="dxa" w:w="3168"/>
          </w:tcPr>
          <w:p>
            <w:pPr>
              <w:spacing w:after="20"/>
            </w:pPr>
            <w:r/>
            <w:r>
              <w:rPr>
                <w:b w:val="0"/>
                <w:i w:val="0"/>
                <w:sz w:val="15"/>
              </w:rPr>
              <w:t>Plan § 5.04; CO ¶ 53</w:t>
            </w:r>
          </w:p>
        </w:tc>
        <w:tc>
          <w:tcPr>
            <w:tcW w:type="dxa" w:w="2304"/>
          </w:tcPr>
          <w:p>
            <w:pPr>
              <w:spacing w:after="20"/>
            </w:pPr>
            <w:r/>
            <w:r>
              <w:rPr>
                <w:b w:val="0"/>
                <w:i w:val="0"/>
                <w:sz w:val="15"/>
              </w:rPr>
              <w:t>Board / RCFLL</w:t>
            </w:r>
          </w:p>
        </w:tc>
      </w:tr>
      <w:tr>
        <w:tc>
          <w:tcPr>
            <w:tcW w:type="dxa" w:w="2160"/>
          </w:tcPr>
          <w:p>
            <w:pPr>
              <w:spacing w:after="20"/>
            </w:pPr>
            <w:r/>
            <w:r>
              <w:rPr>
                <w:b w:val="0"/>
                <w:i w:val="0"/>
                <w:sz w:val="15"/>
              </w:rPr>
              <w:t>Within 30 days of allowance</w:t>
            </w:r>
          </w:p>
        </w:tc>
        <w:tc>
          <w:tcPr>
            <w:tcW w:type="dxa" w:w="6336"/>
          </w:tcPr>
          <w:p>
            <w:pPr>
              <w:spacing w:after="20"/>
            </w:pPr>
            <w:r/>
            <w:r>
              <w:rPr>
                <w:b w:val="0"/>
                <w:i w:val="0"/>
                <w:sz w:val="15"/>
              </w:rPr>
              <w:t>Distributions on Claims Allowed after the ED</w:t>
            </w:r>
          </w:p>
        </w:tc>
        <w:tc>
          <w:tcPr>
            <w:tcW w:type="dxa" w:w="3168"/>
          </w:tcPr>
          <w:p>
            <w:pPr>
              <w:spacing w:after="20"/>
            </w:pPr>
            <w:r/>
            <w:r>
              <w:rPr>
                <w:b w:val="0"/>
                <w:i w:val="0"/>
                <w:sz w:val="15"/>
              </w:rPr>
              <w:t>Plan § 8.02</w:t>
            </w:r>
          </w:p>
        </w:tc>
        <w:tc>
          <w:tcPr>
            <w:tcW w:type="dxa" w:w="2304"/>
          </w:tcPr>
          <w:p>
            <w:pPr>
              <w:spacing w:after="20"/>
            </w:pPr>
            <w:r/>
            <w:r>
              <w:rPr>
                <w:b w:val="0"/>
                <w:i w:val="0"/>
                <w:sz w:val="15"/>
              </w:rPr>
              <w:t>Distribution Agent</w:t>
            </w:r>
          </w:p>
        </w:tc>
      </w:tr>
      <w:tr>
        <w:tc>
          <w:tcPr>
            <w:tcW w:type="dxa" w:w="2160"/>
          </w:tcPr>
          <w:p>
            <w:pPr>
              <w:spacing w:after="20"/>
            </w:pPr>
            <w:r/>
            <w:r>
              <w:rPr>
                <w:b w:val="0"/>
                <w:i w:val="0"/>
                <w:sz w:val="15"/>
              </w:rPr>
              <w:t>Thu. May 15, 2025</w:t>
            </w:r>
          </w:p>
        </w:tc>
        <w:tc>
          <w:tcPr>
            <w:tcW w:type="dxa" w:w="6336"/>
          </w:tcPr>
          <w:p>
            <w:pPr>
              <w:spacing w:after="20"/>
            </w:pPr>
            <w:r/>
            <w:r>
              <w:rPr>
                <w:b w:val="0"/>
                <w:i w:val="0"/>
                <w:sz w:val="15"/>
              </w:rPr>
              <w:t>First Litigation Trust quarterly report (45 days after Q1 end)</w:t>
            </w:r>
          </w:p>
        </w:tc>
        <w:tc>
          <w:tcPr>
            <w:tcW w:type="dxa" w:w="3168"/>
          </w:tcPr>
          <w:p>
            <w:pPr>
              <w:spacing w:after="20"/>
            </w:pPr>
            <w:r/>
            <w:r>
              <w:rPr>
                <w:b w:val="0"/>
                <w:i w:val="0"/>
                <w:sz w:val="15"/>
              </w:rPr>
              <w:t>LTA § 3.06</w:t>
            </w:r>
          </w:p>
        </w:tc>
        <w:tc>
          <w:tcPr>
            <w:tcW w:type="dxa" w:w="2304"/>
          </w:tcPr>
          <w:p>
            <w:pPr>
              <w:spacing w:after="20"/>
            </w:pPr>
            <w:r/>
            <w:r>
              <w:rPr>
                <w:b w:val="0"/>
                <w:i w:val="0"/>
                <w:sz w:val="15"/>
              </w:rPr>
              <w:t>Trustee</w:t>
            </w:r>
          </w:p>
        </w:tc>
      </w:tr>
      <w:tr>
        <w:tc>
          <w:tcPr>
            <w:tcW w:type="dxa" w:w="2160"/>
          </w:tcPr>
          <w:p>
            <w:pPr>
              <w:spacing w:after="20"/>
            </w:pPr>
            <w:r/>
            <w:r>
              <w:rPr>
                <w:b w:val="0"/>
                <w:i w:val="0"/>
                <w:sz w:val="15"/>
              </w:rPr>
              <w:t>Mon. Aug. 18, 2025</w:t>
            </w:r>
          </w:p>
        </w:tc>
        <w:tc>
          <w:tcPr>
            <w:tcW w:type="dxa" w:w="6336"/>
          </w:tcPr>
          <w:p>
            <w:pPr>
              <w:spacing w:after="20"/>
            </w:pPr>
            <w:r/>
            <w:r>
              <w:rPr>
                <w:b w:val="0"/>
                <w:i w:val="0"/>
                <w:sz w:val="15"/>
              </w:rPr>
              <w:t>Undeliverable distributions forfeited (180 days after ED, rolled from Sunday Aug. 17)</w:t>
            </w:r>
          </w:p>
        </w:tc>
        <w:tc>
          <w:tcPr>
            <w:tcW w:type="dxa" w:w="3168"/>
          </w:tcPr>
          <w:p>
            <w:pPr>
              <w:spacing w:after="20"/>
            </w:pPr>
            <w:r/>
            <w:r>
              <w:rPr>
                <w:b w:val="0"/>
                <w:i w:val="0"/>
                <w:sz w:val="15"/>
              </w:rPr>
              <w:t>Plan §§ 1.03, 8.05</w:t>
            </w:r>
          </w:p>
        </w:tc>
        <w:tc>
          <w:tcPr>
            <w:tcW w:type="dxa" w:w="2304"/>
          </w:tcPr>
          <w:p>
            <w:pPr>
              <w:spacing w:after="20"/>
            </w:pPr>
            <w:r/>
            <w:r>
              <w:rPr>
                <w:b w:val="0"/>
                <w:i w:val="0"/>
                <w:sz w:val="15"/>
              </w:rPr>
              <w:t>Distribution Agent</w:t>
            </w:r>
          </w:p>
        </w:tc>
      </w:tr>
      <w:tr>
        <w:tc>
          <w:tcPr>
            <w:tcW w:type="dxa" w:w="2160"/>
          </w:tcPr>
          <w:p>
            <w:pPr>
              <w:spacing w:after="20"/>
            </w:pPr>
            <w:r/>
            <w:r>
              <w:rPr>
                <w:b w:val="0"/>
                <w:i w:val="0"/>
                <w:sz w:val="15"/>
              </w:rPr>
              <w:t>Quarterly until closing</w:t>
            </w:r>
          </w:p>
        </w:tc>
        <w:tc>
          <w:tcPr>
            <w:tcW w:type="dxa" w:w="6336"/>
          </w:tcPr>
          <w:p>
            <w:pPr>
              <w:spacing w:after="20"/>
            </w:pPr>
            <w:r/>
            <w:r>
              <w:rPr>
                <w:b w:val="0"/>
                <w:i w:val="0"/>
                <w:sz w:val="15"/>
              </w:rPr>
              <w:t>U.S. Trustee quarterly fees and post-confirmation reports</w:t>
            </w:r>
          </w:p>
        </w:tc>
        <w:tc>
          <w:tcPr>
            <w:tcW w:type="dxa" w:w="3168"/>
          </w:tcPr>
          <w:p>
            <w:pPr>
              <w:spacing w:after="20"/>
            </w:pPr>
            <w:r/>
            <w:r>
              <w:rPr>
                <w:b w:val="0"/>
                <w:i w:val="0"/>
                <w:sz w:val="15"/>
              </w:rPr>
              <w:t>Plan § 13.05</w:t>
            </w:r>
          </w:p>
        </w:tc>
        <w:tc>
          <w:tcPr>
            <w:tcW w:type="dxa" w:w="2304"/>
          </w:tcPr>
          <w:p>
            <w:pPr>
              <w:spacing w:after="20"/>
            </w:pPr>
            <w:r/>
            <w:r>
              <w:rPr>
                <w:b w:val="0"/>
                <w:i w:val="0"/>
                <w:sz w:val="15"/>
              </w:rPr>
              <w:t>Reorganized Oakvale</w:t>
            </w:r>
          </w:p>
        </w:tc>
      </w:tr>
      <w:tr>
        <w:tc>
          <w:tcPr>
            <w:tcW w:type="dxa" w:w="2160"/>
          </w:tcPr>
          <w:p>
            <w:pPr>
              <w:spacing w:after="20"/>
            </w:pPr>
            <w:r/>
            <w:r>
              <w:rPr>
                <w:b w:val="0"/>
                <w:i w:val="0"/>
                <w:sz w:val="15"/>
              </w:rPr>
              <w:t>Next federal return</w:t>
            </w:r>
          </w:p>
        </w:tc>
        <w:tc>
          <w:tcPr>
            <w:tcW w:type="dxa" w:w="6336"/>
          </w:tcPr>
          <w:p>
            <w:pPr>
              <w:spacing w:after="20"/>
            </w:pPr>
            <w:r/>
            <w:r>
              <w:rPr>
                <w:b w:val="0"/>
                <w:i w:val="0"/>
                <w:sz w:val="15"/>
              </w:rPr>
              <w:t>§ 382(l)(5) election, if eligible</w:t>
            </w:r>
          </w:p>
        </w:tc>
        <w:tc>
          <w:tcPr>
            <w:tcW w:type="dxa" w:w="3168"/>
          </w:tcPr>
          <w:p>
            <w:pPr>
              <w:spacing w:after="20"/>
            </w:pPr>
            <w:r/>
            <w:r>
              <w:rPr>
                <w:b w:val="0"/>
                <w:i w:val="0"/>
                <w:sz w:val="15"/>
              </w:rPr>
              <w:t>Plan § 13.08</w:t>
            </w:r>
          </w:p>
        </w:tc>
        <w:tc>
          <w:tcPr>
            <w:tcW w:type="dxa" w:w="2304"/>
          </w:tcPr>
          <w:p>
            <w:pPr>
              <w:spacing w:after="20"/>
            </w:pPr>
            <w:r/>
            <w:r>
              <w:rPr>
                <w:b w:val="0"/>
                <w:i w:val="0"/>
                <w:sz w:val="15"/>
              </w:rPr>
              <w:t>Merriweather &amp; Cain</w:t>
            </w:r>
          </w:p>
        </w:tc>
      </w:tr>
      <w:tr>
        <w:tc>
          <w:tcPr>
            <w:tcW w:type="dxa" w:w="2160"/>
          </w:tcPr>
          <w:p>
            <w:pPr>
              <w:spacing w:after="20"/>
            </w:pPr>
            <w:r/>
            <w:r>
              <w:rPr>
                <w:b w:val="0"/>
                <w:i w:val="0"/>
                <w:sz w:val="15"/>
              </w:rPr>
              <w:t>Aug. 2026 / Feb. 2030</w:t>
            </w:r>
          </w:p>
        </w:tc>
        <w:tc>
          <w:tcPr>
            <w:tcW w:type="dxa" w:w="6336"/>
          </w:tcPr>
          <w:p>
            <w:pPr>
              <w:spacing w:after="20"/>
            </w:pPr>
            <w:r/>
            <w:r>
              <w:rPr>
                <w:b w:val="0"/>
                <w:i w:val="0"/>
                <w:sz w:val="15"/>
              </w:rPr>
              <w:t>SHA 18-month transfer restrictions lapse (Aug. 18, 2026); Series A Warrants expire (Feb. 18, 2030)</w:t>
            </w:r>
          </w:p>
        </w:tc>
        <w:tc>
          <w:tcPr>
            <w:tcW w:type="dxa" w:w="3168"/>
          </w:tcPr>
          <w:p>
            <w:pPr>
              <w:spacing w:after="20"/>
            </w:pPr>
            <w:r/>
            <w:r>
              <w:rPr>
                <w:b w:val="0"/>
                <w:i w:val="0"/>
                <w:sz w:val="15"/>
              </w:rPr>
              <w:t>Plan §§ 1.01, 5.03</w:t>
            </w:r>
          </w:p>
        </w:tc>
        <w:tc>
          <w:tcPr>
            <w:tcW w:type="dxa" w:w="2304"/>
          </w:tcPr>
          <w:p>
            <w:pPr>
              <w:spacing w:after="20"/>
            </w:pPr>
            <w:r/>
            <w:r>
              <w:rPr>
                <w:b w:val="0"/>
                <w:i w:val="0"/>
                <w:sz w:val="15"/>
              </w:rPr>
              <w:t>Reorganized Oakvale</w:t>
            </w:r>
          </w:p>
        </w:tc>
      </w:tr>
      <w:tr>
        <w:tc>
          <w:tcPr>
            <w:tcW w:type="dxa" w:w="2160"/>
          </w:tcPr>
          <w:p>
            <w:pPr>
              <w:spacing w:after="20"/>
            </w:pPr>
            <w:r/>
            <w:r>
              <w:rPr>
                <w:b w:val="0"/>
                <w:i w:val="0"/>
                <w:sz w:val="15"/>
              </w:rPr>
              <w:t>When distributions complete</w:t>
            </w:r>
          </w:p>
        </w:tc>
        <w:tc>
          <w:tcPr>
            <w:tcW w:type="dxa" w:w="6336"/>
          </w:tcPr>
          <w:p>
            <w:pPr>
              <w:spacing w:after="20"/>
            </w:pPr>
            <w:r/>
            <w:r>
              <w:rPr>
                <w:b w:val="0"/>
                <w:i w:val="0"/>
                <w:sz w:val="15"/>
              </w:rPr>
              <w:t>Motion for final decree</w:t>
            </w:r>
          </w:p>
        </w:tc>
        <w:tc>
          <w:tcPr>
            <w:tcW w:type="dxa" w:w="3168"/>
          </w:tcPr>
          <w:p>
            <w:pPr>
              <w:spacing w:after="20"/>
            </w:pPr>
            <w:r/>
            <w:r>
              <w:rPr>
                <w:b w:val="0"/>
                <w:i w:val="0"/>
                <w:sz w:val="15"/>
              </w:rPr>
              <w:t>Plan § 13.12; CO ¶ 72(h)</w:t>
            </w:r>
          </w:p>
        </w:tc>
        <w:tc>
          <w:tcPr>
            <w:tcW w:type="dxa" w:w="2304"/>
          </w:tcPr>
          <w:p>
            <w:pPr>
              <w:spacing w:after="20"/>
            </w:pPr>
            <w:r/>
            <w:r>
              <w:rPr>
                <w:b w:val="0"/>
                <w:i w:val="0"/>
                <w:sz w:val="15"/>
              </w:rPr>
              <w:t>Thornfield</w:t>
            </w:r>
          </w:p>
        </w:tc>
      </w:tr>
    </w:tbl>
    <w:p>
      <w:pPr>
        <w:spacing w:after="40"/>
      </w:pPr>
    </w:p>
    <w:p>
      <w:pPr>
        <w:pStyle w:val="Heading1"/>
      </w:pPr>
      <w:r>
        <w:rPr>
          <w:color w:val="1F3864"/>
        </w:rPr>
        <w:t>12. Open Information Requests</w:t>
      </w:r>
    </w:p>
    <w:p>
      <w:pPr>
        <w:pStyle w:val="ListBullet"/>
        <w:spacing w:after="40"/>
      </w:pPr>
      <w:r>
        <w:rPr>
          <w:b w:val="0"/>
          <w:i w:val="0"/>
          <w:sz w:val="18"/>
        </w:rPr>
        <w:t>Current drafts and issues lists for the Exit Term Loan CA, Exit ABL CA, Intercreditor Agreement and all collateral documents; lenders’ closing checklists; Fee Letter amounts; confirmation whether any flex notice was delivered by February 3.</w:t>
      </w:r>
    </w:p>
    <w:p>
      <w:pPr>
        <w:pStyle w:val="ListBullet"/>
        <w:spacing w:after="40"/>
      </w:pPr>
      <w:r>
        <w:rPr>
          <w:b w:val="0"/>
          <w:i w:val="0"/>
          <w:sz w:val="18"/>
        </w:rPr>
        <w:t>Outcome of the February 7 principals call and each party’s current ICA position.</w:t>
      </w:r>
    </w:p>
    <w:p>
      <w:pPr>
        <w:pStyle w:val="ListBullet"/>
        <w:spacing w:after="40"/>
      </w:pPr>
      <w:r>
        <w:rPr>
          <w:b w:val="0"/>
          <w:i w:val="0"/>
          <w:sz w:val="18"/>
        </w:rPr>
        <w:t>Kepler lease and invoices supporting the $180,000 late fees and $100,000 maintenance surcharges; Kepler’s settlement posture.</w:t>
      </w:r>
    </w:p>
    <w:p>
      <w:pPr>
        <w:pStyle w:val="ListBullet"/>
        <w:spacing w:after="40"/>
      </w:pPr>
      <w:r>
        <w:rPr>
          <w:b w:val="0"/>
          <w:i w:val="0"/>
          <w:sz w:val="18"/>
        </w:rPr>
        <w:t>Complete DNREC permit inventory and permit transfer/change-of-ownership provisions; government contracts counsel’s written analysis of MIL-V-24509 and related defense contracts.</w:t>
      </w:r>
    </w:p>
    <w:p>
      <w:pPr>
        <w:pStyle w:val="ListBullet"/>
        <w:spacing w:after="40"/>
      </w:pPr>
      <w:r>
        <w:rPr>
          <w:b w:val="0"/>
          <w:i w:val="0"/>
          <w:sz w:val="18"/>
        </w:rPr>
        <w:t>Professional fee estimates through the ED from every retained Professional (Debtor and Committee).</w:t>
      </w:r>
    </w:p>
    <w:p>
      <w:pPr>
        <w:pStyle w:val="ListBullet"/>
        <w:spacing w:after="40"/>
      </w:pPr>
      <w:r>
        <w:rPr>
          <w:b w:val="0"/>
          <w:i w:val="0"/>
          <w:sz w:val="18"/>
        </w:rPr>
        <w:t>Signed or marked-up Vincenzo Acceptance; Committee designations for the Trust Advisory Board; status of any application for the Court-appointed TAB member.</w:t>
      </w:r>
    </w:p>
    <w:p>
      <w:pPr>
        <w:pStyle w:val="ListBullet"/>
        <w:spacing w:after="40"/>
      </w:pPr>
      <w:r>
        <w:rPr>
          <w:b w:val="0"/>
          <w:i w:val="0"/>
          <w:sz w:val="18"/>
        </w:rPr>
        <w:t>Sentinel binder terms and policy form; Holder registers as of the Distribution Record Date (First Lien Agent, Second Lien Agent, Indenture Trustee, claims agent) for the Tax Opinion and HSR analysis.</w:t>
      </w:r>
    </w:p>
    <w:p>
      <w:pPr>
        <w:pStyle w:val="ListBullet"/>
        <w:spacing w:after="40"/>
      </w:pPr>
      <w:r>
        <w:rPr>
          <w:b w:val="0"/>
          <w:i w:val="0"/>
          <w:sz w:val="18"/>
        </w:rPr>
        <w:t>Identity of Required Consenting First Lien Lenders (PSA of September 6, 2024, as amended) and their counsel for written consents and waivers.</w:t>
      </w:r>
    </w:p>
    <w:p>
      <w:pPr>
        <w:pStyle w:val="ListBullet"/>
        <w:spacing w:after="40"/>
      </w:pPr>
      <w:r>
        <w:rPr>
          <w:b w:val="0"/>
          <w:i w:val="0"/>
          <w:sz w:val="18"/>
        </w:rPr>
        <w:t>Delaware Secretary of State record of the Debtor’s exact legal name; Warrant Agreement draft; transfer agent and DTC arrangements.</w:t>
      </w:r>
    </w:p>
    <w:p>
      <w:pPr>
        <w:spacing w:after="80"/>
      </w:pPr>
      <w:r>
        <w:rPr>
          <w:b w:val="0"/>
          <w:i/>
          <w:sz w:val="16"/>
        </w:rPr>
        <w:t>This checklist is a working draft based solely on the documents listed in the opening table and should be updated as each item is closed. It does not reflect facts outside those documents. Calendar computations should be re-verified before reliance.</w:t>
      </w:r>
    </w:p>
    <w:sectPr w:rsidR="00FC693F" w:rsidRPr="0006063C" w:rsidSect="00034616">
      <w:headerReference w:type="default" r:id="rId9"/>
      <w:footerReference w:type="default" r:id="rId10"/>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7F7F7F"/>
        <w:sz w:val="16"/>
      </w:rPr>
      <w:t xml:space="preserve">In re Oakvale Industrial Holdings, Inc., Case No. 24-10387-KBO (Bankr. D. Del.) | Effective Date Conditions Checklist | 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val="0"/>
        <w:i w:val="0"/>
        <w:color w:val="7F7F7F"/>
        <w:sz w:val="14"/>
      </w:rPr>
      <w:t>PRIVILEGED &amp; CONFIDENTIAL | ATTORNEY-CLIENT COMMUNICATION / ATTORNEY WORK PRODUCT | DRAFT FOR DEAL-TEAM DISCUSSION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Effective Date Conditions Checklist and Status Dashboard</dc:title>
  <dc:subject/>
  <dc:creator>Thornfield &amp; Associates LLP</dc:creator>
  <cp:keywords/>
  <dc:description>generated by python-docx</dc:description>
  <cp:lastModifiedBy/>
  <cp:revision>1</cp:revision>
  <dcterms:created xsi:type="dcterms:W3CDTF">2013-12-23T23:15:00Z</dcterms:created>
  <dcterms:modified xsi:type="dcterms:W3CDTF">2013-12-23T23:15:00Z</dcterms:modified>
  <cp:category/>
</cp:coreProperties>
</file>