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2"/>
        </w:rPr>
        <w:t>MEMORANDUM</w:t>
      </w:r>
    </w:p>
    <w:p>
      <w:pPr>
        <w:jc w:val="center"/>
      </w:pPr>
      <w:r>
        <w:rPr>
          <w:b/>
          <w:sz w:val="24"/>
        </w:rPr>
        <w:t>DIP Credit Agreement Issues List – Redstone Manufacturing Holdings, Inc.</w:t>
      </w:r>
    </w:p>
    <w:tbl>
      <w:tblPr>
        <w:tblW w:type="auto" w:w="0"/>
        <w:tblLook w:firstColumn="1" w:firstRow="1" w:lastColumn="0" w:lastRow="0" w:noHBand="0" w:noVBand="1" w:val="04A0"/>
      </w:tblPr>
      <w:tblGrid>
        <w:gridCol w:w="4680"/>
        <w:gridCol w:w="4680"/>
      </w:tblGrid>
      <w:tr>
        <w:tc>
          <w:tcPr>
            <w:tcW w:type="dxa" w:w="1728"/>
          </w:tcPr>
          <w:p>
            <w:pPr>
              <w:spacing w:after="0"/>
            </w:pPr>
            <w:r/>
            <w:r>
              <w:rPr>
                <w:b/>
              </w:rPr>
              <w:t>TO:</w:t>
            </w:r>
          </w:p>
        </w:tc>
        <w:tc>
          <w:tcPr>
            <w:tcW w:type="dxa" w:w="7632"/>
          </w:tcPr>
          <w:p>
            <w:pPr>
              <w:spacing w:after="0"/>
            </w:pPr>
            <w:r/>
            <w:r>
              <w:rPr>
                <w:b w:val="0"/>
              </w:rPr>
              <w:t>Supervising Partner</w:t>
            </w:r>
          </w:p>
        </w:tc>
      </w:tr>
      <w:tr>
        <w:tc>
          <w:tcPr>
            <w:tcW w:type="dxa" w:w="1728"/>
          </w:tcPr>
          <w:p>
            <w:pPr>
              <w:spacing w:after="0"/>
            </w:pPr>
            <w:r/>
            <w:r>
              <w:rPr>
                <w:b/>
              </w:rPr>
              <w:t>FROM:</w:t>
            </w:r>
          </w:p>
        </w:tc>
        <w:tc>
          <w:tcPr>
            <w:tcW w:type="dxa" w:w="7632"/>
          </w:tcPr>
          <w:p>
            <w:pPr>
              <w:spacing w:after="0"/>
            </w:pPr>
            <w:r/>
            <w:r>
              <w:rPr>
                <w:b w:val="0"/>
              </w:rPr>
              <w:t>Restructuring Associate</w:t>
            </w:r>
          </w:p>
        </w:tc>
      </w:tr>
      <w:tr>
        <w:tc>
          <w:tcPr>
            <w:tcW w:type="dxa" w:w="1728"/>
          </w:tcPr>
          <w:p>
            <w:pPr>
              <w:spacing w:after="0"/>
            </w:pPr>
            <w:r/>
            <w:r>
              <w:rPr>
                <w:b/>
              </w:rPr>
              <w:t>RE:</w:t>
            </w:r>
          </w:p>
        </w:tc>
        <w:tc>
          <w:tcPr>
            <w:tcW w:type="dxa" w:w="7632"/>
          </w:tcPr>
          <w:p>
            <w:pPr>
              <w:spacing w:after="0"/>
            </w:pPr>
            <w:r/>
            <w:r>
              <w:rPr>
                <w:b w:val="0"/>
              </w:rPr>
              <w:t>In re Redstone Manufacturing Holdings, Inc., Case No. 25-10347 (JKW) (Bankr. D. Del.) – Issues in the Senior Secured Superpriority DIP Credit Agreement with Ironclad Capital Partners, LLC</w:t>
            </w:r>
          </w:p>
        </w:tc>
      </w:tr>
      <w:tr>
        <w:tc>
          <w:tcPr>
            <w:tcW w:type="dxa" w:w="1728"/>
          </w:tcPr>
          <w:p>
            <w:pPr>
              <w:spacing w:after="0"/>
            </w:pPr>
            <w:r/>
            <w:r>
              <w:rPr>
                <w:b/>
              </w:rPr>
              <w:t>CONTEXT:</w:t>
            </w:r>
          </w:p>
        </w:tc>
        <w:tc>
          <w:tcPr>
            <w:tcW w:type="dxa" w:w="7632"/>
          </w:tcPr>
          <w:p>
            <w:pPr>
              <w:spacing w:after="0"/>
            </w:pPr>
            <w:r/>
            <w:r>
              <w:rPr>
                <w:b w:val="0"/>
              </w:rPr>
              <w:t>Prepared ahead of the Final Hearing set for April 18, 2025 (objection deadline April 11, 2025, per Interim Order ¶ 26)</w:t>
            </w:r>
          </w:p>
        </w:tc>
      </w:tr>
      <w:tr>
        <w:tc>
          <w:tcPr>
            <w:tcW w:type="dxa" w:w="1728"/>
          </w:tcPr>
          <w:p>
            <w:pPr>
              <w:spacing w:after="0"/>
            </w:pPr>
            <w:r/>
            <w:r>
              <w:rPr>
                <w:b/>
              </w:rPr>
              <w:t>PRIVILEGED:</w:t>
            </w:r>
          </w:p>
        </w:tc>
        <w:tc>
          <w:tcPr>
            <w:tcW w:type="dxa" w:w="7632"/>
          </w:tcPr>
          <w:p>
            <w:pPr>
              <w:spacing w:after="0"/>
            </w:pPr>
            <w:r/>
            <w:r>
              <w:rPr>
                <w:b w:val="0"/>
              </w:rPr>
              <w:t>Attorney work product – prepared in anticipation of litigation</w:t>
            </w:r>
          </w:p>
        </w:tc>
      </w:tr>
    </w:tbl>
    <w:p/>
    <w:p>
      <w:pPr>
        <w:pStyle w:val="Heading1"/>
      </w:pPr>
      <w:r>
        <w:t>I. Scope, Documents Reviewed, and Approach</w:t>
      </w:r>
    </w:p>
    <w:p>
      <w:r>
        <w:rPr>
          <w:i w:val="0"/>
        </w:rPr>
        <w:t>You asked me to review the DIP Credit Agreement dated as of March 14, 2025 (the “DIP Agreement” or “CA”) among Redstone Manufacturing Holdings, Inc. (“Redstone” or the “Borrower”), the Subsidiary Guarantors, and Ironclad Capital Partners, LLC (“Ironclad”), as DIP Lender and DIP Agent, and to flag provisions that are problematic, off-market, or inconsistent with each other or with the rest of the case record. I reviewed the full text of each of the following: (1) the DIP Agreement, with its exhibits and schedules; (2) the Ironclad Term Sheet dated March 10, 2025 (“TS”); (3) the Interim DIP Order entered March 19, 2025 (“IO”); (4) the Declaration of Marcus Holt dated March 17, 2025 (“Holt Decl.”); (5) the excerpts from the Pre-Petition Second Lien Term Loan Credit Agreement (“2L CA”); and (6) the 13-week DIP Budget workbook (Summary, Detail, and Assumptions tabs) (“Budget”).</w:t>
      </w:r>
    </w:p>
    <w:p>
      <w:r>
        <w:rPr>
          <w:i w:val="0"/>
        </w:rPr>
        <w:t>This memorandum is written from the estate’s perspective, meaning the issues the Debtor’s fiduciaries must resolve and the objections we should expect from the U.S. Trustee, an official committee (the “Committee”), Hollcroft Ventures National Bank, N.A. (“Hollcroft”), and the seven non-Ironclad second-lien lenders. Unless I say otherwise, section references are to the DIP Agreement. Severity ratings work as follows. High: a provision likely to block approval, expose the estate to material value loss, or create a legal defect. Medium: off-market, or a likely objection we should negotiate. Low: a drafting or conforming point. My statements about “market” practice reflect general experience with middle-market Delaware DIP facilities. Statutory and rule references should be cite-checked, including against the current text of Del. Bankr. L.R. 4001-2, before anything is filed.</w:t>
      </w:r>
    </w:p>
    <w:p>
      <w:pPr>
        <w:pStyle w:val="Heading1"/>
      </w:pPr>
      <w:r>
        <w:t>II. Executive Summary</w:t>
      </w:r>
    </w:p>
    <w:p>
      <w:r>
        <w:rPr>
          <w:i w:val="0"/>
        </w:rPr>
        <w:t>The DIP Agreement is drafted heavily in the lender’s favor, and in several places it is internally inconsistent. Ironclad is not a neutral third-party lender. It is the 66% holder of, and the agent under, the second-lien debt. It uses the facility to (i) lift $35 million of its own junior debt ahead of the $93.3 million first lien and ahead of its fellow second-lien lenders, (ii) obtain stipulations and releases that bind the estate on a timetable that ends before any investigation can be completed, and (iii) take control of the sale process. On new money alone the economics are severe. The issues that most need attention are:</w:t>
      </w:r>
    </w:p>
    <w:p>
      <w:pPr>
        <w:pStyle w:val="ListNumber"/>
      </w:pPr>
      <w:r>
        <w:rPr>
          <w:b/>
        </w:rPr>
        <w:t xml:space="preserve">Debtor-entity mismatch (High). </w:t>
      </w:r>
      <w:r>
        <w:t>The DIP Agreement (Recital A) and the Interim Order treat Redstone as the only debtor, and say the three subsidiaries have not filed. Yet the subsidiaries grant “first-priority priming” liens under § 364(d) (§§ 2.07, 11.04; IO ¶ 5(a)(i)). The Holt Declaration says all four entities filed and are jointly administered. Either way, the documents are defective. If the subsidiaries did not file, the Court has no § 364 power over their assets, and they cannot prime Hollcroft’s or the second lien’s liens on those assets without consent. If they did file, they are not parties to the Interim Order, and the Superpriority Claims run only against Redstone’s estate. The Budget shows that 100% of operating receipts are collected by the subsidiaries.</w:t>
      </w:r>
    </w:p>
    <w:p>
      <w:pPr>
        <w:pStyle w:val="ListNumber"/>
      </w:pPr>
      <w:r>
        <w:rPr>
          <w:b/>
        </w:rPr>
        <w:t xml:space="preserve">Roll-up (High). </w:t>
      </w:r>
      <w:r>
        <w:t>$35 million of Ironclad’s own second-lien debt (and none of the other holders’ debt) becomes priming, first-priority DIP debt senior to Hollcroft’s first lien (§ 2.02). That is 1.75x the $20 million new-money commitment, and 8.75x the $4.0 million of new money the Budget actually projects drawing in the first 13 weeks. $5 million rolls on an interim basis. The roll-up appears to breach the 2L CA’s pro rata and sacred-rights provisions (2L CA §§ 2.11, 9.03(d), 11.02(b)(v), (vii), (d)) and its payment subordination to the first lien (2L CA §§ 9.01, 9.03(a), (c)).</w:t>
      </w:r>
    </w:p>
    <w:p>
      <w:pPr>
        <w:pStyle w:val="ListNumber"/>
      </w:pPr>
      <w:r>
        <w:rPr>
          <w:b/>
        </w:rPr>
        <w:t xml:space="preserve">Non-Ironclad second-lien lenders primed with no adequate protection (High). </w:t>
      </w:r>
      <w:r>
        <w:t>Section 5.04(b) is “Reserved.” The 2L CA’s consent to priming applies only if all second-lien lenders receive adequate protection pro rata (2L CA §§ 9.05(c), 9.06). Section 364(d)(1)(B) is not satisfied as to the $32.3 million held by the seven other lenders.</w:t>
      </w:r>
    </w:p>
    <w:p>
      <w:pPr>
        <w:pStyle w:val="ListNumber"/>
      </w:pPr>
      <w:r>
        <w:rPr>
          <w:b/>
        </w:rPr>
        <w:t xml:space="preserve">Stipulations, releases and challenge period (High). </w:t>
      </w:r>
      <w:r>
        <w:t>The Committee gets 30 days from its appointment (the TS said 60 days), no other party has standing, and the DIP Agreement provides $0 for investigation (the IO allows $25,000). The Final Order, due April 18, must embed the stipulation as Court findings (§ 3.02(b)). That is before the Investigation Period even expires, about May 4, 2025, on the Holt Declaration’s own projected April 4 Committee formation date. Section 9.15(b) also releases unknown claims, including equitable subordination under § 510, in favor of Ironclad and its affiliates.</w:t>
      </w:r>
    </w:p>
    <w:p>
      <w:pPr>
        <w:pStyle w:val="ListNumber"/>
      </w:pPr>
      <w:r>
        <w:rPr>
          <w:b/>
        </w:rPr>
        <w:t xml:space="preserve">Economics (High/Medium). </w:t>
      </w:r>
      <w:r>
        <w:t>The Upfront Fee (3.00%) and Exit Fee (2.50%) are charged on the full $55 million, including the roll-up. Together they total $3,025,000, which is 15.1% of the new-money commitment; $1,925,000 of that is attributable to the roll-up alone. The Exit Fee is owed on any termination, including conversion, dismissal or a refinancing. The Agent Fee is $600,000 a year, paid in advance to a sole lender that is also the agent. Default interest is +400 bps and compounds. The rolled-up debt is repriced from the 2L CA’s SOFR+575 bps with a 1.00% floor to SOFR+850 bps with a 3.50% floor.</w:t>
      </w:r>
    </w:p>
    <w:p>
      <w:pPr>
        <w:pStyle w:val="ListNumber"/>
      </w:pPr>
      <w:r>
        <w:rPr>
          <w:b/>
        </w:rPr>
        <w:t xml:space="preserve">Lender professional fees (High). </w:t>
      </w:r>
      <w:r>
        <w:t>Lender professional fees are uncapped and paid within 10 Business Days. They are expressly free of any review by the U.S. Trustee, the Committee or the Court, and are payable “without regard to … any order of the Bankruptcy Court” (§§ 2.09(c), 5.03, 9.03(a)). They cover Ironclad’s defense of its pre-petition second-lien position, and the estate also indemnifies Ironclad for the Chapter 11 Case generally (§ 9.03(b)).</w:t>
      </w:r>
    </w:p>
    <w:p>
      <w:pPr>
        <w:pStyle w:val="ListNumber"/>
      </w:pPr>
      <w:r>
        <w:rPr>
          <w:b/>
        </w:rPr>
        <w:t xml:space="preserve">Carve-Out (High/Medium). </w:t>
      </w:r>
      <w:r>
        <w:t>Under the DIP Agreement, the pre-trigger Carve-Out is capped by the Approved Budget. The Interim Order makes it uncapped. The Budget’s single $3.2 million professional-fee line mixes in the uncapped lender fees. The Committee receives only $250,000 against the Debtor’s $1.5 million. There is no Chapter 7 trustee carve-out and no investigation budget.</w:t>
      </w:r>
    </w:p>
    <w:p>
      <w:pPr>
        <w:pStyle w:val="ListNumber"/>
      </w:pPr>
      <w:r>
        <w:rPr>
          <w:b/>
        </w:rPr>
        <w:t xml:space="preserve">Sale process control (High). </w:t>
      </w:r>
      <w:r>
        <w:t>Ironclad must be designated stalking horse, with a 3.5% break-up fee plus up to $2 million of expense reimbursement (§ 8.05). It may credit bid up to $82.7 million plus interest and fees, including $27.7 million of un-rolled second-lien debt that is junior to the first lien (§ 8.04). The Borrower must “actively oppose” any limit on the credit bid, and the Court’s refusal to approve credit-bid rights is itself an Event of Default (§ 7.01(s)).</w:t>
      </w:r>
    </w:p>
    <w:p>
      <w:pPr>
        <w:pStyle w:val="ListNumber"/>
      </w:pPr>
      <w:r>
        <w:rPr>
          <w:b/>
        </w:rPr>
        <w:t xml:space="preserve">Defaults and remedies (High/Medium). </w:t>
      </w:r>
      <w:r>
        <w:t>Several defaults are hair-triggers. Three examples: a cross-default that pre-petition defaults already trip (§ 7.01(u)); a “sole discretion” MAE that includes “prospects” and has no carve-out for the Chapter 11 filing, which makes the § 4.04(b) representation untrue when made; and defaults triggered merely by third parties filing motions (§ 7.01(i), (j), (aa)). The variance test is two-sided with no cure period. The Borrower may not even talk to alternative lenders (§ 6.07(c)). Ironclad holds a veto over estate professionals (§ 6.08). The remedies standstill is narrower than the Interim Order’s.</w:t>
      </w:r>
    </w:p>
    <w:p>
      <w:pPr>
        <w:pStyle w:val="ListNumber"/>
      </w:pPr>
      <w:r>
        <w:rPr>
          <w:b/>
        </w:rPr>
        <w:t xml:space="preserve">Budget arithmetic errors (High). </w:t>
      </w:r>
      <w:r>
        <w:t>The weekly disbursements sum to $57.4 million, not the $56.4 million stated in the DIP Agreement, the Interim Order and the Holt Declaration. The true 13-week burn is therefore $4.6 million, not $3.6 million. Week 1 “Net Cash Flow After Financing” is overstated by $1.3 million. Correctly computed, ending cash is about $2.6 million, not $3.9 million. All variance testing runs against this flawed budget.</w:t>
      </w:r>
    </w:p>
    <w:p>
      <w:pPr>
        <w:pStyle w:val="ListNumber"/>
      </w:pPr>
      <w:r>
        <w:rPr>
          <w:b/>
        </w:rPr>
        <w:t xml:space="preserve">Wrong-document and identity errors (Medium). </w:t>
      </w:r>
      <w:r>
        <w:t>The DIP Agreement misdates the Pre-Petition Second Lien Credit Agreement (October 15, 2020, versus the actual June 15, 2021) and the First Lien Credit Agreement (June 22, 2018, versus March 22, 2019 per the 2L CA). It conflicts with the Interim Order on its own date (March 14 versus March 19) and its parties. Facility locations and EINs conflict across the documents. These errors go directly to the stipulations, the collateral descriptions and the mortgages.</w:t>
      </w:r>
    </w:p>
    <w:p>
      <w:r>
        <w:rPr>
          <w:i w:val="0"/>
        </w:rPr>
        <w:t>Bottom line: the facility should not be approved on a final basis in its current form. The highest-value negotiating points are the roll-up (its size, pro rata treatment and an unwind remedy), the challenge period and the stipulation and release, the fee base, the Carve-Out and the lender-fee review procedure, and the sale-process controls. The entity-structure and Budget errors must be fixed regardless of where the negotiations land, because they go to whether the facility can be approved at all and whether it is adequately sized.</w:t>
      </w:r>
    </w:p>
    <w:p>
      <w:pPr>
        <w:pStyle w:val="Heading1"/>
      </w:pPr>
      <w:r>
        <w:t>III. Key Terms and Figures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2736"/>
            <w:shd w:val="clear" w:color="auto" w:fill="1F3A5F"/>
          </w:tcPr>
          <w:p>
            <w:pPr>
              <w:spacing w:after="0"/>
            </w:pPr>
            <w:r>
              <w:rPr>
                <w:color w:val="FFFFFF"/>
              </w:rPr>
            </w:r>
            <w:r>
              <w:rPr>
                <w:b/>
                <w:sz w:val="18"/>
              </w:rPr>
              <w:t>Item</w:t>
            </w:r>
          </w:p>
        </w:tc>
        <w:tc>
          <w:tcPr>
            <w:tcW w:type="dxa" w:w="6624"/>
            <w:shd w:val="clear" w:color="auto" w:fill="1F3A5F"/>
          </w:tcPr>
          <w:p>
            <w:pPr>
              <w:spacing w:after="0"/>
            </w:pPr>
            <w:r>
              <w:rPr>
                <w:color w:val="FFFFFF"/>
              </w:rPr>
            </w:r>
            <w:r>
              <w:rPr>
                <w:b/>
                <w:sz w:val="18"/>
              </w:rPr>
              <w:t>Terms / Figures (source)</w:t>
            </w:r>
          </w:p>
        </w:tc>
      </w:tr>
      <w:tr>
        <w:tc>
          <w:tcPr>
            <w:tcW w:type="dxa" w:w="2736"/>
          </w:tcPr>
          <w:p>
            <w:pPr>
              <w:spacing w:after="0"/>
            </w:pPr>
            <w:r/>
            <w:r>
              <w:rPr>
                <w:b w:val="0"/>
                <w:sz w:val="18"/>
              </w:rPr>
              <w:t>Pre-petition first lien (Hollcroft)</w:t>
            </w:r>
          </w:p>
        </w:tc>
        <w:tc>
          <w:tcPr>
            <w:tcW w:type="dxa" w:w="6624"/>
          </w:tcPr>
          <w:p>
            <w:pPr>
              <w:spacing w:after="0"/>
            </w:pPr>
            <w:r/>
            <w:r>
              <w:rPr>
                <w:b w:val="0"/>
                <w:sz w:val="18"/>
              </w:rPr>
              <w:t>$87.3M principal + $4.2M interest + $1.8M fees = $93.3M (CA § 4.07(a); IO ¶ N)</w:t>
            </w:r>
          </w:p>
        </w:tc>
      </w:tr>
      <w:tr>
        <w:tc>
          <w:tcPr>
            <w:tcW w:type="dxa" w:w="2736"/>
          </w:tcPr>
          <w:p>
            <w:pPr>
              <w:spacing w:after="0"/>
            </w:pPr>
            <w:r/>
            <w:r>
              <w:rPr>
                <w:b w:val="0"/>
                <w:sz w:val="18"/>
              </w:rPr>
              <w:t>Pre-petition second lien</w:t>
            </w:r>
          </w:p>
        </w:tc>
        <w:tc>
          <w:tcPr>
            <w:tcW w:type="dxa" w:w="6624"/>
          </w:tcPr>
          <w:p>
            <w:pPr>
              <w:spacing w:after="0"/>
            </w:pPr>
            <w:r/>
            <w:r>
              <w:rPr>
                <w:b w:val="0"/>
                <w:sz w:val="18"/>
              </w:rPr>
              <w:t>$95.0M principal; Ironclad $62.7M (66%); 7 other lenders $32.3M (34%) (2L CA Sched. 2.01, § 10.03)</w:t>
            </w:r>
          </w:p>
        </w:tc>
      </w:tr>
      <w:tr>
        <w:tc>
          <w:tcPr>
            <w:tcW w:type="dxa" w:w="2736"/>
          </w:tcPr>
          <w:p>
            <w:pPr>
              <w:spacing w:after="0"/>
            </w:pPr>
            <w:r/>
            <w:r>
              <w:rPr>
                <w:b w:val="0"/>
                <w:sz w:val="18"/>
              </w:rPr>
              <w:t>General unsecured claims</w:t>
            </w:r>
          </w:p>
        </w:tc>
        <w:tc>
          <w:tcPr>
            <w:tcW w:type="dxa" w:w="6624"/>
          </w:tcPr>
          <w:p>
            <w:pPr>
              <w:spacing w:after="0"/>
            </w:pPr>
            <w:r/>
            <w:r>
              <w:rPr>
                <w:b w:val="0"/>
                <w:sz w:val="18"/>
              </w:rPr>
              <w:t>~$47.6M (top 20: ~$31.2M)</w:t>
            </w:r>
          </w:p>
        </w:tc>
      </w:tr>
      <w:tr>
        <w:tc>
          <w:tcPr>
            <w:tcW w:type="dxa" w:w="2736"/>
          </w:tcPr>
          <w:p>
            <w:pPr>
              <w:spacing w:after="0"/>
            </w:pPr>
            <w:r/>
            <w:r>
              <w:rPr>
                <w:b w:val="0"/>
                <w:sz w:val="18"/>
              </w:rPr>
              <w:t>DIP Commitment</w:t>
            </w:r>
          </w:p>
        </w:tc>
        <w:tc>
          <w:tcPr>
            <w:tcW w:type="dxa" w:w="6624"/>
          </w:tcPr>
          <w:p>
            <w:pPr>
              <w:spacing w:after="0"/>
            </w:pPr>
            <w:r/>
            <w:r>
              <w:rPr>
                <w:b w:val="0"/>
                <w:sz w:val="18"/>
              </w:rPr>
              <w:t>$55.0M = $20.0M new money (revolving; $12.0M interim cap) + $35.0M roll-up ($5.0M interim / $30.0M final)</w:t>
            </w:r>
          </w:p>
        </w:tc>
      </w:tr>
      <w:tr>
        <w:tc>
          <w:tcPr>
            <w:tcW w:type="dxa" w:w="2736"/>
          </w:tcPr>
          <w:p>
            <w:pPr>
              <w:spacing w:after="0"/>
            </w:pPr>
            <w:r/>
            <w:r>
              <w:rPr>
                <w:b w:val="0"/>
                <w:sz w:val="18"/>
              </w:rPr>
              <w:t>Pricing</w:t>
            </w:r>
          </w:p>
        </w:tc>
        <w:tc>
          <w:tcPr>
            <w:tcW w:type="dxa" w:w="6624"/>
          </w:tcPr>
          <w:p>
            <w:pPr>
              <w:spacing w:after="0"/>
            </w:pPr>
            <w:r/>
            <w:r>
              <w:rPr>
                <w:b w:val="0"/>
                <w:sz w:val="18"/>
              </w:rPr>
              <w:t>Term SOFR (3.50% floor) + 850 bps (12.00% minimum); default +400 bps, compounding</w:t>
            </w:r>
          </w:p>
        </w:tc>
      </w:tr>
      <w:tr>
        <w:tc>
          <w:tcPr>
            <w:tcW w:type="dxa" w:w="2736"/>
          </w:tcPr>
          <w:p>
            <w:pPr>
              <w:spacing w:after="0"/>
            </w:pPr>
            <w:r/>
            <w:r>
              <w:rPr>
                <w:b w:val="0"/>
                <w:sz w:val="18"/>
              </w:rPr>
              <w:t>Fees</w:t>
            </w:r>
          </w:p>
        </w:tc>
        <w:tc>
          <w:tcPr>
            <w:tcW w:type="dxa" w:w="6624"/>
          </w:tcPr>
          <w:p>
            <w:pPr>
              <w:spacing w:after="0"/>
            </w:pPr>
            <w:r/>
            <w:r>
              <w:rPr>
                <w:b w:val="0"/>
                <w:sz w:val="18"/>
              </w:rPr>
              <w:t>Upfront 3.00% × $55M = $1,650,000; Exit 2.50% × $55M = $1,375,000; Agent $50,000/month; Unused 1.50% p.a.</w:t>
            </w:r>
          </w:p>
        </w:tc>
      </w:tr>
      <w:tr>
        <w:tc>
          <w:tcPr>
            <w:tcW w:type="dxa" w:w="2736"/>
          </w:tcPr>
          <w:p>
            <w:pPr>
              <w:spacing w:after="0"/>
            </w:pPr>
            <w:r/>
            <w:r>
              <w:rPr>
                <w:b w:val="0"/>
                <w:sz w:val="18"/>
              </w:rPr>
              <w:t>Carve-Out (post-trigger)</w:t>
            </w:r>
          </w:p>
        </w:tc>
        <w:tc>
          <w:tcPr>
            <w:tcW w:type="dxa" w:w="6624"/>
          </w:tcPr>
          <w:p>
            <w:pPr>
              <w:spacing w:after="0"/>
            </w:pPr>
            <w:r/>
            <w:r>
              <w:rPr>
                <w:b w:val="0"/>
                <w:sz w:val="18"/>
              </w:rPr>
              <w:t>$1.5M Debtor professionals + $250K Committee professionals = $1.75M</w:t>
            </w:r>
          </w:p>
        </w:tc>
      </w:tr>
      <w:tr>
        <w:tc>
          <w:tcPr>
            <w:tcW w:type="dxa" w:w="2736"/>
          </w:tcPr>
          <w:p>
            <w:pPr>
              <w:spacing w:after="0"/>
            </w:pPr>
            <w:r/>
            <w:r>
              <w:rPr>
                <w:b w:val="0"/>
                <w:sz w:val="18"/>
              </w:rPr>
              <w:t>Maximum credit bid (CA § 8.04(b))</w:t>
            </w:r>
          </w:p>
        </w:tc>
        <w:tc>
          <w:tcPr>
            <w:tcW w:type="dxa" w:w="6624"/>
          </w:tcPr>
          <w:p>
            <w:pPr>
              <w:spacing w:after="0"/>
            </w:pPr>
            <w:r/>
            <w:r>
              <w:rPr>
                <w:b w:val="0"/>
                <w:sz w:val="18"/>
              </w:rPr>
              <w:t>$55.0M + $27.7M = $82.7M, plus interest and fees</w:t>
            </w:r>
          </w:p>
        </w:tc>
      </w:tr>
      <w:tr>
        <w:tc>
          <w:tcPr>
            <w:tcW w:type="dxa" w:w="2736"/>
          </w:tcPr>
          <w:p>
            <w:pPr>
              <w:spacing w:after="0"/>
            </w:pPr>
            <w:r/>
            <w:r>
              <w:rPr>
                <w:b w:val="0"/>
                <w:sz w:val="18"/>
              </w:rPr>
              <w:t>Budget (as stated / as re-footed)</w:t>
            </w:r>
          </w:p>
        </w:tc>
        <w:tc>
          <w:tcPr>
            <w:tcW w:type="dxa" w:w="6624"/>
          </w:tcPr>
          <w:p>
            <w:pPr>
              <w:spacing w:after="0"/>
            </w:pPr>
            <w:r/>
            <w:r>
              <w:rPr>
                <w:b w:val="0"/>
                <w:sz w:val="18"/>
              </w:rPr>
              <w:t>Disbursements $56.4M / $57.4M; burn $3.6M / $4.6M; ending cash $3.9M / ~$2.6M; new money drawn $4.0M</w:t>
            </w:r>
          </w:p>
        </w:tc>
      </w:tr>
      <w:tr>
        <w:tc>
          <w:tcPr>
            <w:tcW w:type="dxa" w:w="2736"/>
          </w:tcPr>
          <w:p>
            <w:pPr>
              <w:spacing w:after="0"/>
            </w:pPr>
            <w:r/>
            <w:r>
              <w:rPr>
                <w:b w:val="0"/>
                <w:sz w:val="18"/>
              </w:rPr>
              <w:t>Key dates</w:t>
            </w:r>
          </w:p>
        </w:tc>
        <w:tc>
          <w:tcPr>
            <w:tcW w:type="dxa" w:w="6624"/>
          </w:tcPr>
          <w:p>
            <w:pPr>
              <w:spacing w:after="0"/>
            </w:pPr>
            <w:r/>
            <w:r>
              <w:rPr>
                <w:b w:val="0"/>
                <w:sz w:val="18"/>
              </w:rPr>
              <w:t>Petition Mar 14, 2025; Interim Order Mar 19; Committee expected ~Apr 4; objection deadline Apr 11; Final Hearing and Final Order milestone Apr 18; 30-day Investigation Period ends ~May 4; maturity Dec 14, 2025</w:t>
            </w:r>
          </w:p>
        </w:tc>
      </w:tr>
    </w:tbl>
    <w:p/>
    <w:p>
      <w:pPr>
        <w:pStyle w:val="Heading1"/>
      </w:pPr>
      <w:r>
        <w:t>IV. Issue Index</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576"/>
            <w:shd w:val="clear" w:color="auto" w:fill="1F3A5F"/>
          </w:tcPr>
          <w:p>
            <w:pPr>
              <w:spacing w:after="0"/>
            </w:pPr>
            <w:r>
              <w:rPr>
                <w:color w:val="FFFFFF"/>
              </w:rPr>
            </w:r>
            <w:r>
              <w:rPr>
                <w:b/>
                <w:sz w:val="17"/>
              </w:rPr>
              <w:t>No.</w:t>
            </w:r>
          </w:p>
        </w:tc>
        <w:tc>
          <w:tcPr>
            <w:tcW w:type="dxa" w:w="2448"/>
            <w:shd w:val="clear" w:color="auto" w:fill="1F3A5F"/>
          </w:tcPr>
          <w:p>
            <w:pPr>
              <w:spacing w:after="0"/>
            </w:pPr>
            <w:r>
              <w:rPr>
                <w:color w:val="FFFFFF"/>
              </w:rPr>
            </w:r>
            <w:r>
              <w:rPr>
                <w:b/>
                <w:sz w:val="17"/>
              </w:rPr>
              <w:t>Topic</w:t>
            </w:r>
          </w:p>
        </w:tc>
        <w:tc>
          <w:tcPr>
            <w:tcW w:type="dxa" w:w="5184"/>
            <w:shd w:val="clear" w:color="auto" w:fill="1F3A5F"/>
          </w:tcPr>
          <w:p>
            <w:pPr>
              <w:spacing w:after="0"/>
            </w:pPr>
            <w:r>
              <w:rPr>
                <w:color w:val="FFFFFF"/>
              </w:rPr>
            </w:r>
            <w:r>
              <w:rPr>
                <w:b/>
                <w:sz w:val="17"/>
              </w:rPr>
              <w:t>Issue</w:t>
            </w:r>
          </w:p>
        </w:tc>
        <w:tc>
          <w:tcPr>
            <w:tcW w:type="dxa" w:w="1152"/>
            <w:shd w:val="clear" w:color="auto" w:fill="1F3A5F"/>
          </w:tcPr>
          <w:p>
            <w:pPr>
              <w:spacing w:after="0"/>
            </w:pPr>
            <w:r>
              <w:rPr>
                <w:color w:val="FFFFFF"/>
              </w:rPr>
            </w:r>
            <w:r>
              <w:rPr>
                <w:b/>
                <w:sz w:val="17"/>
              </w:rPr>
              <w:t>Severity</w:t>
            </w:r>
          </w:p>
        </w:tc>
      </w:tr>
      <w:tr>
        <w:tc>
          <w:tcPr>
            <w:tcW w:type="dxa" w:w="576"/>
          </w:tcPr>
          <w:p>
            <w:pPr>
              <w:spacing w:after="0"/>
            </w:pPr>
            <w:r/>
            <w:r>
              <w:rPr>
                <w:b w:val="0"/>
                <w:sz w:val="17"/>
              </w:rPr>
              <w:t>1</w:t>
            </w:r>
          </w:p>
        </w:tc>
        <w:tc>
          <w:tcPr>
            <w:tcW w:type="dxa" w:w="2448"/>
          </w:tcPr>
          <w:p>
            <w:pPr>
              <w:spacing w:after="0"/>
            </w:pPr>
            <w:r/>
            <w:r>
              <w:rPr>
                <w:b w:val="0"/>
                <w:sz w:val="17"/>
              </w:rPr>
              <w:t>Structural Defects: Who Is the Debtor, and What Can the Court Encumber?</w:t>
            </w:r>
          </w:p>
        </w:tc>
        <w:tc>
          <w:tcPr>
            <w:tcW w:type="dxa" w:w="5184"/>
          </w:tcPr>
          <w:p>
            <w:pPr>
              <w:spacing w:after="0"/>
            </w:pPr>
            <w:r/>
            <w:r>
              <w:rPr>
                <w:b w:val="0"/>
                <w:sz w:val="17"/>
              </w:rPr>
              <w:t>Inconsistent debtor status of the Subsidiary Guarantors</w:t>
            </w:r>
          </w:p>
        </w:tc>
        <w:tc>
          <w:tcPr>
            <w:tcW w:type="dxa" w:w="1152"/>
          </w:tcPr>
          <w:p>
            <w:pPr>
              <w:spacing w:after="0"/>
            </w:pPr>
            <w:r/>
            <w:r>
              <w:rPr>
                <w:b w:val="0"/>
                <w:sz w:val="17"/>
              </w:rPr>
              <w:t>High</w:t>
            </w:r>
          </w:p>
        </w:tc>
      </w:tr>
      <w:tr>
        <w:tc>
          <w:tcPr>
            <w:tcW w:type="dxa" w:w="576"/>
          </w:tcPr>
          <w:p>
            <w:pPr>
              <w:spacing w:after="0"/>
            </w:pPr>
            <w:r/>
            <w:r>
              <w:rPr>
                <w:b w:val="0"/>
                <w:sz w:val="17"/>
              </w:rPr>
              <w:t>2</w:t>
            </w:r>
          </w:p>
        </w:tc>
        <w:tc>
          <w:tcPr>
            <w:tcW w:type="dxa" w:w="2448"/>
          </w:tcPr>
          <w:p>
            <w:pPr>
              <w:spacing w:after="0"/>
            </w:pPr>
            <w:r/>
            <w:r>
              <w:rPr>
                <w:b w:val="0"/>
                <w:sz w:val="17"/>
              </w:rPr>
              <w:t>Structural Defects: Who Is the Debtor, and What Can the Court Encumber?</w:t>
            </w:r>
          </w:p>
        </w:tc>
        <w:tc>
          <w:tcPr>
            <w:tcW w:type="dxa" w:w="5184"/>
          </w:tcPr>
          <w:p>
            <w:pPr>
              <w:spacing w:after="0"/>
            </w:pPr>
            <w:r/>
            <w:r>
              <w:rPr>
                <w:b w:val="0"/>
                <w:sz w:val="17"/>
              </w:rPr>
              <w:t>Identity errors in the core definitions (wrong agreements, dates, parties, EINs)</w:t>
            </w:r>
          </w:p>
        </w:tc>
        <w:tc>
          <w:tcPr>
            <w:tcW w:type="dxa" w:w="1152"/>
          </w:tcPr>
          <w:p>
            <w:pPr>
              <w:spacing w:after="0"/>
            </w:pPr>
            <w:r/>
            <w:r>
              <w:rPr>
                <w:b w:val="0"/>
                <w:sz w:val="17"/>
              </w:rPr>
              <w:t>Medium</w:t>
            </w:r>
          </w:p>
        </w:tc>
      </w:tr>
      <w:tr>
        <w:tc>
          <w:tcPr>
            <w:tcW w:type="dxa" w:w="576"/>
          </w:tcPr>
          <w:p>
            <w:pPr>
              <w:spacing w:after="0"/>
            </w:pPr>
            <w:r/>
            <w:r>
              <w:rPr>
                <w:b w:val="0"/>
                <w:sz w:val="17"/>
              </w:rPr>
              <w:t>3</w:t>
            </w:r>
          </w:p>
        </w:tc>
        <w:tc>
          <w:tcPr>
            <w:tcW w:type="dxa" w:w="2448"/>
          </w:tcPr>
          <w:p>
            <w:pPr>
              <w:spacing w:after="0"/>
            </w:pPr>
            <w:r/>
            <w:r>
              <w:rPr>
                <w:b w:val="0"/>
                <w:sz w:val="17"/>
              </w:rPr>
              <w:t>Structural Defects: Who Is the Debtor, and What Can the Court Encumber?</w:t>
            </w:r>
          </w:p>
        </w:tc>
        <w:tc>
          <w:tcPr>
            <w:tcW w:type="dxa" w:w="5184"/>
          </w:tcPr>
          <w:p>
            <w:pPr>
              <w:spacing w:after="0"/>
            </w:pPr>
            <w:r/>
            <w:r>
              <w:rPr>
                <w:b w:val="0"/>
                <w:sz w:val="17"/>
              </w:rPr>
              <w:t>Facility locations and real-property collateral are inconsistent</w:t>
            </w:r>
          </w:p>
        </w:tc>
        <w:tc>
          <w:tcPr>
            <w:tcW w:type="dxa" w:w="1152"/>
          </w:tcPr>
          <w:p>
            <w:pPr>
              <w:spacing w:after="0"/>
            </w:pPr>
            <w:r/>
            <w:r>
              <w:rPr>
                <w:b w:val="0"/>
                <w:sz w:val="17"/>
              </w:rPr>
              <w:t>Medium</w:t>
            </w:r>
          </w:p>
        </w:tc>
      </w:tr>
      <w:tr>
        <w:tc>
          <w:tcPr>
            <w:tcW w:type="dxa" w:w="576"/>
          </w:tcPr>
          <w:p>
            <w:pPr>
              <w:spacing w:after="0"/>
            </w:pPr>
            <w:r/>
            <w:r>
              <w:rPr>
                <w:b w:val="0"/>
                <w:sz w:val="17"/>
              </w:rPr>
              <w:t>4</w:t>
            </w:r>
          </w:p>
        </w:tc>
        <w:tc>
          <w:tcPr>
            <w:tcW w:type="dxa" w:w="2448"/>
          </w:tcPr>
          <w:p>
            <w:pPr>
              <w:spacing w:after="0"/>
            </w:pPr>
            <w:r/>
            <w:r>
              <w:rPr>
                <w:b w:val="0"/>
                <w:sz w:val="17"/>
              </w:rPr>
              <w:t>The Roll-Up</w:t>
            </w:r>
          </w:p>
        </w:tc>
        <w:tc>
          <w:tcPr>
            <w:tcW w:type="dxa" w:w="5184"/>
          </w:tcPr>
          <w:p>
            <w:pPr>
              <w:spacing w:after="0"/>
            </w:pPr>
            <w:r/>
            <w:r>
              <w:rPr>
                <w:b w:val="0"/>
                <w:sz w:val="17"/>
              </w:rPr>
              <w:t>Size and structure of the $35 million roll-up</w:t>
            </w:r>
          </w:p>
        </w:tc>
        <w:tc>
          <w:tcPr>
            <w:tcW w:type="dxa" w:w="1152"/>
          </w:tcPr>
          <w:p>
            <w:pPr>
              <w:spacing w:after="0"/>
            </w:pPr>
            <w:r/>
            <w:r>
              <w:rPr>
                <w:b w:val="0"/>
                <w:sz w:val="17"/>
              </w:rPr>
              <w:t>High</w:t>
            </w:r>
          </w:p>
        </w:tc>
      </w:tr>
      <w:tr>
        <w:tc>
          <w:tcPr>
            <w:tcW w:type="dxa" w:w="576"/>
          </w:tcPr>
          <w:p>
            <w:pPr>
              <w:spacing w:after="0"/>
            </w:pPr>
            <w:r/>
            <w:r>
              <w:rPr>
                <w:b w:val="0"/>
                <w:sz w:val="17"/>
              </w:rPr>
              <w:t>5</w:t>
            </w:r>
          </w:p>
        </w:tc>
        <w:tc>
          <w:tcPr>
            <w:tcW w:type="dxa" w:w="2448"/>
          </w:tcPr>
          <w:p>
            <w:pPr>
              <w:spacing w:after="0"/>
            </w:pPr>
            <w:r/>
            <w:r>
              <w:rPr>
                <w:b w:val="0"/>
                <w:sz w:val="17"/>
              </w:rPr>
              <w:t>The Roll-Up</w:t>
            </w:r>
          </w:p>
        </w:tc>
        <w:tc>
          <w:tcPr>
            <w:tcW w:type="dxa" w:w="5184"/>
          </w:tcPr>
          <w:p>
            <w:pPr>
              <w:spacing w:after="0"/>
            </w:pPr>
            <w:r/>
            <w:r>
              <w:rPr>
                <w:b w:val="0"/>
                <w:sz w:val="17"/>
              </w:rPr>
              <w:t>Roll-up conflicts with the 2L CA (pro rata sharing, sacred rights) and with first-lien subordination</w:t>
            </w:r>
          </w:p>
        </w:tc>
        <w:tc>
          <w:tcPr>
            <w:tcW w:type="dxa" w:w="1152"/>
          </w:tcPr>
          <w:p>
            <w:pPr>
              <w:spacing w:after="0"/>
            </w:pPr>
            <w:r/>
            <w:r>
              <w:rPr>
                <w:b w:val="0"/>
                <w:sz w:val="17"/>
              </w:rPr>
              <w:t>High</w:t>
            </w:r>
          </w:p>
        </w:tc>
      </w:tr>
      <w:tr>
        <w:tc>
          <w:tcPr>
            <w:tcW w:type="dxa" w:w="576"/>
          </w:tcPr>
          <w:p>
            <w:pPr>
              <w:spacing w:after="0"/>
            </w:pPr>
            <w:r/>
            <w:r>
              <w:rPr>
                <w:b w:val="0"/>
                <w:sz w:val="17"/>
              </w:rPr>
              <w:t>6</w:t>
            </w:r>
          </w:p>
        </w:tc>
        <w:tc>
          <w:tcPr>
            <w:tcW w:type="dxa" w:w="2448"/>
          </w:tcPr>
          <w:p>
            <w:pPr>
              <w:spacing w:after="0"/>
            </w:pPr>
            <w:r/>
            <w:r>
              <w:rPr>
                <w:b w:val="0"/>
                <w:sz w:val="17"/>
              </w:rPr>
              <w:t>The Roll-Up</w:t>
            </w:r>
          </w:p>
        </w:tc>
        <w:tc>
          <w:tcPr>
            <w:tcW w:type="dxa" w:w="5184"/>
          </w:tcPr>
          <w:p>
            <w:pPr>
              <w:spacing w:after="0"/>
            </w:pPr>
            <w:r/>
            <w:r>
              <w:rPr>
                <w:b w:val="0"/>
                <w:sz w:val="17"/>
              </w:rPr>
              <w:t>Roll-up mechanics are internally inconsistent</w:t>
            </w:r>
          </w:p>
        </w:tc>
        <w:tc>
          <w:tcPr>
            <w:tcW w:type="dxa" w:w="1152"/>
          </w:tcPr>
          <w:p>
            <w:pPr>
              <w:spacing w:after="0"/>
            </w:pPr>
            <w:r/>
            <w:r>
              <w:rPr>
                <w:b w:val="0"/>
                <w:sz w:val="17"/>
              </w:rPr>
              <w:t>Low</w:t>
            </w:r>
          </w:p>
        </w:tc>
      </w:tr>
      <w:tr>
        <w:tc>
          <w:tcPr>
            <w:tcW w:type="dxa" w:w="576"/>
          </w:tcPr>
          <w:p>
            <w:pPr>
              <w:spacing w:after="0"/>
            </w:pPr>
            <w:r/>
            <w:r>
              <w:rPr>
                <w:b w:val="0"/>
                <w:sz w:val="17"/>
              </w:rPr>
              <w:t>7</w:t>
            </w:r>
          </w:p>
        </w:tc>
        <w:tc>
          <w:tcPr>
            <w:tcW w:type="dxa" w:w="2448"/>
          </w:tcPr>
          <w:p>
            <w:pPr>
              <w:spacing w:after="0"/>
            </w:pPr>
            <w:r/>
            <w:r>
              <w:rPr>
                <w:b w:val="0"/>
                <w:sz w:val="17"/>
              </w:rPr>
              <w:t>Priming and Adequate Protection</w:t>
            </w:r>
          </w:p>
        </w:tc>
        <w:tc>
          <w:tcPr>
            <w:tcW w:type="dxa" w:w="5184"/>
          </w:tcPr>
          <w:p>
            <w:pPr>
              <w:spacing w:after="0"/>
            </w:pPr>
            <w:r/>
            <w:r>
              <w:rPr>
                <w:b w:val="0"/>
                <w:sz w:val="17"/>
              </w:rPr>
              <w:t>Non-Ironclad second-lien lenders are primed with no adequate protection</w:t>
            </w:r>
          </w:p>
        </w:tc>
        <w:tc>
          <w:tcPr>
            <w:tcW w:type="dxa" w:w="1152"/>
          </w:tcPr>
          <w:p>
            <w:pPr>
              <w:spacing w:after="0"/>
            </w:pPr>
            <w:r/>
            <w:r>
              <w:rPr>
                <w:b w:val="0"/>
                <w:sz w:val="17"/>
              </w:rPr>
              <w:t>High</w:t>
            </w:r>
          </w:p>
        </w:tc>
      </w:tr>
      <w:tr>
        <w:tc>
          <w:tcPr>
            <w:tcW w:type="dxa" w:w="576"/>
          </w:tcPr>
          <w:p>
            <w:pPr>
              <w:spacing w:after="0"/>
            </w:pPr>
            <w:r/>
            <w:r>
              <w:rPr>
                <w:b w:val="0"/>
                <w:sz w:val="17"/>
              </w:rPr>
              <w:t>8</w:t>
            </w:r>
          </w:p>
        </w:tc>
        <w:tc>
          <w:tcPr>
            <w:tcW w:type="dxa" w:w="2448"/>
          </w:tcPr>
          <w:p>
            <w:pPr>
              <w:spacing w:after="0"/>
            </w:pPr>
            <w:r/>
            <w:r>
              <w:rPr>
                <w:b w:val="0"/>
                <w:sz w:val="17"/>
              </w:rPr>
              <w:t>Priming and Adequate Protection</w:t>
            </w:r>
          </w:p>
        </w:tc>
        <w:tc>
          <w:tcPr>
            <w:tcW w:type="dxa" w:w="5184"/>
          </w:tcPr>
          <w:p>
            <w:pPr>
              <w:spacing w:after="0"/>
            </w:pPr>
            <w:r/>
            <w:r>
              <w:rPr>
                <w:b w:val="0"/>
                <w:sz w:val="17"/>
              </w:rPr>
              <w:t>Priming of Hollcroft’s first lien: no evidence of consent; adequate protection evidence is thin</w:t>
            </w:r>
          </w:p>
        </w:tc>
        <w:tc>
          <w:tcPr>
            <w:tcW w:type="dxa" w:w="1152"/>
          </w:tcPr>
          <w:p>
            <w:pPr>
              <w:spacing w:after="0"/>
            </w:pPr>
            <w:r/>
            <w:r>
              <w:rPr>
                <w:b w:val="0"/>
                <w:sz w:val="17"/>
              </w:rPr>
              <w:t>High</w:t>
            </w:r>
          </w:p>
        </w:tc>
      </w:tr>
      <w:tr>
        <w:tc>
          <w:tcPr>
            <w:tcW w:type="dxa" w:w="576"/>
          </w:tcPr>
          <w:p>
            <w:pPr>
              <w:spacing w:after="0"/>
            </w:pPr>
            <w:r/>
            <w:r>
              <w:rPr>
                <w:b w:val="0"/>
                <w:sz w:val="17"/>
              </w:rPr>
              <w:t>9</w:t>
            </w:r>
          </w:p>
        </w:tc>
        <w:tc>
          <w:tcPr>
            <w:tcW w:type="dxa" w:w="2448"/>
          </w:tcPr>
          <w:p>
            <w:pPr>
              <w:spacing w:after="0"/>
            </w:pPr>
            <w:r/>
            <w:r>
              <w:rPr>
                <w:b w:val="0"/>
                <w:sz w:val="17"/>
              </w:rPr>
              <w:t>Pricing and Fees</w:t>
            </w:r>
          </w:p>
        </w:tc>
        <w:tc>
          <w:tcPr>
            <w:tcW w:type="dxa" w:w="5184"/>
          </w:tcPr>
          <w:p>
            <w:pPr>
              <w:spacing w:after="0"/>
            </w:pPr>
            <w:r/>
            <w:r>
              <w:rPr>
                <w:b w:val="0"/>
                <w:sz w:val="17"/>
              </w:rPr>
              <w:t>Upfront and Exit Fees calculated on the roll-up; Exit Fee payable on any termination; fees “earned” before court approval</w:t>
            </w:r>
          </w:p>
        </w:tc>
        <w:tc>
          <w:tcPr>
            <w:tcW w:type="dxa" w:w="1152"/>
          </w:tcPr>
          <w:p>
            <w:pPr>
              <w:spacing w:after="0"/>
            </w:pPr>
            <w:r/>
            <w:r>
              <w:rPr>
                <w:b w:val="0"/>
                <w:sz w:val="17"/>
              </w:rPr>
              <w:t>High</w:t>
            </w:r>
          </w:p>
        </w:tc>
      </w:tr>
      <w:tr>
        <w:tc>
          <w:tcPr>
            <w:tcW w:type="dxa" w:w="576"/>
          </w:tcPr>
          <w:p>
            <w:pPr>
              <w:spacing w:after="0"/>
            </w:pPr>
            <w:r/>
            <w:r>
              <w:rPr>
                <w:b w:val="0"/>
                <w:sz w:val="17"/>
              </w:rPr>
              <w:t>10</w:t>
            </w:r>
          </w:p>
        </w:tc>
        <w:tc>
          <w:tcPr>
            <w:tcW w:type="dxa" w:w="2448"/>
          </w:tcPr>
          <w:p>
            <w:pPr>
              <w:spacing w:after="0"/>
            </w:pPr>
            <w:r/>
            <w:r>
              <w:rPr>
                <w:b w:val="0"/>
                <w:sz w:val="17"/>
              </w:rPr>
              <w:t>Pricing and Fees</w:t>
            </w:r>
          </w:p>
        </w:tc>
        <w:tc>
          <w:tcPr>
            <w:tcW w:type="dxa" w:w="5184"/>
          </w:tcPr>
          <w:p>
            <w:pPr>
              <w:spacing w:after="0"/>
            </w:pPr>
            <w:r/>
            <w:r>
              <w:rPr>
                <w:b w:val="0"/>
                <w:sz w:val="17"/>
              </w:rPr>
              <w:t>Agent Fee is excessive and its timing is inconsistent</w:t>
            </w:r>
          </w:p>
        </w:tc>
        <w:tc>
          <w:tcPr>
            <w:tcW w:type="dxa" w:w="1152"/>
          </w:tcPr>
          <w:p>
            <w:pPr>
              <w:spacing w:after="0"/>
            </w:pPr>
            <w:r/>
            <w:r>
              <w:rPr>
                <w:b w:val="0"/>
                <w:sz w:val="17"/>
              </w:rPr>
              <w:t>Medium</w:t>
            </w:r>
          </w:p>
        </w:tc>
      </w:tr>
      <w:tr>
        <w:tc>
          <w:tcPr>
            <w:tcW w:type="dxa" w:w="576"/>
          </w:tcPr>
          <w:p>
            <w:pPr>
              <w:spacing w:after="0"/>
            </w:pPr>
            <w:r/>
            <w:r>
              <w:rPr>
                <w:b w:val="0"/>
                <w:sz w:val="17"/>
              </w:rPr>
              <w:t>11</w:t>
            </w:r>
          </w:p>
        </w:tc>
        <w:tc>
          <w:tcPr>
            <w:tcW w:type="dxa" w:w="2448"/>
          </w:tcPr>
          <w:p>
            <w:pPr>
              <w:spacing w:after="0"/>
            </w:pPr>
            <w:r/>
            <w:r>
              <w:rPr>
                <w:b w:val="0"/>
                <w:sz w:val="17"/>
              </w:rPr>
              <w:t>Pricing and Fees</w:t>
            </w:r>
          </w:p>
        </w:tc>
        <w:tc>
          <w:tcPr>
            <w:tcW w:type="dxa" w:w="5184"/>
          </w:tcPr>
          <w:p>
            <w:pPr>
              <w:spacing w:after="0"/>
            </w:pPr>
            <w:r/>
            <w:r>
              <w:rPr>
                <w:b w:val="0"/>
                <w:sz w:val="17"/>
              </w:rPr>
              <w:t>Interest: roll-up repriced; default rate is high and compounding; overrides the Bankruptcy Code</w:t>
            </w:r>
          </w:p>
        </w:tc>
        <w:tc>
          <w:tcPr>
            <w:tcW w:type="dxa" w:w="1152"/>
          </w:tcPr>
          <w:p>
            <w:pPr>
              <w:spacing w:after="0"/>
            </w:pPr>
            <w:r/>
            <w:r>
              <w:rPr>
                <w:b w:val="0"/>
                <w:sz w:val="17"/>
              </w:rPr>
              <w:t>Medium</w:t>
            </w:r>
          </w:p>
        </w:tc>
      </w:tr>
      <w:tr>
        <w:tc>
          <w:tcPr>
            <w:tcW w:type="dxa" w:w="576"/>
          </w:tcPr>
          <w:p>
            <w:pPr>
              <w:spacing w:after="0"/>
            </w:pPr>
            <w:r/>
            <w:r>
              <w:rPr>
                <w:b w:val="0"/>
                <w:sz w:val="17"/>
              </w:rPr>
              <w:t>12</w:t>
            </w:r>
          </w:p>
        </w:tc>
        <w:tc>
          <w:tcPr>
            <w:tcW w:type="dxa" w:w="2448"/>
          </w:tcPr>
          <w:p>
            <w:pPr>
              <w:spacing w:after="0"/>
            </w:pPr>
            <w:r/>
            <w:r>
              <w:rPr>
                <w:b w:val="0"/>
                <w:sz w:val="17"/>
              </w:rPr>
              <w:t>Pricing and Fees</w:t>
            </w:r>
          </w:p>
        </w:tc>
        <w:tc>
          <w:tcPr>
            <w:tcW w:type="dxa" w:w="5184"/>
          </w:tcPr>
          <w:p>
            <w:pPr>
              <w:spacing w:after="0"/>
            </w:pPr>
            <w:r/>
            <w:r>
              <w:rPr>
                <w:b w:val="0"/>
                <w:sz w:val="17"/>
              </w:rPr>
              <w:t>Unused Line Fee accrues on unavailable commitment</w:t>
            </w:r>
          </w:p>
        </w:tc>
        <w:tc>
          <w:tcPr>
            <w:tcW w:type="dxa" w:w="1152"/>
          </w:tcPr>
          <w:p>
            <w:pPr>
              <w:spacing w:after="0"/>
            </w:pPr>
            <w:r/>
            <w:r>
              <w:rPr>
                <w:b w:val="0"/>
                <w:sz w:val="17"/>
              </w:rPr>
              <w:t>Low</w:t>
            </w:r>
          </w:p>
        </w:tc>
      </w:tr>
      <w:tr>
        <w:tc>
          <w:tcPr>
            <w:tcW w:type="dxa" w:w="576"/>
          </w:tcPr>
          <w:p>
            <w:pPr>
              <w:spacing w:after="0"/>
            </w:pPr>
            <w:r/>
            <w:r>
              <w:rPr>
                <w:b w:val="0"/>
                <w:sz w:val="17"/>
              </w:rPr>
              <w:t>13</w:t>
            </w:r>
          </w:p>
        </w:tc>
        <w:tc>
          <w:tcPr>
            <w:tcW w:type="dxa" w:w="2448"/>
          </w:tcPr>
          <w:p>
            <w:pPr>
              <w:spacing w:after="0"/>
            </w:pPr>
            <w:r/>
            <w:r>
              <w:rPr>
                <w:b w:val="0"/>
                <w:sz w:val="17"/>
              </w:rPr>
              <w:t>Lender Professional Fees, Indemnity, and the Carve-Out</w:t>
            </w:r>
          </w:p>
        </w:tc>
        <w:tc>
          <w:tcPr>
            <w:tcW w:type="dxa" w:w="5184"/>
          </w:tcPr>
          <w:p>
            <w:pPr>
              <w:spacing w:after="0"/>
            </w:pPr>
            <w:r/>
            <w:r>
              <w:rPr>
                <w:b w:val="0"/>
                <w:sz w:val="17"/>
              </w:rPr>
              <w:t>DIP Lender Professional Fees are uncapped and unreviewable, and override court orders</w:t>
            </w:r>
          </w:p>
        </w:tc>
        <w:tc>
          <w:tcPr>
            <w:tcW w:type="dxa" w:w="1152"/>
          </w:tcPr>
          <w:p>
            <w:pPr>
              <w:spacing w:after="0"/>
            </w:pPr>
            <w:r/>
            <w:r>
              <w:rPr>
                <w:b w:val="0"/>
                <w:sz w:val="17"/>
              </w:rPr>
              <w:t>High</w:t>
            </w:r>
          </w:p>
        </w:tc>
      </w:tr>
      <w:tr>
        <w:tc>
          <w:tcPr>
            <w:tcW w:type="dxa" w:w="576"/>
          </w:tcPr>
          <w:p>
            <w:pPr>
              <w:spacing w:after="0"/>
            </w:pPr>
            <w:r/>
            <w:r>
              <w:rPr>
                <w:b w:val="0"/>
                <w:sz w:val="17"/>
              </w:rPr>
              <w:t>14</w:t>
            </w:r>
          </w:p>
        </w:tc>
        <w:tc>
          <w:tcPr>
            <w:tcW w:type="dxa" w:w="2448"/>
          </w:tcPr>
          <w:p>
            <w:pPr>
              <w:spacing w:after="0"/>
            </w:pPr>
            <w:r/>
            <w:r>
              <w:rPr>
                <w:b w:val="0"/>
                <w:sz w:val="17"/>
              </w:rPr>
              <w:t>Lender Professional Fees, Indemnity, and the Carve-Out</w:t>
            </w:r>
          </w:p>
        </w:tc>
        <w:tc>
          <w:tcPr>
            <w:tcW w:type="dxa" w:w="5184"/>
          </w:tcPr>
          <w:p>
            <w:pPr>
              <w:spacing w:after="0"/>
            </w:pPr>
            <w:r/>
            <w:r>
              <w:rPr>
                <w:b w:val="0"/>
                <w:sz w:val="17"/>
              </w:rPr>
              <w:t>Indemnity covers the whole Chapter 11 Case and estate claims against the lender</w:t>
            </w:r>
          </w:p>
        </w:tc>
        <w:tc>
          <w:tcPr>
            <w:tcW w:type="dxa" w:w="1152"/>
          </w:tcPr>
          <w:p>
            <w:pPr>
              <w:spacing w:after="0"/>
            </w:pPr>
            <w:r/>
            <w:r>
              <w:rPr>
                <w:b w:val="0"/>
                <w:sz w:val="17"/>
              </w:rPr>
              <w:t>Medium</w:t>
            </w:r>
          </w:p>
        </w:tc>
      </w:tr>
      <w:tr>
        <w:tc>
          <w:tcPr>
            <w:tcW w:type="dxa" w:w="576"/>
          </w:tcPr>
          <w:p>
            <w:pPr>
              <w:spacing w:after="0"/>
            </w:pPr>
            <w:r/>
            <w:r>
              <w:rPr>
                <w:b w:val="0"/>
                <w:sz w:val="17"/>
              </w:rPr>
              <w:t>15</w:t>
            </w:r>
          </w:p>
        </w:tc>
        <w:tc>
          <w:tcPr>
            <w:tcW w:type="dxa" w:w="2448"/>
          </w:tcPr>
          <w:p>
            <w:pPr>
              <w:spacing w:after="0"/>
            </w:pPr>
            <w:r/>
            <w:r>
              <w:rPr>
                <w:b w:val="0"/>
                <w:sz w:val="17"/>
              </w:rPr>
              <w:t>Lender Professional Fees, Indemnity, and the Carve-Out</w:t>
            </w:r>
          </w:p>
        </w:tc>
        <w:tc>
          <w:tcPr>
            <w:tcW w:type="dxa" w:w="5184"/>
          </w:tcPr>
          <w:p>
            <w:pPr>
              <w:spacing w:after="0"/>
            </w:pPr>
            <w:r/>
            <w:r>
              <w:rPr>
                <w:b w:val="0"/>
                <w:sz w:val="17"/>
              </w:rPr>
              <w:t>Carve-Out is inadequate, disparate, and inconsistent across documents</w:t>
            </w:r>
          </w:p>
        </w:tc>
        <w:tc>
          <w:tcPr>
            <w:tcW w:type="dxa" w:w="1152"/>
          </w:tcPr>
          <w:p>
            <w:pPr>
              <w:spacing w:after="0"/>
            </w:pPr>
            <w:r/>
            <w:r>
              <w:rPr>
                <w:b w:val="0"/>
                <w:sz w:val="17"/>
              </w:rPr>
              <w:t>High</w:t>
            </w:r>
          </w:p>
        </w:tc>
      </w:tr>
      <w:tr>
        <w:tc>
          <w:tcPr>
            <w:tcW w:type="dxa" w:w="576"/>
          </w:tcPr>
          <w:p>
            <w:pPr>
              <w:spacing w:after="0"/>
            </w:pPr>
            <w:r/>
            <w:r>
              <w:rPr>
                <w:b w:val="0"/>
                <w:sz w:val="17"/>
              </w:rPr>
              <w:t>16</w:t>
            </w:r>
          </w:p>
        </w:tc>
        <w:tc>
          <w:tcPr>
            <w:tcW w:type="dxa" w:w="2448"/>
          </w:tcPr>
          <w:p>
            <w:pPr>
              <w:spacing w:after="0"/>
            </w:pPr>
            <w:r/>
            <w:r>
              <w:rPr>
                <w:b w:val="0"/>
                <w:sz w:val="17"/>
              </w:rPr>
              <w:t>Lender Stipulation, Releases, and the Challenge Period</w:t>
            </w:r>
          </w:p>
        </w:tc>
        <w:tc>
          <w:tcPr>
            <w:tcW w:type="dxa" w:w="5184"/>
          </w:tcPr>
          <w:p>
            <w:pPr>
              <w:spacing w:after="0"/>
            </w:pPr>
            <w:r/>
            <w:r>
              <w:rPr>
                <w:b w:val="0"/>
                <w:sz w:val="17"/>
              </w:rPr>
              <w:t>Investigation Period is too short, Committee-only, and expires after the Final Order</w:t>
            </w:r>
          </w:p>
        </w:tc>
        <w:tc>
          <w:tcPr>
            <w:tcW w:type="dxa" w:w="1152"/>
          </w:tcPr>
          <w:p>
            <w:pPr>
              <w:spacing w:after="0"/>
            </w:pPr>
            <w:r/>
            <w:r>
              <w:rPr>
                <w:b w:val="0"/>
                <w:sz w:val="17"/>
              </w:rPr>
              <w:t>High</w:t>
            </w:r>
          </w:p>
        </w:tc>
      </w:tr>
      <w:tr>
        <w:tc>
          <w:tcPr>
            <w:tcW w:type="dxa" w:w="576"/>
          </w:tcPr>
          <w:p>
            <w:pPr>
              <w:spacing w:after="0"/>
            </w:pPr>
            <w:r/>
            <w:r>
              <w:rPr>
                <w:b w:val="0"/>
                <w:sz w:val="17"/>
              </w:rPr>
              <w:t>17</w:t>
            </w:r>
          </w:p>
        </w:tc>
        <w:tc>
          <w:tcPr>
            <w:tcW w:type="dxa" w:w="2448"/>
          </w:tcPr>
          <w:p>
            <w:pPr>
              <w:spacing w:after="0"/>
            </w:pPr>
            <w:r/>
            <w:r>
              <w:rPr>
                <w:b w:val="0"/>
                <w:sz w:val="17"/>
              </w:rPr>
              <w:t>Lender Stipulation, Releases, and the Challenge Period</w:t>
            </w:r>
          </w:p>
        </w:tc>
        <w:tc>
          <w:tcPr>
            <w:tcW w:type="dxa" w:w="5184"/>
          </w:tcPr>
          <w:p>
            <w:pPr>
              <w:spacing w:after="0"/>
            </w:pPr>
            <w:r/>
            <w:r>
              <w:rPr>
                <w:b w:val="0"/>
                <w:sz w:val="17"/>
              </w:rPr>
              <w:t>Scope and wording of the Lender Stipulation and release</w:t>
            </w:r>
          </w:p>
        </w:tc>
        <w:tc>
          <w:tcPr>
            <w:tcW w:type="dxa" w:w="1152"/>
          </w:tcPr>
          <w:p>
            <w:pPr>
              <w:spacing w:after="0"/>
            </w:pPr>
            <w:r/>
            <w:r>
              <w:rPr>
                <w:b w:val="0"/>
                <w:sz w:val="17"/>
              </w:rPr>
              <w:t>High</w:t>
            </w:r>
          </w:p>
        </w:tc>
      </w:tr>
      <w:tr>
        <w:tc>
          <w:tcPr>
            <w:tcW w:type="dxa" w:w="576"/>
          </w:tcPr>
          <w:p>
            <w:pPr>
              <w:spacing w:after="0"/>
            </w:pPr>
            <w:r/>
            <w:r>
              <w:rPr>
                <w:b w:val="0"/>
                <w:sz w:val="17"/>
              </w:rPr>
              <w:t>18</w:t>
            </w:r>
          </w:p>
        </w:tc>
        <w:tc>
          <w:tcPr>
            <w:tcW w:type="dxa" w:w="2448"/>
          </w:tcPr>
          <w:p>
            <w:pPr>
              <w:spacing w:after="0"/>
            </w:pPr>
            <w:r/>
            <w:r>
              <w:rPr>
                <w:b w:val="0"/>
                <w:sz w:val="17"/>
              </w:rPr>
              <w:t>Collateral Package and Lender Waivers</w:t>
            </w:r>
          </w:p>
        </w:tc>
        <w:tc>
          <w:tcPr>
            <w:tcW w:type="dxa" w:w="5184"/>
          </w:tcPr>
          <w:p>
            <w:pPr>
              <w:spacing w:after="0"/>
            </w:pPr>
            <w:r/>
            <w:r>
              <w:rPr>
                <w:b w:val="0"/>
                <w:sz w:val="17"/>
              </w:rPr>
              <w:t>Liens on avoidance-action proceeds, commercial tort claims and leaseholds; § 506(c), § 552(b) and marshaling waivers granted on an interim basis</w:t>
            </w:r>
          </w:p>
        </w:tc>
        <w:tc>
          <w:tcPr>
            <w:tcW w:type="dxa" w:w="1152"/>
          </w:tcPr>
          <w:p>
            <w:pPr>
              <w:spacing w:after="0"/>
            </w:pPr>
            <w:r/>
            <w:r>
              <w:rPr>
                <w:b w:val="0"/>
                <w:sz w:val="17"/>
              </w:rPr>
              <w:t>High</w:t>
            </w:r>
          </w:p>
        </w:tc>
      </w:tr>
      <w:tr>
        <w:tc>
          <w:tcPr>
            <w:tcW w:type="dxa" w:w="576"/>
          </w:tcPr>
          <w:p>
            <w:pPr>
              <w:spacing w:after="0"/>
            </w:pPr>
            <w:r/>
            <w:r>
              <w:rPr>
                <w:b w:val="0"/>
                <w:sz w:val="17"/>
              </w:rPr>
              <w:t>19</w:t>
            </w:r>
          </w:p>
        </w:tc>
        <w:tc>
          <w:tcPr>
            <w:tcW w:type="dxa" w:w="2448"/>
          </w:tcPr>
          <w:p>
            <w:pPr>
              <w:spacing w:after="0"/>
            </w:pPr>
            <w:r/>
            <w:r>
              <w:rPr>
                <w:b w:val="0"/>
                <w:sz w:val="17"/>
              </w:rPr>
              <w:t>Collateral Package and Lender Waivers</w:t>
            </w:r>
          </w:p>
        </w:tc>
        <w:tc>
          <w:tcPr>
            <w:tcW w:type="dxa" w:w="5184"/>
          </w:tcPr>
          <w:p>
            <w:pPr>
              <w:spacing w:after="0"/>
            </w:pPr>
            <w:r/>
            <w:r>
              <w:rPr>
                <w:b w:val="0"/>
                <w:sz w:val="17"/>
              </w:rPr>
              <w:t>Permitted Liens: § 2.07(b) cap conflicts with Schedule 3</w:t>
            </w:r>
          </w:p>
        </w:tc>
        <w:tc>
          <w:tcPr>
            <w:tcW w:type="dxa" w:w="1152"/>
          </w:tcPr>
          <w:p>
            <w:pPr>
              <w:spacing w:after="0"/>
            </w:pPr>
            <w:r/>
            <w:r>
              <w:rPr>
                <w:b w:val="0"/>
                <w:sz w:val="17"/>
              </w:rPr>
              <w:t>Low</w:t>
            </w:r>
          </w:p>
        </w:tc>
      </w:tr>
      <w:tr>
        <w:tc>
          <w:tcPr>
            <w:tcW w:type="dxa" w:w="576"/>
          </w:tcPr>
          <w:p>
            <w:pPr>
              <w:spacing w:after="0"/>
            </w:pPr>
            <w:r/>
            <w:r>
              <w:rPr>
                <w:b w:val="0"/>
                <w:sz w:val="17"/>
              </w:rPr>
              <w:t>20</w:t>
            </w:r>
          </w:p>
        </w:tc>
        <w:tc>
          <w:tcPr>
            <w:tcW w:type="dxa" w:w="2448"/>
          </w:tcPr>
          <w:p>
            <w:pPr>
              <w:spacing w:after="0"/>
            </w:pPr>
            <w:r/>
            <w:r>
              <w:rPr>
                <w:b w:val="0"/>
                <w:sz w:val="17"/>
              </w:rPr>
              <w:t>Sale Process, Credit Bid, and Stalking Horse</w:t>
            </w:r>
          </w:p>
        </w:tc>
        <w:tc>
          <w:tcPr>
            <w:tcW w:type="dxa" w:w="5184"/>
          </w:tcPr>
          <w:p>
            <w:pPr>
              <w:spacing w:after="0"/>
            </w:pPr>
            <w:r/>
            <w:r>
              <w:rPr>
                <w:b w:val="0"/>
                <w:sz w:val="17"/>
              </w:rPr>
              <w:t>Mandatory stalking-horse designation and bid protections for the DIP Lender</w:t>
            </w:r>
          </w:p>
        </w:tc>
        <w:tc>
          <w:tcPr>
            <w:tcW w:type="dxa" w:w="1152"/>
          </w:tcPr>
          <w:p>
            <w:pPr>
              <w:spacing w:after="0"/>
            </w:pPr>
            <w:r/>
            <w:r>
              <w:rPr>
                <w:b w:val="0"/>
                <w:sz w:val="17"/>
              </w:rPr>
              <w:t>High</w:t>
            </w:r>
          </w:p>
        </w:tc>
      </w:tr>
      <w:tr>
        <w:tc>
          <w:tcPr>
            <w:tcW w:type="dxa" w:w="576"/>
          </w:tcPr>
          <w:p>
            <w:pPr>
              <w:spacing w:after="0"/>
            </w:pPr>
            <w:r/>
            <w:r>
              <w:rPr>
                <w:b w:val="0"/>
                <w:sz w:val="17"/>
              </w:rPr>
              <w:t>21</w:t>
            </w:r>
          </w:p>
        </w:tc>
        <w:tc>
          <w:tcPr>
            <w:tcW w:type="dxa" w:w="2448"/>
          </w:tcPr>
          <w:p>
            <w:pPr>
              <w:spacing w:after="0"/>
            </w:pPr>
            <w:r/>
            <w:r>
              <w:rPr>
                <w:b w:val="0"/>
                <w:sz w:val="17"/>
              </w:rPr>
              <w:t>Sale Process, Credit Bid, and Stalking Horse</w:t>
            </w:r>
          </w:p>
        </w:tc>
        <w:tc>
          <w:tcPr>
            <w:tcW w:type="dxa" w:w="5184"/>
          </w:tcPr>
          <w:p>
            <w:pPr>
              <w:spacing w:after="0"/>
            </w:pPr>
            <w:r/>
            <w:r>
              <w:rPr>
                <w:b w:val="0"/>
                <w:sz w:val="17"/>
              </w:rPr>
              <w:t>Credit-bid rights are overstated and insulated from the Court</w:t>
            </w:r>
          </w:p>
        </w:tc>
        <w:tc>
          <w:tcPr>
            <w:tcW w:type="dxa" w:w="1152"/>
          </w:tcPr>
          <w:p>
            <w:pPr>
              <w:spacing w:after="0"/>
            </w:pPr>
            <w:r/>
            <w:r>
              <w:rPr>
                <w:b w:val="0"/>
                <w:sz w:val="17"/>
              </w:rPr>
              <w:t>High</w:t>
            </w:r>
          </w:p>
        </w:tc>
      </w:tr>
      <w:tr>
        <w:tc>
          <w:tcPr>
            <w:tcW w:type="dxa" w:w="576"/>
          </w:tcPr>
          <w:p>
            <w:pPr>
              <w:spacing w:after="0"/>
            </w:pPr>
            <w:r/>
            <w:r>
              <w:rPr>
                <w:b w:val="0"/>
                <w:sz w:val="17"/>
              </w:rPr>
              <w:t>22</w:t>
            </w:r>
          </w:p>
        </w:tc>
        <w:tc>
          <w:tcPr>
            <w:tcW w:type="dxa" w:w="2448"/>
          </w:tcPr>
          <w:p>
            <w:pPr>
              <w:spacing w:after="0"/>
            </w:pPr>
            <w:r/>
            <w:r>
              <w:rPr>
                <w:b w:val="0"/>
                <w:sz w:val="17"/>
              </w:rPr>
              <w:t>Covenants, Events of Default, and Remedies</w:t>
            </w:r>
          </w:p>
        </w:tc>
        <w:tc>
          <w:tcPr>
            <w:tcW w:type="dxa" w:w="5184"/>
          </w:tcPr>
          <w:p>
            <w:pPr>
              <w:spacing w:after="0"/>
            </w:pPr>
            <w:r/>
            <w:r>
              <w:rPr>
                <w:b w:val="0"/>
                <w:sz w:val="17"/>
              </w:rPr>
              <w:t>Covenants that restrict the Debtor’s fiduciary duties</w:t>
            </w:r>
          </w:p>
        </w:tc>
        <w:tc>
          <w:tcPr>
            <w:tcW w:type="dxa" w:w="1152"/>
          </w:tcPr>
          <w:p>
            <w:pPr>
              <w:spacing w:after="0"/>
            </w:pPr>
            <w:r/>
            <w:r>
              <w:rPr>
                <w:b w:val="0"/>
                <w:sz w:val="17"/>
              </w:rPr>
              <w:t>High</w:t>
            </w:r>
          </w:p>
        </w:tc>
      </w:tr>
      <w:tr>
        <w:tc>
          <w:tcPr>
            <w:tcW w:type="dxa" w:w="576"/>
          </w:tcPr>
          <w:p>
            <w:pPr>
              <w:spacing w:after="0"/>
            </w:pPr>
            <w:r/>
            <w:r>
              <w:rPr>
                <w:b w:val="0"/>
                <w:sz w:val="17"/>
              </w:rPr>
              <w:t>23</w:t>
            </w:r>
          </w:p>
        </w:tc>
        <w:tc>
          <w:tcPr>
            <w:tcW w:type="dxa" w:w="2448"/>
          </w:tcPr>
          <w:p>
            <w:pPr>
              <w:spacing w:after="0"/>
            </w:pPr>
            <w:r/>
            <w:r>
              <w:rPr>
                <w:b w:val="0"/>
                <w:sz w:val="17"/>
              </w:rPr>
              <w:t>Covenants, Events of Default, and Remedies</w:t>
            </w:r>
          </w:p>
        </w:tc>
        <w:tc>
          <w:tcPr>
            <w:tcW w:type="dxa" w:w="5184"/>
          </w:tcPr>
          <w:p>
            <w:pPr>
              <w:spacing w:after="0"/>
            </w:pPr>
            <w:r/>
            <w:r>
              <w:rPr>
                <w:b w:val="0"/>
                <w:sz w:val="17"/>
              </w:rPr>
              <w:t>Events of Default that are hair-triggers, triggered by third parties, or already tripped</w:t>
            </w:r>
          </w:p>
        </w:tc>
        <w:tc>
          <w:tcPr>
            <w:tcW w:type="dxa" w:w="1152"/>
          </w:tcPr>
          <w:p>
            <w:pPr>
              <w:spacing w:after="0"/>
            </w:pPr>
            <w:r/>
            <w:r>
              <w:rPr>
                <w:b w:val="0"/>
                <w:sz w:val="17"/>
              </w:rPr>
              <w:t>High</w:t>
            </w:r>
          </w:p>
        </w:tc>
      </w:tr>
      <w:tr>
        <w:tc>
          <w:tcPr>
            <w:tcW w:type="dxa" w:w="576"/>
          </w:tcPr>
          <w:p>
            <w:pPr>
              <w:spacing w:after="0"/>
            </w:pPr>
            <w:r/>
            <w:r>
              <w:rPr>
                <w:b w:val="0"/>
                <w:sz w:val="17"/>
              </w:rPr>
              <w:t>24</w:t>
            </w:r>
          </w:p>
        </w:tc>
        <w:tc>
          <w:tcPr>
            <w:tcW w:type="dxa" w:w="2448"/>
          </w:tcPr>
          <w:p>
            <w:pPr>
              <w:spacing w:after="0"/>
            </w:pPr>
            <w:r/>
            <w:r>
              <w:rPr>
                <w:b w:val="0"/>
                <w:sz w:val="17"/>
              </w:rPr>
              <w:t>Covenants, Events of Default, and Remedies</w:t>
            </w:r>
          </w:p>
        </w:tc>
        <w:tc>
          <w:tcPr>
            <w:tcW w:type="dxa" w:w="5184"/>
          </w:tcPr>
          <w:p>
            <w:pPr>
              <w:spacing w:after="0"/>
            </w:pPr>
            <w:r/>
            <w:r>
              <w:rPr>
                <w:b w:val="0"/>
                <w:sz w:val="17"/>
              </w:rPr>
              <w:t>Remedies: standstill narrower than the Interim Order; self-help set-off; no court gatekeeping</w:t>
            </w:r>
          </w:p>
        </w:tc>
        <w:tc>
          <w:tcPr>
            <w:tcW w:type="dxa" w:w="1152"/>
          </w:tcPr>
          <w:p>
            <w:pPr>
              <w:spacing w:after="0"/>
            </w:pPr>
            <w:r/>
            <w:r>
              <w:rPr>
                <w:b w:val="0"/>
                <w:sz w:val="17"/>
              </w:rPr>
              <w:t>High</w:t>
            </w:r>
          </w:p>
        </w:tc>
      </w:tr>
      <w:tr>
        <w:tc>
          <w:tcPr>
            <w:tcW w:type="dxa" w:w="576"/>
          </w:tcPr>
          <w:p>
            <w:pPr>
              <w:spacing w:after="0"/>
            </w:pPr>
            <w:r/>
            <w:r>
              <w:rPr>
                <w:b w:val="0"/>
                <w:sz w:val="17"/>
              </w:rPr>
              <w:t>25</w:t>
            </w:r>
          </w:p>
        </w:tc>
        <w:tc>
          <w:tcPr>
            <w:tcW w:type="dxa" w:w="2448"/>
          </w:tcPr>
          <w:p>
            <w:pPr>
              <w:spacing w:after="0"/>
            </w:pPr>
            <w:r/>
            <w:r>
              <w:rPr>
                <w:b w:val="0"/>
                <w:sz w:val="17"/>
              </w:rPr>
              <w:t>Covenants, Events of Default, and Remedies</w:t>
            </w:r>
          </w:p>
        </w:tc>
        <w:tc>
          <w:tcPr>
            <w:tcW w:type="dxa" w:w="5184"/>
          </w:tcPr>
          <w:p>
            <w:pPr>
              <w:spacing w:after="0"/>
            </w:pPr>
            <w:r/>
            <w:r>
              <w:rPr>
                <w:b w:val="0"/>
                <w:sz w:val="17"/>
              </w:rPr>
              <w:t>Milestones are aggressive, extendable only by the lender, and misaligned with the challenge period</w:t>
            </w:r>
          </w:p>
        </w:tc>
        <w:tc>
          <w:tcPr>
            <w:tcW w:type="dxa" w:w="1152"/>
          </w:tcPr>
          <w:p>
            <w:pPr>
              <w:spacing w:after="0"/>
            </w:pPr>
            <w:r/>
            <w:r>
              <w:rPr>
                <w:b w:val="0"/>
                <w:sz w:val="17"/>
              </w:rPr>
              <w:t>Medium</w:t>
            </w:r>
          </w:p>
        </w:tc>
      </w:tr>
      <w:tr>
        <w:tc>
          <w:tcPr>
            <w:tcW w:type="dxa" w:w="576"/>
          </w:tcPr>
          <w:p>
            <w:pPr>
              <w:spacing w:after="0"/>
            </w:pPr>
            <w:r/>
            <w:r>
              <w:rPr>
                <w:b w:val="0"/>
                <w:sz w:val="17"/>
              </w:rPr>
              <w:t>26</w:t>
            </w:r>
          </w:p>
        </w:tc>
        <w:tc>
          <w:tcPr>
            <w:tcW w:type="dxa" w:w="2448"/>
          </w:tcPr>
          <w:p>
            <w:pPr>
              <w:spacing w:after="0"/>
            </w:pPr>
            <w:r/>
            <w:r>
              <w:rPr>
                <w:b w:val="0"/>
                <w:sz w:val="17"/>
              </w:rPr>
              <w:t>Covenants, Events of Default, and Remedies</w:t>
            </w:r>
          </w:p>
        </w:tc>
        <w:tc>
          <w:tcPr>
            <w:tcW w:type="dxa" w:w="5184"/>
          </w:tcPr>
          <w:p>
            <w:pPr>
              <w:spacing w:after="0"/>
            </w:pPr>
            <w:r/>
            <w:r>
              <w:rPr>
                <w:b w:val="0"/>
                <w:sz w:val="17"/>
              </w:rPr>
              <w:t>Capital expenditure covenant conflicts with the Budget and the TS</w:t>
            </w:r>
          </w:p>
        </w:tc>
        <w:tc>
          <w:tcPr>
            <w:tcW w:type="dxa" w:w="1152"/>
          </w:tcPr>
          <w:p>
            <w:pPr>
              <w:spacing w:after="0"/>
            </w:pPr>
            <w:r/>
            <w:r>
              <w:rPr>
                <w:b w:val="0"/>
                <w:sz w:val="17"/>
              </w:rPr>
              <w:t>Medium</w:t>
            </w:r>
          </w:p>
        </w:tc>
      </w:tr>
      <w:tr>
        <w:tc>
          <w:tcPr>
            <w:tcW w:type="dxa" w:w="576"/>
          </w:tcPr>
          <w:p>
            <w:pPr>
              <w:spacing w:after="0"/>
            </w:pPr>
            <w:r/>
            <w:r>
              <w:rPr>
                <w:b w:val="0"/>
                <w:sz w:val="17"/>
              </w:rPr>
              <w:t>27</w:t>
            </w:r>
          </w:p>
        </w:tc>
        <w:tc>
          <w:tcPr>
            <w:tcW w:type="dxa" w:w="2448"/>
          </w:tcPr>
          <w:p>
            <w:pPr>
              <w:spacing w:after="0"/>
            </w:pPr>
            <w:r/>
            <w:r>
              <w:rPr>
                <w:b w:val="0"/>
                <w:sz w:val="17"/>
              </w:rPr>
              <w:t>Covenants, Events of Default, and Remedies</w:t>
            </w:r>
          </w:p>
        </w:tc>
        <w:tc>
          <w:tcPr>
            <w:tcW w:type="dxa" w:w="5184"/>
          </w:tcPr>
          <w:p>
            <w:pPr>
              <w:spacing w:after="0"/>
            </w:pPr>
            <w:r/>
            <w:r>
              <w:rPr>
                <w:b w:val="0"/>
                <w:sz w:val="17"/>
              </w:rPr>
              <w:t>Other covenant and reporting points</w:t>
            </w:r>
          </w:p>
        </w:tc>
        <w:tc>
          <w:tcPr>
            <w:tcW w:type="dxa" w:w="1152"/>
          </w:tcPr>
          <w:p>
            <w:pPr>
              <w:spacing w:after="0"/>
            </w:pPr>
            <w:r/>
            <w:r>
              <w:rPr>
                <w:b w:val="0"/>
                <w:sz w:val="17"/>
              </w:rPr>
              <w:t>Low</w:t>
            </w:r>
          </w:p>
        </w:tc>
      </w:tr>
      <w:tr>
        <w:tc>
          <w:tcPr>
            <w:tcW w:type="dxa" w:w="576"/>
          </w:tcPr>
          <w:p>
            <w:pPr>
              <w:spacing w:after="0"/>
            </w:pPr>
            <w:r/>
            <w:r>
              <w:rPr>
                <w:b w:val="0"/>
                <w:sz w:val="17"/>
              </w:rPr>
              <w:t>28</w:t>
            </w:r>
          </w:p>
        </w:tc>
        <w:tc>
          <w:tcPr>
            <w:tcW w:type="dxa" w:w="2448"/>
          </w:tcPr>
          <w:p>
            <w:pPr>
              <w:spacing w:after="0"/>
            </w:pPr>
            <w:r/>
            <w:r>
              <w:rPr>
                <w:b w:val="0"/>
                <w:sz w:val="17"/>
              </w:rPr>
              <w:t>The Approved Budget (Exhibit B)</w:t>
            </w:r>
          </w:p>
        </w:tc>
        <w:tc>
          <w:tcPr>
            <w:tcW w:type="dxa" w:w="5184"/>
          </w:tcPr>
          <w:p>
            <w:pPr>
              <w:spacing w:after="0"/>
            </w:pPr>
            <w:r/>
            <w:r>
              <w:rPr>
                <w:b w:val="0"/>
                <w:sz w:val="17"/>
              </w:rPr>
              <w:t>Arithmetic errors: disbursements, burn and ending cash are misstated</w:t>
            </w:r>
          </w:p>
        </w:tc>
        <w:tc>
          <w:tcPr>
            <w:tcW w:type="dxa" w:w="1152"/>
          </w:tcPr>
          <w:p>
            <w:pPr>
              <w:spacing w:after="0"/>
            </w:pPr>
            <w:r/>
            <w:r>
              <w:rPr>
                <w:b w:val="0"/>
                <w:sz w:val="17"/>
              </w:rPr>
              <w:t>High</w:t>
            </w:r>
          </w:p>
        </w:tc>
      </w:tr>
      <w:tr>
        <w:tc>
          <w:tcPr>
            <w:tcW w:type="dxa" w:w="576"/>
          </w:tcPr>
          <w:p>
            <w:pPr>
              <w:spacing w:after="0"/>
            </w:pPr>
            <w:r/>
            <w:r>
              <w:rPr>
                <w:b w:val="0"/>
                <w:sz w:val="17"/>
              </w:rPr>
              <w:t>29</w:t>
            </w:r>
          </w:p>
        </w:tc>
        <w:tc>
          <w:tcPr>
            <w:tcW w:type="dxa" w:w="2448"/>
          </w:tcPr>
          <w:p>
            <w:pPr>
              <w:spacing w:after="0"/>
            </w:pPr>
            <w:r/>
            <w:r>
              <w:rPr>
                <w:b w:val="0"/>
                <w:sz w:val="17"/>
              </w:rPr>
              <w:t>The Approved Budget (Exhibit B)</w:t>
            </w:r>
          </w:p>
        </w:tc>
        <w:tc>
          <w:tcPr>
            <w:tcW w:type="dxa" w:w="5184"/>
          </w:tcPr>
          <w:p>
            <w:pPr>
              <w:spacing w:after="0"/>
            </w:pPr>
            <w:r/>
            <w:r>
              <w:rPr>
                <w:b w:val="0"/>
                <w:sz w:val="17"/>
              </w:rPr>
              <w:t>Budget structure issues that interact with the DIP terms</w:t>
            </w:r>
          </w:p>
        </w:tc>
        <w:tc>
          <w:tcPr>
            <w:tcW w:type="dxa" w:w="1152"/>
          </w:tcPr>
          <w:p>
            <w:pPr>
              <w:spacing w:after="0"/>
            </w:pPr>
            <w:r/>
            <w:r>
              <w:rPr>
                <w:b w:val="0"/>
                <w:sz w:val="17"/>
              </w:rPr>
              <w:t>Medium</w:t>
            </w:r>
          </w:p>
        </w:tc>
      </w:tr>
      <w:tr>
        <w:tc>
          <w:tcPr>
            <w:tcW w:type="dxa" w:w="576"/>
          </w:tcPr>
          <w:p>
            <w:pPr>
              <w:spacing w:after="0"/>
            </w:pPr>
            <w:r/>
            <w:r>
              <w:rPr>
                <w:b w:val="0"/>
                <w:sz w:val="17"/>
              </w:rPr>
              <w:t>30</w:t>
            </w:r>
          </w:p>
        </w:tc>
        <w:tc>
          <w:tcPr>
            <w:tcW w:type="dxa" w:w="2448"/>
          </w:tcPr>
          <w:p>
            <w:pPr>
              <w:spacing w:after="0"/>
            </w:pPr>
            <w:r/>
            <w:r>
              <w:rPr>
                <w:b w:val="0"/>
                <w:sz w:val="17"/>
              </w:rPr>
              <w:t>Evidentiary Record and Process</w:t>
            </w:r>
          </w:p>
        </w:tc>
        <w:tc>
          <w:tcPr>
            <w:tcW w:type="dxa" w:w="5184"/>
          </w:tcPr>
          <w:p>
            <w:pPr>
              <w:spacing w:after="0"/>
            </w:pPr>
            <w:r/>
            <w:r>
              <w:rPr>
                <w:b w:val="0"/>
                <w:sz w:val="17"/>
              </w:rPr>
              <w:t>The Holt Declaration is not a sufficient basis for § 364(c)/(d) findings</w:t>
            </w:r>
          </w:p>
        </w:tc>
        <w:tc>
          <w:tcPr>
            <w:tcW w:type="dxa" w:w="1152"/>
          </w:tcPr>
          <w:p>
            <w:pPr>
              <w:spacing w:after="0"/>
            </w:pPr>
            <w:r/>
            <w:r>
              <w:rPr>
                <w:b w:val="0"/>
                <w:sz w:val="17"/>
              </w:rPr>
              <w:t>High</w:t>
            </w:r>
          </w:p>
        </w:tc>
      </w:tr>
      <w:tr>
        <w:tc>
          <w:tcPr>
            <w:tcW w:type="dxa" w:w="576"/>
          </w:tcPr>
          <w:p>
            <w:pPr>
              <w:spacing w:after="0"/>
            </w:pPr>
            <w:r/>
            <w:r>
              <w:rPr>
                <w:b w:val="0"/>
                <w:sz w:val="17"/>
              </w:rPr>
              <w:t>31</w:t>
            </w:r>
          </w:p>
        </w:tc>
        <w:tc>
          <w:tcPr>
            <w:tcW w:type="dxa" w:w="2448"/>
          </w:tcPr>
          <w:p>
            <w:pPr>
              <w:spacing w:after="0"/>
            </w:pPr>
            <w:r/>
            <w:r>
              <w:rPr>
                <w:b w:val="0"/>
                <w:sz w:val="17"/>
              </w:rPr>
              <w:t>Evidentiary Record and Process</w:t>
            </w:r>
          </w:p>
        </w:tc>
        <w:tc>
          <w:tcPr>
            <w:tcW w:type="dxa" w:w="5184"/>
          </w:tcPr>
          <w:p>
            <w:pPr>
              <w:spacing w:after="0"/>
            </w:pPr>
            <w:r/>
            <w:r>
              <w:rPr>
                <w:b w:val="0"/>
                <w:sz w:val="17"/>
              </w:rPr>
              <w:t>Conflict-of-interest provisions and lender self-dealing</w:t>
            </w:r>
          </w:p>
        </w:tc>
        <w:tc>
          <w:tcPr>
            <w:tcW w:type="dxa" w:w="1152"/>
          </w:tcPr>
          <w:p>
            <w:pPr>
              <w:spacing w:after="0"/>
            </w:pPr>
            <w:r/>
            <w:r>
              <w:rPr>
                <w:b w:val="0"/>
                <w:sz w:val="17"/>
              </w:rPr>
              <w:t>Medium</w:t>
            </w:r>
          </w:p>
        </w:tc>
      </w:tr>
      <w:tr>
        <w:tc>
          <w:tcPr>
            <w:tcW w:type="dxa" w:w="576"/>
          </w:tcPr>
          <w:p>
            <w:pPr>
              <w:spacing w:after="0"/>
            </w:pPr>
            <w:r/>
            <w:r>
              <w:rPr>
                <w:b w:val="0"/>
                <w:sz w:val="17"/>
              </w:rPr>
              <w:t>32</w:t>
            </w:r>
          </w:p>
        </w:tc>
        <w:tc>
          <w:tcPr>
            <w:tcW w:type="dxa" w:w="2448"/>
          </w:tcPr>
          <w:p>
            <w:pPr>
              <w:spacing w:after="0"/>
            </w:pPr>
            <w:r/>
            <w:r>
              <w:rPr>
                <w:b w:val="0"/>
                <w:sz w:val="17"/>
              </w:rPr>
              <w:t>Evidentiary Record and Process</w:t>
            </w:r>
          </w:p>
        </w:tc>
        <w:tc>
          <w:tcPr>
            <w:tcW w:type="dxa" w:w="5184"/>
          </w:tcPr>
          <w:p>
            <w:pPr>
              <w:spacing w:after="0"/>
            </w:pPr>
            <w:r/>
            <w:r>
              <w:rPr>
                <w:b w:val="0"/>
                <w:sz w:val="17"/>
              </w:rPr>
              <w:t>Amendments may be made without Court approval or notice</w:t>
            </w:r>
          </w:p>
        </w:tc>
        <w:tc>
          <w:tcPr>
            <w:tcW w:type="dxa" w:w="1152"/>
          </w:tcPr>
          <w:p>
            <w:pPr>
              <w:spacing w:after="0"/>
            </w:pPr>
            <w:r/>
            <w:r>
              <w:rPr>
                <w:b w:val="0"/>
                <w:sz w:val="17"/>
              </w:rPr>
              <w:t>Medium</w:t>
            </w:r>
          </w:p>
        </w:tc>
      </w:tr>
      <w:tr>
        <w:tc>
          <w:tcPr>
            <w:tcW w:type="dxa" w:w="576"/>
          </w:tcPr>
          <w:p>
            <w:pPr>
              <w:spacing w:after="0"/>
            </w:pPr>
            <w:r/>
            <w:r>
              <w:rPr>
                <w:b w:val="0"/>
                <w:sz w:val="17"/>
              </w:rPr>
              <w:t>33</w:t>
            </w:r>
          </w:p>
        </w:tc>
        <w:tc>
          <w:tcPr>
            <w:tcW w:type="dxa" w:w="2448"/>
          </w:tcPr>
          <w:p>
            <w:pPr>
              <w:spacing w:after="0"/>
            </w:pPr>
            <w:r/>
            <w:r>
              <w:rPr>
                <w:b w:val="0"/>
                <w:sz w:val="17"/>
              </w:rPr>
              <w:t>Evidentiary Record and Process</w:t>
            </w:r>
          </w:p>
        </w:tc>
        <w:tc>
          <w:tcPr>
            <w:tcW w:type="dxa" w:w="5184"/>
          </w:tcPr>
          <w:p>
            <w:pPr>
              <w:spacing w:after="0"/>
            </w:pPr>
            <w:r/>
            <w:r>
              <w:rPr>
                <w:b w:val="0"/>
                <w:sz w:val="17"/>
              </w:rPr>
              <w:t>Interim Order provisions that should not carry into the Final Order without change</w:t>
            </w:r>
          </w:p>
        </w:tc>
        <w:tc>
          <w:tcPr>
            <w:tcW w:type="dxa" w:w="1152"/>
          </w:tcPr>
          <w:p>
            <w:pPr>
              <w:spacing w:after="0"/>
            </w:pPr>
            <w:r/>
            <w:r>
              <w:rPr>
                <w:b w:val="0"/>
                <w:sz w:val="17"/>
              </w:rPr>
              <w:t>Medium</w:t>
            </w:r>
          </w:p>
        </w:tc>
      </w:tr>
    </w:tbl>
    <w:p/>
    <w:p>
      <w:pPr>
        <w:pStyle w:val="Heading1"/>
      </w:pPr>
      <w:r>
        <w:t>V. Detailed Analysis</w:t>
      </w:r>
    </w:p>
    <w:p>
      <w:r>
        <w:rPr>
          <w:i/>
        </w:rPr>
        <w:t>Each issue sets out the relevant provisions, the problem (market, legal, or inconsistency), and a recommended fix.</w:t>
      </w:r>
    </w:p>
    <w:p>
      <w:pPr>
        <w:pStyle w:val="Heading2"/>
      </w:pPr>
      <w:r>
        <w:t>A. Structural Defects: Who Is the Debtor, and What Can the Court Encumber?</w:t>
      </w:r>
    </w:p>
    <w:p>
      <w:pPr>
        <w:pStyle w:val="Heading3"/>
      </w:pPr>
      <w:r>
        <w:t>Issue 1: Inconsistent debtor status of the Subsidiary Guarantors [High]</w:t>
      </w:r>
    </w:p>
    <w:p>
      <w:r>
        <w:rPr>
          <w:b/>
        </w:rPr>
        <w:t xml:space="preserve">Provisions: </w:t>
      </w:r>
      <w:r>
        <w:rPr>
          <w:i w:val="0"/>
        </w:rPr>
        <w:t>Recital (A); §§ 2.07(a)–(c), 2.08(a), 11.04; Schedule 1; IO caption, Recitals A and C, ¶¶ 5(a)(i)–(iii), 12(c), 24; Holt Decl. n.1, ¶ 10 and Ex. A</w:t>
      </w:r>
    </w:p>
    <w:p>
      <w:r>
        <w:rPr>
          <w:b/>
        </w:rPr>
        <w:t xml:space="preserve">Analysis: </w:t>
      </w:r>
      <w:r>
        <w:rPr>
          <w:i w:val="0"/>
        </w:rPr>
        <w:t>The DIP Agreement says only Redstone filed and that the Subsidiary Guarantors “have not filed petitions” (Recital (A)). The Interim Order also defines a single “Debtor” (Recital A). Yet both documents grant § 364(d)(1) “first-priority priming” liens on the subsidiaries’ assets (§§ 2.07(a), 11.04; IO ¶ 5(a)(i)), and IO ¶ 12(c) lets Ironclad enforce “rights against guarantors and subsidiary collateral.” The Holt Declaration, filed in support of the same motion, says that “each of the Debtors,” all four entities, filed on March 14, 2025, and that the cases are jointly administered (Holt Decl. n.1, ¶ 10). Its Exhibit A also describes the DIP Agreement as being among Redstone “and its debtor affiliates, as borrowers,” which the DIP Agreement does not say.</w:t>
      </w:r>
    </w:p>
    <w:p>
      <w:r>
        <w:rPr>
          <w:i w:val="0"/>
        </w:rPr>
        <w:t>If the subsidiaries are not debtors, § 364 gives the Court no power to authorize liens on their property, let alone liens that prime Hollcroft’s and the second lien’s existing liens on the subsidiaries’ assets (the 2L CA collateral includes all assets of the Guarantors, 2L CA § 1.01 “Collateral”). Outside bankruptcy, a non-consensual priming lien is a contract breach and a fraudulent-transfer question for each subsidiary, all the more so because each subsidiary would be guaranteeing and securing $35 million of rolled-up parent-level debt. If the subsidiaries are debtors, the documents fail the other way. They are not borrowers or debtor parties to the Interim Order. The Superpriority Claims run only against “the Borrower and its bankruptcy estate” (§ 2.08(a); definition of “Superpriority Claims”). The § 364(c)(2) liens on unencumbered property cover only the Borrower’s estate (§ 2.07(c)). And no findings were made as to the subsidiaries’ estates.</w:t>
      </w:r>
    </w:p>
    <w:p>
      <w:r>
        <w:rPr>
          <w:i w:val="0"/>
        </w:rPr>
        <w:t>This matters a great deal economically. The Budget’s receipts are entirely subsidiary customer collections (Valve $21.09M, Flow Systems $18.47M, Precision Castings $12.33M, plus $0.91M other). The Borrower itself shows no operating receipts. The collateral and cash that actually support the facility sit at the subsidiaries.</w:t>
      </w:r>
    </w:p>
    <w:p>
      <w:r>
        <w:rPr>
          <w:b/>
        </w:rPr>
        <w:t xml:space="preserve">Recommendation: </w:t>
      </w:r>
      <w:r>
        <w:rPr>
          <w:i w:val="0"/>
        </w:rPr>
        <w:t>Confirm the filing status of each entity from the docket. If all four filed, restate the DIP Agreement with all Debtors as co-borrowers or debtor-guarantors, conform the Final Order to the jointly administered caption, and provide for superpriority claims against each estate. If the subsidiaries did not file, delete the § 364(d) priming language as to their assets, and obtain Hollcroft’s and the requisite second-lien consents (including under the Intercreditor Agreement) to any subsidiary-level liens. Either way, a solvency and fraudulent-transfer analysis is needed for the subsidiaries’ upstream guaranty of the roll-up.</w:t>
      </w:r>
    </w:p>
    <w:p>
      <w:pPr>
        <w:pStyle w:val="Heading3"/>
      </w:pPr>
      <w:r>
        <w:t>Issue 2: Identity errors in the core definitions (wrong agreements, dates, parties, EINs) [Medium]</w:t>
      </w:r>
    </w:p>
    <w:p>
      <w:r>
        <w:rPr>
          <w:b/>
        </w:rPr>
        <w:t xml:space="preserve">Provisions: </w:t>
      </w:r>
      <w:r>
        <w:rPr>
          <w:i w:val="0"/>
        </w:rPr>
        <w:t>Definitions of “Pre-Petition First Lien Credit Agreement” and “Pre-Petition Second Lien Credit Agreement”; § 4.01; Schedule 1; preamble; IO Recital B, ¶ 2, Ex. 1; Holt Decl. n.1, Ex. C; 2L CA cover and § 1.01</w:t>
      </w:r>
    </w:p>
    <w:p>
      <w:r>
        <w:rPr>
          <w:b/>
        </w:rPr>
        <w:t xml:space="preserve">Analysis: </w:t>
      </w:r>
      <w:r>
        <w:rPr>
          <w:i w:val="0"/>
        </w:rPr>
        <w:t>The DIP Agreement dates the Pre-Petition Second Lien Credit Agreement October 15, 2020. The 2L CA itself, the TS, the Holt Declaration (Ex. C) and the Intercreditor Agreement references (IO Recital D(ii); 2L CA § 1.01) all show June 15, 2021. The DIP Agreement dates the First Lien Credit Agreement June 22, 2018. The 2L CA identifies it as the “First Lien Revolving Credit Agreement dated as of March 22, 2019.” Because the § 9.15 Lender Stipulation, the definitions of the obligations being rolled up, and the § 6.06 amendment covenant all hang off these definitions, a stipulation about the “October 15, 2020” agreement arguably stipulates to a document that does not exist.</w:t>
      </w:r>
    </w:p>
    <w:p>
      <w:r>
        <w:rPr>
          <w:i w:val="0"/>
        </w:rPr>
        <w:t>The DIP Agreement is “dated as of March 14, 2025,” the Petition Date, and was executed that day by the CRO as debtor-in-possession. The Interim Order approves a “DIP Credit Agreement, dated as of March 19, 2025” among the Borrower and Ironclad only, with no Subsidiary Guarantors (IO Recital B, ¶ 2, Ex. 1). The Holt Declaration footnote gives EIN endings of 4718, 8823, 5541 and 0192. The DIP Agreement and 2L CA give the Borrower’s EIN as 34-2198456 (ending 8456), and Schedule 1 gives subsidiary EINs ending 2901, 8145 and 1034. Schedule 1 calls each subsidiary a “direct” subsidiary, while the definition says “direct or indirect.”</w:t>
      </w:r>
    </w:p>
    <w:p>
      <w:r>
        <w:rPr>
          <w:b/>
        </w:rPr>
        <w:t xml:space="preserve">Recommendation: </w:t>
      </w:r>
      <w:r>
        <w:rPr>
          <w:i w:val="0"/>
        </w:rPr>
        <w:t>Conform all defined terms to the executed instruments: the 2L CA dated June 15, 2021, the First Lien agreement dated March 22, 2019 (confirm against the executed document), and the Intercreditor Agreement dated June 15, 2021. Fix the agreement date and party list in the Final Order, and reconcile the EINs against the petitions.</w:t>
      </w:r>
    </w:p>
    <w:p>
      <w:pPr>
        <w:pStyle w:val="Heading3"/>
      </w:pPr>
      <w:r>
        <w:t>Issue 3: Facility locations and real-property collateral are inconsistent [Medium]</w:t>
      </w:r>
    </w:p>
    <w:p>
      <w:r>
        <w:rPr>
          <w:b/>
        </w:rPr>
        <w:t xml:space="preserve">Provisions: </w:t>
      </w:r>
      <w:r>
        <w:rPr>
          <w:i w:val="0"/>
        </w:rPr>
        <w:t>§ 4.06; Schedule 1; TS § 2; IO Recital C; Holt Decl. ¶¶ 8, 15(c); Budget Assumptions (capex detail)</w:t>
      </w:r>
    </w:p>
    <w:p>
      <w:r>
        <w:rPr>
          <w:b/>
        </w:rPr>
        <w:t xml:space="preserve">Analysis: </w:t>
      </w:r>
      <w:r>
        <w:rPr>
          <w:i w:val="0"/>
        </w:rPr>
        <w:t>Section 4.06 lists manufacturing facilities in Youngstown, OH; Houston, TX; Pittsburgh, PA; and Akron, OH. The Holt Declaration lists Youngstown, Canton, Houston and Erie, and places Precision Castings in Erie. The TS refers to Ohio, Texas, Pennsylvania and Tennessee. The IO refers to “four manufacturing facilities located in Ohio, Texas, and Pennsylvania.” The Budget budgets $250,000 of safety capex at a “Pittsburgh facility.” Section 4.06 is a title representation that underpins the real-property collateral and any mortgages, and a false representation is an immediate Event of Default (§ 7.01(c)).</w:t>
      </w:r>
    </w:p>
    <w:p>
      <w:r>
        <w:rPr>
          <w:b/>
        </w:rPr>
        <w:t xml:space="preserve">Recommendation: </w:t>
      </w:r>
      <w:r>
        <w:rPr>
          <w:i w:val="0"/>
        </w:rPr>
        <w:t>Diligence the actual owned and leased sites. Correct § 4.06 and the collateral schedules, and confirm whether leasehold interests can be encumbered without landlord consent.</w:t>
      </w:r>
    </w:p>
    <w:p>
      <w:pPr>
        <w:pStyle w:val="Heading2"/>
      </w:pPr>
      <w:r>
        <w:t>B. The Roll-Up</w:t>
      </w:r>
    </w:p>
    <w:p>
      <w:pPr>
        <w:pStyle w:val="Heading3"/>
      </w:pPr>
      <w:r>
        <w:t>Issue 4: Size and structure of the $35 million roll-up [High]</w:t>
      </w:r>
    </w:p>
    <w:p>
      <w:r>
        <w:rPr>
          <w:b/>
        </w:rPr>
        <w:t xml:space="preserve">Provisions: </w:t>
      </w:r>
      <w:r>
        <w:rPr>
          <w:i w:val="0"/>
        </w:rPr>
        <w:t>Recital (C); §§ 2.02(a)–(d), 3.01, 3.02; definitions of “Roll-Up Commitment” and “Roll-Up Loans”; IO ¶ 3(b)–(d); Holt Decl. ¶¶ 26(b), 27, 51; Budget Summary</w:t>
      </w:r>
    </w:p>
    <w:p>
      <w:r>
        <w:rPr>
          <w:b/>
        </w:rPr>
        <w:t xml:space="preserve">Analysis: </w:t>
      </w:r>
      <w:r>
        <w:rPr>
          <w:i w:val="0"/>
        </w:rPr>
        <w:t>The roll-up converts $35 million of Ironclad’s $62.7 million second-lien position into first-priority priming DIP debt: $5 million on entry of the Interim Order and $30 million on entry of the Final Order. Three features make it extreme. First, the ratio is 1.75:1 against the $20 million new-money commitment, and 8.75:1 against the $4.0 million of new money the Budget projects drawing in weeks 1–13 ($2 million in Week 1 and $2 million in Week 5, leaving $16 million undrawn). Second, the debt being rolled is junior second-lien debt, not first-lien debt being primed. The roll-up therefore leapfrogs $35 million of junior debt over Hollcroft’s $93.3 million first lien, which is the reverse of the usual justification for a roll-up (protecting a primed senior lender). Third, the roll-up benefits only Ironclad. The other second-lien holders’ $32.3 million stays where it is, now primed.</w:t>
      </w:r>
    </w:p>
    <w:p>
      <w:r>
        <w:rPr>
          <w:i w:val="0"/>
        </w:rPr>
        <w:t>Holt’s assertion that the roll-up “reflects market practice” (Holt Decl. ¶ 26(b)) is unsupported. Delaware courts treat roll-ups as extraordinary relief that must be highlighted (Del. Bankr. L.R. 4001-2). They generally decline to approve roll-ups on an interim basis, and they look for evidence that the roll-up is necessary to obtain the new money and is proportionate. The Interim Order already approved a $5 million interim roll-up (IO ¶ 3(b)), while only $2 million of interim new money was budgeted. That undercuts any “immediate and irreparable harm” justification for the interim roll-up under Fed. R. Bankr. P. 4001(c)(2).</w:t>
      </w:r>
    </w:p>
    <w:p>
      <w:r>
        <w:rPr>
          <w:i w:val="0"/>
        </w:rPr>
        <w:t>Converting the debt also changes its economics. A rolled-up claim that might otherwise be undersecured, with no post-petition interest under §§ 502(b)(2) and 506(b), now accrues cash-pay interest at a 12.00% floor (Term SOFR floor of 3.50% plus 850 bps). On $35 million that is at least $4.2 million a year, about $350,000 a month, paid ahead of the first lien. The rolled-up claims also bear Upfront and Exit Fees ($1,925,000 combined; see Part D).</w:t>
      </w:r>
    </w:p>
    <w:p>
      <w:r>
        <w:rPr>
          <w:b/>
        </w:rPr>
        <w:t xml:space="preserve">Recommendation: </w:t>
      </w:r>
      <w:r>
        <w:rPr>
          <w:i w:val="0"/>
        </w:rPr>
        <w:t>Oppose the roll-up or seek to cut it down substantially, for example to a modest ratio tied to new money actually funded, implemented only in the Final Order. Condition any roll-up on (i) Hollcroft’s express consent, (ii) offering the same treatment pro rata to all second-lien lenders, and (iii) an express “unwind” remedy: if a timely challenge succeeds, the rolled-up amount is re-characterized as pre-petition second-lien debt and any interest and fees paid on it are disgorged or recharacterized as principal paydowns. Require evidence from the Debtor’s banker, not the lender, that no comparable new money was available without the roll-up.</w:t>
      </w:r>
    </w:p>
    <w:p>
      <w:pPr>
        <w:pStyle w:val="Heading3"/>
      </w:pPr>
      <w:r>
        <w:t>Issue 5: Roll-up conflicts with the 2L CA (pro rata sharing, sacred rights) and with first-lien subordination [High]</w:t>
      </w:r>
    </w:p>
    <w:p>
      <w:r>
        <w:rPr>
          <w:b/>
        </w:rPr>
        <w:t xml:space="preserve">Provisions: </w:t>
      </w:r>
      <w:r>
        <w:rPr>
          <w:i w:val="0"/>
        </w:rPr>
        <w:t>§ 2.02(c) (deemed borrowing applied to “repay” second-lien debt); 2L CA §§ 2.11, 9.01, 9.03(a), (c), (d), 11.02(b)(v), (vii), (d)</w:t>
      </w:r>
    </w:p>
    <w:p>
      <w:r>
        <w:rPr>
          <w:b/>
        </w:rPr>
        <w:t xml:space="preserve">Analysis: </w:t>
      </w:r>
      <w:r>
        <w:rPr>
          <w:i w:val="0"/>
        </w:rPr>
        <w:t>Section 2.02(c) structures the roll-up as a deemed borrowing whose proceeds are applied to repay $35 million of second-lien obligations held by Ironclad alone. Under the 2L CA:</w:t>
      </w:r>
    </w:p>
    <w:p>
      <w:pPr>
        <w:pStyle w:val="ListBullet"/>
      </w:pPr>
      <w:r>
        <w:t>§§ 2.11 and 9.03(d) prohibit any lender from receiving a payment or distribution “disproportionate” to its share. A lender who receives one holds the excess in trust for the other lenders.</w:t>
      </w:r>
    </w:p>
    <w:p>
      <w:pPr>
        <w:pStyle w:val="ListBullet"/>
      </w:pPr>
      <w:r>
        <w:t>§ 11.02(b)(v) and (d) require the consent of each adversely affected lender for any action, “whether by court order, contractual amendment, or otherwise,” that alters pro rata distribution. Section 11.02(b)(vii) requires each lender’s consent to subordinate the second-lien obligations or liens.</w:t>
      </w:r>
    </w:p>
    <w:p>
      <w:pPr>
        <w:pStyle w:val="ListBullet"/>
      </w:pPr>
      <w:r>
        <w:t>§§ 9.01 and 9.03(a) bar second-lien lenders from receiving any payment until the First Lien Debt is Paid in Full, except scheduled payments and court-authorized adequate protection. Section 9.03(c) requires turnover to Hollcroft of any non-conforming payment.</w:t>
      </w:r>
    </w:p>
    <w:p>
      <w:r>
        <w:rPr>
          <w:i w:val="0"/>
        </w:rPr>
        <w:t>A deemed repayment of Ironclad’s second-lien debt from DIP proceeds is exactly the kind of non-pro rata payment, made while the first lien is unpaid, that these clauses prohibit. Ironclad, as 66% Majority Lender and as agent, cannot waive sacred rights on behalf of the other seven lenders. The roll-up also exposes Ironclad (and possibly the estate) to turnover and trust claims by Hollcroft and the minority lenders, which raises execution risk for the whole facility.</w:t>
      </w:r>
    </w:p>
    <w:p>
      <w:r>
        <w:rPr>
          <w:b/>
        </w:rPr>
        <w:t xml:space="preserve">Recommendation: </w:t>
      </w:r>
      <w:r>
        <w:rPr>
          <w:i w:val="0"/>
        </w:rPr>
        <w:t>Require Ironclad to obtain the minority second-lien lenders’ consent, or extend the roll-up to them pro rata, and obtain Hollcroft’s written consent under the Intercreditor Agreement. Ask for the full Intercreditor Agreement, which was not produced and which the DIP Agreement never mentions.</w:t>
      </w:r>
    </w:p>
    <w:p>
      <w:pPr>
        <w:pStyle w:val="Heading3"/>
      </w:pPr>
      <w:r>
        <w:t>Issue 6: Roll-up mechanics are internally inconsistent [Low]</w:t>
      </w:r>
    </w:p>
    <w:p>
      <w:r>
        <w:rPr>
          <w:b/>
        </w:rPr>
        <w:t xml:space="preserve">Provisions: </w:t>
      </w:r>
      <w:r>
        <w:rPr>
          <w:i w:val="0"/>
        </w:rPr>
        <w:t>§ 2.02(a)–(c); § 2.05(c); § 2.06(b)</w:t>
      </w:r>
    </w:p>
    <w:p>
      <w:r>
        <w:rPr>
          <w:b/>
        </w:rPr>
        <w:t xml:space="preserve">Analysis: </w:t>
      </w:r>
      <w:r>
        <w:rPr>
          <w:i w:val="0"/>
        </w:rPr>
        <w:t>Section 2.02(c) says the Borrower “shall be deemed to have borrowed Thirty-Five Million Dollars ($35,000,000)” in a single deemed exchange. That conflicts with the staged $5 million and $30 million mechanics in § 2.02(a)–(b), and leaves unclear what happens if the Final Order is never entered. Section 2.05(c) applies principal payments “first to New Money Loans and then to Roll-Up Loans, unless otherwise directed by the DIP Lender.” That lets Ironclad direct 100% of asset-sale and casualty proceeds (§ 2.06(b)), which are largely first-lien collateral proceeds, to repaying its own rolled-up second-lien debt.</w:t>
      </w:r>
    </w:p>
    <w:p>
      <w:r>
        <w:rPr>
          <w:b/>
        </w:rPr>
        <w:t xml:space="preserve">Recommendation: </w:t>
      </w:r>
      <w:r>
        <w:rPr>
          <w:i w:val="0"/>
        </w:rPr>
        <w:t>Conform § 2.02(c) to the staged mechanics. Fix the application of payments so that it pays New Money first, without a lender override, and so that Roll-Up Loans are not repaid from collateral proceeds until the Challenge Period expires and Hollcroft is adequately protected.</w:t>
      </w:r>
    </w:p>
    <w:p>
      <w:pPr>
        <w:pStyle w:val="Heading2"/>
      </w:pPr>
      <w:r>
        <w:t>C. Priming and Adequate Protection</w:t>
      </w:r>
    </w:p>
    <w:p>
      <w:pPr>
        <w:pStyle w:val="Heading3"/>
      </w:pPr>
      <w:r>
        <w:t>Issue 7: Non-Ironclad second-lien lenders are primed with no adequate protection [High]</w:t>
      </w:r>
    </w:p>
    <w:p>
      <w:r>
        <w:rPr>
          <w:b/>
        </w:rPr>
        <w:t xml:space="preserve">Provisions: </w:t>
      </w:r>
      <w:r>
        <w:rPr>
          <w:i w:val="0"/>
        </w:rPr>
        <w:t>§§ 2.07(b), 5.04(b) (“Reserved”); TS § 6; IO ¶ 10; Budget Assumptions (“Not addressed”); 2L CA §§ 9.05(a)(ii), (b), (c), 9.06</w:t>
      </w:r>
    </w:p>
    <w:p>
      <w:r>
        <w:rPr>
          <w:b/>
        </w:rPr>
        <w:t xml:space="preserve">Analysis: </w:t>
      </w:r>
      <w:r>
        <w:rPr>
          <w:i w:val="0"/>
        </w:rPr>
        <w:t>Section 2.07(b) primes the second-lien liens under § 364(d)(1), and § 5.04(b) provides no adequate protection at all. That is worse than the TS, which at least left adequate protection for the non-Ironclad holders “as determined by the Bankruptcy Court in the DIP Orders.” IO ¶ 10 deferred the question to the Final Hearing. Section 364(d)(1)(B) requires adequate protection of each primed lienholder, and § 364(d)(2) puts the burden of proof on the debtor (see In re Swedeland Dev. Grp., Inc., 16 F.3d 552 (3d Cir. 1994) (en banc)). The record contains no valuation evidence showing an equity cushion.</w:t>
      </w:r>
    </w:p>
    <w:p>
      <w:r>
        <w:rPr>
          <w:i w:val="0"/>
        </w:rPr>
        <w:t>Contractually, the second lien’s advance consent to priming and to DIP financing applies only if “all Second Lien Lenders” receive adequate protection “on a pro rata basis” (2L CA §§ 9.05(c), 9.06(b)). Without it, the second-lien lenders are free to object (2L CA § 9.05(b)(i)). Ironclad, through the roll-up, gets the best treatment in the case, while the other holders get none.</w:t>
      </w:r>
    </w:p>
    <w:p>
      <w:r>
        <w:rPr>
          <w:b/>
        </w:rPr>
        <w:t xml:space="preserve">Recommendation: </w:t>
      </w:r>
      <w:r>
        <w:rPr>
          <w:i w:val="0"/>
        </w:rPr>
        <w:t>Provide pro rata adequate protection to all second-lien lenders: replacement liens junior to the first-lien adequate protection liens, a § 507(b) claim, and reporting. Alternatively, build a record of an equity cushion. Expect a joint objection from the seven minority holders, whose individual positions range from about $2.5 million to $8.75 million (2L CA Schedule 2.01).</w:t>
      </w:r>
    </w:p>
    <w:p>
      <w:pPr>
        <w:pStyle w:val="Heading3"/>
      </w:pPr>
      <w:r>
        <w:t>Issue 8: Priming of Hollcroft’s first lien: no evidence of consent; adequate protection evidence is thin [High]</w:t>
      </w:r>
    </w:p>
    <w:p>
      <w:r>
        <w:rPr>
          <w:b/>
        </w:rPr>
        <w:t xml:space="preserve">Provisions: </w:t>
      </w:r>
      <w:r>
        <w:rPr>
          <w:i w:val="0"/>
        </w:rPr>
        <w:t>§§ 2.07(b), 5.04(a); definition of “Adequate Protection Liens”; IO Recitals K, M, P, ¶ 9; Holt Decl. ¶¶ 35–36, 48</w:t>
      </w:r>
    </w:p>
    <w:p>
      <w:r>
        <w:rPr>
          <w:b/>
        </w:rPr>
        <w:t xml:space="preserve">Analysis: </w:t>
      </w:r>
      <w:r>
        <w:rPr>
          <w:i w:val="0"/>
        </w:rPr>
        <w:t>Nothing in the record says Hollcroft consented to being primed by $55 million of DIP debt, $35 million of which is rolled-up junior debt. IO Recital P expressly reserves Hollcroft’s right to object at the Final Hearing, and IO ¶ 9(b) preserves its right to seek more adequate protection. The § 364(d)(1)(A) finding is also incomplete. IO Recital K addresses unsecured credit, § 364(b) credit and § 364(c) credit, but contains no finding that credit was unavailable without priming. The Holt Declaration supplies only hearsay on the marketing process (see Part L). If Hollcroft objects, the Debtor must prove adequate protection for a priming of about $55 million plus fees on top of a $93.3 million first-lien claim, and there is no collateral valuation in the record.</w:t>
      </w:r>
    </w:p>
    <w:p>
      <w:r>
        <w:rPr>
          <w:i w:val="0"/>
        </w:rPr>
        <w:t>Drafting points: the definition of “Adequate Protection Liens” makes a lien “junior and subordinate to … the Superpriority Claims,” which mixes up lien and claim priority. It also says the liens are “senior to all other liens.” That conflicts with Permitted Liens and with the non-primed prior liens to which the DIP Liens are junior under § 2.07(c)(ii). Holt Decl. ¶ 35(a) says the adequate protection liens are junior to “certain Permitted Liens,” which the DIP Agreement does not provide. In the Budget, adequate protection interest is paid in $180,000 installments in nine separate weeks ($1.62 million total). Section 5.04(a)(iii) and IO ¶ 9(a)(iii) require monthly payment on the first Business Day of each month (April 1, May 1, June 2). The Budget’s timing does not track the order.</w:t>
      </w:r>
    </w:p>
    <w:p>
      <w:r>
        <w:rPr>
          <w:b/>
        </w:rPr>
        <w:t xml:space="preserve">Recommendation: </w:t>
      </w:r>
      <w:r>
        <w:rPr>
          <w:i w:val="0"/>
        </w:rPr>
        <w:t>Obtain Hollcroft’s written consent and its sign-off on the Final Order. Otherwise, prepare valuation evidence. Fix the definition of Adequate Protection Liens (junior only to the DIP Liens, the Carve-Out and existing senior Permitted Liens), and re-time the adequate protection payments in the Budget.</w:t>
      </w:r>
    </w:p>
    <w:p>
      <w:pPr>
        <w:pStyle w:val="Heading2"/>
      </w:pPr>
      <w:r>
        <w:t>D. Pricing and Fees</w:t>
      </w:r>
    </w:p>
    <w:p>
      <w:pPr>
        <w:pStyle w:val="Heading3"/>
      </w:pPr>
      <w:r>
        <w:t>Issue 9: Upfront and Exit Fees calculated on the roll-up; Exit Fee payable on any termination; fees “earned” before court approval [High]</w:t>
      </w:r>
    </w:p>
    <w:p>
      <w:r>
        <w:rPr>
          <w:b/>
        </w:rPr>
        <w:t xml:space="preserve">Provisions: </w:t>
      </w:r>
      <w:r>
        <w:rPr>
          <w:i w:val="0"/>
        </w:rPr>
        <w:t>§§ 2.04(a), (c), 2.06(a)(iii), 9.17; definitions of “Upfront Fee” and “Exit Fee”; Schedule 4 n.1–2; TS § 4; IO ¶¶ 4(b), (e); Holt Decl. ¶ 30(a), (c)</w:t>
      </w:r>
    </w:p>
    <w:p>
      <w:r>
        <w:rPr>
          <w:b/>
        </w:rPr>
        <w:t xml:space="preserve">Analysis: </w:t>
      </w:r>
      <w:r>
        <w:rPr>
          <w:i w:val="0"/>
        </w:rPr>
        <w:t>Both fees are computed on the full $55 million DIP Commitment, including the $35 million of roll-up (Schedule 4 n.1). The Upfront Fee is $1,650,000 and the Exit Fee is $1,375,000, for $3,025,000 in total. That is 15.1% of the $20 million of new money actually committed, and about 75.6% of the $4.0 million the Budget expects to draw in 13 weeks. The portion of the fees attributable to the roll-up alone is $1,925,000 ($1,050,000 upfront plus $875,000 exit). Lenders are not normally paid commitment-style fees on refinanced pre-petition debt for which they take no new funding risk. The Week 1 Budget uses $1.65 million of the $2.0 million Week 1 draw (82.5%) to pay the Upfront Fee, which is consistent with Holt Decl. ¶ 30(a) (“payable from the proceeds of the DIP facility”).</w:t>
      </w:r>
    </w:p>
    <w:p>
      <w:r>
        <w:rPr>
          <w:i w:val="0"/>
        </w:rPr>
        <w:t>The Exit Fee is payable “regardless of the reason for, or circumstances of, such termination,” including acceleration, conversion, dismissal, a § 363 sale, plan consummation and refinancing (§ 2.04(c)(i)–(vii); § 9.17). It is also triggered by voluntary prepayment in full (§ 2.06(a)(iii)), despite § 2.06(a)’s “without premium or penalty” language. In practice it is a prepayment penalty that discourages a cheaper refinancing, and § 6.07 bars the Debtor from even looking for one. It is unclear whether the full $1,375,000 is owed if the Final Order is never entered and the facility terminates after only $17 million of interim availability. In a credit-bid scenario, the Exit Fee adds to Ironclad’s credit bid.</w:t>
      </w:r>
    </w:p>
    <w:p>
      <w:r>
        <w:rPr>
          <w:i w:val="0"/>
        </w:rPr>
        <w:t>The DIP Agreement says both fees are “fully earned upon execution of this Agreement” (March 14, 2025), which was before any court authorization. The TS, the IO (¶ 4(b)) and Holt Decl. ¶ 30(a) say the Upfront Fee is earned on entry of the Interim Order, and the TS says the same for the Exit Fee. A post-petition obligation incurred before the court authorizes it under § 364 is not enforceable. The DIP Agreement should not purport to make the fees earned on signing.</w:t>
      </w:r>
    </w:p>
    <w:p>
      <w:r>
        <w:rPr>
          <w:b/>
        </w:rPr>
        <w:t xml:space="preserve">Recommendation: </w:t>
      </w:r>
      <w:r>
        <w:rPr>
          <w:i w:val="0"/>
        </w:rPr>
        <w:t>Calculate the Upfront and Exit Fees on the new-money commitment only, or eliminate the Exit Fee. Exclude from the Exit Fee any refinancing in which the DIP is paid in full in cash, any credit-bid or plan in which Ironclad is the buyer, and any termination before the Final Order. Conform the “earned” language to entry of the applicable DIP Order.</w:t>
      </w:r>
    </w:p>
    <w:p>
      <w:pPr>
        <w:pStyle w:val="Heading3"/>
      </w:pPr>
      <w:r>
        <w:t>Issue 10: Agent Fee is excessive and its timing is inconsistent [Medium]</w:t>
      </w:r>
    </w:p>
    <w:p>
      <w:r>
        <w:rPr>
          <w:b/>
        </w:rPr>
        <w:t xml:space="preserve">Provisions: </w:t>
      </w:r>
      <w:r>
        <w:rPr>
          <w:i w:val="0"/>
        </w:rPr>
        <w:t>§ 2.04(d); definition of “Agent Fee”; § 10.01; TS § 4; IO ¶¶ F(d), 4(c); Holt Decl. ¶ 30(d)</w:t>
      </w:r>
    </w:p>
    <w:p>
      <w:r>
        <w:rPr>
          <w:b/>
        </w:rPr>
        <w:t xml:space="preserve">Analysis: </w:t>
      </w:r>
      <w:r>
        <w:rPr>
          <w:i w:val="0"/>
        </w:rPr>
        <w:t>The Agent Fee is $50,000 a month ($600,000 a year), paid to Ironclad as agent for itself as sole lender. Section 10.01 acknowledges that “the DIP Agent and the DIP Lender are the same entity.” A fee of this size is hard to justify for a single-lender facility with no syndicate to administer. The DIP Agreement makes it payable in advance, starting on the Closing Date, fully earned, and not prorated. The TS and the IO (¶¶ F(d), 4(c)) say it is payable monthly in arrears. Under the DIP Agreement’s mechanics, a March 19 payment would be followed by another on April 1, so 10 payments ($500,000) are owed over a term of roughly 9 months.</w:t>
      </w:r>
    </w:p>
    <w:p>
      <w:r>
        <w:rPr>
          <w:b/>
        </w:rPr>
        <w:t xml:space="preserve">Recommendation: </w:t>
      </w:r>
      <w:r>
        <w:rPr>
          <w:i w:val="0"/>
        </w:rPr>
        <w:t>Eliminate the Agent Fee or reduce it to a nominal annual administration fee. In any case, conform it to the Interim Order (in arrears, prorated).</w:t>
      </w:r>
    </w:p>
    <w:p>
      <w:pPr>
        <w:pStyle w:val="Heading3"/>
      </w:pPr>
      <w:r>
        <w:t>Issue 11: Interest: roll-up repriced; default rate is high and compounding; overrides the Bankruptcy Code [Medium]</w:t>
      </w:r>
    </w:p>
    <w:p>
      <w:r>
        <w:rPr>
          <w:b/>
        </w:rPr>
        <w:t xml:space="preserve">Provisions: </w:t>
      </w:r>
      <w:r>
        <w:rPr>
          <w:i w:val="0"/>
        </w:rPr>
        <w:t>§§ 2.03(a), (d), (e); definitions of “Applicable Rate,” “Default Rate,” “Term SOFR,” “SOFR Floor”; 2L CA § 2.07; TS § 4; IO ¶ 4(a)</w:t>
      </w:r>
    </w:p>
    <w:p>
      <w:r>
        <w:rPr>
          <w:b/>
        </w:rPr>
        <w:t xml:space="preserve">Analysis: </w:t>
      </w:r>
      <w:r>
        <w:rPr>
          <w:i w:val="0"/>
        </w:rPr>
        <w:t>The pre-petition second-lien debt bears interest at Adjusted Term SOFR + 575 bps with a 1.00% floor, and +200 bps on default (2L CA § 2.07). Once rolled up, the same debt bears Term SOFR + 850 bps with a 3.50% floor (a 12.00% minimum), and +400 bps on default (a 16.00% minimum). In other words, Ironclad reprices its own pre-petition debt upward by at least 275 bps of spread and 250 bps of floor. Section 2.03(d) applies default interest automatically from the date of the Event of Default, without notice. Default interest compounds monthly and itself bears default interest. Compounding interest-on-interest is not market for DIP facilities. Section 2.03(e) (“Notwithstanding any other provision of this Agreement or the Bankruptcy Code …”) cannot override the Code.</w:t>
      </w:r>
    </w:p>
    <w:p>
      <w:r>
        <w:rPr>
          <w:i w:val="0"/>
        </w:rPr>
        <w:t>The rate index is also inconsistent. The DIP Agreement uses one-month CME Term SOFR. The TS, the IO (¶¶ F(a), 4(a)), the Holt Declaration and the Budget all refer to “SOFR.” Because the IO controls in a conflict (IO ¶ 28; CA §§ 1.02(j), 9.16), the index is open to dispute.</w:t>
      </w:r>
    </w:p>
    <w:p>
      <w:r>
        <w:rPr>
          <w:b/>
        </w:rPr>
        <w:t xml:space="preserve">Recommendation: </w:t>
      </w:r>
      <w:r>
        <w:rPr>
          <w:i w:val="0"/>
        </w:rPr>
        <w:t>Price Roll-Up Loans at the 2L CA contract rate, or at most the new-money rate without a floor step-up. Cap default interest at +200 bps, simple interest, applied only after written notice. Delete § 2.03(e). Pick a single benchmark across all documents.</w:t>
      </w:r>
    </w:p>
    <w:p>
      <w:pPr>
        <w:pStyle w:val="Heading3"/>
      </w:pPr>
      <w:r>
        <w:t>Issue 12: Unused Line Fee accrues on unavailable commitment [Low]</w:t>
      </w:r>
    </w:p>
    <w:p>
      <w:r>
        <w:rPr>
          <w:b/>
        </w:rPr>
        <w:t xml:space="preserve">Provisions: </w:t>
      </w:r>
      <w:r>
        <w:rPr>
          <w:i w:val="0"/>
        </w:rPr>
        <w:t>§§ 2.01(c), 2.04(b); definition of “Unused Line Fee”; IO ¶ 4(d)</w:t>
      </w:r>
    </w:p>
    <w:p>
      <w:r>
        <w:rPr>
          <w:b/>
        </w:rPr>
        <w:t xml:space="preserve">Analysis: </w:t>
      </w:r>
      <w:r>
        <w:rPr>
          <w:i w:val="0"/>
        </w:rPr>
        <w:t>The Unused Line Fee (1.50%) is calculated on the full $20 million New Money Commitment (§ 2.04(b)), even though only $12 million is available before the Final Order (§ 2.01(c)). The Debtor therefore pays a commitment fee on $8 million it cannot borrow. The Budget projects only $4 million drawn, so the fee runs on about $16 million of undrawn commitment, roughly $240,000 a year.</w:t>
      </w:r>
    </w:p>
    <w:p>
      <w:r>
        <w:rPr>
          <w:b/>
        </w:rPr>
        <w:t xml:space="preserve">Recommendation: </w:t>
      </w:r>
      <w:r>
        <w:rPr>
          <w:i w:val="0"/>
        </w:rPr>
        <w:t>Calculate the fee on available but undrawn commitment only.</w:t>
      </w:r>
    </w:p>
    <w:p>
      <w:pPr>
        <w:pStyle w:val="Heading2"/>
      </w:pPr>
      <w:r>
        <w:t>E. Lender Professional Fees, Indemnity, and the Carve-Out</w:t>
      </w:r>
    </w:p>
    <w:p>
      <w:pPr>
        <w:pStyle w:val="Heading3"/>
      </w:pPr>
      <w:r>
        <w:t>Issue 13: DIP Lender Professional Fees are uncapped and unreviewable, and override court orders [High]</w:t>
      </w:r>
    </w:p>
    <w:p>
      <w:r>
        <w:rPr>
          <w:b/>
        </w:rPr>
        <w:t xml:space="preserve">Provisions: </w:t>
      </w:r>
      <w:r>
        <w:rPr>
          <w:i w:val="0"/>
        </w:rPr>
        <w:t>§§ 2.09(c), 3.01(d), 5.03, 9.03(a), 9.10; definitions of “DIP Lender Professionals” and “DIP Lender Professional Fees”; Schedule 4 n.3; IO ¶¶ 4(f), 8(c), 19; Budget Assumptions</w:t>
      </w:r>
    </w:p>
    <w:p>
      <w:r>
        <w:rPr>
          <w:b/>
        </w:rPr>
        <w:t xml:space="preserve">Analysis: </w:t>
      </w:r>
      <w:r>
        <w:rPr>
          <w:i w:val="0"/>
        </w:rPr>
        <w:t>Section 5.03 requires payment within 10 Business Days of invoice, “without the need for or requirement of any approval of, review by, or application to, the Bankruptcy Court,” and states that the fees “shall not be subject to any aggregate cap, individual cap, budget limitation, holdback, or fee review or audit by the Borrower, the Committee, the United States Trustee, or the Bankruptcy Court.” Section 2.09(c) adds that the fees are payable “without regard to … any order of the Bankruptcy Court limiting or capping professional fees.” That is unenforceable as drafted and contradicts §§ 1.02(j) and 9.16, under which the DIP Orders control. It is also internally inconsistent with § 9.03(a), which limits reimbursement to “reasonable and documented” fees.</w:t>
      </w:r>
    </w:p>
    <w:p>
      <w:r>
        <w:rPr>
          <w:i w:val="0"/>
        </w:rPr>
        <w:t>The fee definition reaches fees incurred “in connection with … the protection of … the rights and interests of the DIP Lender,” including “any proceedings or disputes related thereto.” As drafted, that covers Ironclad’s costs of defending a Committee challenge to its pre-petition second-lien claims, and of its role as prospective credit bidder and stalking horse. The estate would fund Ironclad’s defense of its pre-petition position while the Committee gets $0 (CA) or $25,000 (IO ¶ 25(c)) to investigate. The “any other … professionals” language makes the universe of payees open-ended, and § 9.10 makes those professionals third-party beneficiaries.</w:t>
      </w:r>
    </w:p>
    <w:p>
      <w:r>
        <w:rPr>
          <w:i w:val="0"/>
        </w:rPr>
        <w:t>Market practice in Delaware is that lender professionals are not subject to §§ 330 and 331, but they must provide summary invoices (redacted for privilege) to the U.S. Trustee, the Committee and the Debtor, subject to a 10-day objection period with disputes resolved by the Court. Fees incurred in a lender’s capacity as a pre-petition lender, or in investigating or opposing estate challenges, are excluded or paid only as adequate protection. The IO already requires “reasonable and documented” fees (¶¶ 4(f), 19), but it also excuses compliance with U.S. Trustee guidelines and provides no review process.</w:t>
      </w:r>
    </w:p>
    <w:p>
      <w:r>
        <w:rPr>
          <w:b/>
        </w:rPr>
        <w:t xml:space="preserve">Recommendation: </w:t>
      </w:r>
      <w:r>
        <w:rPr>
          <w:i w:val="0"/>
        </w:rPr>
        <w:t>Add a fee-notice and review procedure (invoices to the U.S. Trustee, the Committee and the Debtor; 10-day objection window; Court resolves disputes). Exclude fees relating to the second-lien claims, any challenge, and Ironclad’s bidding activity. Limit reimbursement to named counsel and one financial advisor. Delete the “without regard to any order” language. Consider a budgeted cap.</w:t>
      </w:r>
    </w:p>
    <w:p>
      <w:pPr>
        <w:pStyle w:val="Heading3"/>
      </w:pPr>
      <w:r>
        <w:t>Issue 14: Indemnity covers the whole Chapter 11 Case and estate claims against the lender [Medium]</w:t>
      </w:r>
    </w:p>
    <w:p>
      <w:r>
        <w:rPr>
          <w:b/>
        </w:rPr>
        <w:t xml:space="preserve">Provisions: </w:t>
      </w:r>
      <w:r>
        <w:rPr>
          <w:i w:val="0"/>
        </w:rPr>
        <w:t>§ 9.03(b); § 9.10; § 11.01; TS § 17</w:t>
      </w:r>
    </w:p>
    <w:p>
      <w:r>
        <w:rPr>
          <w:b/>
        </w:rPr>
        <w:t xml:space="preserve">Analysis: </w:t>
      </w:r>
      <w:r>
        <w:rPr>
          <w:i w:val="0"/>
        </w:rPr>
        <w:t>The indemnity extends to anything “arising out of or in connection with … (iii) the Chapter 11 Case,” “whether or not … brought by … the Borrower.” The only carve-out is final-judgment gross negligence or willful misconduct. There is no exclusion for breach of the DIP Loan Documents by the Indemnified Person, for disputes among Indemnified Persons, or for claims relating to Ironclad’s pre-petition second-lien position. Combined with the releases in § 9.15, the indemnity could require the estate to reimburse Ironclad for defending estate causes of action. The TS used a “primarily resulted from” gross negligence standard, which is narrower still; the DIP Agreement drops it, which is better for the estate, but the scope remains overbroad. The subsidiaries guarantee the indemnity (§ 11.01).</w:t>
      </w:r>
    </w:p>
    <w:p>
      <w:r>
        <w:rPr>
          <w:b/>
        </w:rPr>
        <w:t xml:space="preserve">Recommendation: </w:t>
      </w:r>
      <w:r>
        <w:rPr>
          <w:i w:val="0"/>
        </w:rPr>
        <w:t>Limit the indemnity to claims arising from the DIP Facility. Exclude claims brought by the estate or the Committee in which the estate prevails, claims relating to the second-lien claims, and claims arising from material breach or bad faith.</w:t>
      </w:r>
    </w:p>
    <w:p>
      <w:pPr>
        <w:pStyle w:val="Heading3"/>
      </w:pPr>
      <w:r>
        <w:t>Issue 15: Carve-Out is inadequate, disparate, and inconsistent across documents [High]</w:t>
      </w:r>
    </w:p>
    <w:p>
      <w:r>
        <w:rPr>
          <w:b/>
        </w:rPr>
        <w:t xml:space="preserve">Provisions: </w:t>
      </w:r>
      <w:r>
        <w:rPr>
          <w:i w:val="0"/>
        </w:rPr>
        <w:t>§ 2.09(a)–(c); definitions of “Carve-Out” and “Carve-Out Trigger Notice”; § 7.03(a)(iii), (b)(i); TS § 7; IO ¶¶ 8(a)–(d), 25; Budget Exhibit B note; Budget Assumptions (“SINGLE AGGREGATED LINE”)</w:t>
      </w:r>
    </w:p>
    <w:p>
      <w:r>
        <w:rPr>
          <w:b/>
        </w:rPr>
        <w:t xml:space="preserve">Analysis: </w:t>
      </w:r>
      <w:r>
        <w:rPr>
          <w:i w:val="0"/>
        </w:rPr>
        <w:t>Pre-trigger fees. Under § 2.09(a)(ii), pre-trigger fees are protected only “to the extent such fees … are in accordance with the Approved Budget.” IO ¶ 8(a)(i) says pre-trigger fees are “not subject to any dollar cap or limitation.” The TS went further and provided no pre-trigger carve-out at all. The IO controls (IO ¶ 28), but the DIP Agreement must be conformed. The Budget problem makes the conflict sharper: the only professional-fee line is a single undifferentiated $3.2 million that expressly “includes all professional constituencies,” including the uncapped DIP Lender professionals (Exhibit B note; Budget Assumptions). Every dollar paid to Pendleton Howe and Ridgeline therefore reduces the budgeted room, and so the CA pre-trigger Carve-Out, available for Debtor and Committee professionals.</w:t>
      </w:r>
    </w:p>
    <w:p>
      <w:r>
        <w:rPr>
          <w:i w:val="0"/>
        </w:rPr>
        <w:t>Post-trigger amount and disparity. The post-trigger Carve-Out is $1.75 million in total: $1.5 million for Debtor professionals and $250,000 (about 14%) for Committee professionals. Del. Bankr. L.R. 4001-2 requires disparate treatment of committee professionals to be highlighted, and the U.S. Trustee routinely objects to it. Holt Decl. ¶ 37 calls the Carve-Out “adequate” without support. There is no Chapter 7 trustee carve-out (market is commonly $50,000–$100,000). Section 2.09(a)(i) covers only 28 U.S.C. § 1930(a)(6) fees. The TS and IO ¶ 8(a)(iii) cover all § 1930(a) fees, including Clerk fees. The CA retention references (“327, 328, or 1103”) differ from the IO’s (Debtor professionals under §§ 327, 328 or 363; Committee professionals under §§ 328 and 1103). The TS put Committee professionals under §§ 327 or 328, which is wrong.</w:t>
      </w:r>
    </w:p>
    <w:p>
      <w:r>
        <w:rPr>
          <w:i w:val="0"/>
        </w:rPr>
        <w:t>Trigger mechanics. Under the CA definition, the Carve-Out Trigger Notice goes to the Borrower, its counsel and the Committee, but not the U.S. Trustee (the IO adds the U.S. Trustee). No funded reserve is required in the CA. The IO (¶ 8(d)) requires a Carve-Out Reserve Account, but funded only “at levels to be agreed” with the lender. The remedies standstill does not apply to delivery of a Carve-Out Trigger Notice (§ 7.03(b)(i)), so Ironclad can cut off fee accrual immediately on any Event of Default, including a hair-trigger default.</w:t>
      </w:r>
    </w:p>
    <w:p>
      <w:r>
        <w:rPr>
          <w:i w:val="0"/>
        </w:rPr>
        <w:t>Investigation budget. Section 2.09(b) bars any use of the Carve-Out to investigate the DIP Lender “or any of [its] affiliates,” which as drafted includes Ironclad in its capacity as second-lien lender. IO ¶ 25(c) permits $25,000 for investigation only, and no prosecution. For a $95 million second-lien position with a related-party DIP, $25,000 is below the usual range, and the CA provides nothing.</w:t>
      </w:r>
    </w:p>
    <w:p>
      <w:r>
        <w:rPr>
          <w:b/>
        </w:rPr>
        <w:t xml:space="preserve">Recommendation: </w:t>
      </w:r>
      <w:r>
        <w:rPr>
          <w:i w:val="0"/>
        </w:rPr>
        <w:t>Conform § 2.09 to IO ¶ 8 (uncapped allowed pre-trigger fees, all § 1930(a) fees). Add a Chapter 7 trustee carve-out. Increase the Committee allocation, or create a shared pool. Require weekly funding of a Carve-Out Reserve for estimated fees. Separate the Budget’s professional-fee line by constituency, with lender fees outside the Debtor and Committee allocations. Provide an investigation budget of at least $100,000 (more if the second-lien liens raise perfection or avoidance issues), usable for prosecution as well as investigation of the pre-petition second-lien claims.</w:t>
      </w:r>
    </w:p>
    <w:p>
      <w:pPr>
        <w:pStyle w:val="Heading2"/>
      </w:pPr>
      <w:r>
        <w:t>F. Lender Stipulation, Releases, and the Challenge Period</w:t>
      </w:r>
    </w:p>
    <w:p>
      <w:pPr>
        <w:pStyle w:val="Heading3"/>
      </w:pPr>
      <w:r>
        <w:t>Issue 16: Investigation Period is too short, Committee-only, and expires after the Final Order [High]</w:t>
      </w:r>
    </w:p>
    <w:p>
      <w:r>
        <w:rPr>
          <w:b/>
        </w:rPr>
        <w:t xml:space="preserve">Provisions: </w:t>
      </w:r>
      <w:r>
        <w:rPr>
          <w:i w:val="0"/>
        </w:rPr>
        <w:t>Definition of “Investigation Period”; §§ 3.02(b), 7.01(r), 9.15(c); Exhibit E; TS §§ 10(h), 12; IO ¶¶ N, 11(c), 16, 21; Holt Decl. ¶ 46</w:t>
      </w:r>
    </w:p>
    <w:p>
      <w:r>
        <w:rPr>
          <w:b/>
        </w:rPr>
        <w:t xml:space="preserve">Analysis: </w:t>
      </w:r>
      <w:r>
        <w:rPr>
          <w:i w:val="0"/>
        </w:rPr>
        <w:t>Under § 9.15(c), only “the Committee” may investigate, and only for 30 calendar days from its appointment. No other party in interest has standing. If no Committee is formed, the DIP Agreement provides no challenge right at all, other than the oblique 75-day reference in § 7.01(r). By comparison:</w:t>
      </w:r>
    </w:p>
    <w:p>
      <w:pPr>
        <w:pStyle w:val="ListBullet"/>
      </w:pPr>
      <w:r>
        <w:t>the TS (§ 12) offered 60 days from Committee formation, and allowed a challenge by “any other party in interest with standing”;</w:t>
      </w:r>
    </w:p>
    <w:p>
      <w:pPr>
        <w:pStyle w:val="ListBullet"/>
      </w:pPr>
      <w:r>
        <w:t>IO ¶ 11(c) gives 30 days from Committee formation, allows challenges by “any other party in interest (other than the Debtor),” and permits extension by court order;</w:t>
      </w:r>
    </w:p>
    <w:p>
      <w:pPr>
        <w:pStyle w:val="ListBullet"/>
      </w:pPr>
      <w:r>
        <w:t>Del. Bankr. L.R. 4001-2 requires a provision binding the estate or all parties in interest to be highlighted unless it gives parties in interest at least 75 days from entry of the order, and a committee at least 60 days from its formation, to investigate.</w:t>
      </w:r>
    </w:p>
    <w:p>
      <w:r>
        <w:rPr>
          <w:i w:val="0"/>
        </w:rPr>
        <w:t>The timeline does not work. Holt Decl. ¶ 46 projects Committee formation around April 4, 2025. Thirty days runs to about May 4, 2025, which matches the IO’s own example. The Final Order, however, must be entered by April 18, 2025 (§ 7.02(b)), and it must incorporate the Lender Stipulation “as findings of the Bankruptcy Court” (§ 3.02(b); Exhibit E). That gives the Committee about 14 days of existence before the stipulations become findings. A 60-day period from April 4 would run to about June 3, 2025. If the Committee needs derivative standing to sue (see Official Comm. of Unsecured Creditors of Cybergenics Corp. v. Chinery, 330 F.3d 548 (3d Cir. 2003) (en banc)), 30 days is not realistic. The IO also binds any later trustee (IO ¶¶ 11(c), 21) without giving a converted-case trustee any remaining or extended period.</w:t>
      </w:r>
    </w:p>
    <w:p>
      <w:r>
        <w:rPr>
          <w:b/>
        </w:rPr>
        <w:t xml:space="preserve">Recommendation: </w:t>
      </w:r>
      <w:r>
        <w:rPr>
          <w:i w:val="0"/>
        </w:rPr>
        <w:t>Require a challenge period of at least the later of 60 days from Committee formation and 75 days from entry of the Final Order. Give standing to the Committee or, if none is formed, any party in interest. Provide automatic tolling on filing of a standing motion, a trustee extension on conversion or appointment, extension by agreement or court order, and an express statement that the Final Order findings are subject to the challenge period. Delete § 3.02(b)’s requirement that the Final Order adopt the stipulations as unconditional findings.</w:t>
      </w:r>
    </w:p>
    <w:p>
      <w:pPr>
        <w:pStyle w:val="Heading3"/>
      </w:pPr>
      <w:r>
        <w:t>Issue 17: Scope and wording of the Lender Stipulation and release [High]</w:t>
      </w:r>
    </w:p>
    <w:p>
      <w:r>
        <w:rPr>
          <w:b/>
        </w:rPr>
        <w:t xml:space="preserve">Provisions: </w:t>
      </w:r>
      <w:r>
        <w:rPr>
          <w:i w:val="0"/>
        </w:rPr>
        <w:t>§ 9.15(a)(i)–(iv), (b), (d); Schedule 2; § 4.07(b); TS § 8 (CP (b)), § 12; IO ¶¶ N, 11(a)(ii), (v); Holt Decl. ¶ 45</w:t>
      </w:r>
    </w:p>
    <w:p>
      <w:r>
        <w:rPr>
          <w:b/>
        </w:rPr>
        <w:t xml:space="preserve">Analysis: </w:t>
      </w:r>
      <w:r>
        <w:rPr>
          <w:i w:val="0"/>
        </w:rPr>
        <w:t>Amount. Section 9.15(a)(i) stipulates to $95 million “inclusive of all principal, interest, fees, and other amounts.” The TS stipulates to $95 million principal “together with all accrued and unpaid interest and fees.” The IO uses “not less than $95,000,000 (consisting of outstanding principal and accrued but unpaid interest, fees, and expenses).” Second-lien interest is payable quarterly (2L CA § 2.07(d)), so interest has presumably accrued since December 31, 2024, yet Schedule 2 shows none. The three formulations cannot all be right, and the IO’s “not less than” is open-ended against the estate. Holt Decl. ¶ 45 describes the stipulation as covering “Ironclad’s pre-petition second-lien claims in the full amount of $95 million,” but Ironclad holds only $62.7 million.</w:t>
      </w:r>
    </w:p>
    <w:p>
      <w:r>
        <w:rPr>
          <w:i w:val="0"/>
        </w:rPr>
        <w:t>Substance. Section 9.15(a)(iv) would have the estate stipulate that Ironclad and every second-lien lender “have at all times acted in good faith” and have not engaged in inequitable conduct or breach of fiduciary duty. That pre-empts equitable subordination and lender-liability theories, which is significant given Ironclad’s 66% control position and the absence of any independent investigation. Section 9.15(b) releases “any and all claims … whether known or unknown … existing or hereafter arising” against Ironclad and its affiliates, explicitly including claims under § 510 (equitable subordination) and §§ 544–550. That reaches beyond lien validity, and it is not limited to Ironclad’s capacity as a second-lien lender. Section 9.15(d) extends the stipulation to the $32.3 million held by others, which the TS did not do. IO ¶ 11(a)(v) separately has the Debtor stipulate that it holds no claims against Hollcroft or any second-lien party.</w:t>
      </w:r>
    </w:p>
    <w:p>
      <w:r>
        <w:rPr>
          <w:i w:val="0"/>
        </w:rPr>
        <w:t>Diligence flags. The record contains no perfection diligence (UCC searches, mortgages, deposit account control agreements) for the second lien. Commercial tort claims are second-lien collateral only if “identified from time to time” (2L CA § 1.01). The DIP Agreement misdescribes the second-lien agreement’s date (Part A). These are the kinds of issues a challenge would explore.</w:t>
      </w:r>
    </w:p>
    <w:p>
      <w:r>
        <w:rPr>
          <w:b/>
        </w:rPr>
        <w:t xml:space="preserve">Recommendation: </w:t>
      </w:r>
      <w:r>
        <w:rPr>
          <w:i w:val="0"/>
        </w:rPr>
        <w:t>Limit the stipulation to the validity, priority and amount of the second-lien claims as of the Petition Date, in an amount that is fixed and reconciled to the Register and accrued interest. Delete the “good faith/no inequitable conduct” stipulation in § 9.15(a)(iv). Limit the release to Ironclad in its capacity as second-lien lender, make it effective only on expiration of an unchallenged challenge period, and carve out estate claims for equitable subordination and recharacterization until then.</w:t>
      </w:r>
    </w:p>
    <w:p>
      <w:pPr>
        <w:pStyle w:val="Heading2"/>
      </w:pPr>
      <w:r>
        <w:t>G. Collateral Package and Lender Waivers</w:t>
      </w:r>
    </w:p>
    <w:p>
      <w:pPr>
        <w:pStyle w:val="Heading3"/>
      </w:pPr>
      <w:r>
        <w:t>Issue 18: Liens on avoidance-action proceeds, commercial tort claims and leaseholds; § 506(c), § 552(b) and marshaling waivers granted on an interim basis [High]</w:t>
      </w:r>
    </w:p>
    <w:p>
      <w:r>
        <w:rPr>
          <w:b/>
        </w:rPr>
        <w:t xml:space="preserve">Provisions: </w:t>
      </w:r>
      <w:r>
        <w:rPr>
          <w:i w:val="0"/>
        </w:rPr>
        <w:t>Definitions of “Collateral/DIP Collateral” (clauses (c), (p), (r)) and “Proceeds of Avoidance Actions”; §§ 2.07(a), (d), 4.10, 7.01(aa), 9.14, 11.04; IO ¶¶ 5(b), (e), 9(a)(i), 14, 15</w:t>
      </w:r>
    </w:p>
    <w:p>
      <w:r>
        <w:rPr>
          <w:b/>
        </w:rPr>
        <w:t xml:space="preserve">Analysis: </w:t>
      </w:r>
      <w:r>
        <w:rPr>
          <w:i w:val="0"/>
        </w:rPr>
        <w:t>The DIP Collateral includes all “Proceeds of Avoidance Actions,” all commercial tort claims, and real property “whether owned or leased.” The IO granted the same collateral on an interim basis (IO ¶ 5(b)), and also gave Hollcroft’s adequate protection liens on avoidance proceeds (IO ¶ 9(a)(i)). Avoidance actions are the traditional source of recovery for unsecured creditors (about $47.6 million of general unsecured claims here). Delaware practice requires these liens to be highlighted, and they are usually reserved for the Final Order and resisted by committees. Because the Superpriority Claims are not carved back from avoidance proceeds, Ironclad would also recover from those proceeds through its § 364(c)(1) claim on any deficiency. The commercial-tort-claims lien could reach estate claims against insiders or third parties, including the claims the stipulation would otherwise release. Leasehold liens may breach anti-assignment clauses.</w:t>
      </w:r>
    </w:p>
    <w:p>
      <w:r>
        <w:rPr>
          <w:i w:val="0"/>
        </w:rPr>
        <w:t>Section 9.14 is an irrevocable § 506(c) waiver, and § 7.01(aa) makes it an Event of Default for “any party in interest” even to file a § 506(c) motion. IO ¶¶ 14–15 extend § 506(c), § 552(b) “equities of the case” and marshaling waivers to the pre-petition secured parties on an interim basis. In Delaware these waivers are typically granted only in a final order, and only in exchange for an adequate Carve-Out and a budget that pays administrative expenses. Section 2.07(d) purports to make the DIP Liens immune from “avoidance, subordination, recharacterization, or modification under the Bankruptcy Code.” That goes beyond the § 364(e) protection actually available.</w:t>
      </w:r>
    </w:p>
    <w:p>
      <w:r>
        <w:rPr>
          <w:b/>
        </w:rPr>
        <w:t xml:space="preserve">Recommendation: </w:t>
      </w:r>
      <w:r>
        <w:rPr>
          <w:i w:val="0"/>
        </w:rPr>
        <w:t>Exclude avoidance actions and their proceeds, and commercial tort claims against Ironclad, its affiliates and insiders, from both the DIP Collateral and the Superpriority Claim recovery. At most, allow recovery from avoidance proceeds only after all other collateral is exhausted. Limit leasehold liens to proceeds where the lease prohibits encumbrance. Defer the § 506(c), § 552(b) and marshaling waivers to the Final Order, and condition them on a satisfactory Carve-Out and Budget. Delete § 7.01(aa) and narrow § 2.07(d).</w:t>
      </w:r>
    </w:p>
    <w:p>
      <w:pPr>
        <w:pStyle w:val="Heading3"/>
      </w:pPr>
      <w:r>
        <w:t>Issue 19: Permitted Liens: § 2.07(b) cap conflicts with Schedule 3 [Low]</w:t>
      </w:r>
    </w:p>
    <w:p>
      <w:r>
        <w:rPr>
          <w:b/>
        </w:rPr>
        <w:t xml:space="preserve">Provisions: </w:t>
      </w:r>
      <w:r>
        <w:rPr>
          <w:i w:val="0"/>
        </w:rPr>
        <w:t>§ 2.07(b); Schedule 3(a)–(i); § 4.06; 2L CA § 6.02</w:t>
      </w:r>
    </w:p>
    <w:p>
      <w:r>
        <w:rPr>
          <w:b/>
        </w:rPr>
        <w:t xml:space="preserve">Analysis: </w:t>
      </w:r>
      <w:r>
        <w:rPr>
          <w:i w:val="0"/>
        </w:rPr>
        <w:t>Section 2.07(b) describes Permitted Liens as “limited to certain statutory liens, tax liens, and purchase money security interests in an aggregate amount not to exceed $500,000.” Schedule 3, however, permits uncapped tax, mechanics’ and other statutory liens, workers’ compensation and surety liens, judgment liens, easements and collecting-bank liens. Only PMSI and capital leases are capped at $500,000. The PMSI basket is one-tenth of the 2L CA’s $5,000,000 basket (2L CA § 6.02(v)). Section 4.06’s title representation also omits the Adequate Protection Liens and the senior pre-existing liens referred to in § 2.07(c)(ii).</w:t>
      </w:r>
    </w:p>
    <w:p>
      <w:r>
        <w:rPr>
          <w:b/>
        </w:rPr>
        <w:t xml:space="preserve">Recommendation: </w:t>
      </w:r>
      <w:r>
        <w:rPr>
          <w:i w:val="0"/>
        </w:rPr>
        <w:t>Conform § 2.07(b) to Schedule 3, and add the omitted liens to § 4.06.</w:t>
      </w:r>
    </w:p>
    <w:p>
      <w:pPr>
        <w:pStyle w:val="Heading2"/>
      </w:pPr>
      <w:r>
        <w:t>H. Sale Process, Credit Bid, and Stalking Horse</w:t>
      </w:r>
    </w:p>
    <w:p>
      <w:pPr>
        <w:pStyle w:val="Heading3"/>
      </w:pPr>
      <w:r>
        <w:t>Issue 20: Mandatory stalking-horse designation and bid protections for the DIP Lender [High]</w:t>
      </w:r>
    </w:p>
    <w:p>
      <w:r>
        <w:rPr>
          <w:b/>
        </w:rPr>
        <w:t xml:space="preserve">Provisions: </w:t>
      </w:r>
      <w:r>
        <w:rPr>
          <w:i w:val="0"/>
        </w:rPr>
        <w:t>§§ 8.01, 8.05(a)–(c); Milestones § 7.02(c)–(e); TS § 11; Holt Decl. ¶ 44</w:t>
      </w:r>
    </w:p>
    <w:p>
      <w:r>
        <w:rPr>
          <w:b/>
        </w:rPr>
        <w:t xml:space="preserve">Analysis: </w:t>
      </w:r>
      <w:r>
        <w:rPr>
          <w:i w:val="0"/>
        </w:rPr>
        <w:t>The Borrower must designate Ironclad “or an affiliate or designee” as stalking horse in any § 363 sale of substantially all assets. It must include a 3.5% break-up fee and up to $2 million of expense reimbursement in any sale procedures order, and it may not designate any other stalking horse or offer protections to anyone else without Ironclad’s consent. Section 8.05(c) pre-classifies the bid protections as “allowed administrative expense claims.” In the Third Circuit, break-up fees are allowable only if they are actually necessary to preserve the value of the estate under § 503(b) (In re O’Brien Envtl. Energy, Inc., 181 F.3d 527 (3d Cir. 1999)). A fee pre-agreed in a DIP facility, for a lender whose debt and credit bid already give it every incentive to bid, is difficult to justify. If the stalking-horse bid is a credit bid of up to $82.7 million or more, the 3.5% fee alone would be about $2.9 million, plus $2 million of expenses, all payable in cash from an overbid. That chills competitive bidding.</w:t>
      </w:r>
    </w:p>
    <w:p>
      <w:r>
        <w:rPr>
          <w:i w:val="0"/>
        </w:rPr>
        <w:t>The documents also differ on when the protections are payable. CA § 8.05(b) says from the proceeds of a higher bid that “is accepted and consummated.” TS § 11 says if Ironclad “is not the successful bidder … or is otherwise outbid,” with expense reimbursement “payable regardless of whether” Ironclad wins. Holt Decl. ¶ 44 says “payable in the event that a higher or better bid is selected,” and that the designation is “subject to the entry of a sale procedures order.” Expense reimbursement also overlaps with the DIP Lender Professional Fees already being paid by the estate, which creates a double-recovery risk. Section 8.01 commits the case to a sale, and with § 6.07 that leaves little room for a standalone plan or refinancing.</w:t>
      </w:r>
    </w:p>
    <w:p>
      <w:r>
        <w:rPr>
          <w:b/>
        </w:rPr>
        <w:t xml:space="preserve">Recommendation: </w:t>
      </w:r>
      <w:r>
        <w:rPr>
          <w:i w:val="0"/>
        </w:rPr>
        <w:t>Delete § 8.05, or make stalking-horse selection subject to the Debtor’s business judgment and a market test, with any bid protections to be sought by separate motion under O’Brien. In no event should a break-up fee be paid to a credit-bidding lender. Expense reimbursement should be capped and net of fees already reimbursed under § 5.03.</w:t>
      </w:r>
    </w:p>
    <w:p>
      <w:pPr>
        <w:pStyle w:val="Heading3"/>
      </w:pPr>
      <w:r>
        <w:t>Issue 21: Credit-bid rights are overstated and insulated from the Court [High]</w:t>
      </w:r>
    </w:p>
    <w:p>
      <w:r>
        <w:rPr>
          <w:b/>
        </w:rPr>
        <w:t xml:space="preserve">Provisions: </w:t>
      </w:r>
      <w:r>
        <w:rPr>
          <w:i w:val="0"/>
        </w:rPr>
        <w:t>§§ 8.04(a)–(c), 7.01(s); TS § 11; Holt Decl. ¶ 43; 2L CA §§ 9.01, 9.03(b)</w:t>
      </w:r>
    </w:p>
    <w:p>
      <w:r>
        <w:rPr>
          <w:b/>
        </w:rPr>
        <w:t xml:space="preserve">Analysis: </w:t>
      </w:r>
      <w:r>
        <w:rPr>
          <w:i w:val="0"/>
        </w:rPr>
        <w:t>Section 8.04(b) sets Ironclad’s credit bid at up to $55 million of DIP Obligations, “representing the full DIP Commitment,” plus $27.7 million of un-rolled second-lien debt, for up to $82.7 million plus interest, fees and expenses. Three problems. First, § 363(k) permits a credit bid only of the allowed claim actually outstanding. Undrawn commitment cannot be bid; on the Budget, only $4 million of new money is drawn in 13 weeks. Second, the $27.7 million of un-rolled second-lien debt is junior to Hollcroft’s first lien (2L CA §§ 9.01, 9.03(b)). It can be credit bid only if the senior debt is paid in cash or Hollcroft consents. Third, credit bidding is subject to limitation “for cause,” for example where claims are disputed or the bid would chill the auction (see In re Fisker Auto. Holdings, Inc., 510 B.R. 55 (Bankr. D. Del. 2014)). Rolled-up and second-lien claims that are subject to a pending challenge are classic candidates.</w:t>
      </w:r>
    </w:p>
    <w:p>
      <w:r>
        <w:rPr>
          <w:i w:val="0"/>
        </w:rPr>
        <w:t>Section 8.04(c) requires the Borrower to “actively oppose” any limit on credit bidding. Section 7.01(s) makes it an Event of Default if the Court fails to approve the credit-bid rights or limits them in any order. That converts the Court’s exercise of its § 363(k) discretion into a default, and it conflicts with the Debtor’s fiduciary duty to maximize value.</w:t>
      </w:r>
    </w:p>
    <w:p>
      <w:r>
        <w:rPr>
          <w:b/>
        </w:rPr>
        <w:t xml:space="preserve">Recommendation: </w:t>
      </w:r>
      <w:r>
        <w:rPr>
          <w:i w:val="0"/>
        </w:rPr>
        <w:t>Limit the credit bid to allowed DIP Obligations actually outstanding. Make any credit bid of second-lien debt subject to cash payment of senior claims, and make credit bidding of roll-up or second-lien debt subject to the challenge period. Expressly preserve the Court’s “for cause” authority. Delete the “actively oppose” covenant and § 7.01(s).</w:t>
      </w:r>
    </w:p>
    <w:p>
      <w:pPr>
        <w:pStyle w:val="Heading2"/>
      </w:pPr>
      <w:r>
        <w:t>I. Covenants, Events of Default, and Remedies</w:t>
      </w:r>
    </w:p>
    <w:p>
      <w:pPr>
        <w:pStyle w:val="Heading3"/>
      </w:pPr>
      <w:r>
        <w:t>Issue 22: Covenants that restrict the Debtor’s fiduciary duties [High]</w:t>
      </w:r>
    </w:p>
    <w:p>
      <w:r>
        <w:rPr>
          <w:b/>
        </w:rPr>
        <w:t xml:space="preserve">Provisions: </w:t>
      </w:r>
      <w:r>
        <w:rPr>
          <w:i w:val="0"/>
        </w:rPr>
        <w:t>§§ 6.07(a)–(c), 6.08, 3.01(i), 8.01, 8.04(c), 7.01(q); TS § 18 (Exclusivity)</w:t>
      </w:r>
    </w:p>
    <w:p>
      <w:r>
        <w:rPr>
          <w:b/>
        </w:rPr>
        <w:t xml:space="preserve">Analysis: </w:t>
      </w:r>
      <w:r>
        <w:rPr>
          <w:i w:val="0"/>
        </w:rPr>
        <w:t>Section 6.07(c) bars the Debtor from even engaging “in discussions or negotiations with any party regarding any alternative or replacement post-petition financing” without Ironclad’s sole-discretion consent. The TS exclusivity clause, by contrast, expired on the earlier of execution or April 1, 2025. Section 6.07(c) has no fiduciary out and no end date, and it blocks the market test that would show whether these terms are the best available. Combined with the Exit Fee, it locks in the facility. Section 6.08 requires Ironclad’s approval of every estate professional, which intrudes on the Debtor’s statutory retention rights under § 327 and the Court’s authority. Section 3.01(i) made Ironclad-approved retentions a condition of closing.</w:t>
      </w:r>
    </w:p>
    <w:p>
      <w:r>
        <w:rPr>
          <w:b/>
        </w:rPr>
        <w:t xml:space="preserve">Recommendation: </w:t>
      </w:r>
      <w:r>
        <w:rPr>
          <w:i w:val="0"/>
        </w:rPr>
        <w:t>Delete § 6.07(c), or add a fiduciary out permitting discussions of a refinancing that pays the DIP in full in cash. Delete § 6.08. Limit § 6.07(a)–(b) to non-consensual priming financings that do not pay the DIP Obligations in full.</w:t>
      </w:r>
    </w:p>
    <w:p>
      <w:pPr>
        <w:pStyle w:val="Heading3"/>
      </w:pPr>
      <w:r>
        <w:t>Issue 23: Events of Default that are hair-triggers, triggered by third parties, or already tripped [High]</w:t>
      </w:r>
    </w:p>
    <w:p>
      <w:r>
        <w:rPr>
          <w:b/>
        </w:rPr>
        <w:t xml:space="preserve">Provisions: </w:t>
      </w:r>
      <w:r>
        <w:rPr>
          <w:i w:val="0"/>
        </w:rPr>
        <w:t>§§ 7.01(d), (e), (g), (i), (j), (k), (m), (p), (r), (s), (t), (u), (x), (aa), (bb); definition of “Material Adverse Effect”; § 4.04(b); TS § 10; 2L CA § 7.01(h); IO ¶¶ 7(b), 12</w:t>
      </w:r>
    </w:p>
    <w:p>
      <w:r>
        <w:rPr>
          <w:b/>
        </w:rPr>
        <w:t xml:space="preserve">Analysis: </w:t>
      </w:r>
      <w:r>
        <w:rPr>
          <w:i w:val="0"/>
        </w:rPr>
        <w:t>Cross-default (§ 7.01(u)). This is triggered by “a default or event of default under any material indebtedness … (other than the DIP Obligations)” above $250,000. The First Lien and Second Lien facilities are in default by reason of the filing itself (for example, 2L CA § 7.01(h)), so read literally the DIP is in default at closing. Section 6.01(b)–(c) expressly permits that pre-petition debt to remain outstanding.</w:t>
      </w:r>
    </w:p>
    <w:p>
      <w:r>
        <w:rPr>
          <w:i w:val="0"/>
        </w:rPr>
        <w:t>MAE (§§ 7.01(m), (bb); definition; § 4.04(b)). The MAE is determined “in the sole discretion of the DIP Lender,” extends to “prospects,” and has no carve-out for the commencement of the case or the events that customarily follow from it. Section 4.04(b) represents that no MAE has occurred since the FY2024 financial statements, and that representation is brought down at each borrowing (§ 3.03(b)). The Chapter 11 filing itself makes that problematic. Clauses (m) and (bb) duplicate each other. The 2L CA MAE, by contrast, is objective.</w:t>
      </w:r>
    </w:p>
    <w:p>
      <w:r>
        <w:rPr>
          <w:i w:val="0"/>
        </w:rPr>
        <w:t>Third-party and Court-action triggers. Defaults are triggered by: the filing by any party of a motion to convert or dismiss (§ 7.01(i)); the filing by any party of a motion for a trustee or examiner (§ 7.01(j)); stay relief granted to any creditor on assets over $500,000 (§ 7.01(k)); termination of exclusivity by the Court (§ 7.01(p)); any post-period challenge by any party (§ 7.01(r)); the Court’s refusal to approve credit-bid rights (§ 7.01(s)); and the filing of any § 506(c) motion by any party (§ 7.01(aa)). Defaults keyed to someone else’s filing give Ironclad leverage over creditors and over the Court’s own processes. Market practice limits these to motions filed or supported by the Debtor, or to entry of an order.</w:t>
      </w:r>
    </w:p>
    <w:p>
      <w:r>
        <w:rPr>
          <w:i w:val="0"/>
        </w:rPr>
        <w:t>Budget variance (§ 7.01(g); definition of “Permitted Variance”). Variance is tested at “plus or minus” 10% on both receipts and disbursements, so favorable performance, such as higher collections or lower spending, is also a default. There is no cure period. IO ¶ 7(b) tests only unfavorable variance (disbursements over 110%, receipts under 90%) and gives a 3-business-day cure after notice. The Budget Assumptions describe a 5-business-day cure and 3-business-day reporting, while § 5.01(c) requires reporting within 5 Business Days. The TS (§ 10(b)) and Holt Decl. ¶ 39 adopted the two-sided formulation.</w:t>
      </w:r>
    </w:p>
    <w:p>
      <w:r>
        <w:rPr>
          <w:i w:val="0"/>
        </w:rPr>
        <w:t>Other. Management changes, including the CRO, are a default without consent (§ 7.01(t)). A CRO’s resignation should not be a default. There is no cure period for any affirmative covenant other than reporting (§ 7.01(d)), and none for negative covenants (§ 7.01(e)). Material-contract terminations are a default (§ 7.01(x)) even though rejecting contracts is a core Chapter 11 tool. Some TS defaults (substantive consolidation, facility cessation, equity-committee motion, critical-contract rejection) did not carry into the CA. That is favorable to the estate, but it confirms that the TS was superseded (§ 9.08).</w:t>
      </w:r>
    </w:p>
    <w:p>
      <w:r>
        <w:rPr>
          <w:b/>
        </w:rPr>
        <w:t xml:space="preserve">Recommendation: </w:t>
      </w:r>
      <w:r>
        <w:rPr>
          <w:i w:val="0"/>
        </w:rPr>
        <w:t>Exclude pre-petition debt from the cross-default. Use an objective MAE that carves out the Chapter 11 Case and events reasonably expected to result from it, and delete § 7.01(bb). Limit third-party triggers to motions filed or supported by a Loan Party, or to entry of an order. Test variance only on unfavorable results, ideally on a cumulative basis, with a cure period consistent with IO ¶ 7(b) or longer. Add a 10–15 day cure for affirmative covenants. Delete §§ 7.01(r), (s) and (aa), and narrow (t) and (x).</w:t>
      </w:r>
    </w:p>
    <w:p>
      <w:pPr>
        <w:pStyle w:val="Heading3"/>
      </w:pPr>
      <w:r>
        <w:t>Issue 24: Remedies: standstill narrower than the Interim Order; self-help set-off; no court gatekeeping [High]</w:t>
      </w:r>
    </w:p>
    <w:p>
      <w:r>
        <w:rPr>
          <w:b/>
        </w:rPr>
        <w:t xml:space="preserve">Provisions: </w:t>
      </w:r>
      <w:r>
        <w:rPr>
          <w:i w:val="0"/>
        </w:rPr>
        <w:t>§ 7.03(a)(iv)–(vi), (b); TS § 10 (final paragraph); IO ¶¶ 12(a)–(c), 17</w:t>
      </w:r>
    </w:p>
    <w:p>
      <w:r>
        <w:rPr>
          <w:b/>
        </w:rPr>
        <w:t xml:space="preserve">Analysis: </w:t>
      </w:r>
      <w:r>
        <w:rPr>
          <w:i w:val="0"/>
        </w:rPr>
        <w:t>Under § 7.03(b), the five-Business-Day Remedies Standstill begins only after acceleration. During it, cash may be used solely for payroll, utilities and insurance, and the Borrower may not seek an extension without Ironclad’s consent. Notice goes only to the Borrower. IO ¶ 12, which controls, requires notice to the Debtor, its counsel, the U.S. Trustee and Committee counsel, and permits ordinary-course cash use in accordance with the Budget. The TS would have barred the Court from conditioning remedies “on any showing other than the occurrence of an Event of Default.” Section 7.03(a)(v)–(vi) authorizes set-off and sweeps of accounts “at any financial institution,” which is inconsistent with the standstill and with the stay modification in IO ¶ 17, which is conditioned on the ¶ 12 notice period.</w:t>
      </w:r>
    </w:p>
    <w:p>
      <w:r>
        <w:rPr>
          <w:b/>
        </w:rPr>
        <w:t xml:space="preserve">Recommendation: </w:t>
      </w:r>
      <w:r>
        <w:rPr>
          <w:i w:val="0"/>
        </w:rPr>
        <w:t>Conform § 7.03 to IO ¶ 12, and expand it: a 7-Business-Day notice period running from any notice of default; continued use of cash collateral for payroll, trust-fund taxes and the Carve-Out Reserve; an express right of the Debtor and Committee to seek non-consensual use of cash collateral or other relief at an emergency hearing; and no set-off or sweep until the period expires without contrary order.</w:t>
      </w:r>
    </w:p>
    <w:p>
      <w:pPr>
        <w:pStyle w:val="Heading3"/>
      </w:pPr>
      <w:r>
        <w:t>Issue 25: Milestones are aggressive, extendable only by the lender, and misaligned with the challenge period [Medium]</w:t>
      </w:r>
    </w:p>
    <w:p>
      <w:r>
        <w:rPr>
          <w:b/>
        </w:rPr>
        <w:t xml:space="preserve">Provisions: </w:t>
      </w:r>
      <w:r>
        <w:rPr>
          <w:i w:val="0"/>
        </w:rPr>
        <w:t>§ 7.02(a)–(e) and final paragraph; § 3.02(a); IO ¶¶ 13, 26; TS § 9; Holt Decl. ¶ 40</w:t>
      </w:r>
    </w:p>
    <w:p>
      <w:r>
        <w:rPr>
          <w:b/>
        </w:rPr>
        <w:t xml:space="preserve">Analysis: </w:t>
      </w:r>
      <w:r>
        <w:rPr>
          <w:i w:val="0"/>
        </w:rPr>
        <w:t>The Final Order milestone (April 18, 2025) is the same day as the scheduled Final Hearing (IO ¶ 26(a)), so any continuance is an immediate Event of Default (§§ 7.01(f), 7.02(b)). Under the CA, milestones may be extended only in Ironclad’s sole discretion. IO ¶ 13 also allows extension “by further order of this Court upon motion and notice.” The TS said the lender need not consider the Committee’s views at all. A sale motion at day 75 (May 28), procedures at day 110 and closing at day 180 effectively dictate a quick sale to Ironclad as stalking horse. Hollcroft and the Committee should have a role in setting the timetable.</w:t>
      </w:r>
    </w:p>
    <w:p>
      <w:r>
        <w:rPr>
          <w:b/>
        </w:rPr>
        <w:t xml:space="preserve">Recommendation: </w:t>
      </w:r>
      <w:r>
        <w:rPr>
          <w:i w:val="0"/>
        </w:rPr>
        <w:t>Build in at least 14 days of cushion after the scheduled Final Hearing, conform § 7.02 to the IO’s court-extension right, and allow extensions with Committee consultation.</w:t>
      </w:r>
    </w:p>
    <w:p>
      <w:pPr>
        <w:pStyle w:val="Heading3"/>
      </w:pPr>
      <w:r>
        <w:t>Issue 26: Capital expenditure covenant conflicts with the Budget and the TS [Medium]</w:t>
      </w:r>
    </w:p>
    <w:p>
      <w:r>
        <w:rPr>
          <w:b/>
        </w:rPr>
        <w:t xml:space="preserve">Provisions: </w:t>
      </w:r>
      <w:r>
        <w:rPr>
          <w:i w:val="0"/>
        </w:rPr>
        <w:t>§ 6.05; Exhibit C ¶ 5; TS § 13 (Additional Covenants (b)); Budget Detail (Capital Expenditures) and Assumptions</w:t>
      </w:r>
    </w:p>
    <w:p>
      <w:r>
        <w:rPr>
          <w:b/>
        </w:rPr>
        <w:t xml:space="preserve">Analysis: </w:t>
      </w:r>
      <w:r>
        <w:rPr>
          <w:i w:val="0"/>
        </w:rPr>
        <w:t>Section 6.05 caps capex at $750,000 “in the aggregate during the term of the DIP Facility,” which runs to December 14, 2025. The TS cap was $750,000 “during any 13-week Budget period.” The Budget spends the full $750,000 in Weeks 5–10 (CNC tooling, HVAC repair and safety upgrades), leaving no capex capacity for the remaining six months. For a capital-intensive manufacturer, that guarantees either a covenant default or deferred maintenance that erodes collateral value.</w:t>
      </w:r>
    </w:p>
    <w:p>
      <w:r>
        <w:rPr>
          <w:b/>
        </w:rPr>
        <w:t xml:space="preserve">Recommendation: </w:t>
      </w:r>
      <w:r>
        <w:rPr>
          <w:i w:val="0"/>
        </w:rPr>
        <w:t>Conform § 6.05 to the TS formulation ($750,000 per 13-week budget period, subject to the Approved Budget), with carry-forward of unused amounts.</w:t>
      </w:r>
    </w:p>
    <w:p>
      <w:pPr>
        <w:pStyle w:val="Heading3"/>
      </w:pPr>
      <w:r>
        <w:t>Issue 27: Other covenant and reporting points [Low]</w:t>
      </w:r>
    </w:p>
    <w:p>
      <w:r>
        <w:rPr>
          <w:b/>
        </w:rPr>
        <w:t xml:space="preserve">Provisions: </w:t>
      </w:r>
      <w:r>
        <w:rPr>
          <w:i w:val="0"/>
        </w:rPr>
        <w:t>§§ 5.01(a), (e), (k), 6.01(e), 6.04(b); TS § 13; IO ¶ 7(c)</w:t>
      </w:r>
    </w:p>
    <w:p>
      <w:r>
        <w:rPr>
          <w:b/>
        </w:rPr>
        <w:t xml:space="preserve">Analysis: </w:t>
      </w:r>
      <w:r>
        <w:rPr>
          <w:i w:val="0"/>
        </w:rPr>
        <w:t>Monthly financials are due in 20 days (TS: 30 days). Court filings must be delivered within 1 Business Day (TS: 2 business days), although they are publicly available on the docket. Budget updates require Ironclad’s consent “in its sole discretion” (§ 5.01(k)), while IO ¶ 7(c) requires that consent not be unreasonably withheld and that updated budgets be filed and served on the U.S. Trustee and Committee. The TS minimum-liquidity covenant was never set and does not appear in the CA, and the TS insider-payment restriction is only partly reflected in § 6.03. The $250,000 general debt basket and the $100,000 equipment-disposition basket are tight for a $285 million-revenue business.</w:t>
      </w:r>
    </w:p>
    <w:p>
      <w:r>
        <w:rPr>
          <w:b/>
        </w:rPr>
        <w:t xml:space="preserve">Recommendation: </w:t>
      </w:r>
      <w:r>
        <w:rPr>
          <w:i w:val="0"/>
        </w:rPr>
        <w:t>Conform § 5.01(k) to IO ¶ 7(c). Align reporting deadlines with the TS. Confirm that omitting the minimum-liquidity covenant is intended.</w:t>
      </w:r>
    </w:p>
    <w:p>
      <w:pPr>
        <w:pStyle w:val="Heading2"/>
      </w:pPr>
      <w:r>
        <w:t>J. The Approved Budget (Exhibit B)</w:t>
      </w:r>
    </w:p>
    <w:p>
      <w:pPr>
        <w:pStyle w:val="Heading3"/>
      </w:pPr>
      <w:r>
        <w:t>Issue 28: Arithmetic errors: disbursements, burn and ending cash are misstated [High]</w:t>
      </w:r>
    </w:p>
    <w:p>
      <w:r>
        <w:rPr>
          <w:b/>
        </w:rPr>
        <w:t xml:space="preserve">Provisions: </w:t>
      </w:r>
      <w:r>
        <w:rPr>
          <w:i w:val="0"/>
        </w:rPr>
        <w:t>Definition of “Approved Budget”; Exhibit B; IO Recital E and Ex. 2; Holt Decl. ¶¶ 16, 38; Budget Summary and Detail tabs</w:t>
      </w:r>
    </w:p>
    <w:p>
      <w:r>
        <w:rPr>
          <w:b/>
        </w:rPr>
        <w:t xml:space="preserve">Analysis: </w:t>
      </w:r>
      <w:r>
        <w:rPr>
          <w:i w:val="0"/>
        </w:rPr>
        <w:t>I re-footed the Budget workbook. The 13 weekly “Total Operating Disbursements” figures ($4.63M, $4.23M, $4.28M, $4.28M, $4.73M, $4.43M, $4.48M, $4.53M, $4.48M, $4.43M, $4.68M, $4.48M, $3.74M) sum to $57,400,000. So do the twelve Detail line-item totals ($20.29M + $19.76M + $2.73M + $0.74M + $0.38M + $3.20M + $1.10M + $0.75M + $1.30M + $1.62M + $1.73M + $3.80M). The “Total” column nonetheless reports $56,400,000. That $1.0 million understatement has been repeated in CA (definition of “Approved Budget”; Exhibit B), IO Recital E and Ex. 2, and Holt Decl. ¶¶ 16, 38. The weekly net operating cash flows sum to ($4,600,000), not the stated ($3,600,000).</w:t>
      </w:r>
    </w:p>
    <w:p>
      <w:r>
        <w:rPr>
          <w:i w:val="0"/>
        </w:rPr>
        <w:t>In Week 1, “Net Cash Flow After Financing” is shown as +$670,000. Recomputed (–$980,000 operating + $2,000,000 draw – $1,650,000 Upfront Fee), it is –$630,000, a $1.3 million overstatement that flows into every later week’s cash balance. Correctly computed, 13-week ending cash is about $2.6 million ($5.2M – $4.6M + $4.0M – $2.0M), not $3.9 million. The stated total of –$1.6 million also does not equal the sum of the weekly figures shown (–$1.3 million). Beginning cash ($5.2 million) also differs from Holt Decl. ¶ 14 (unrestricted cash of about $4.8 million at the Petition Date).</w:t>
      </w:r>
    </w:p>
    <w:p>
      <w:r>
        <w:rPr>
          <w:b/>
        </w:rPr>
        <w:t xml:space="preserve">Recommendation: </w:t>
      </w:r>
      <w:r>
        <w:rPr>
          <w:i w:val="0"/>
        </w:rPr>
        <w:t>Require Stonebridge and Hartwell to re-issue a corrected, footed budget before the Final Hearing, and re-test the interim and final borrowing needs against the corrected burn. Correct the figures in the DIP Agreement definition, Exhibit B and the Final Order findings.</w:t>
      </w:r>
    </w:p>
    <w:p>
      <w:pPr>
        <w:pStyle w:val="Heading3"/>
      </w:pPr>
      <w:r>
        <w:t>Issue 29: Budget structure issues that interact with the DIP terms [Medium]</w:t>
      </w:r>
    </w:p>
    <w:p>
      <w:r>
        <w:rPr>
          <w:b/>
        </w:rPr>
        <w:t xml:space="preserve">Provisions: </w:t>
      </w:r>
      <w:r>
        <w:rPr>
          <w:i w:val="0"/>
        </w:rPr>
        <w:t>Budget Detail (“DIP Interest &amp; Fees,” “Restructuring Professional Fees,” “Adequate Protection Payments,” “Critical Vendor Payments”); Budget Summary (“DIP Interest &amp; Fees Paid”); Assumptions; CA §§ 2.01(b)(ii), 5.05, 6.05</w:t>
      </w:r>
    </w:p>
    <w:p>
      <w:r>
        <w:rPr>
          <w:b/>
        </w:rPr>
        <w:t xml:space="preserve">Analysis: </w:t>
      </w:r>
      <w:r>
        <w:rPr>
          <w:i w:val="0"/>
        </w:rPr>
        <w:t>DIP costs may be double-counted or understated. DIP interest and fees appear both as an operating line ($100,000 a week; $1.3 million in total) and below the line ($1.65 million in Week 1 and $350,000 in Week 5; $2.0 million in total). Together that is $3.3 million of DIP cost in 13 weeks against $4.0 million of new money drawn. If the operating line is meant to capture interest on the rolled-up debt (at the 12% floor, the $35 million roll-up alone accrues about $350,000 a month once fully rolled) plus the $50,000 monthly Agent Fee and the Unused Line Fee, the weekly $100,000 figure looks too low after the Final Roll-Up in Week 5. The Budget should be rebuilt from the actual DIP pricing.</w:t>
      </w:r>
    </w:p>
    <w:p>
      <w:r>
        <w:rPr>
          <w:i w:val="0"/>
        </w:rPr>
        <w:t>Other points. The Budget period (March 17–June 13) differs from the CA’s “13-week period commencing on the Petition Date” and from Exhibit B’s “March 14, 2025 through June 13, 2025.” The Assumptions tab cites “DIP Credit Agreement § 6.12” and “Interim DIP Order ¶ 12” for professional-fee terms, but no § 6.12 exists and the relevant IO paragraphs are ¶¶ 4(f), 8 and 19. That suggests the Budget was keyed to an earlier draft. The $1.1 million critical-vendor line depends on a separate critical-vendor order. The non-Ironclad second-lien adequate protection is shown as “Not addressed.” New money drawn ($4 million in 13 weeks) is far below the $12 million interim authorization, which undercuts the interim need for both the cap and the interim roll-up.</w:t>
      </w:r>
    </w:p>
    <w:p>
      <w:r>
        <w:rPr>
          <w:b/>
        </w:rPr>
        <w:t xml:space="preserve">Recommendation: </w:t>
      </w:r>
      <w:r>
        <w:rPr>
          <w:i w:val="0"/>
        </w:rPr>
        <w:t>Rebuild the DIP cost lines from the actual pricing, and split professional fees by constituency. Conform the Budget period and citations. Use the corrected budget to argue for a smaller interim and final roll-up.</w:t>
      </w:r>
    </w:p>
    <w:p>
      <w:pPr>
        <w:pStyle w:val="Heading2"/>
      </w:pPr>
      <w:r>
        <w:t>K. Evidentiary Record and Process</w:t>
      </w:r>
    </w:p>
    <w:p>
      <w:pPr>
        <w:pStyle w:val="Heading3"/>
      </w:pPr>
      <w:r>
        <w:t>Issue 30: The Holt Declaration is not a sufficient basis for § 364(c)/(d) findings [High]</w:t>
      </w:r>
    </w:p>
    <w:p>
      <w:r>
        <w:rPr>
          <w:b/>
        </w:rPr>
        <w:t xml:space="preserve">Provisions: </w:t>
      </w:r>
      <w:r>
        <w:rPr>
          <w:i w:val="0"/>
        </w:rPr>
        <w:t>Holt Decl. ¶¶ 1–2, 5, 19–24, 26(b), 29, 31, 42, 45–51; IO Recitals J–L; TS § 18 (Exclusivity, dated March 10, 2025)</w:t>
      </w:r>
    </w:p>
    <w:p>
      <w:r>
        <w:rPr>
          <w:b/>
        </w:rPr>
        <w:t xml:space="preserve">Analysis: </w:t>
      </w:r>
      <w:r>
        <w:rPr>
          <w:i w:val="0"/>
        </w:rPr>
        <w:t>The only declaration supporting the DIP Motion comes from the lender’s Managing Partner. On the key § 364 elements (the marketing process, the unavailability of alternative credit, and the reasonableness of the terms), Holt testifies on information and belief: “I am informed by the Debtors’ investment banker …,” “I understand that …” (¶¶ 19–21, 48). He does not say how many parties were contacted, how many signed NDAs, or whether any proposals were received. He gives no comparison of the economics, and no valuation supporting adequate protection. His conclusions that the terms are “market” (¶¶ 26(b), 29, 31) are those of an interested party.</w:t>
      </w:r>
    </w:p>
    <w:p>
      <w:r>
        <w:rPr>
          <w:i w:val="0"/>
        </w:rPr>
        <w:t>The TS contained an exclusivity covenant from March 10 to April 1, 2025, barring the Debtor from soliciting or discussing alternative DIP financing. That covenant covers the four days immediately before the filing, which bears directly on any claim of a “thorough” process (¶ 19) and on the IO’s arm’s-length finding (IO Recital J).</w:t>
      </w:r>
    </w:p>
    <w:p>
      <w:r>
        <w:rPr>
          <w:i w:val="0"/>
        </w:rPr>
        <w:t>The declaration is also internally inaccurate. It refers to the Events of Default as being in “Article VIII” of the DIP Agreement; they are in Article VII. It describes the DIP Agreement as being among “debtor affiliates, as borrowers.” It refers to a 30-day investigation period from formation, which is not what the DIP Agreement says (from “appointment”) and not what the TS said (60 days). And it describes Ironclad’s claims as “$95 million” (¶ 45). The good-faith finding under § 364(e) (IO Recital L) and the “reasonably equivalent value” finding (IO Recital K) rest on this record.</w:t>
      </w:r>
    </w:p>
    <w:p>
      <w:r>
        <w:rPr>
          <w:b/>
        </w:rPr>
        <w:t xml:space="preserve">Recommendation: </w:t>
      </w:r>
      <w:r>
        <w:rPr>
          <w:i w:val="0"/>
        </w:rPr>
        <w:t>For the Final Hearing, file declarations from Stonebridge (marketing process, with specifics) and from the CRO (budget, need, business judgment), and include valuation evidence on adequate protection. Correct the Holt Declaration’s misstatements. Narrow the IO’s findings to what the record supports, deleting “reasonably equivalent value” and any finding about the second-lien claims beyond the stipulation.</w:t>
      </w:r>
    </w:p>
    <w:p>
      <w:pPr>
        <w:pStyle w:val="Heading3"/>
      </w:pPr>
      <w:r>
        <w:t>Issue 31: Conflict-of-interest provisions and lender self-dealing [Medium]</w:t>
      </w:r>
    </w:p>
    <w:p>
      <w:r>
        <w:rPr>
          <w:b/>
        </w:rPr>
        <w:t xml:space="preserve">Provisions: </w:t>
      </w:r>
      <w:r>
        <w:rPr>
          <w:i w:val="0"/>
        </w:rPr>
        <w:t>Recital (D); §§ 9.04, 10.01–10.03; 2L CA §§ 1.01 (“Majority Lenders”), 8.02, 8.06, 10.01(a)(iii)</w:t>
      </w:r>
    </w:p>
    <w:p>
      <w:r>
        <w:rPr>
          <w:b/>
        </w:rPr>
        <w:t xml:space="preserve">Analysis: </w:t>
      </w:r>
      <w:r>
        <w:rPr>
          <w:i w:val="0"/>
        </w:rPr>
        <w:t>Section 10.03 declares that Ironclad’s concurrent roles as second-lien agent and 66% holder do not “create any conflict of interest.” A self-serving contractual statement like this cannot bind the Court or third parties, and it should not be the basis for any finding. As Majority Lender (more than 50%) and agent with no fiduciary duty to the other lenders (2L CA §§ 8.02(b), 8.06), Ironclad controls second-lien decisions other than sacred rights, and it is using that position to take a disproportionate benefit. Section 9.04 lets Ironclad assign the DIP to “any person” without consent. That includes competitors and potential bidders, who would then step into the credit-bid and stalking-horse rights. The 2L CA, by contrast, requires borrower consent absent an Event of Default (2L CA § 10.01(a)(iii)).</w:t>
      </w:r>
    </w:p>
    <w:p>
      <w:r>
        <w:rPr>
          <w:b/>
        </w:rPr>
        <w:t xml:space="preserve">Recommendation: </w:t>
      </w:r>
      <w:r>
        <w:rPr>
          <w:i w:val="0"/>
        </w:rPr>
        <w:t>Delete the last sentence of § 10.03. Require Borrower consent (not unreasonably withheld, and not required during an Event of Default) for assignments, and prohibit assignment of stalking-horse rights and assignment to competitors.</w:t>
      </w:r>
    </w:p>
    <w:p>
      <w:pPr>
        <w:pStyle w:val="Heading3"/>
      </w:pPr>
      <w:r>
        <w:t>Issue 32: Amendments may be made without Court approval or notice [Medium]</w:t>
      </w:r>
    </w:p>
    <w:p>
      <w:r>
        <w:rPr>
          <w:b/>
        </w:rPr>
        <w:t xml:space="preserve">Provisions: </w:t>
      </w:r>
      <w:r>
        <w:rPr>
          <w:i w:val="0"/>
        </w:rPr>
        <w:t>§§ 9.02, 9.08, 1.02(j), 9.16; TS § 18 (Amendments); IO ¶ 28</w:t>
      </w:r>
    </w:p>
    <w:p>
      <w:r>
        <w:rPr>
          <w:b/>
        </w:rPr>
        <w:t xml:space="preserve">Analysis: </w:t>
      </w:r>
      <w:r>
        <w:rPr>
          <w:i w:val="0"/>
        </w:rPr>
        <w:t>Under § 9.02, only amendments to the Carve-Out, the adequate protection terms and the credit-bid rights require Court approval. Economic terms, milestones, maturity and Events of Default can be changed by the Borrower and Ironclad without notice to the U.S. Trustee or Committee. Market practice requires Court approval for material amendments (pricing, maturity, commitment, collateral, milestones that are adverse to the estate) and notice to the U.S. Trustee and Committee for non-material ones. Section 9.08 supersedes the TS, so the TS’s more favorable terms (the 60-day challenge period, per-period capex, payment of the Agent Fee in arrears) are lost unless they are carried into the CA.</w:t>
      </w:r>
    </w:p>
    <w:p>
      <w:r>
        <w:rPr>
          <w:b/>
        </w:rPr>
        <w:t xml:space="preserve">Recommendation: </w:t>
      </w:r>
      <w:r>
        <w:rPr>
          <w:i w:val="0"/>
        </w:rPr>
        <w:t>Add a Court-approval requirement for material amendments, with 5 business days’ notice to the U.S. Trustee and Committee for non-material amendments.</w:t>
      </w:r>
    </w:p>
    <w:p>
      <w:pPr>
        <w:pStyle w:val="Heading3"/>
      </w:pPr>
      <w:r>
        <w:t>Issue 33: Interim Order provisions that should not carry into the Final Order without change [Medium]</w:t>
      </w:r>
    </w:p>
    <w:p>
      <w:r>
        <w:rPr>
          <w:b/>
        </w:rPr>
        <w:t xml:space="preserve">Provisions: </w:t>
      </w:r>
      <w:r>
        <w:rPr>
          <w:i w:val="0"/>
        </w:rPr>
        <w:t>IO ¶¶ 3(b), 5(b), 5(e), 6(b), 11, 14–16, 19, 21–22, 30</w:t>
      </w:r>
    </w:p>
    <w:p>
      <w:r>
        <w:rPr>
          <w:b/>
        </w:rPr>
        <w:t xml:space="preserve">Analysis: </w:t>
      </w:r>
      <w:r>
        <w:rPr>
          <w:i w:val="0"/>
        </w:rPr>
        <w:t>For the Final Order, the following interim-stage grants should be revisited: the $5 million interim roll-up (¶ 3(b)); liens on avoidance proceeds (¶ 5(b)); the § 552(b), marshaling and § 506(c) waivers (¶¶ 5(e), 14–15); superpriority status over §§ 726, 1113 and 1114 claims (¶ 6(b)); stipulations binding the Debtor immediately (¶ 11(b)); a bar on lien challenges after a 30-day period (¶ 16); lender fees without U.S. Trustee guidelines or review (¶ 19); binding effect on successor trustees (¶ 21); and waiver of the Rule 6004(h) stay (¶ 30). Under Del. Bankr. L.R. 4001-2 these provisions generally must be disclosed and highlighted, and many are disfavored on an interim basis. In the Final Order they should be narrowed or eliminated, consistent with the recommendations above.</w:t>
      </w:r>
    </w:p>
    <w:p>
      <w:r>
        <w:rPr>
          <w:b/>
        </w:rPr>
        <w:t xml:space="preserve">Recommendation: </w:t>
      </w:r>
      <w:r>
        <w:rPr>
          <w:i w:val="0"/>
        </w:rPr>
        <w:t>Prepare a Final Order markup that addresses each item, and pair it with the CA amendments described in this memorandum.</w:t>
      </w:r>
    </w:p>
    <w:p>
      <w:pPr>
        <w:sectPr>
          <w:footerReference w:type="default" r:id="rId9"/>
          <w:pgSz w:w="12240" w:h="15840"/>
          <w:pgMar w:top="1440" w:right="1440" w:bottom="1440" w:left="1440" w:header="720" w:footer="720" w:gutter="0"/>
          <w:cols w:space="720"/>
          <w:docGrid w:linePitch="360"/>
        </w:sectPr>
      </w:pPr>
    </w:p>
    <w:p>
      <w:pPr>
        <w:pStyle w:val="Heading1"/>
      </w:pPr>
      <w:r>
        <w:t>VI. Cross-Document Discrepancy Schedule</w:t>
      </w:r>
    </w:p>
    <w:p>
      <w:r>
        <w:rPr>
          <w:i/>
        </w:rPr>
        <w:t>The DIP Agreement controls over the TS (CA § 9.08). The DIP Orders control over the DIP Agreement (CA §§ 1.02(j), 9.16; IO ¶ 28). Every conflict below should be resolved expressly in the DIP Agreement amendment and the Final Order, not left to the conflicts clause.</w:t>
      </w:r>
    </w:p>
    <w:tbl>
      <w:tblPr>
        <w:tblStyle w:val="TableGrid"/>
        <w:tblW w:type="auto" w:w="0"/>
        <w:jc w:val="center"/>
        <w:tblLook w:firstColumn="1" w:firstRow="1" w:lastColumn="0" w:lastRow="0" w:noHBand="0" w:noVBand="1" w:val="04A0"/>
      </w:tblPr>
      <w:tblGrid>
        <w:gridCol w:w="2304"/>
        <w:gridCol w:w="2304"/>
        <w:gridCol w:w="2304"/>
        <w:gridCol w:w="2304"/>
        <w:gridCol w:w="2304"/>
        <w:gridCol w:w="2304"/>
      </w:tblGrid>
      <w:tr>
        <w:trPr>
          <w:tblHeader w:val="true"/>
        </w:trPr>
        <w:tc>
          <w:tcPr>
            <w:tcW w:type="dxa" w:w="1800"/>
            <w:shd w:val="clear" w:color="auto" w:fill="1F3A5F"/>
          </w:tcPr>
          <w:p>
            <w:pPr>
              <w:spacing w:after="0"/>
            </w:pPr>
            <w:r>
              <w:rPr>
                <w:color w:val="FFFFFF"/>
              </w:rPr>
            </w:r>
            <w:r>
              <w:rPr>
                <w:b/>
                <w:sz w:val="16"/>
              </w:rPr>
              <w:t>Item</w:t>
            </w:r>
          </w:p>
        </w:tc>
        <w:tc>
          <w:tcPr>
            <w:tcW w:type="dxa" w:w="2664"/>
            <w:shd w:val="clear" w:color="auto" w:fill="1F3A5F"/>
          </w:tcPr>
          <w:p>
            <w:pPr>
              <w:spacing w:after="0"/>
            </w:pPr>
            <w:r>
              <w:rPr>
                <w:color w:val="FFFFFF"/>
              </w:rPr>
            </w:r>
            <w:r>
              <w:rPr>
                <w:b/>
                <w:sz w:val="16"/>
              </w:rPr>
              <w:t>DIP Agreement</w:t>
            </w:r>
          </w:p>
        </w:tc>
        <w:tc>
          <w:tcPr>
            <w:tcW w:type="dxa" w:w="2088"/>
            <w:shd w:val="clear" w:color="auto" w:fill="1F3A5F"/>
          </w:tcPr>
          <w:p>
            <w:pPr>
              <w:spacing w:after="0"/>
            </w:pPr>
            <w:r>
              <w:rPr>
                <w:color w:val="FFFFFF"/>
              </w:rPr>
            </w:r>
            <w:r>
              <w:rPr>
                <w:b/>
                <w:sz w:val="16"/>
              </w:rPr>
              <w:t>Term Sheet (3/10/25)</w:t>
            </w:r>
          </w:p>
        </w:tc>
        <w:tc>
          <w:tcPr>
            <w:tcW w:type="dxa" w:w="2664"/>
            <w:shd w:val="clear" w:color="auto" w:fill="1F3A5F"/>
          </w:tcPr>
          <w:p>
            <w:pPr>
              <w:spacing w:after="0"/>
            </w:pPr>
            <w:r>
              <w:rPr>
                <w:color w:val="FFFFFF"/>
              </w:rPr>
            </w:r>
            <w:r>
              <w:rPr>
                <w:b/>
                <w:sz w:val="16"/>
              </w:rPr>
              <w:t>Interim Order (3/19/25)</w:t>
            </w:r>
          </w:p>
        </w:tc>
        <w:tc>
          <w:tcPr>
            <w:tcW w:type="dxa" w:w="2664"/>
            <w:shd w:val="clear" w:color="auto" w:fill="1F3A5F"/>
          </w:tcPr>
          <w:p>
            <w:pPr>
              <w:spacing w:after="0"/>
            </w:pPr>
            <w:r>
              <w:rPr>
                <w:color w:val="FFFFFF"/>
              </w:rPr>
            </w:r>
            <w:r>
              <w:rPr>
                <w:b/>
                <w:sz w:val="16"/>
              </w:rPr>
              <w:t>Holt Decl. / Budget / 2L CA</w:t>
            </w:r>
          </w:p>
        </w:tc>
        <w:tc>
          <w:tcPr>
            <w:tcW w:type="dxa" w:w="1656"/>
            <w:shd w:val="clear" w:color="auto" w:fill="1F3A5F"/>
          </w:tcPr>
          <w:p>
            <w:pPr>
              <w:spacing w:after="0"/>
            </w:pPr>
            <w:r>
              <w:rPr>
                <w:color w:val="FFFFFF"/>
              </w:rPr>
            </w:r>
            <w:r>
              <w:rPr>
                <w:b/>
                <w:sz w:val="16"/>
              </w:rPr>
              <w:t>Comment</w:t>
            </w:r>
          </w:p>
        </w:tc>
      </w:tr>
      <w:tr>
        <w:tc>
          <w:tcPr>
            <w:tcW w:type="dxa" w:w="1800"/>
          </w:tcPr>
          <w:p>
            <w:pPr>
              <w:spacing w:after="0"/>
            </w:pPr>
            <w:r/>
            <w:r>
              <w:rPr>
                <w:b w:val="0"/>
                <w:sz w:val="16"/>
              </w:rPr>
              <w:t>Debtors</w:t>
            </w:r>
          </w:p>
        </w:tc>
        <w:tc>
          <w:tcPr>
            <w:tcW w:type="dxa" w:w="2664"/>
          </w:tcPr>
          <w:p>
            <w:pPr>
              <w:spacing w:after="0"/>
            </w:pPr>
            <w:r/>
            <w:r>
              <w:rPr>
                <w:b w:val="0"/>
                <w:sz w:val="16"/>
              </w:rPr>
              <w:t>Borrower only; subsidiaries “have not filed” (Recital A)</w:t>
            </w:r>
          </w:p>
        </w:tc>
        <w:tc>
          <w:tcPr>
            <w:tcW w:type="dxa" w:w="2088"/>
          </w:tcPr>
          <w:p>
            <w:pPr>
              <w:spacing w:after="0"/>
            </w:pPr>
            <w:r/>
            <w:r>
              <w:rPr>
                <w:b w:val="0"/>
                <w:sz w:val="16"/>
              </w:rPr>
              <w:t>Guarantors; filing by Borrower</w:t>
            </w:r>
          </w:p>
        </w:tc>
        <w:tc>
          <w:tcPr>
            <w:tcW w:type="dxa" w:w="2664"/>
          </w:tcPr>
          <w:p>
            <w:pPr>
              <w:spacing w:after="0"/>
            </w:pPr>
            <w:r/>
            <w:r>
              <w:rPr>
                <w:b w:val="0"/>
                <w:sz w:val="16"/>
              </w:rPr>
              <w:t>Single “Debtor”; liens on subsidiary assets (¶ 5(a))</w:t>
            </w:r>
          </w:p>
        </w:tc>
        <w:tc>
          <w:tcPr>
            <w:tcW w:type="dxa" w:w="2664"/>
          </w:tcPr>
          <w:p>
            <w:pPr>
              <w:spacing w:after="0"/>
            </w:pPr>
            <w:r/>
            <w:r>
              <w:rPr>
                <w:b w:val="0"/>
                <w:sz w:val="16"/>
              </w:rPr>
              <w:t>Holt: all four entities are Debtors, jointly administered</w:t>
            </w:r>
          </w:p>
        </w:tc>
        <w:tc>
          <w:tcPr>
            <w:tcW w:type="dxa" w:w="1656"/>
          </w:tcPr>
          <w:p>
            <w:pPr>
              <w:spacing w:after="0"/>
            </w:pPr>
            <w:r/>
            <w:r>
              <w:rPr>
                <w:b w:val="0"/>
                <w:sz w:val="16"/>
              </w:rPr>
              <w:t>Fundamental; see Part A</w:t>
            </w:r>
          </w:p>
        </w:tc>
      </w:tr>
      <w:tr>
        <w:tc>
          <w:tcPr>
            <w:tcW w:type="dxa" w:w="1800"/>
          </w:tcPr>
          <w:p>
            <w:pPr>
              <w:spacing w:after="0"/>
            </w:pPr>
            <w:r/>
            <w:r>
              <w:rPr>
                <w:b w:val="0"/>
                <w:sz w:val="16"/>
              </w:rPr>
              <w:t>DIP Agreement date / parties</w:t>
            </w:r>
          </w:p>
        </w:tc>
        <w:tc>
          <w:tcPr>
            <w:tcW w:type="dxa" w:w="2664"/>
          </w:tcPr>
          <w:p>
            <w:pPr>
              <w:spacing w:after="0"/>
            </w:pPr>
            <w:r/>
            <w:r>
              <w:rPr>
                <w:b w:val="0"/>
                <w:sz w:val="16"/>
              </w:rPr>
              <w:t>Mar 14, 2025; Borrower, Subsidiary Guarantors, Ironclad</w:t>
            </w:r>
          </w:p>
        </w:tc>
        <w:tc>
          <w:tcPr>
            <w:tcW w:type="dxa" w:w="2088"/>
          </w:tcPr>
          <w:p>
            <w:pPr>
              <w:spacing w:after="0"/>
            </w:pPr>
            <w:r/>
            <w:r>
              <w:rPr>
                <w:b w:val="0"/>
                <w:sz w:val="16"/>
              </w:rPr>
              <w:t>n/a</w:t>
            </w:r>
          </w:p>
        </w:tc>
        <w:tc>
          <w:tcPr>
            <w:tcW w:type="dxa" w:w="2664"/>
          </w:tcPr>
          <w:p>
            <w:pPr>
              <w:spacing w:after="0"/>
            </w:pPr>
            <w:r/>
            <w:r>
              <w:rPr>
                <w:b w:val="0"/>
                <w:sz w:val="16"/>
              </w:rPr>
              <w:t>Mar 19, 2025; Borrower and Ironclad only (Recital B, ¶ 2, Ex. 1)</w:t>
            </w:r>
          </w:p>
        </w:tc>
        <w:tc>
          <w:tcPr>
            <w:tcW w:type="dxa" w:w="2664"/>
          </w:tcPr>
          <w:p>
            <w:pPr>
              <w:spacing w:after="0"/>
            </w:pPr>
            <w:r/>
            <w:r>
              <w:rPr>
                <w:b w:val="0"/>
                <w:sz w:val="16"/>
              </w:rPr>
              <w:t>Holt Ex. A: Mar 14, Borrower “and its debtor affiliates, as borrowers”</w:t>
            </w:r>
          </w:p>
        </w:tc>
        <w:tc>
          <w:tcPr>
            <w:tcW w:type="dxa" w:w="1656"/>
          </w:tcPr>
          <w:p>
            <w:pPr>
              <w:spacing w:after="0"/>
            </w:pPr>
            <w:r/>
            <w:r>
              <w:rPr>
                <w:b w:val="0"/>
                <w:sz w:val="16"/>
              </w:rPr>
              <w:t>Conform</w:t>
            </w:r>
          </w:p>
        </w:tc>
      </w:tr>
      <w:tr>
        <w:tc>
          <w:tcPr>
            <w:tcW w:type="dxa" w:w="1800"/>
          </w:tcPr>
          <w:p>
            <w:pPr>
              <w:spacing w:after="0"/>
            </w:pPr>
            <w:r/>
            <w:r>
              <w:rPr>
                <w:b w:val="0"/>
                <w:sz w:val="16"/>
              </w:rPr>
              <w:t>2L Credit Agreement date</w:t>
            </w:r>
          </w:p>
        </w:tc>
        <w:tc>
          <w:tcPr>
            <w:tcW w:type="dxa" w:w="2664"/>
          </w:tcPr>
          <w:p>
            <w:pPr>
              <w:spacing w:after="0"/>
            </w:pPr>
            <w:r/>
            <w:r>
              <w:rPr>
                <w:b w:val="0"/>
                <w:sz w:val="16"/>
              </w:rPr>
              <w:t>Oct 15, 2020</w:t>
            </w:r>
          </w:p>
        </w:tc>
        <w:tc>
          <w:tcPr>
            <w:tcW w:type="dxa" w:w="2088"/>
          </w:tcPr>
          <w:p>
            <w:pPr>
              <w:spacing w:after="0"/>
            </w:pPr>
            <w:r/>
            <w:r>
              <w:rPr>
                <w:b w:val="0"/>
                <w:sz w:val="16"/>
              </w:rPr>
              <w:t>June 15, 2021</w:t>
            </w:r>
          </w:p>
        </w:tc>
        <w:tc>
          <w:tcPr>
            <w:tcW w:type="dxa" w:w="2664"/>
          </w:tcPr>
          <w:p>
            <w:pPr>
              <w:spacing w:after="0"/>
            </w:pPr>
            <w:r/>
            <w:r>
              <w:rPr>
                <w:b w:val="0"/>
                <w:sz w:val="16"/>
              </w:rPr>
              <w:t>Intercreditor dated June 15, 2021</w:t>
            </w:r>
          </w:p>
        </w:tc>
        <w:tc>
          <w:tcPr>
            <w:tcW w:type="dxa" w:w="2664"/>
          </w:tcPr>
          <w:p>
            <w:pPr>
              <w:spacing w:after="0"/>
            </w:pPr>
            <w:r/>
            <w:r>
              <w:rPr>
                <w:b w:val="0"/>
                <w:sz w:val="16"/>
              </w:rPr>
              <w:t>2L CA: June 15, 2021; Holt Ex. C: June 15, 2021</w:t>
            </w:r>
          </w:p>
        </w:tc>
        <w:tc>
          <w:tcPr>
            <w:tcW w:type="dxa" w:w="1656"/>
          </w:tcPr>
          <w:p>
            <w:pPr>
              <w:spacing w:after="0"/>
            </w:pPr>
            <w:r/>
            <w:r>
              <w:rPr>
                <w:b w:val="0"/>
                <w:sz w:val="16"/>
              </w:rPr>
              <w:t>CA definition wrong</w:t>
            </w:r>
          </w:p>
        </w:tc>
      </w:tr>
      <w:tr>
        <w:tc>
          <w:tcPr>
            <w:tcW w:type="dxa" w:w="1800"/>
          </w:tcPr>
          <w:p>
            <w:pPr>
              <w:spacing w:after="0"/>
            </w:pPr>
            <w:r/>
            <w:r>
              <w:rPr>
                <w:b w:val="0"/>
                <w:sz w:val="16"/>
              </w:rPr>
              <w:t>1L Credit Agreement date</w:t>
            </w:r>
          </w:p>
        </w:tc>
        <w:tc>
          <w:tcPr>
            <w:tcW w:type="dxa" w:w="2664"/>
          </w:tcPr>
          <w:p>
            <w:pPr>
              <w:spacing w:after="0"/>
            </w:pPr>
            <w:r/>
            <w:r>
              <w:rPr>
                <w:b w:val="0"/>
                <w:sz w:val="16"/>
              </w:rPr>
              <w:t>June 22, 2018</w:t>
            </w:r>
          </w:p>
        </w:tc>
        <w:tc>
          <w:tcPr>
            <w:tcW w:type="dxa" w:w="2088"/>
          </w:tcPr>
          <w:p>
            <w:pPr>
              <w:spacing w:after="0"/>
            </w:pPr>
            <w:r/>
            <w:r>
              <w:rPr>
                <w:b w:val="0"/>
                <w:sz w:val="16"/>
              </w:rPr>
              <w:t>n/a</w:t>
            </w:r>
          </w:p>
        </w:tc>
        <w:tc>
          <w:tcPr>
            <w:tcW w:type="dxa" w:w="2664"/>
          </w:tcPr>
          <w:p>
            <w:pPr>
              <w:spacing w:after="0"/>
            </w:pPr>
            <w:r/>
            <w:r>
              <w:rPr>
                <w:b w:val="0"/>
                <w:sz w:val="16"/>
              </w:rPr>
              <w:t>n/a</w:t>
            </w:r>
          </w:p>
        </w:tc>
        <w:tc>
          <w:tcPr>
            <w:tcW w:type="dxa" w:w="2664"/>
          </w:tcPr>
          <w:p>
            <w:pPr>
              <w:spacing w:after="0"/>
            </w:pPr>
            <w:r/>
            <w:r>
              <w:rPr>
                <w:b w:val="0"/>
                <w:sz w:val="16"/>
              </w:rPr>
              <w:t>2L CA § 1.01: Mar 22, 2019</w:t>
            </w:r>
          </w:p>
        </w:tc>
        <w:tc>
          <w:tcPr>
            <w:tcW w:type="dxa" w:w="1656"/>
          </w:tcPr>
          <w:p>
            <w:pPr>
              <w:spacing w:after="0"/>
            </w:pPr>
            <w:r/>
            <w:r>
              <w:rPr>
                <w:b w:val="0"/>
                <w:sz w:val="16"/>
              </w:rPr>
              <w:t>Verify</w:t>
            </w:r>
          </w:p>
        </w:tc>
      </w:tr>
      <w:tr>
        <w:tc>
          <w:tcPr>
            <w:tcW w:type="dxa" w:w="1800"/>
          </w:tcPr>
          <w:p>
            <w:pPr>
              <w:spacing w:after="0"/>
            </w:pPr>
            <w:r/>
            <w:r>
              <w:rPr>
                <w:b w:val="0"/>
                <w:sz w:val="16"/>
              </w:rPr>
              <w:t>Interest benchmark</w:t>
            </w:r>
          </w:p>
        </w:tc>
        <w:tc>
          <w:tcPr>
            <w:tcW w:type="dxa" w:w="2664"/>
          </w:tcPr>
          <w:p>
            <w:pPr>
              <w:spacing w:after="0"/>
            </w:pPr>
            <w:r/>
            <w:r>
              <w:rPr>
                <w:b w:val="0"/>
                <w:sz w:val="16"/>
              </w:rPr>
              <w:t>1-month CME Term SOFR</w:t>
            </w:r>
          </w:p>
        </w:tc>
        <w:tc>
          <w:tcPr>
            <w:tcW w:type="dxa" w:w="2088"/>
          </w:tcPr>
          <w:p>
            <w:pPr>
              <w:spacing w:after="0"/>
            </w:pPr>
            <w:r/>
            <w:r>
              <w:rPr>
                <w:b w:val="0"/>
                <w:sz w:val="16"/>
              </w:rPr>
              <w:t>SOFR</w:t>
            </w:r>
          </w:p>
        </w:tc>
        <w:tc>
          <w:tcPr>
            <w:tcW w:type="dxa" w:w="2664"/>
          </w:tcPr>
          <w:p>
            <w:pPr>
              <w:spacing w:after="0"/>
            </w:pPr>
            <w:r/>
            <w:r>
              <w:rPr>
                <w:b w:val="0"/>
                <w:sz w:val="16"/>
              </w:rPr>
              <w:t>SOFR</w:t>
            </w:r>
          </w:p>
        </w:tc>
        <w:tc>
          <w:tcPr>
            <w:tcW w:type="dxa" w:w="2664"/>
          </w:tcPr>
          <w:p>
            <w:pPr>
              <w:spacing w:after="0"/>
            </w:pPr>
            <w:r/>
            <w:r>
              <w:rPr>
                <w:b w:val="0"/>
                <w:sz w:val="16"/>
              </w:rPr>
              <w:t>Holt / Budget: SOFR</w:t>
            </w:r>
          </w:p>
        </w:tc>
        <w:tc>
          <w:tcPr>
            <w:tcW w:type="dxa" w:w="1656"/>
          </w:tcPr>
          <w:p>
            <w:pPr>
              <w:spacing w:after="0"/>
            </w:pPr>
            <w:r/>
            <w:r>
              <w:rPr>
                <w:b w:val="0"/>
                <w:sz w:val="16"/>
              </w:rPr>
              <w:t>Conform</w:t>
            </w:r>
          </w:p>
        </w:tc>
      </w:tr>
      <w:tr>
        <w:tc>
          <w:tcPr>
            <w:tcW w:type="dxa" w:w="1800"/>
          </w:tcPr>
          <w:p>
            <w:pPr>
              <w:spacing w:after="0"/>
            </w:pPr>
            <w:r/>
            <w:r>
              <w:rPr>
                <w:b w:val="0"/>
                <w:sz w:val="16"/>
              </w:rPr>
              <w:t>Upfront / Exit Fee earned</w:t>
            </w:r>
          </w:p>
        </w:tc>
        <w:tc>
          <w:tcPr>
            <w:tcW w:type="dxa" w:w="2664"/>
          </w:tcPr>
          <w:p>
            <w:pPr>
              <w:spacing w:after="0"/>
            </w:pPr>
            <w:r/>
            <w:r>
              <w:rPr>
                <w:b w:val="0"/>
                <w:sz w:val="16"/>
              </w:rPr>
              <w:t>On execution (Mar 14)</w:t>
            </w:r>
          </w:p>
        </w:tc>
        <w:tc>
          <w:tcPr>
            <w:tcW w:type="dxa" w:w="2088"/>
          </w:tcPr>
          <w:p>
            <w:pPr>
              <w:spacing w:after="0"/>
            </w:pPr>
            <w:r/>
            <w:r>
              <w:rPr>
                <w:b w:val="0"/>
                <w:sz w:val="16"/>
              </w:rPr>
              <w:t>On Interim Order entry</w:t>
            </w:r>
          </w:p>
        </w:tc>
        <w:tc>
          <w:tcPr>
            <w:tcW w:type="dxa" w:w="2664"/>
          </w:tcPr>
          <w:p>
            <w:pPr>
              <w:spacing w:after="0"/>
            </w:pPr>
            <w:r/>
            <w:r>
              <w:rPr>
                <w:b w:val="0"/>
                <w:sz w:val="16"/>
              </w:rPr>
              <w:t>Upfront on Interim Order entry</w:t>
            </w:r>
          </w:p>
        </w:tc>
        <w:tc>
          <w:tcPr>
            <w:tcW w:type="dxa" w:w="2664"/>
          </w:tcPr>
          <w:p>
            <w:pPr>
              <w:spacing w:after="0"/>
            </w:pPr>
            <w:r/>
            <w:r>
              <w:rPr>
                <w:b w:val="0"/>
                <w:sz w:val="16"/>
              </w:rPr>
              <w:t>Holt: Upfront earned on Interim Order</w:t>
            </w:r>
          </w:p>
        </w:tc>
        <w:tc>
          <w:tcPr>
            <w:tcW w:type="dxa" w:w="1656"/>
          </w:tcPr>
          <w:p>
            <w:pPr>
              <w:spacing w:after="0"/>
            </w:pPr>
            <w:r/>
            <w:r>
              <w:rPr>
                <w:b w:val="0"/>
                <w:sz w:val="16"/>
              </w:rPr>
              <w:t>Earned before court approval</w:t>
            </w:r>
          </w:p>
        </w:tc>
      </w:tr>
      <w:tr>
        <w:tc>
          <w:tcPr>
            <w:tcW w:type="dxa" w:w="1800"/>
          </w:tcPr>
          <w:p>
            <w:pPr>
              <w:spacing w:after="0"/>
            </w:pPr>
            <w:r/>
            <w:r>
              <w:rPr>
                <w:b w:val="0"/>
                <w:sz w:val="16"/>
              </w:rPr>
              <w:t>Agent Fee timing</w:t>
            </w:r>
          </w:p>
        </w:tc>
        <w:tc>
          <w:tcPr>
            <w:tcW w:type="dxa" w:w="2664"/>
          </w:tcPr>
          <w:p>
            <w:pPr>
              <w:spacing w:after="0"/>
            </w:pPr>
            <w:r/>
            <w:r>
              <w:rPr>
                <w:b w:val="0"/>
                <w:sz w:val="16"/>
              </w:rPr>
              <w:t>Monthly in advance, from Closing Date</w:t>
            </w:r>
          </w:p>
        </w:tc>
        <w:tc>
          <w:tcPr>
            <w:tcW w:type="dxa" w:w="2088"/>
          </w:tcPr>
          <w:p>
            <w:pPr>
              <w:spacing w:after="0"/>
            </w:pPr>
            <w:r/>
            <w:r>
              <w:rPr>
                <w:b w:val="0"/>
                <w:sz w:val="16"/>
              </w:rPr>
              <w:t>Monthly in arrears</w:t>
            </w:r>
          </w:p>
        </w:tc>
        <w:tc>
          <w:tcPr>
            <w:tcW w:type="dxa" w:w="2664"/>
          </w:tcPr>
          <w:p>
            <w:pPr>
              <w:spacing w:after="0"/>
            </w:pPr>
            <w:r/>
            <w:r>
              <w:rPr>
                <w:b w:val="0"/>
                <w:sz w:val="16"/>
              </w:rPr>
              <w:t>Monthly in arrears</w:t>
            </w:r>
          </w:p>
        </w:tc>
        <w:tc>
          <w:tcPr>
            <w:tcW w:type="dxa" w:w="2664"/>
          </w:tcPr>
          <w:p>
            <w:pPr>
              <w:spacing w:after="0"/>
            </w:pPr>
            <w:r/>
            <w:r>
              <w:rPr>
                <w:b w:val="0"/>
                <w:sz w:val="16"/>
              </w:rPr>
              <w:t>—</w:t>
            </w:r>
          </w:p>
        </w:tc>
        <w:tc>
          <w:tcPr>
            <w:tcW w:type="dxa" w:w="1656"/>
          </w:tcPr>
          <w:p>
            <w:pPr>
              <w:spacing w:after="0"/>
            </w:pPr>
            <w:r/>
            <w:r>
              <w:rPr>
                <w:b w:val="0"/>
                <w:sz w:val="16"/>
              </w:rPr>
              <w:t>Conform to IO</w:t>
            </w:r>
          </w:p>
        </w:tc>
      </w:tr>
      <w:tr>
        <w:tc>
          <w:tcPr>
            <w:tcW w:type="dxa" w:w="1800"/>
          </w:tcPr>
          <w:p>
            <w:pPr>
              <w:spacing w:after="0"/>
            </w:pPr>
            <w:r/>
            <w:r>
              <w:rPr>
                <w:b w:val="0"/>
                <w:sz w:val="16"/>
              </w:rPr>
              <w:t>Investigation Period</w:t>
            </w:r>
          </w:p>
        </w:tc>
        <w:tc>
          <w:tcPr>
            <w:tcW w:type="dxa" w:w="2664"/>
          </w:tcPr>
          <w:p>
            <w:pPr>
              <w:spacing w:after="0"/>
            </w:pPr>
            <w:r/>
            <w:r>
              <w:rPr>
                <w:b w:val="0"/>
                <w:sz w:val="16"/>
              </w:rPr>
              <w:t>30 days from Committee appointment; Committee only</w:t>
            </w:r>
          </w:p>
        </w:tc>
        <w:tc>
          <w:tcPr>
            <w:tcW w:type="dxa" w:w="2088"/>
          </w:tcPr>
          <w:p>
            <w:pPr>
              <w:spacing w:after="0"/>
            </w:pPr>
            <w:r/>
            <w:r>
              <w:rPr>
                <w:b w:val="0"/>
                <w:sz w:val="16"/>
              </w:rPr>
              <w:t>60 days from Committee formation; any party with standing</w:t>
            </w:r>
          </w:p>
        </w:tc>
        <w:tc>
          <w:tcPr>
            <w:tcW w:type="dxa" w:w="2664"/>
          </w:tcPr>
          <w:p>
            <w:pPr>
              <w:spacing w:after="0"/>
            </w:pPr>
            <w:r/>
            <w:r>
              <w:rPr>
                <w:b w:val="0"/>
                <w:sz w:val="16"/>
              </w:rPr>
              <w:t>30 days from formation; any party other than Debtor; court may extend</w:t>
            </w:r>
          </w:p>
        </w:tc>
        <w:tc>
          <w:tcPr>
            <w:tcW w:type="dxa" w:w="2664"/>
          </w:tcPr>
          <w:p>
            <w:pPr>
              <w:spacing w:after="0"/>
            </w:pPr>
            <w:r/>
            <w:r>
              <w:rPr>
                <w:b w:val="0"/>
                <w:sz w:val="16"/>
              </w:rPr>
              <w:t>Holt: 30 days from formation (~Apr 4 → ~May 4)</w:t>
            </w:r>
          </w:p>
        </w:tc>
        <w:tc>
          <w:tcPr>
            <w:tcW w:type="dxa" w:w="1656"/>
          </w:tcPr>
          <w:p>
            <w:pPr>
              <w:spacing w:after="0"/>
            </w:pPr>
            <w:r/>
            <w:r>
              <w:rPr>
                <w:b w:val="0"/>
                <w:sz w:val="16"/>
              </w:rPr>
              <w:t>Del. L.R. 4001-2 benchmark: 60/75 days</w:t>
            </w:r>
          </w:p>
        </w:tc>
      </w:tr>
      <w:tr>
        <w:tc>
          <w:tcPr>
            <w:tcW w:type="dxa" w:w="1800"/>
          </w:tcPr>
          <w:p>
            <w:pPr>
              <w:spacing w:after="0"/>
            </w:pPr>
            <w:r/>
            <w:r>
              <w:rPr>
                <w:b w:val="0"/>
                <w:sz w:val="16"/>
              </w:rPr>
              <w:t>Stipulated 2L amount</w:t>
            </w:r>
          </w:p>
        </w:tc>
        <w:tc>
          <w:tcPr>
            <w:tcW w:type="dxa" w:w="2664"/>
          </w:tcPr>
          <w:p>
            <w:pPr>
              <w:spacing w:after="0"/>
            </w:pPr>
            <w:r/>
            <w:r>
              <w:rPr>
                <w:b w:val="0"/>
                <w:sz w:val="16"/>
              </w:rPr>
              <w:t>$95M inclusive of all interest and fees</w:t>
            </w:r>
          </w:p>
        </w:tc>
        <w:tc>
          <w:tcPr>
            <w:tcW w:type="dxa" w:w="2088"/>
          </w:tcPr>
          <w:p>
            <w:pPr>
              <w:spacing w:after="0"/>
            </w:pPr>
            <w:r/>
            <w:r>
              <w:rPr>
                <w:b w:val="0"/>
                <w:sz w:val="16"/>
              </w:rPr>
              <w:t>$95M principal plus accrued interest and fees</w:t>
            </w:r>
          </w:p>
        </w:tc>
        <w:tc>
          <w:tcPr>
            <w:tcW w:type="dxa" w:w="2664"/>
          </w:tcPr>
          <w:p>
            <w:pPr>
              <w:spacing w:after="0"/>
            </w:pPr>
            <w:r/>
            <w:r>
              <w:rPr>
                <w:b w:val="0"/>
                <w:sz w:val="16"/>
              </w:rPr>
              <w:t>“Not less than” $95M (principal and interest)</w:t>
            </w:r>
          </w:p>
        </w:tc>
        <w:tc>
          <w:tcPr>
            <w:tcW w:type="dxa" w:w="2664"/>
          </w:tcPr>
          <w:p>
            <w:pPr>
              <w:spacing w:after="0"/>
            </w:pPr>
            <w:r/>
            <w:r>
              <w:rPr>
                <w:b w:val="0"/>
                <w:sz w:val="16"/>
              </w:rPr>
              <w:t>Holt: “Ironclad’s” claims of $95M</w:t>
            </w:r>
          </w:p>
        </w:tc>
        <w:tc>
          <w:tcPr>
            <w:tcW w:type="dxa" w:w="1656"/>
          </w:tcPr>
          <w:p>
            <w:pPr>
              <w:spacing w:after="0"/>
            </w:pPr>
            <w:r/>
            <w:r>
              <w:rPr>
                <w:b w:val="0"/>
                <w:sz w:val="16"/>
              </w:rPr>
              <w:t>Fix amount and scope</w:t>
            </w:r>
          </w:p>
        </w:tc>
      </w:tr>
      <w:tr>
        <w:tc>
          <w:tcPr>
            <w:tcW w:type="dxa" w:w="1800"/>
          </w:tcPr>
          <w:p>
            <w:pPr>
              <w:spacing w:after="0"/>
            </w:pPr>
            <w:r/>
            <w:r>
              <w:rPr>
                <w:b w:val="0"/>
                <w:sz w:val="16"/>
              </w:rPr>
              <w:t>Pre-trigger Carve-Out</w:t>
            </w:r>
          </w:p>
        </w:tc>
        <w:tc>
          <w:tcPr>
            <w:tcW w:type="dxa" w:w="2664"/>
          </w:tcPr>
          <w:p>
            <w:pPr>
              <w:spacing w:after="0"/>
            </w:pPr>
            <w:r/>
            <w:r>
              <w:rPr>
                <w:b w:val="0"/>
                <w:sz w:val="16"/>
              </w:rPr>
              <w:t>Limited to Approved Budget</w:t>
            </w:r>
          </w:p>
        </w:tc>
        <w:tc>
          <w:tcPr>
            <w:tcW w:type="dxa" w:w="2088"/>
          </w:tcPr>
          <w:p>
            <w:pPr>
              <w:spacing w:after="0"/>
            </w:pPr>
            <w:r/>
            <w:r>
              <w:rPr>
                <w:b w:val="0"/>
                <w:sz w:val="16"/>
              </w:rPr>
              <w:t>None (post-trigger only)</w:t>
            </w:r>
          </w:p>
        </w:tc>
        <w:tc>
          <w:tcPr>
            <w:tcW w:type="dxa" w:w="2664"/>
          </w:tcPr>
          <w:p>
            <w:pPr>
              <w:spacing w:after="0"/>
            </w:pPr>
            <w:r/>
            <w:r>
              <w:rPr>
                <w:b w:val="0"/>
                <w:sz w:val="16"/>
              </w:rPr>
              <w:t>Uncapped, allowed fees</w:t>
            </w:r>
          </w:p>
        </w:tc>
        <w:tc>
          <w:tcPr>
            <w:tcW w:type="dxa" w:w="2664"/>
          </w:tcPr>
          <w:p>
            <w:pPr>
              <w:spacing w:after="0"/>
            </w:pPr>
            <w:r/>
            <w:r>
              <w:rPr>
                <w:b w:val="0"/>
                <w:sz w:val="16"/>
              </w:rPr>
              <w:t>Budget: single $3.2M line incl. lender fees</w:t>
            </w:r>
          </w:p>
        </w:tc>
        <w:tc>
          <w:tcPr>
            <w:tcW w:type="dxa" w:w="1656"/>
          </w:tcPr>
          <w:p>
            <w:pPr>
              <w:spacing w:after="0"/>
            </w:pPr>
            <w:r/>
            <w:r>
              <w:rPr>
                <w:b w:val="0"/>
                <w:sz w:val="16"/>
              </w:rPr>
              <w:t>Conform to IO</w:t>
            </w:r>
          </w:p>
        </w:tc>
      </w:tr>
      <w:tr>
        <w:tc>
          <w:tcPr>
            <w:tcW w:type="dxa" w:w="1800"/>
          </w:tcPr>
          <w:p>
            <w:pPr>
              <w:spacing w:after="0"/>
            </w:pPr>
            <w:r/>
            <w:r>
              <w:rPr>
                <w:b w:val="0"/>
                <w:sz w:val="16"/>
              </w:rPr>
              <w:t>Committee investigation budget</w:t>
            </w:r>
          </w:p>
        </w:tc>
        <w:tc>
          <w:tcPr>
            <w:tcW w:type="dxa" w:w="2664"/>
          </w:tcPr>
          <w:p>
            <w:pPr>
              <w:spacing w:after="0"/>
            </w:pPr>
            <w:r/>
            <w:r>
              <w:rPr>
                <w:b w:val="0"/>
                <w:sz w:val="16"/>
              </w:rPr>
              <w:t>$0 (§ 2.09(b))</w:t>
            </w:r>
          </w:p>
        </w:tc>
        <w:tc>
          <w:tcPr>
            <w:tcW w:type="dxa" w:w="2088"/>
          </w:tcPr>
          <w:p>
            <w:pPr>
              <w:spacing w:after="0"/>
            </w:pPr>
            <w:r/>
            <w:r>
              <w:rPr>
                <w:b w:val="0"/>
                <w:sz w:val="16"/>
              </w:rPr>
              <w:t>$0</w:t>
            </w:r>
          </w:p>
        </w:tc>
        <w:tc>
          <w:tcPr>
            <w:tcW w:type="dxa" w:w="2664"/>
          </w:tcPr>
          <w:p>
            <w:pPr>
              <w:spacing w:after="0"/>
            </w:pPr>
            <w:r/>
            <w:r>
              <w:rPr>
                <w:b w:val="0"/>
                <w:sz w:val="16"/>
              </w:rPr>
              <w:t>$25,000 (¶ 25(c))</w:t>
            </w:r>
          </w:p>
        </w:tc>
        <w:tc>
          <w:tcPr>
            <w:tcW w:type="dxa" w:w="2664"/>
          </w:tcPr>
          <w:p>
            <w:pPr>
              <w:spacing w:after="0"/>
            </w:pPr>
            <w:r/>
            <w:r>
              <w:rPr>
                <w:b w:val="0"/>
                <w:sz w:val="16"/>
              </w:rPr>
              <w:t>—</w:t>
            </w:r>
          </w:p>
        </w:tc>
        <w:tc>
          <w:tcPr>
            <w:tcW w:type="dxa" w:w="1656"/>
          </w:tcPr>
          <w:p>
            <w:pPr>
              <w:spacing w:after="0"/>
            </w:pPr>
            <w:r/>
            <w:r>
              <w:rPr>
                <w:b w:val="0"/>
                <w:sz w:val="16"/>
              </w:rPr>
              <w:t>Increase</w:t>
            </w:r>
          </w:p>
        </w:tc>
      </w:tr>
      <w:tr>
        <w:tc>
          <w:tcPr>
            <w:tcW w:type="dxa" w:w="1800"/>
          </w:tcPr>
          <w:p>
            <w:pPr>
              <w:spacing w:after="0"/>
            </w:pPr>
            <w:r/>
            <w:r>
              <w:rPr>
                <w:b w:val="0"/>
                <w:sz w:val="16"/>
              </w:rPr>
              <w:t>Variance test / cure</w:t>
            </w:r>
          </w:p>
        </w:tc>
        <w:tc>
          <w:tcPr>
            <w:tcW w:type="dxa" w:w="2664"/>
          </w:tcPr>
          <w:p>
            <w:pPr>
              <w:spacing w:after="0"/>
            </w:pPr>
            <w:r/>
            <w:r>
              <w:rPr>
                <w:b w:val="0"/>
                <w:sz w:val="16"/>
              </w:rPr>
              <w:t>± 10% two-sided; no cure</w:t>
            </w:r>
          </w:p>
        </w:tc>
        <w:tc>
          <w:tcPr>
            <w:tcW w:type="dxa" w:w="2088"/>
          </w:tcPr>
          <w:p>
            <w:pPr>
              <w:spacing w:after="0"/>
            </w:pPr>
            <w:r/>
            <w:r>
              <w:rPr>
                <w:b w:val="0"/>
                <w:sz w:val="16"/>
              </w:rPr>
              <w:t>± 10% two-sided</w:t>
            </w:r>
          </w:p>
        </w:tc>
        <w:tc>
          <w:tcPr>
            <w:tcW w:type="dxa" w:w="2664"/>
          </w:tcPr>
          <w:p>
            <w:pPr>
              <w:spacing w:after="0"/>
            </w:pPr>
            <w:r/>
            <w:r>
              <w:rPr>
                <w:b w:val="0"/>
                <w:sz w:val="16"/>
              </w:rPr>
              <w:t>One-sided (110% / 90%); 3-business-day cure after notice</w:t>
            </w:r>
          </w:p>
        </w:tc>
        <w:tc>
          <w:tcPr>
            <w:tcW w:type="dxa" w:w="2664"/>
          </w:tcPr>
          <w:p>
            <w:pPr>
              <w:spacing w:after="0"/>
            </w:pPr>
            <w:r/>
            <w:r>
              <w:rPr>
                <w:b w:val="0"/>
                <w:sz w:val="16"/>
              </w:rPr>
              <w:t>Budget: 3-BD reporting, 5-BD cure; CA § 5.01(c): 5-BD reporting</w:t>
            </w:r>
          </w:p>
        </w:tc>
        <w:tc>
          <w:tcPr>
            <w:tcW w:type="dxa" w:w="1656"/>
          </w:tcPr>
          <w:p>
            <w:pPr>
              <w:spacing w:after="0"/>
            </w:pPr>
            <w:r/>
            <w:r>
              <w:rPr>
                <w:b w:val="0"/>
                <w:sz w:val="16"/>
              </w:rPr>
              <w:t>Conform to IO or better</w:t>
            </w:r>
          </w:p>
        </w:tc>
      </w:tr>
      <w:tr>
        <w:tc>
          <w:tcPr>
            <w:tcW w:type="dxa" w:w="1800"/>
          </w:tcPr>
          <w:p>
            <w:pPr>
              <w:spacing w:after="0"/>
            </w:pPr>
            <w:r/>
            <w:r>
              <w:rPr>
                <w:b w:val="0"/>
                <w:sz w:val="16"/>
              </w:rPr>
              <w:t>Budget approval standard</w:t>
            </w:r>
          </w:p>
        </w:tc>
        <w:tc>
          <w:tcPr>
            <w:tcW w:type="dxa" w:w="2664"/>
          </w:tcPr>
          <w:p>
            <w:pPr>
              <w:spacing w:after="0"/>
            </w:pPr>
            <w:r/>
            <w:r>
              <w:rPr>
                <w:b w:val="0"/>
                <w:sz w:val="16"/>
              </w:rPr>
              <w:t>Sole discretion (§ 5.01(k))</w:t>
            </w:r>
          </w:p>
        </w:tc>
        <w:tc>
          <w:tcPr>
            <w:tcW w:type="dxa" w:w="2088"/>
          </w:tcPr>
          <w:p>
            <w:pPr>
              <w:spacing w:after="0"/>
            </w:pPr>
            <w:r/>
            <w:r>
              <w:rPr>
                <w:b w:val="0"/>
                <w:sz w:val="16"/>
              </w:rPr>
              <w:t>Lender review and approval</w:t>
            </w:r>
          </w:p>
        </w:tc>
        <w:tc>
          <w:tcPr>
            <w:tcW w:type="dxa" w:w="2664"/>
          </w:tcPr>
          <w:p>
            <w:pPr>
              <w:spacing w:after="0"/>
            </w:pPr>
            <w:r/>
            <w:r>
              <w:rPr>
                <w:b w:val="0"/>
                <w:sz w:val="16"/>
              </w:rPr>
              <w:t>Not unreasonably withheld (¶ 7(c))</w:t>
            </w:r>
          </w:p>
        </w:tc>
        <w:tc>
          <w:tcPr>
            <w:tcW w:type="dxa" w:w="2664"/>
          </w:tcPr>
          <w:p>
            <w:pPr>
              <w:spacing w:after="0"/>
            </w:pPr>
            <w:r/>
            <w:r>
              <w:rPr>
                <w:b w:val="0"/>
                <w:sz w:val="16"/>
              </w:rPr>
              <w:t>—</w:t>
            </w:r>
          </w:p>
        </w:tc>
        <w:tc>
          <w:tcPr>
            <w:tcW w:type="dxa" w:w="1656"/>
          </w:tcPr>
          <w:p>
            <w:pPr>
              <w:spacing w:after="0"/>
            </w:pPr>
            <w:r/>
            <w:r>
              <w:rPr>
                <w:b w:val="0"/>
                <w:sz w:val="16"/>
              </w:rPr>
              <w:t>Conform to IO</w:t>
            </w:r>
          </w:p>
        </w:tc>
      </w:tr>
      <w:tr>
        <w:tc>
          <w:tcPr>
            <w:tcW w:type="dxa" w:w="1800"/>
          </w:tcPr>
          <w:p>
            <w:pPr>
              <w:spacing w:after="0"/>
            </w:pPr>
            <w:r/>
            <w:r>
              <w:rPr>
                <w:b w:val="0"/>
                <w:sz w:val="16"/>
              </w:rPr>
              <w:t>Milestone extensions</w:t>
            </w:r>
          </w:p>
        </w:tc>
        <w:tc>
          <w:tcPr>
            <w:tcW w:type="dxa" w:w="2664"/>
          </w:tcPr>
          <w:p>
            <w:pPr>
              <w:spacing w:after="0"/>
            </w:pPr>
            <w:r/>
            <w:r>
              <w:rPr>
                <w:b w:val="0"/>
                <w:sz w:val="16"/>
              </w:rPr>
              <w:t>Lender sole discretion only</w:t>
            </w:r>
          </w:p>
        </w:tc>
        <w:tc>
          <w:tcPr>
            <w:tcW w:type="dxa" w:w="2088"/>
          </w:tcPr>
          <w:p>
            <w:pPr>
              <w:spacing w:after="0"/>
            </w:pPr>
            <w:r/>
            <w:r>
              <w:rPr>
                <w:b w:val="0"/>
                <w:sz w:val="16"/>
              </w:rPr>
              <w:t>Lender sole discretion; Committee views irrelevant</w:t>
            </w:r>
          </w:p>
        </w:tc>
        <w:tc>
          <w:tcPr>
            <w:tcW w:type="dxa" w:w="2664"/>
          </w:tcPr>
          <w:p>
            <w:pPr>
              <w:spacing w:after="0"/>
            </w:pPr>
            <w:r/>
            <w:r>
              <w:rPr>
                <w:b w:val="0"/>
                <w:sz w:val="16"/>
              </w:rPr>
              <w:t>Lender consent or court order (¶ 13)</w:t>
            </w:r>
          </w:p>
        </w:tc>
        <w:tc>
          <w:tcPr>
            <w:tcW w:type="dxa" w:w="2664"/>
          </w:tcPr>
          <w:p>
            <w:pPr>
              <w:spacing w:after="0"/>
            </w:pPr>
            <w:r/>
            <w:r>
              <w:rPr>
                <w:b w:val="0"/>
                <w:sz w:val="16"/>
              </w:rPr>
              <w:t>—</w:t>
            </w:r>
          </w:p>
        </w:tc>
        <w:tc>
          <w:tcPr>
            <w:tcW w:type="dxa" w:w="1656"/>
          </w:tcPr>
          <w:p>
            <w:pPr>
              <w:spacing w:after="0"/>
            </w:pPr>
            <w:r/>
            <w:r>
              <w:rPr>
                <w:b w:val="0"/>
                <w:sz w:val="16"/>
              </w:rPr>
              <w:t>Conform to IO</w:t>
            </w:r>
          </w:p>
        </w:tc>
      </w:tr>
      <w:tr>
        <w:tc>
          <w:tcPr>
            <w:tcW w:type="dxa" w:w="1800"/>
          </w:tcPr>
          <w:p>
            <w:pPr>
              <w:spacing w:after="0"/>
            </w:pPr>
            <w:r/>
            <w:r>
              <w:rPr>
                <w:b w:val="0"/>
                <w:sz w:val="16"/>
              </w:rPr>
              <w:t>Remedies notice</w:t>
            </w:r>
          </w:p>
        </w:tc>
        <w:tc>
          <w:tcPr>
            <w:tcW w:type="dxa" w:w="2664"/>
          </w:tcPr>
          <w:p>
            <w:pPr>
              <w:spacing w:after="0"/>
            </w:pPr>
            <w:r/>
            <w:r>
              <w:rPr>
                <w:b w:val="0"/>
                <w:sz w:val="16"/>
              </w:rPr>
              <w:t>5 BD after acceleration; to Borrower; payroll/utilities/insurance only</w:t>
            </w:r>
          </w:p>
        </w:tc>
        <w:tc>
          <w:tcPr>
            <w:tcW w:type="dxa" w:w="2088"/>
          </w:tcPr>
          <w:p>
            <w:pPr>
              <w:spacing w:after="0"/>
            </w:pPr>
            <w:r/>
            <w:r>
              <w:rPr>
                <w:b w:val="0"/>
                <w:sz w:val="16"/>
              </w:rPr>
              <w:t>5 BD; court may not condition remedies</w:t>
            </w:r>
          </w:p>
        </w:tc>
        <w:tc>
          <w:tcPr>
            <w:tcW w:type="dxa" w:w="2664"/>
          </w:tcPr>
          <w:p>
            <w:pPr>
              <w:spacing w:after="0"/>
            </w:pPr>
            <w:r/>
            <w:r>
              <w:rPr>
                <w:b w:val="0"/>
                <w:sz w:val="16"/>
              </w:rPr>
              <w:t>5 BD; to Debtor, counsel, U.S. Trustee, Committee; ordinary-course cash use per Budget</w:t>
            </w:r>
          </w:p>
        </w:tc>
        <w:tc>
          <w:tcPr>
            <w:tcW w:type="dxa" w:w="2664"/>
          </w:tcPr>
          <w:p>
            <w:pPr>
              <w:spacing w:after="0"/>
            </w:pPr>
            <w:r/>
            <w:r>
              <w:rPr>
                <w:b w:val="0"/>
                <w:sz w:val="16"/>
              </w:rPr>
              <w:t>—</w:t>
            </w:r>
          </w:p>
        </w:tc>
        <w:tc>
          <w:tcPr>
            <w:tcW w:type="dxa" w:w="1656"/>
          </w:tcPr>
          <w:p>
            <w:pPr>
              <w:spacing w:after="0"/>
            </w:pPr>
            <w:r/>
            <w:r>
              <w:rPr>
                <w:b w:val="0"/>
                <w:sz w:val="16"/>
              </w:rPr>
              <w:t>Conform to IO</w:t>
            </w:r>
          </w:p>
        </w:tc>
      </w:tr>
      <w:tr>
        <w:tc>
          <w:tcPr>
            <w:tcW w:type="dxa" w:w="1800"/>
          </w:tcPr>
          <w:p>
            <w:pPr>
              <w:spacing w:after="0"/>
            </w:pPr>
            <w:r/>
            <w:r>
              <w:rPr>
                <w:b w:val="0"/>
                <w:sz w:val="16"/>
              </w:rPr>
              <w:t>Capex covenant</w:t>
            </w:r>
          </w:p>
        </w:tc>
        <w:tc>
          <w:tcPr>
            <w:tcW w:type="dxa" w:w="2664"/>
          </w:tcPr>
          <w:p>
            <w:pPr>
              <w:spacing w:after="0"/>
            </w:pPr>
            <w:r/>
            <w:r>
              <w:rPr>
                <w:b w:val="0"/>
                <w:sz w:val="16"/>
              </w:rPr>
              <w:t>$750K for entire term</w:t>
            </w:r>
          </w:p>
        </w:tc>
        <w:tc>
          <w:tcPr>
            <w:tcW w:type="dxa" w:w="2088"/>
          </w:tcPr>
          <w:p>
            <w:pPr>
              <w:spacing w:after="0"/>
            </w:pPr>
            <w:r/>
            <w:r>
              <w:rPr>
                <w:b w:val="0"/>
                <w:sz w:val="16"/>
              </w:rPr>
              <w:t>$750K per 13-week period</w:t>
            </w:r>
          </w:p>
        </w:tc>
        <w:tc>
          <w:tcPr>
            <w:tcW w:type="dxa" w:w="2664"/>
          </w:tcPr>
          <w:p>
            <w:pPr>
              <w:spacing w:after="0"/>
            </w:pPr>
            <w:r/>
            <w:r>
              <w:rPr>
                <w:b w:val="0"/>
                <w:sz w:val="16"/>
              </w:rPr>
              <w:t>n/a</w:t>
            </w:r>
          </w:p>
        </w:tc>
        <w:tc>
          <w:tcPr>
            <w:tcW w:type="dxa" w:w="2664"/>
          </w:tcPr>
          <w:p>
            <w:pPr>
              <w:spacing w:after="0"/>
            </w:pPr>
            <w:r/>
            <w:r>
              <w:rPr>
                <w:b w:val="0"/>
                <w:sz w:val="16"/>
              </w:rPr>
              <w:t>Budget spends $750K in Weeks 5–10</w:t>
            </w:r>
          </w:p>
        </w:tc>
        <w:tc>
          <w:tcPr>
            <w:tcW w:type="dxa" w:w="1656"/>
          </w:tcPr>
          <w:p>
            <w:pPr>
              <w:spacing w:after="0"/>
            </w:pPr>
            <w:r/>
            <w:r>
              <w:rPr>
                <w:b w:val="0"/>
                <w:sz w:val="16"/>
              </w:rPr>
              <w:t>Conform to TS</w:t>
            </w:r>
          </w:p>
        </w:tc>
      </w:tr>
      <w:tr>
        <w:tc>
          <w:tcPr>
            <w:tcW w:type="dxa" w:w="1800"/>
          </w:tcPr>
          <w:p>
            <w:pPr>
              <w:spacing w:after="0"/>
            </w:pPr>
            <w:r/>
            <w:r>
              <w:rPr>
                <w:b w:val="0"/>
                <w:sz w:val="16"/>
              </w:rPr>
              <w:t>Stalking horse protections payable</w:t>
            </w:r>
          </w:p>
        </w:tc>
        <w:tc>
          <w:tcPr>
            <w:tcW w:type="dxa" w:w="2664"/>
          </w:tcPr>
          <w:p>
            <w:pPr>
              <w:spacing w:after="0"/>
            </w:pPr>
            <w:r/>
            <w:r>
              <w:rPr>
                <w:b w:val="0"/>
                <w:sz w:val="16"/>
              </w:rPr>
              <w:t>From proceeds of higher bid consummated</w:t>
            </w:r>
          </w:p>
        </w:tc>
        <w:tc>
          <w:tcPr>
            <w:tcW w:type="dxa" w:w="2088"/>
          </w:tcPr>
          <w:p>
            <w:pPr>
              <w:spacing w:after="0"/>
            </w:pPr>
            <w:r/>
            <w:r>
              <w:rPr>
                <w:b w:val="0"/>
                <w:sz w:val="16"/>
              </w:rPr>
              <w:t>If outbid; expense reimbursement regardless</w:t>
            </w:r>
          </w:p>
        </w:tc>
        <w:tc>
          <w:tcPr>
            <w:tcW w:type="dxa" w:w="2664"/>
          </w:tcPr>
          <w:p>
            <w:pPr>
              <w:spacing w:after="0"/>
            </w:pPr>
            <w:r/>
            <w:r>
              <w:rPr>
                <w:b w:val="0"/>
                <w:sz w:val="16"/>
              </w:rPr>
              <w:t>n/a</w:t>
            </w:r>
          </w:p>
        </w:tc>
        <w:tc>
          <w:tcPr>
            <w:tcW w:type="dxa" w:w="2664"/>
          </w:tcPr>
          <w:p>
            <w:pPr>
              <w:spacing w:after="0"/>
            </w:pPr>
            <w:r/>
            <w:r>
              <w:rPr>
                <w:b w:val="0"/>
                <w:sz w:val="16"/>
              </w:rPr>
              <w:t>Holt: if a higher or better bid is selected</w:t>
            </w:r>
          </w:p>
        </w:tc>
        <w:tc>
          <w:tcPr>
            <w:tcW w:type="dxa" w:w="1656"/>
          </w:tcPr>
          <w:p>
            <w:pPr>
              <w:spacing w:after="0"/>
            </w:pPr>
            <w:r/>
            <w:r>
              <w:rPr>
                <w:b w:val="0"/>
                <w:sz w:val="16"/>
              </w:rPr>
              <w:t>Delete or conform</w:t>
            </w:r>
          </w:p>
        </w:tc>
      </w:tr>
      <w:tr>
        <w:tc>
          <w:tcPr>
            <w:tcW w:type="dxa" w:w="1800"/>
          </w:tcPr>
          <w:p>
            <w:pPr>
              <w:spacing w:after="0"/>
            </w:pPr>
            <w:r/>
            <w:r>
              <w:rPr>
                <w:b w:val="0"/>
                <w:sz w:val="16"/>
              </w:rPr>
              <w:t>Facility locations</w:t>
            </w:r>
          </w:p>
        </w:tc>
        <w:tc>
          <w:tcPr>
            <w:tcW w:type="dxa" w:w="2664"/>
          </w:tcPr>
          <w:p>
            <w:pPr>
              <w:spacing w:after="0"/>
            </w:pPr>
            <w:r/>
            <w:r>
              <w:rPr>
                <w:b w:val="0"/>
                <w:sz w:val="16"/>
              </w:rPr>
              <w:t>Youngstown, Houston, Pittsburgh, Akron</w:t>
            </w:r>
          </w:p>
        </w:tc>
        <w:tc>
          <w:tcPr>
            <w:tcW w:type="dxa" w:w="2088"/>
          </w:tcPr>
          <w:p>
            <w:pPr>
              <w:spacing w:after="0"/>
            </w:pPr>
            <w:r/>
            <w:r>
              <w:rPr>
                <w:b w:val="0"/>
                <w:sz w:val="16"/>
              </w:rPr>
              <w:t>OH, TX, PA, TN</w:t>
            </w:r>
          </w:p>
        </w:tc>
        <w:tc>
          <w:tcPr>
            <w:tcW w:type="dxa" w:w="2664"/>
          </w:tcPr>
          <w:p>
            <w:pPr>
              <w:spacing w:after="0"/>
            </w:pPr>
            <w:r/>
            <w:r>
              <w:rPr>
                <w:b w:val="0"/>
                <w:sz w:val="16"/>
              </w:rPr>
              <w:t>OH, TX, PA</w:t>
            </w:r>
          </w:p>
        </w:tc>
        <w:tc>
          <w:tcPr>
            <w:tcW w:type="dxa" w:w="2664"/>
          </w:tcPr>
          <w:p>
            <w:pPr>
              <w:spacing w:after="0"/>
            </w:pPr>
            <w:r/>
            <w:r>
              <w:rPr>
                <w:b w:val="0"/>
                <w:sz w:val="16"/>
              </w:rPr>
              <w:t>Holt: Youngstown, Canton, Houston, Erie; Budget: Pittsburgh capex</w:t>
            </w:r>
          </w:p>
        </w:tc>
        <w:tc>
          <w:tcPr>
            <w:tcW w:type="dxa" w:w="1656"/>
          </w:tcPr>
          <w:p>
            <w:pPr>
              <w:spacing w:after="0"/>
            </w:pPr>
            <w:r/>
            <w:r>
              <w:rPr>
                <w:b w:val="0"/>
                <w:sz w:val="16"/>
              </w:rPr>
              <w:t>Diligence</w:t>
            </w:r>
          </w:p>
        </w:tc>
      </w:tr>
      <w:tr>
        <w:tc>
          <w:tcPr>
            <w:tcW w:type="dxa" w:w="1800"/>
          </w:tcPr>
          <w:p>
            <w:pPr>
              <w:spacing w:after="0"/>
            </w:pPr>
            <w:r/>
            <w:r>
              <w:rPr>
                <w:b w:val="0"/>
                <w:sz w:val="16"/>
              </w:rPr>
              <w:t>EINs</w:t>
            </w:r>
          </w:p>
        </w:tc>
        <w:tc>
          <w:tcPr>
            <w:tcW w:type="dxa" w:w="2664"/>
          </w:tcPr>
          <w:p>
            <w:pPr>
              <w:spacing w:after="0"/>
            </w:pPr>
            <w:r/>
            <w:r>
              <w:rPr>
                <w:b w:val="0"/>
                <w:sz w:val="16"/>
              </w:rPr>
              <w:t>Borrower 34-2198456; subs 31-4782901, 76-3298145, 25-6871034</w:t>
            </w:r>
          </w:p>
        </w:tc>
        <w:tc>
          <w:tcPr>
            <w:tcW w:type="dxa" w:w="2088"/>
          </w:tcPr>
          <w:p>
            <w:pPr>
              <w:spacing w:after="0"/>
            </w:pPr>
            <w:r/>
            <w:r>
              <w:rPr>
                <w:b w:val="0"/>
                <w:sz w:val="16"/>
              </w:rPr>
              <w:t>—</w:t>
            </w:r>
          </w:p>
        </w:tc>
        <w:tc>
          <w:tcPr>
            <w:tcW w:type="dxa" w:w="2664"/>
          </w:tcPr>
          <w:p>
            <w:pPr>
              <w:spacing w:after="0"/>
            </w:pPr>
            <w:r/>
            <w:r>
              <w:rPr>
                <w:b w:val="0"/>
                <w:sz w:val="16"/>
              </w:rPr>
              <w:t>—</w:t>
            </w:r>
          </w:p>
        </w:tc>
        <w:tc>
          <w:tcPr>
            <w:tcW w:type="dxa" w:w="2664"/>
          </w:tcPr>
          <w:p>
            <w:pPr>
              <w:spacing w:after="0"/>
            </w:pPr>
            <w:r/>
            <w:r>
              <w:rPr>
                <w:b w:val="0"/>
                <w:sz w:val="16"/>
              </w:rPr>
              <w:t>Holt n.1: 4718, 8823, 5541, 0192</w:t>
            </w:r>
          </w:p>
        </w:tc>
        <w:tc>
          <w:tcPr>
            <w:tcW w:type="dxa" w:w="1656"/>
          </w:tcPr>
          <w:p>
            <w:pPr>
              <w:spacing w:after="0"/>
            </w:pPr>
            <w:r/>
            <w:r>
              <w:rPr>
                <w:b w:val="0"/>
                <w:sz w:val="16"/>
              </w:rPr>
              <w:t>Reconcile with petitions</w:t>
            </w:r>
          </w:p>
        </w:tc>
      </w:tr>
      <w:tr>
        <w:tc>
          <w:tcPr>
            <w:tcW w:type="dxa" w:w="1800"/>
          </w:tcPr>
          <w:p>
            <w:pPr>
              <w:spacing w:after="0"/>
            </w:pPr>
            <w:r/>
            <w:r>
              <w:rPr>
                <w:b w:val="0"/>
                <w:sz w:val="16"/>
              </w:rPr>
              <w:t>Total disbursements / burn</w:t>
            </w:r>
          </w:p>
        </w:tc>
        <w:tc>
          <w:tcPr>
            <w:tcW w:type="dxa" w:w="2664"/>
          </w:tcPr>
          <w:p>
            <w:pPr>
              <w:spacing w:after="0"/>
            </w:pPr>
            <w:r/>
            <w:r>
              <w:rPr>
                <w:b w:val="0"/>
                <w:sz w:val="16"/>
              </w:rPr>
              <w:t>$56.4M / $3.6M</w:t>
            </w:r>
          </w:p>
        </w:tc>
        <w:tc>
          <w:tcPr>
            <w:tcW w:type="dxa" w:w="2088"/>
          </w:tcPr>
          <w:p>
            <w:pPr>
              <w:spacing w:after="0"/>
            </w:pPr>
            <w:r/>
            <w:r>
              <w:rPr>
                <w:b w:val="0"/>
                <w:sz w:val="16"/>
              </w:rPr>
              <w:t>—</w:t>
            </w:r>
          </w:p>
        </w:tc>
        <w:tc>
          <w:tcPr>
            <w:tcW w:type="dxa" w:w="2664"/>
          </w:tcPr>
          <w:p>
            <w:pPr>
              <w:spacing w:after="0"/>
            </w:pPr>
            <w:r/>
            <w:r>
              <w:rPr>
                <w:b w:val="0"/>
                <w:sz w:val="16"/>
              </w:rPr>
              <w:t>$56.4M / $3.6M</w:t>
            </w:r>
          </w:p>
        </w:tc>
        <w:tc>
          <w:tcPr>
            <w:tcW w:type="dxa" w:w="2664"/>
          </w:tcPr>
          <w:p>
            <w:pPr>
              <w:spacing w:after="0"/>
            </w:pPr>
            <w:r/>
            <w:r>
              <w:rPr>
                <w:b w:val="0"/>
                <w:sz w:val="16"/>
              </w:rPr>
              <w:t>Holt: same; Budget weekly detail foots to $57.4M / $4.6M</w:t>
            </w:r>
          </w:p>
        </w:tc>
        <w:tc>
          <w:tcPr>
            <w:tcW w:type="dxa" w:w="1656"/>
          </w:tcPr>
          <w:p>
            <w:pPr>
              <w:spacing w:after="0"/>
            </w:pPr>
            <w:r/>
            <w:r>
              <w:rPr>
                <w:b w:val="0"/>
                <w:sz w:val="16"/>
              </w:rPr>
              <w:t>Re-issue budget</w:t>
            </w:r>
          </w:p>
        </w:tc>
      </w:tr>
      <w:tr>
        <w:tc>
          <w:tcPr>
            <w:tcW w:type="dxa" w:w="1800"/>
          </w:tcPr>
          <w:p>
            <w:pPr>
              <w:spacing w:after="0"/>
            </w:pPr>
            <w:r/>
            <w:r>
              <w:rPr>
                <w:b w:val="0"/>
                <w:sz w:val="16"/>
              </w:rPr>
              <w:t>Counsel notice addresses</w:t>
            </w:r>
          </w:p>
        </w:tc>
        <w:tc>
          <w:tcPr>
            <w:tcW w:type="dxa" w:w="2664"/>
          </w:tcPr>
          <w:p>
            <w:pPr>
              <w:spacing w:after="0"/>
            </w:pPr>
            <w:r/>
            <w:r>
              <w:rPr>
                <w:b w:val="0"/>
                <w:sz w:val="16"/>
              </w:rPr>
              <w:t>Pendleton Howe: 1211 Ave. of the Americas, 34th Fl.; Whitfield &amp; Crane: 405 Park Ave., NY</w:t>
            </w:r>
          </w:p>
        </w:tc>
        <w:tc>
          <w:tcPr>
            <w:tcW w:type="dxa" w:w="2088"/>
          </w:tcPr>
          <w:p>
            <w:pPr>
              <w:spacing w:after="0"/>
            </w:pPr>
            <w:r/>
            <w:r>
              <w:rPr>
                <w:b w:val="0"/>
                <w:sz w:val="16"/>
              </w:rPr>
              <w:t>Pendleton Howe tel. (212) 554-8800</w:t>
            </w:r>
          </w:p>
        </w:tc>
        <w:tc>
          <w:tcPr>
            <w:tcW w:type="dxa" w:w="2664"/>
          </w:tcPr>
          <w:p>
            <w:pPr>
              <w:spacing w:after="0"/>
            </w:pPr>
            <w:r/>
            <w:r>
              <w:rPr>
                <w:b w:val="0"/>
                <w:sz w:val="16"/>
              </w:rPr>
              <w:t>Pendleton Howe: 610 Lexington Ave., 23rd Fl.; Whitfield &amp; Crane: 1201 N. Market St., Wilmington</w:t>
            </w:r>
          </w:p>
        </w:tc>
        <w:tc>
          <w:tcPr>
            <w:tcW w:type="dxa" w:w="2664"/>
          </w:tcPr>
          <w:p>
            <w:pPr>
              <w:spacing w:after="0"/>
            </w:pPr>
            <w:r/>
            <w:r>
              <w:rPr>
                <w:b w:val="0"/>
                <w:sz w:val="16"/>
              </w:rPr>
              <w:t>2L CA: Ironclad email domain ironcladcp.com (CA: ironcladcapital.com)</w:t>
            </w:r>
          </w:p>
        </w:tc>
        <w:tc>
          <w:tcPr>
            <w:tcW w:type="dxa" w:w="1656"/>
          </w:tcPr>
          <w:p>
            <w:pPr>
              <w:spacing w:after="0"/>
            </w:pPr>
            <w:r/>
            <w:r>
              <w:rPr>
                <w:b w:val="0"/>
                <w:sz w:val="16"/>
              </w:rPr>
              <w:t>Conform notice provisions</w:t>
            </w:r>
          </w:p>
        </w:tc>
      </w:tr>
    </w:tbl>
    <w:p>
      <w:pPr>
        <w:sectPr>
          <w:pgSz w:w="15840" w:h="12240" w:orient="landscape"/>
          <w:pgMar w:top="1440" w:right="1008" w:bottom="1440" w:left="1008" w:header="720" w:footer="720" w:gutter="0"/>
          <w:cols w:space="720"/>
          <w:docGrid w:linePitch="360"/>
        </w:sectPr>
      </w:pPr>
    </w:p>
    <w:p>
      <w:pPr>
        <w:pStyle w:val="Heading1"/>
      </w:pPr>
      <w:r>
        <w:t>VII. Open Factual Items to Confirm</w:t>
      </w:r>
    </w:p>
    <w:p>
      <w:pPr>
        <w:pStyle w:val="ListBullet"/>
      </w:pPr>
      <w:r>
        <w:t>Whether the subsidiaries are debtors (the documents conflict). This affects every lien, guaranty and superpriority provision.</w:t>
      </w:r>
    </w:p>
    <w:p>
      <w:pPr>
        <w:pStyle w:val="ListBullet"/>
      </w:pPr>
      <w:r>
        <w:t>Whether Hollcroft has consented, or will consent, to priming and to the roll-up, and the terms of the Intercreditor Agreement (not produced).</w:t>
      </w:r>
    </w:p>
    <w:p>
      <w:pPr>
        <w:pStyle w:val="ListBullet"/>
      </w:pPr>
      <w:r>
        <w:t>Collateral value and equity cushion for the first and second liens. There is no valuation in the record.</w:t>
      </w:r>
    </w:p>
    <w:p>
      <w:pPr>
        <w:pStyle w:val="ListBullet"/>
      </w:pPr>
      <w:r>
        <w:t>Accrued and unpaid second-lien interest as of the Petition Date (Schedule 2 shows none).</w:t>
      </w:r>
    </w:p>
    <w:p>
      <w:pPr>
        <w:pStyle w:val="ListBullet"/>
      </w:pPr>
      <w:r>
        <w:t>The actual facility footprint (owned versus leased) for the § 4.06 representation and the mortgages.</w:t>
      </w:r>
    </w:p>
    <w:p>
      <w:pPr>
        <w:pStyle w:val="ListBullet"/>
      </w:pPr>
      <w:r>
        <w:t>Whether the Upfront Fee was paid at the Interim Order from the Week 1 draw, and whether any Agent Fee was paid in advance contrary to the Interim Order.</w:t>
      </w:r>
    </w:p>
    <w:p>
      <w:pPr>
        <w:pStyle w:val="Heading1"/>
      </w:pPr>
      <w:r>
        <w:t>VIII. Recommended Next Steps</w:t>
      </w:r>
    </w:p>
    <w:p>
      <w:pPr>
        <w:pStyle w:val="ListNumber2"/>
      </w:pPr>
      <w:r>
        <w:t>Before April 11 (objection deadline): confirm from the docket which entities filed, and obtain the Intercreditor Agreement, the full 2L CA, the Register and second-lien perfection materials. Have Stonebridge and Hartwell re-foot and re-issue the Budget.</w:t>
      </w:r>
    </w:p>
    <w:p>
      <w:pPr>
        <w:pStyle w:val="ListNumber2"/>
      </w:pPr>
      <w:r>
        <w:t>Open discussions with Hollcroft and the minority second-lien lenders. Their consent, or their objections, will decide the roll-up and the priming fight. Offer pro rata adequate protection to all second-lien lenders.</w:t>
      </w:r>
    </w:p>
    <w:p>
      <w:pPr>
        <w:pStyle w:val="ListNumber2"/>
      </w:pPr>
      <w:r>
        <w:t>Deliver a markup of the DIP Agreement and proposed Final Order covering, in priority order: (1) entity and party structure; (2) roll-up size, pro rata treatment and unwind; (3) challenge period (60/75 days, any-party standing, tolling) and narrowing of the stipulation and release; (4) fee base on new money only, Exit Fee limits, Agent Fee; (5) lender fee review procedure and Carve-Out conformity plus investigation budget; (6) deletion of the stalking-horse mandate, credit-bid limits and § 7.01(s); (7) Event of Default and remedies clean-up; (8) avoidance-action and waiver carve-backs; (9) conforming and drafting fixes.</w:t>
      </w:r>
    </w:p>
    <w:p>
      <w:pPr>
        <w:pStyle w:val="ListNumber2"/>
      </w:pPr>
      <w:r>
        <w:t>Build the evidentiary record for the Final Hearing: declarations from Stonebridge (marketing process) and the CRO (need, budget, business judgment), and valuation evidence on adequate protection.</w:t>
      </w:r>
    </w:p>
    <w:p>
      <w:pPr>
        <w:pStyle w:val="ListNumber2"/>
      </w:pPr>
      <w:r>
        <w:t>Ask Ironclad to move the Final Order milestone to at least 14 days after the scheduled Final Hearing, so that a continuance is not an Event of Default.</w:t>
      </w:r>
    </w:p>
    <w:p>
      <w:pPr>
        <w:pStyle w:val="ListNumber2"/>
      </w:pPr>
      <w:r>
        <w:t>Anticipate objections from the U.S. Trustee (lender fees, Carve-Out, waivers) and the Committee (roll-up, challenge period, avoidance liens, sale controls), and decide which points the Debtor will concede in advance to protect plan and sale flexibility.</w:t>
      </w:r>
    </w:p>
    <w:p/>
    <w:p>
      <w:r>
        <w:rPr>
          <w:i/>
        </w:rPr>
        <w:t>This memorandum is based only on the six documents listed in Part I. The 2L CA was produced only in excerpts, and the Intercreditor Agreement, the First Lien Credit Agreement, the DIP Motion and the docket were not available. Conclusions that depend on those documents are flagged as open items. Case and rule citations are for orientation and should be cite-checked before any filing.</w:t>
      </w:r>
    </w:p>
    <w:sectPr w:rsidR="00FC693F" w:rsidRPr="0006063C" w:rsidSect="00034616">
      <w:pgSz w:w="15840" w:h="122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Privileged &amp; Confidential – Attorney Work Product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cs="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cs="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cs="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