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8"/>
        </w:rPr>
        <w:t>PRIVILEGED &amp; CONFIDENTIAL  |  ATTORNEY WORK PRODUCT  |  DRAFT FOR DISCUSSION</w:t>
      </w:r>
    </w:p>
    <w:p>
      <w:pPr>
        <w:spacing w:after="40"/>
        <w:jc w:val="center"/>
      </w:pPr>
      <w:r>
        <w:rPr>
          <w:b/>
          <w:i w:val="0"/>
          <w:sz w:val="36"/>
        </w:rPr>
        <w:t>S-3 DEVIATION REPORT</w:t>
      </w:r>
    </w:p>
    <w:p>
      <w:pPr>
        <w:spacing w:after="200"/>
        <w:jc w:val="center"/>
      </w:pPr>
      <w:r>
        <w:rPr>
          <w:b/>
          <w:i w:val="0"/>
          <w:sz w:val="22"/>
        </w:rPr>
        <w:t>Pinnacle Software Holdings, Inc. (Nasdaq: PNSL) — Draft Automatic Shelf Registration Statement on Form S-3 ($750,000,000 Universal Shelf)</w:t>
      </w:r>
    </w:p>
    <w:tbl>
      <w:tblPr>
        <w:tblStyle w:val="TableGrid"/>
        <w:tblW w:type="auto" w:w="0"/>
        <w:tblLook w:firstColumn="1" w:firstRow="1" w:lastColumn="0" w:lastRow="0" w:noHBand="0" w:noVBand="1" w:val="04A0"/>
      </w:tblPr>
      <w:tblGrid>
        <w:gridCol w:w="6912"/>
        <w:gridCol w:w="6912"/>
      </w:tblGrid>
      <w:tr>
        <w:tc>
          <w:tcPr>
            <w:tcW w:type="dxa" w:w="2448"/>
            <w:shd w:val="clear" w:color="auto" w:fill="DCE6F1"/>
          </w:tcPr>
          <w:p>
            <w:r/>
            <w:r>
              <w:rPr>
                <w:b/>
                <w:sz w:val="19"/>
              </w:rPr>
              <w:t>To</w:t>
            </w:r>
          </w:p>
        </w:tc>
        <w:tc>
          <w:tcPr>
            <w:tcW w:type="dxa" w:w="11376"/>
          </w:tcPr>
          <w:p>
            <w:r/>
            <w:r>
              <w:rPr>
                <w:sz w:val="19"/>
              </w:rPr>
              <w:t>Supervising Partner, Capital Markets</w:t>
            </w:r>
          </w:p>
        </w:tc>
      </w:tr>
      <w:tr>
        <w:tc>
          <w:tcPr>
            <w:tcW w:type="dxa" w:w="2448"/>
            <w:shd w:val="clear" w:color="auto" w:fill="DCE6F1"/>
          </w:tcPr>
          <w:p>
            <w:r/>
            <w:r>
              <w:rPr>
                <w:b/>
                <w:sz w:val="19"/>
              </w:rPr>
              <w:t>From</w:t>
            </w:r>
          </w:p>
        </w:tc>
        <w:tc>
          <w:tcPr>
            <w:tcW w:type="dxa" w:w="11376"/>
          </w:tcPr>
          <w:p>
            <w:r/>
            <w:r>
              <w:rPr>
                <w:sz w:val="19"/>
              </w:rPr>
              <w:t>Capital Markets Associate Team</w:t>
            </w:r>
          </w:p>
        </w:tc>
      </w:tr>
      <w:tr>
        <w:tc>
          <w:tcPr>
            <w:tcW w:type="dxa" w:w="2448"/>
            <w:shd w:val="clear" w:color="auto" w:fill="DCE6F1"/>
          </w:tcPr>
          <w:p>
            <w:r/>
            <w:r>
              <w:rPr>
                <w:b/>
                <w:sz w:val="19"/>
              </w:rPr>
              <w:t>Re</w:t>
            </w:r>
          </w:p>
        </w:tc>
        <w:tc>
          <w:tcPr>
            <w:tcW w:type="dxa" w:w="11376"/>
          </w:tcPr>
          <w:p>
            <w:r/>
            <w:r>
              <w:rPr>
                <w:sz w:val="19"/>
              </w:rPr>
              <w:t>Comparison of the draft Form S-3 against the FY2024 Form 10-K and the 2021 IPO Form S-1: inconsistencies, stale disclosure, omissions and SEC comment / liability risk</w:t>
            </w:r>
          </w:p>
        </w:tc>
      </w:tr>
      <w:tr>
        <w:tc>
          <w:tcPr>
            <w:tcW w:type="dxa" w:w="2448"/>
            <w:shd w:val="clear" w:color="auto" w:fill="DCE6F1"/>
          </w:tcPr>
          <w:p>
            <w:r/>
            <w:r>
              <w:rPr>
                <w:b/>
                <w:sz w:val="19"/>
              </w:rPr>
              <w:t>Documents reviewed</w:t>
            </w:r>
          </w:p>
        </w:tc>
        <w:tc>
          <w:tcPr>
            <w:tcW w:type="dxa" w:w="11376"/>
          </w:tcPr>
          <w:p>
            <w:r/>
            <w:r>
              <w:rPr>
                <w:sz w:val="19"/>
              </w:rPr>
              <w:t>(1) draft-s3-registration-statement.docx (the “Draft S-3”); (2) pinnacle-10k-fy2024.docx, Annual Report on Form 10-K for the fiscal year ended December 31, 2024 (the “10-K”); (3) pinnacle-s1-ipo-registration.docx, IPO Registration Statement on Form S-1 dated September 10, 2021 (the “S-1”). Each was read in full.</w:t>
            </w:r>
          </w:p>
        </w:tc>
      </w:tr>
      <w:tr>
        <w:tc>
          <w:tcPr>
            <w:tcW w:type="dxa" w:w="2448"/>
            <w:shd w:val="clear" w:color="auto" w:fill="DCE6F1"/>
          </w:tcPr>
          <w:p>
            <w:r/>
            <w:r>
              <w:rPr>
                <w:b/>
                <w:sz w:val="19"/>
              </w:rPr>
              <w:t>Bottom line</w:t>
            </w:r>
          </w:p>
        </w:tc>
        <w:tc>
          <w:tcPr>
            <w:tcW w:type="dxa" w:w="11376"/>
          </w:tcPr>
          <w:p>
            <w:r/>
            <w:r>
              <w:rPr>
                <w:sz w:val="19"/>
              </w:rPr>
              <w:t>The Draft S-3 is not in fileable form. It was built largely from the 2021 S-1 and was not brought down to the 10-K. We found 60+ deviations, including (i) a threshold question about Form S-3 / WKSI eligibility arising from the 10-K filing date, (ii) wrong state of incorporation and authorized share count, (iii) the wrong CFO, General Counsel, board and officer roster (including the wrong CFO signing as principal financial/accounting officer), (iv) a use-of-proceeds paragraph that describes repaying a bridge facility that was repaid in 2021, (v) misstated Veritech litigation exposure ($57.0M vs. $75.0M) and credit facility terms, and (vi) omission of the October 2024 cybersecurity incident, the DataForge acquisition and international operations. Part II of the registration statement (Items 14–17, including the Item 512 undertakings) is missing entirely.</w:t>
            </w:r>
          </w:p>
        </w:tc>
      </w:tr>
    </w:tbl>
    <w:p/>
    <w:p>
      <w:pPr>
        <w:pStyle w:val="Heading1"/>
      </w:pPr>
      <w:r>
        <w:t>1. Executive Summary and Priority Actions</w:t>
      </w:r>
    </w:p>
    <w:p>
      <w:pPr>
        <w:spacing w:after="120"/>
      </w:pPr>
      <w:r>
        <w:rPr>
          <w:b w:val="0"/>
          <w:i/>
          <w:sz w:val="18"/>
        </w:rPr>
        <w:t>Severity scale: Critical = filing/eligibility defect, or a materially false statement in the prospectus that creates Section 11 / 12(a)(2) / Rule 10b-5 exposure and must be fixed before filing; High = material inaccuracy or omission certain to draw SEC comment or diligence objection; Medium = stale or inconsistent disclosure to be conformed; Low = clean-up/drafting.</w:t>
      </w:r>
    </w:p>
    <w:p>
      <w:pPr>
        <w:spacing w:after="120"/>
      </w:pPr>
      <w:r>
        <w:rPr>
          <w:b w:val="0"/>
          <w:i w:val="0"/>
          <w:sz w:val="20"/>
        </w:rPr>
        <w:t>Because an automatic shelf registration statement becomes effective immediately on filing under Rule 462(e), there will be no SEC pre-effective review to catch these errors: the Draft S-3 will speak as of effectiveness (and again at each takedown under Rule 430B), and the issuer, its directors and signing officers, and any underwriters will carry Section 11 liability for its contents. The SEC staff can still review and comment after filing, and an automatic shelf with these deficiencies would be a strong candidate for a post-effective amendment request.</w:t>
      </w:r>
    </w:p>
    <w:p>
      <w:pPr>
        <w:pStyle w:val="Heading3"/>
      </w:pPr>
      <w:r>
        <w:t>Top-priority issues (must be resolved before filing)</w:t>
      </w:r>
    </w:p>
    <w:p>
      <w:pPr>
        <w:pStyle w:val="ListBullet"/>
        <w:spacing w:after="60"/>
      </w:pPr>
      <w:r>
        <w:rPr>
          <w:b/>
        </w:rPr>
        <w:t xml:space="preserve">Form S-3 / WKSI eligibility — 10-K timeliness. </w:t>
      </w:r>
      <w:r>
        <w:t>The Draft S-3 incorporates the 10-K as “filed with the SEC on March 3, 2025,” but the 10-K’s audit report (Redmond Clearwater LLP) and all 10-K signatures are dated March 28, 2025. A 10-K cannot be filed before its audit report is signed. March 3, 2025 was the 60-day deadline for a large accelerated filer (public float approx. $3.9 billion at June 30, 2024). If the 10-K was in fact filed on or around March 28, 2025, it was late even with a Rule 12b-25 extension (15 calendar days, to March 18, 2025). In that case the Company would fail General Instruction I.A.3(b) of Form S-3 (timely filing of all required reports in the prior 12 months), could not use Form S-3, and would not be a WKSI (Rule 405 requires the issuer to meet the I.A registrant requirements). Confirm the EDGAR acceptance date and any Form 12b-25 before anything else.</w:t>
      </w:r>
    </w:p>
    <w:p>
      <w:pPr>
        <w:pStyle w:val="ListBullet"/>
        <w:spacing w:after="60"/>
      </w:pPr>
      <w:r>
        <w:rPr>
          <w:b/>
        </w:rPr>
        <w:t xml:space="preserve">State of incorporation. </w:t>
      </w:r>
      <w:r>
        <w:t>Draft S-3 (Description of Capital Stock) says the Company “was incorporated in the State of Texas on June 12, 2014.” The cover page, 10-K (Item 1, MD&amp;A, Note 1) and S-1 (multiple places) all say Delaware. The same section relies on DGCL Section 203, so it also contradicts itself.</w:t>
      </w:r>
    </w:p>
    <w:p>
      <w:pPr>
        <w:pStyle w:val="ListBullet"/>
        <w:spacing w:after="60"/>
      </w:pPr>
      <w:r>
        <w:rPr>
          <w:b/>
        </w:rPr>
        <w:t xml:space="preserve">Authorized common stock. </w:t>
      </w:r>
      <w:r>
        <w:t>Draft S-3 says 150,000,000 authorized common shares. The 10-K (balance sheet, Note 6, Exhibit 4.1) and S-1 (Capitalization, Description of Capital Stock, Note 5) say 200,000,000.</w:t>
      </w:r>
    </w:p>
    <w:p>
      <w:pPr>
        <w:pStyle w:val="ListBullet"/>
        <w:spacing w:after="60"/>
      </w:pPr>
      <w:r>
        <w:rPr>
          <w:b/>
        </w:rPr>
        <w:t xml:space="preserve">Management, signatories and agent for service. </w:t>
      </w:r>
      <w:r>
        <w:t>The Draft S-3 names Thomas R. Wheeler as CFO and Amanda Reiss as General Counsel. It also lists James Okoro as an executive officer and omits two sitting directors. Per the 10-K, Jennifer Tsao-Park became CFO on March 6, 2023, Daniel K. Moretti became GC on January 15, 2024, Okoro left in June 2023, and Gregory T. Banks (February 2023) and Lisa M. Cortez (November 2023) joined the seven-member board. The signature page has the wrong principal financial and accounting officer (Section 6(a) requires the actual officer to sign). It also gives power of attorney to a former officer, and names a former employee as agent for service.</w:t>
      </w:r>
    </w:p>
    <w:p>
      <w:pPr>
        <w:pStyle w:val="ListBullet"/>
        <w:spacing w:after="60"/>
      </w:pPr>
      <w:r>
        <w:rPr>
          <w:b/>
        </w:rPr>
        <w:t xml:space="preserve">Use of proceeds. </w:t>
      </w:r>
      <w:r>
        <w:t>This paragraph was copied from the S-1. It describes repaying an $85.0 million bridge facility at “LIBOR plus 4.50%” maturing “December 31, 2021,” with an “As of [●], 2021” balance. Per the 10-K, the bridge facility was repaid and terminated at the September 2021 IPO. LIBOR ceased publication in June 2023.</w:t>
      </w:r>
    </w:p>
    <w:p>
      <w:pPr>
        <w:pStyle w:val="ListBullet"/>
        <w:spacing w:after="60"/>
      </w:pPr>
      <w:r>
        <w:rPr>
          <w:b/>
        </w:rPr>
        <w:t xml:space="preserve">Veritech litigation. </w:t>
      </w:r>
      <w:r>
        <w:t>The Draft S-3 states damages sought of $57.0 million in both the risk factor and Legal Proceedings. The 10-K (Item 1A, Item 3, Note 5) states $75.0 million plus injunctive relief, fees and costs. The Draft S-3 also adds a conclusion, not found in the 10-K, that the matter is not expected to have a material adverse effect, and that conclusion conflicts with the Draft S-3’s own risk factor.</w:t>
      </w:r>
    </w:p>
    <w:p>
      <w:pPr>
        <w:pStyle w:val="ListBullet"/>
        <w:spacing w:after="60"/>
      </w:pPr>
      <w:r>
        <w:rPr>
          <w:b/>
        </w:rPr>
        <w:t xml:space="preserve">Credit facility. </w:t>
      </w:r>
      <w:r>
        <w:t>The Draft S-3 describes a $350.0M facility with a $200.0M term loan maturing March 15, 2026. Per the 10-K (MD&amp;A, Note 4, Exhibit 10.1), it is a $400.0M facility with a $250.0M Term Loan B maturing March 15, 2027.</w:t>
      </w:r>
    </w:p>
    <w:p>
      <w:pPr>
        <w:pStyle w:val="ListBullet"/>
        <w:spacing w:after="60"/>
      </w:pPr>
      <w:r>
        <w:rPr>
          <w:b/>
        </w:rPr>
        <w:t xml:space="preserve">Material omissions. </w:t>
      </w:r>
      <w:r>
        <w:t>The Draft S-3 does not mention: the October 2024 cybersecurity incident (1,200 customer accounts, $4.2M of costs, Form 8-K of October 28, 2024); the $145.0M DataForge acquisition ($89.2M of goodwill); the AI/ML strategy; or the London and Singapore operations. Its customer-concentration risk factor contradicts the 10-K’s statement that no customer exceeded 2% of FY2024 revenue.</w:t>
      </w:r>
    </w:p>
    <w:p>
      <w:pPr>
        <w:pStyle w:val="ListBullet"/>
        <w:spacing w:after="60"/>
      </w:pPr>
      <w:r>
        <w:rPr>
          <w:b/>
        </w:rPr>
        <w:t xml:space="preserve">Part II omitted; indenture. </w:t>
      </w:r>
      <w:r>
        <w:t>Part II is missing: Item 14 (other expenses), Item 15 (indemnification), Item 16 (exhibits) and Item 17 (Item 512 undertakings, including the Rule 430B and Rule 415 undertakings required for a shelf). Exhibit 4.3 (form of indenture) is marked “to be filed by amendment.” That does not work for debt securities on an automatic shelf, because the indenture must be qualified under the Trust Indenture Act when the registration statement becomes effective. Only the Form T-1 may be filed later under TIA Section 305(b)(2).</w:t>
      </w:r>
    </w:p>
    <w:p>
      <w:pPr>
        <w:pStyle w:val="Heading3"/>
      </w:pPr>
      <w:r>
        <w:t>Recommended path</w:t>
      </w:r>
    </w:p>
    <w:p>
      <w:pPr>
        <w:pStyle w:val="ListBullet"/>
        <w:spacing w:after="60"/>
      </w:pPr>
      <w:r>
        <w:t>Hold the filing until the 10-K filing date and S-3/WKSI eligibility are confirmed (EDGAR acceptance record; any Form 12b-25; all Exchange Act reports for the prior 12 months).</w:t>
      </w:r>
    </w:p>
    <w:p>
      <w:pPr>
        <w:pStyle w:val="ListBullet"/>
        <w:spacing w:after="60"/>
      </w:pPr>
      <w:r>
        <w:t>Re-base the prospectus on the 10-K, the Q1 2025 Form 10-Q and the 2025 proxy statement rather than the S-1. In particular, we recommend deleting the stand-alone “Directors and Executive Officers,” “Legal Proceedings” and office/lease detail. Form S-3 does not require them (Items 401, 103 and 102 of Regulation S-K are satisfied by incorporation by reference), and repeating them in the base prospectus only creates a second, stale source of Section 11 liability. Where retained, conform them word-for-word to the latest Exchange Act reports.</w:t>
      </w:r>
    </w:p>
    <w:p>
      <w:pPr>
        <w:pStyle w:val="ListBullet"/>
        <w:spacing w:after="60"/>
      </w:pPr>
      <w:r>
        <w:t>Conform all capital-stock, debt and litigation facts to the 10-K and the underlying documents (charter, bylaws, Credit Agreement, complaint). Obtain officer back-up certificates/tick-marks for every number.</w:t>
      </w:r>
    </w:p>
    <w:p>
      <w:pPr>
        <w:pStyle w:val="ListBullet"/>
        <w:spacing w:after="60"/>
      </w:pPr>
      <w:r>
        <w:t>Add Part II, file the form(s) of indenture, correct the exhibit index and fee presentation, and replace the tax section (or remove it in favor of prospectus-supplement tax disclosure).</w:t>
      </w:r>
    </w:p>
    <w:p>
      <w:pPr>
        <w:pStyle w:val="ListBullet"/>
        <w:spacing w:after="60"/>
      </w:pPr>
      <w:r>
        <w:t>Bring down to the actual filing date: incorporate every Exchange Act report filed after the FY2024 year-end (including any later 10-Qs, the Item 5.07 8-K for the 2025 annual meeting, and any officer/director change 8-Ks). Confirm the SEC fee rate in effect on the filing date.</w:t>
      </w:r>
    </w:p>
    <w:p>
      <w:pPr>
        <w:pStyle w:val="Heading1"/>
      </w:pPr>
      <w:r>
        <w:t>2. Scope, Approach and Assumptions</w:t>
      </w:r>
    </w:p>
    <w:p>
      <w:pPr>
        <w:pStyle w:val="ListBullet"/>
        <w:spacing w:after="60"/>
      </w:pPr>
      <w:r>
        <w:t>We compared each section of the Draft S-3 (cover page, fee table, prospectus, signature page, exhibit index and Exhibit 107) line-by-line against the 10-K (the principal document incorporated by reference, which supersedes the S-1) and the S-1 (to identify text carried forward from the IPO that is now stale).</w:t>
      </w:r>
    </w:p>
    <w:p>
      <w:pPr>
        <w:pStyle w:val="ListBullet"/>
        <w:spacing w:after="60"/>
      </w:pPr>
      <w:r>
        <w:t>Where the 10-K and the S-1 differ, we treat the 10-K as the current baseline and the S-1 as historical. Where the 10-K itself appears internally inconsistent, or inconsistent with the S-1 in a way that matters to the shelf, we flag it separately in Section 9. Information in the 10-K will be incorporated into the S-3, and therefore carries Section 11 liability for the shelf.</w:t>
      </w:r>
    </w:p>
    <w:p>
      <w:pPr>
        <w:pStyle w:val="ListBullet"/>
        <w:spacing w:after="60"/>
      </w:pPr>
      <w:r>
        <w:t>We did not have the Q1 2025 Form 10-Q, the 2025 proxy statement, the 8-Ks listed for incorporation, the charter/bylaws, the Credit Agreement, the Form 8-A or EDGAR records. Items that depend on those documents are listed as diligence requests in Section 10.</w:t>
      </w:r>
    </w:p>
    <w:p>
      <w:pPr>
        <w:pStyle w:val="ListBullet"/>
        <w:spacing w:after="60"/>
      </w:pPr>
      <w:r>
        <w:t>Timing assumption: the Draft S-3 is dated “[●], 2025” and incorporates the Q1 2025 10-Q as the latest periodic report, so we assume a mid-2025 filing. If the filing date slips, the incorporation list, financial-statement currency (Rule 3-12 of Regulation S-X), share count, management information and SEC fee rate must all be refreshed (see item C-6).</w:t>
      </w:r>
    </w:p>
    <w:p>
      <w:pPr>
        <w:pStyle w:val="Heading1"/>
      </w:pPr>
      <w:r>
        <w:t>3. Threshold Issues: Form S-3 Eligibility, WKSI Status, Cover Page and Fees</w:t>
      </w:r>
    </w:p>
    <w:tbl>
      <w:tblPr>
        <w:tblStyle w:val="TableGrid"/>
        <w:tblW w:type="auto" w:w="0"/>
        <w:jc w:val="center"/>
        <w:tblLayout w:type="fixed"/>
        <w:tblLook w:firstColumn="1" w:firstRow="1" w:lastColumn="0" w:lastRow="0" w:noHBand="0" w:noVBand="1" w:val="04A0"/>
      </w:tblPr>
      <w:tblGrid>
        <w:gridCol w:w="2304"/>
        <w:gridCol w:w="2304"/>
        <w:gridCol w:w="2304"/>
        <w:gridCol w:w="2304"/>
        <w:gridCol w:w="2304"/>
        <w:gridCol w:w="2304"/>
      </w:tblGrid>
      <w:tr>
        <w:trPr>
          <w:tblHeader w:val="true"/>
        </w:trPr>
        <w:tc>
          <w:tcPr>
            <w:tcW w:type="dxa" w:w="648"/>
            <w:shd w:val="clear" w:color="auto" w:fill="1F3A5F"/>
          </w:tcPr>
          <w:p>
            <w:r/>
            <w:r>
              <w:rPr>
                <w:b/>
                <w:color w:val="FFFFFF"/>
                <w:sz w:val="17"/>
              </w:rPr>
              <w:t>#</w:t>
            </w:r>
          </w:p>
        </w:tc>
        <w:tc>
          <w:tcPr>
            <w:tcW w:type="dxa" w:w="2880"/>
            <w:shd w:val="clear" w:color="auto" w:fill="1F3A5F"/>
          </w:tcPr>
          <w:p>
            <w:r/>
            <w:r>
              <w:rPr>
                <w:b/>
                <w:color w:val="FFFFFF"/>
                <w:sz w:val="17"/>
              </w:rPr>
              <w:t>Draft S-3 location / text</w:t>
            </w:r>
          </w:p>
        </w:tc>
        <w:tc>
          <w:tcPr>
            <w:tcW w:type="dxa" w:w="2520"/>
            <w:shd w:val="clear" w:color="auto" w:fill="1F3A5F"/>
          </w:tcPr>
          <w:p>
            <w:r/>
            <w:r>
              <w:rPr>
                <w:b/>
                <w:color w:val="FFFFFF"/>
                <w:sz w:val="17"/>
              </w:rPr>
              <w:t>Comparison source</w:t>
            </w:r>
          </w:p>
        </w:tc>
        <w:tc>
          <w:tcPr>
            <w:tcW w:type="dxa" w:w="4392"/>
            <w:shd w:val="clear" w:color="auto" w:fill="1F3A5F"/>
          </w:tcPr>
          <w:p>
            <w:r/>
            <w:r>
              <w:rPr>
                <w:b/>
                <w:color w:val="FFFFFF"/>
                <w:sz w:val="17"/>
              </w:rPr>
              <w:t>Deviation / analysis</w:t>
            </w:r>
          </w:p>
        </w:tc>
        <w:tc>
          <w:tcPr>
            <w:tcW w:type="dxa" w:w="1008"/>
            <w:shd w:val="clear" w:color="auto" w:fill="1F3A5F"/>
          </w:tcPr>
          <w:p>
            <w:r/>
            <w:r>
              <w:rPr>
                <w:b/>
                <w:color w:val="FFFFFF"/>
                <w:sz w:val="17"/>
              </w:rPr>
              <w:t>Severity</w:t>
            </w:r>
          </w:p>
        </w:tc>
        <w:tc>
          <w:tcPr>
            <w:tcW w:type="dxa" w:w="2376"/>
            <w:shd w:val="clear" w:color="auto" w:fill="1F3A5F"/>
          </w:tcPr>
          <w:p>
            <w:r/>
            <w:r>
              <w:rPr>
                <w:b/>
                <w:color w:val="FFFFFF"/>
                <w:sz w:val="17"/>
              </w:rPr>
              <w:t>Recommended action</w:t>
            </w:r>
          </w:p>
        </w:tc>
      </w:tr>
      <w:tr>
        <w:tc>
          <w:tcPr>
            <w:tcW w:type="dxa" w:w="648"/>
          </w:tcPr>
          <w:p>
            <w:r/>
            <w:r>
              <w:rPr>
                <w:b/>
                <w:sz w:val="17"/>
              </w:rPr>
              <w:t>A-1</w:t>
            </w:r>
          </w:p>
        </w:tc>
        <w:tc>
          <w:tcPr>
            <w:tcW w:type="dxa" w:w="2880"/>
          </w:tcPr>
          <w:p>
            <w:r/>
            <w:r>
              <w:rPr>
                <w:sz w:val="17"/>
              </w:rPr>
              <w:t>Incorporation by Reference, item 1: 10-K “filed with the SEC on March 3, 2025.”</w:t>
            </w:r>
          </w:p>
        </w:tc>
        <w:tc>
          <w:tcPr>
            <w:tcW w:type="dxa" w:w="2520"/>
          </w:tcPr>
          <w:p>
            <w:r/>
            <w:r>
              <w:rPr>
                <w:sz w:val="17"/>
              </w:rPr>
              <w:t>10-K: auditor’s report dated March 28, 2025; signature page and all director signatures dated March 28, 2025.</w:t>
            </w:r>
          </w:p>
        </w:tc>
        <w:tc>
          <w:tcPr>
            <w:tcW w:type="dxa" w:w="4392"/>
          </w:tcPr>
          <w:p>
            <w:r/>
            <w:r>
              <w:rPr>
                <w:sz w:val="17"/>
              </w:rPr>
              <w:t>The stated filing date cannot be correct if the audit report is dated March 28. March 3, 2025 was the large accelerated filer deadline (60 days after December 31, 2024, rolled forward from Saturday, March 1). Filing on March 28 would be late even with a Rule 12b-25 extension (deadline March 18). That would defeat S-3 eligibility under General Instruction I.A.3(b) for 12 months, and with it WKSI status and automatic shelf use under Rule 405 and General Instruction I.D. It would also make the Rule 401(g) and 462(e) automatic effectiveness unavailable.</w:t>
            </w:r>
          </w:p>
        </w:tc>
        <w:tc>
          <w:tcPr>
            <w:tcW w:type="dxa" w:w="1008"/>
            <w:shd w:val="clear" w:color="auto" w:fill="F4CCCC"/>
          </w:tcPr>
          <w:p>
            <w:r/>
            <w:r>
              <w:rPr>
                <w:b/>
                <w:sz w:val="17"/>
              </w:rPr>
              <w:t>Critical</w:t>
            </w:r>
          </w:p>
        </w:tc>
        <w:tc>
          <w:tcPr>
            <w:tcW w:type="dxa" w:w="2376"/>
          </w:tcPr>
          <w:p>
            <w:r/>
            <w:r>
              <w:rPr>
                <w:sz w:val="17"/>
              </w:rPr>
              <w:t>Obtain the EDGAR acceptance date and any Form 12b-25 filing. If the 10-K was untimely, stop and restructure: no S-3 until 12 months of timely filing, unless the SEC grants a waiver. Otherwise correct the date.</w:t>
            </w:r>
          </w:p>
        </w:tc>
      </w:tr>
      <w:tr>
        <w:tc>
          <w:tcPr>
            <w:tcW w:type="dxa" w:w="648"/>
          </w:tcPr>
          <w:p>
            <w:r/>
            <w:r>
              <w:rPr>
                <w:b/>
                <w:sz w:val="17"/>
              </w:rPr>
              <w:t>A-2</w:t>
            </w:r>
          </w:p>
        </w:tc>
        <w:tc>
          <w:tcPr>
            <w:tcW w:type="dxa" w:w="2880"/>
          </w:tcPr>
          <w:p>
            <w:r/>
            <w:r>
              <w:rPr>
                <w:sz w:val="17"/>
              </w:rPr>
              <w:t>Cover page: filer-status boxes blank (large accelerated / accelerated / non-accelerated / SRC / EGC).</w:t>
            </w:r>
          </w:p>
        </w:tc>
        <w:tc>
          <w:tcPr>
            <w:tcW w:type="dxa" w:w="2520"/>
          </w:tcPr>
          <w:p>
            <w:r/>
            <w:r>
              <w:rPr>
                <w:sz w:val="17"/>
              </w:rPr>
              <w:t>10-K cover: non-affiliate float approx. $3.9 billion at June 30, 2024; market cap approx. $4.2 billion (Item 1).</w:t>
            </w:r>
          </w:p>
        </w:tc>
        <w:tc>
          <w:tcPr>
            <w:tcW w:type="dxa" w:w="4392"/>
          </w:tcPr>
          <w:p>
            <w:r/>
            <w:r>
              <w:rPr>
                <w:sz w:val="17"/>
              </w:rPr>
              <w:t>The Company is a large accelerated filer and not an SRC or EGC, which is also the factual basis for the WKSI claim ($700M float test). The cover must be checked. The 10-K cover checkboxes (WKSI, filer status) are also blank in the copy reviewed.</w:t>
            </w:r>
          </w:p>
        </w:tc>
        <w:tc>
          <w:tcPr>
            <w:tcW w:type="dxa" w:w="1008"/>
            <w:shd w:val="clear" w:color="auto" w:fill="FCE5CD"/>
          </w:tcPr>
          <w:p>
            <w:r/>
            <w:r>
              <w:rPr>
                <w:b/>
                <w:sz w:val="17"/>
              </w:rPr>
              <w:t>High</w:t>
            </w:r>
          </w:p>
        </w:tc>
        <w:tc>
          <w:tcPr>
            <w:tcW w:type="dxa" w:w="2376"/>
          </w:tcPr>
          <w:p>
            <w:r/>
            <w:r>
              <w:rPr>
                <w:sz w:val="17"/>
              </w:rPr>
              <w:t>Check “Large accelerated filer.” Confirm the 10-K cover WKSI and filer-status boxes as filed. Document the WKSI determination as of the filing date (Rule 405 timing).</w:t>
            </w:r>
          </w:p>
        </w:tc>
      </w:tr>
      <w:tr>
        <w:tc>
          <w:tcPr>
            <w:tcW w:type="dxa" w:w="648"/>
          </w:tcPr>
          <w:p>
            <w:r/>
            <w:r>
              <w:rPr>
                <w:b/>
                <w:sz w:val="17"/>
              </w:rPr>
              <w:t>A-3</w:t>
            </w:r>
          </w:p>
        </w:tc>
        <w:tc>
          <w:tcPr>
            <w:tcW w:type="dxa" w:w="2880"/>
          </w:tcPr>
          <w:p>
            <w:r/>
            <w:r>
              <w:rPr>
                <w:sz w:val="17"/>
              </w:rPr>
              <w:t>Cover: Rule 415 and Rule 462(e) boxes not shown as checked; prospectus cover says the shelf is “automatic” (General Instruction I.D).</w:t>
            </w:r>
          </w:p>
        </w:tc>
        <w:tc>
          <w:tcPr>
            <w:tcW w:type="dxa" w:w="2520"/>
          </w:tcPr>
          <w:p>
            <w:r/>
            <w:r>
              <w:rPr>
                <w:sz w:val="17"/>
              </w:rPr>
              <w:t>Form S-3 cover requirements.</w:t>
            </w:r>
          </w:p>
        </w:tc>
        <w:tc>
          <w:tcPr>
            <w:tcW w:type="dxa" w:w="4392"/>
          </w:tcPr>
          <w:p>
            <w:r/>
            <w:r>
              <w:rPr>
                <w:sz w:val="17"/>
              </w:rPr>
              <w:t>An automatic shelf must check the Rule 415 box and the Rule 462(e) box to become effective on filing. Neither is marked in the draft.</w:t>
            </w:r>
          </w:p>
        </w:tc>
        <w:tc>
          <w:tcPr>
            <w:tcW w:type="dxa" w:w="1008"/>
            <w:shd w:val="clear" w:color="auto" w:fill="FCE5CD"/>
          </w:tcPr>
          <w:p>
            <w:r/>
            <w:r>
              <w:rPr>
                <w:b/>
                <w:sz w:val="17"/>
              </w:rPr>
              <w:t>High</w:t>
            </w:r>
          </w:p>
        </w:tc>
        <w:tc>
          <w:tcPr>
            <w:tcW w:type="dxa" w:w="2376"/>
          </w:tcPr>
          <w:p>
            <w:r/>
            <w:r>
              <w:rPr>
                <w:sz w:val="17"/>
              </w:rPr>
              <w:t>Check the Rule 415 and Rule 462(e) boxes. Confirm the EDGAR submission type is S-3ASR.</w:t>
            </w:r>
          </w:p>
        </w:tc>
      </w:tr>
      <w:tr>
        <w:tc>
          <w:tcPr>
            <w:tcW w:type="dxa" w:w="648"/>
          </w:tcPr>
          <w:p>
            <w:r/>
            <w:r>
              <w:rPr>
                <w:b/>
                <w:sz w:val="17"/>
              </w:rPr>
              <w:t>A-4</w:t>
            </w:r>
          </w:p>
        </w:tc>
        <w:tc>
          <w:tcPr>
            <w:tcW w:type="dxa" w:w="2880"/>
          </w:tcPr>
          <w:p>
            <w:r/>
            <w:r>
              <w:rPr>
                <w:sz w:val="17"/>
              </w:rPr>
              <w:t>Cover: “Calculation of Registration Fee” table on the facing page; footnotes cite Rule 457(o) and General Instruction II.D.</w:t>
            </w:r>
          </w:p>
        </w:tc>
        <w:tc>
          <w:tcPr>
            <w:tcW w:type="dxa" w:w="2520"/>
          </w:tcPr>
          <w:p>
            <w:r/>
            <w:r>
              <w:rPr>
                <w:sz w:val="17"/>
              </w:rPr>
              <w:t>SEC filing-fee modernization rules (Item 601(b)(107) of Regulation S-K; Form S-3 cover as amended effective January 31, 2022).</w:t>
            </w:r>
          </w:p>
        </w:tc>
        <w:tc>
          <w:tcPr>
            <w:tcW w:type="dxa" w:w="4392"/>
          </w:tcPr>
          <w:p>
            <w:r/>
            <w:r>
              <w:rPr>
                <w:sz w:val="17"/>
              </w:rPr>
              <w:t>The fee table now belongs only in Exhibit 107 (“Filing Fee Tables”). Repeating an old-style fee table on the facing page is outdated. Exhibit 107 also needs the current structured (Inline XBRL) format, and its columns and footnotes should match.</w:t>
            </w:r>
          </w:p>
        </w:tc>
        <w:tc>
          <w:tcPr>
            <w:tcW w:type="dxa" w:w="1008"/>
            <w:shd w:val="clear" w:color="auto" w:fill="FFF2CC"/>
          </w:tcPr>
          <w:p>
            <w:r/>
            <w:r>
              <w:rPr>
                <w:b/>
                <w:sz w:val="17"/>
              </w:rPr>
              <w:t>Medium</w:t>
            </w:r>
          </w:p>
        </w:tc>
        <w:tc>
          <w:tcPr>
            <w:tcW w:type="dxa" w:w="2376"/>
          </w:tcPr>
          <w:p>
            <w:r/>
            <w:r>
              <w:rPr>
                <w:sz w:val="17"/>
              </w:rPr>
              <w:t>Delete the facing-page fee table and keep a fully compliant Exhibit 107 in the current SEC format.</w:t>
            </w:r>
          </w:p>
        </w:tc>
      </w:tr>
      <w:tr>
        <w:tc>
          <w:tcPr>
            <w:tcW w:type="dxa" w:w="648"/>
          </w:tcPr>
          <w:p>
            <w:r/>
            <w:r>
              <w:rPr>
                <w:b/>
                <w:sz w:val="17"/>
              </w:rPr>
              <w:t>A-5</w:t>
            </w:r>
          </w:p>
        </w:tc>
        <w:tc>
          <w:tcPr>
            <w:tcW w:type="dxa" w:w="2880"/>
          </w:tcPr>
          <w:p>
            <w:r/>
            <w:r>
              <w:rPr>
                <w:sz w:val="17"/>
              </w:rPr>
              <w:t>Fee: $750,000,000 at $153.10 per $1,000,000 = $114,825.00, paid up-front under Rule 457(o).</w:t>
            </w:r>
          </w:p>
        </w:tc>
        <w:tc>
          <w:tcPr>
            <w:tcW w:type="dxa" w:w="2520"/>
          </w:tcPr>
          <w:p>
            <w:r/>
            <w:r>
              <w:rPr>
                <w:sz w:val="17"/>
              </w:rPr>
              <w:t>Rules 456(b) and 457(r) (pay-as-you-go for automatic shelf registration statements).</w:t>
            </w:r>
          </w:p>
        </w:tc>
        <w:tc>
          <w:tcPr>
            <w:tcW w:type="dxa" w:w="4392"/>
          </w:tcPr>
          <w:p>
            <w:r/>
            <w:r>
              <w:rPr>
                <w:sz w:val="17"/>
              </w:rPr>
              <w:t>The arithmetic is correct ($750M × 0.0001531 = $114,825). Two points to raise: (i) a WKSI ordinarily registers an unspecified amount and defers fees under Rules 456(b) and 457(r), and capping the shelf at $750M and paying up-front gives up that flexibility and is inconsistent with the stated WKSI rationale; (ii) $153.10 is the fiscal 2025 rate (October 1, 2024 – September 30, 2025). If the filing occurs on or after October 1, 2025, the fiscal 2026 rate ($138.10 per million) applies and the fee changes.</w:t>
            </w:r>
          </w:p>
        </w:tc>
        <w:tc>
          <w:tcPr>
            <w:tcW w:type="dxa" w:w="1008"/>
            <w:shd w:val="clear" w:color="auto" w:fill="FFF2CC"/>
          </w:tcPr>
          <w:p>
            <w:r/>
            <w:r>
              <w:rPr>
                <w:b/>
                <w:sz w:val="17"/>
              </w:rPr>
              <w:t>Medium</w:t>
            </w:r>
          </w:p>
        </w:tc>
        <w:tc>
          <w:tcPr>
            <w:tcW w:type="dxa" w:w="2376"/>
          </w:tcPr>
          <w:p>
            <w:r/>
            <w:r>
              <w:rPr>
                <w:sz w:val="17"/>
              </w:rPr>
              <w:t>Confirm with the Company whether an unlimited pay-as-you-go shelf is preferred. If keeping $750M, confirm the rate in effect on the filing date and conform Exhibit 107.</w:t>
            </w:r>
          </w:p>
        </w:tc>
      </w:tr>
      <w:tr>
        <w:tc>
          <w:tcPr>
            <w:tcW w:type="dxa" w:w="648"/>
          </w:tcPr>
          <w:p>
            <w:r/>
            <w:r>
              <w:rPr>
                <w:b/>
                <w:sz w:val="17"/>
              </w:rPr>
              <w:t>A-6</w:t>
            </w:r>
          </w:p>
        </w:tc>
        <w:tc>
          <w:tcPr>
            <w:tcW w:type="dxa" w:w="2880"/>
          </w:tcPr>
          <w:p>
            <w:r/>
            <w:r>
              <w:rPr>
                <w:sz w:val="17"/>
              </w:rPr>
              <w:t>Cover: “As of April 30, 2025, 74,200,000 shares … were outstanding” (also in Description of Capital Stock).</w:t>
            </w:r>
          </w:p>
        </w:tc>
        <w:tc>
          <w:tcPr>
            <w:tcW w:type="dxa" w:w="2520"/>
          </w:tcPr>
          <w:p>
            <w:r/>
            <w:r>
              <w:rPr>
                <w:sz w:val="17"/>
              </w:rPr>
              <w:t>10-K: 77,000,000 shares outstanding at December 31, 2024 (cover, balance sheet, Note 6). No repurchases in FY2024 and “no authorized share repurchase program” (Item 5). Option exercises and RSU settlements are ongoing (7,025,000 awards outstanding).</w:t>
            </w:r>
          </w:p>
        </w:tc>
        <w:tc>
          <w:tcPr>
            <w:tcW w:type="dxa" w:w="4392"/>
          </w:tcPr>
          <w:p>
            <w:r/>
            <w:r>
              <w:rPr>
                <w:sz w:val="17"/>
              </w:rPr>
              <w:t>A decline of 2.8 million shares in four months is unexplained, given there is no buyback program and dilutive issuance continues. Either the figure is wrong or there was an undisclosed repurchase or retirement, which would itself need disclosure and an Item 703 / 10-Q cross-check. (A share count on the cover is not required by Form S-3; if kept, it must be accurate.)</w:t>
            </w:r>
          </w:p>
        </w:tc>
        <w:tc>
          <w:tcPr>
            <w:tcW w:type="dxa" w:w="1008"/>
            <w:shd w:val="clear" w:color="auto" w:fill="FCE5CD"/>
          </w:tcPr>
          <w:p>
            <w:r/>
            <w:r>
              <w:rPr>
                <w:b/>
                <w:sz w:val="17"/>
              </w:rPr>
              <w:t>High</w:t>
            </w:r>
          </w:p>
        </w:tc>
        <w:tc>
          <w:tcPr>
            <w:tcW w:type="dxa" w:w="2376"/>
          </w:tcPr>
          <w:p>
            <w:r/>
            <w:r>
              <w:rPr>
                <w:sz w:val="17"/>
              </w:rPr>
              <w:t>Tie to the transfer agent certificate and the Q1 2025 10-Q cover. Correct the figure or explain it, or delete it from the cover.</w:t>
            </w:r>
          </w:p>
        </w:tc>
      </w:tr>
      <w:tr>
        <w:tc>
          <w:tcPr>
            <w:tcW w:type="dxa" w:w="648"/>
          </w:tcPr>
          <w:p>
            <w:r/>
            <w:r>
              <w:rPr>
                <w:b/>
                <w:sz w:val="17"/>
              </w:rPr>
              <w:t>A-7</w:t>
            </w:r>
          </w:p>
        </w:tc>
        <w:tc>
          <w:tcPr>
            <w:tcW w:type="dxa" w:w="2880"/>
          </w:tcPr>
          <w:p>
            <w:r/>
            <w:r>
              <w:rPr>
                <w:sz w:val="17"/>
              </w:rPr>
              <w:t>Cover and back cover: registrant telephone (512) 555-0140.</w:t>
            </w:r>
          </w:p>
        </w:tc>
        <w:tc>
          <w:tcPr>
            <w:tcW w:type="dxa" w:w="2520"/>
          </w:tcPr>
          <w:p>
            <w:r/>
            <w:r>
              <w:rPr>
                <w:sz w:val="17"/>
              </w:rPr>
              <w:t>10-K cover and S-1 cover: (512) 555-0100.</w:t>
            </w:r>
          </w:p>
        </w:tc>
        <w:tc>
          <w:tcPr>
            <w:tcW w:type="dxa" w:w="4392"/>
          </w:tcPr>
          <w:p>
            <w:r/>
            <w:r>
              <w:rPr>
                <w:sz w:val="17"/>
              </w:rPr>
              <w:t>The principal executive office phone number is inconsistent with the Company’s Exchange Act filings.</w:t>
            </w:r>
          </w:p>
        </w:tc>
        <w:tc>
          <w:tcPr>
            <w:tcW w:type="dxa" w:w="1008"/>
            <w:shd w:val="clear" w:color="auto" w:fill="D9EAD3"/>
          </w:tcPr>
          <w:p>
            <w:r/>
            <w:r>
              <w:rPr>
                <w:b/>
                <w:sz w:val="17"/>
              </w:rPr>
              <w:t>Low</w:t>
            </w:r>
          </w:p>
        </w:tc>
        <w:tc>
          <w:tcPr>
            <w:tcW w:type="dxa" w:w="2376"/>
          </w:tcPr>
          <w:p>
            <w:r/>
            <w:r>
              <w:rPr>
                <w:sz w:val="17"/>
              </w:rPr>
              <w:t>Confirm and conform throughout (cover, Prospectus Summary, “Incorporation by Reference” request line).</w:t>
            </w:r>
          </w:p>
        </w:tc>
      </w:tr>
      <w:tr>
        <w:tc>
          <w:tcPr>
            <w:tcW w:type="dxa" w:w="648"/>
          </w:tcPr>
          <w:p>
            <w:r/>
            <w:r>
              <w:rPr>
                <w:b/>
                <w:sz w:val="17"/>
              </w:rPr>
              <w:t>A-8</w:t>
            </w:r>
          </w:p>
        </w:tc>
        <w:tc>
          <w:tcPr>
            <w:tcW w:type="dxa" w:w="2880"/>
          </w:tcPr>
          <w:p>
            <w:r/>
            <w:r>
              <w:rPr>
                <w:sz w:val="17"/>
              </w:rPr>
              <w:t>Cover: agent for service “Amanda Reiss, General Counsel.”</w:t>
            </w:r>
          </w:p>
        </w:tc>
        <w:tc>
          <w:tcPr>
            <w:tcW w:type="dxa" w:w="2520"/>
          </w:tcPr>
          <w:p>
            <w:r/>
            <w:r>
              <w:rPr>
                <w:sz w:val="17"/>
              </w:rPr>
              <w:t>10-K Item 10: Reiss was succeeded by Daniel K. Moretti as GC on January 15, 2024.</w:t>
            </w:r>
          </w:p>
        </w:tc>
        <w:tc>
          <w:tcPr>
            <w:tcW w:type="dxa" w:w="4392"/>
          </w:tcPr>
          <w:p>
            <w:r/>
            <w:r>
              <w:rPr>
                <w:sz w:val="17"/>
              </w:rPr>
              <w:t>The named agent for service is a former officer. This copies the S-1 cover.</w:t>
            </w:r>
          </w:p>
        </w:tc>
        <w:tc>
          <w:tcPr>
            <w:tcW w:type="dxa" w:w="1008"/>
            <w:shd w:val="clear" w:color="auto" w:fill="FCE5CD"/>
          </w:tcPr>
          <w:p>
            <w:r/>
            <w:r>
              <w:rPr>
                <w:b/>
                <w:sz w:val="17"/>
              </w:rPr>
              <w:t>High</w:t>
            </w:r>
          </w:p>
        </w:tc>
        <w:tc>
          <w:tcPr>
            <w:tcW w:type="dxa" w:w="2376"/>
          </w:tcPr>
          <w:p>
            <w:r/>
            <w:r>
              <w:rPr>
                <w:sz w:val="17"/>
              </w:rPr>
              <w:t>Replace with Daniel K. Moretti, General Counsel and Corporate Secretary (or another current officer).</w:t>
            </w:r>
          </w:p>
        </w:tc>
      </w:tr>
    </w:tbl>
    <w:p>
      <w:pPr>
        <w:spacing w:after="40"/>
      </w:pPr>
    </w:p>
    <w:p>
      <w:pPr>
        <w:pStyle w:val="Heading1"/>
      </w:pPr>
      <w:r>
        <w:t>4. Description of Capital Stock and Debt; Exhibits Incorporated by Reference</w:t>
      </w:r>
    </w:p>
    <w:tbl>
      <w:tblPr>
        <w:tblStyle w:val="TableGrid"/>
        <w:tblW w:type="auto" w:w="0"/>
        <w:jc w:val="center"/>
        <w:tblLayout w:type="fixed"/>
        <w:tblLook w:firstColumn="1" w:firstRow="1" w:lastColumn="0" w:lastRow="0" w:noHBand="0" w:noVBand="1" w:val="04A0"/>
      </w:tblPr>
      <w:tblGrid>
        <w:gridCol w:w="2304"/>
        <w:gridCol w:w="2304"/>
        <w:gridCol w:w="2304"/>
        <w:gridCol w:w="2304"/>
        <w:gridCol w:w="2304"/>
        <w:gridCol w:w="2304"/>
      </w:tblGrid>
      <w:tr>
        <w:trPr>
          <w:tblHeader w:val="true"/>
        </w:trPr>
        <w:tc>
          <w:tcPr>
            <w:tcW w:type="dxa" w:w="648"/>
            <w:shd w:val="clear" w:color="auto" w:fill="1F3A5F"/>
          </w:tcPr>
          <w:p>
            <w:r/>
            <w:r>
              <w:rPr>
                <w:b/>
                <w:color w:val="FFFFFF"/>
                <w:sz w:val="17"/>
              </w:rPr>
              <w:t>#</w:t>
            </w:r>
          </w:p>
        </w:tc>
        <w:tc>
          <w:tcPr>
            <w:tcW w:type="dxa" w:w="2880"/>
            <w:shd w:val="clear" w:color="auto" w:fill="1F3A5F"/>
          </w:tcPr>
          <w:p>
            <w:r/>
            <w:r>
              <w:rPr>
                <w:b/>
                <w:color w:val="FFFFFF"/>
                <w:sz w:val="17"/>
              </w:rPr>
              <w:t>Draft S-3 location / text</w:t>
            </w:r>
          </w:p>
        </w:tc>
        <w:tc>
          <w:tcPr>
            <w:tcW w:type="dxa" w:w="2520"/>
            <w:shd w:val="clear" w:color="auto" w:fill="1F3A5F"/>
          </w:tcPr>
          <w:p>
            <w:r/>
            <w:r>
              <w:rPr>
                <w:b/>
                <w:color w:val="FFFFFF"/>
                <w:sz w:val="17"/>
              </w:rPr>
              <w:t>Comparison source</w:t>
            </w:r>
          </w:p>
        </w:tc>
        <w:tc>
          <w:tcPr>
            <w:tcW w:type="dxa" w:w="4392"/>
            <w:shd w:val="clear" w:color="auto" w:fill="1F3A5F"/>
          </w:tcPr>
          <w:p>
            <w:r/>
            <w:r>
              <w:rPr>
                <w:b/>
                <w:color w:val="FFFFFF"/>
                <w:sz w:val="17"/>
              </w:rPr>
              <w:t>Deviation / analysis</w:t>
            </w:r>
          </w:p>
        </w:tc>
        <w:tc>
          <w:tcPr>
            <w:tcW w:type="dxa" w:w="1008"/>
            <w:shd w:val="clear" w:color="auto" w:fill="1F3A5F"/>
          </w:tcPr>
          <w:p>
            <w:r/>
            <w:r>
              <w:rPr>
                <w:b/>
                <w:color w:val="FFFFFF"/>
                <w:sz w:val="17"/>
              </w:rPr>
              <w:t>Severity</w:t>
            </w:r>
          </w:p>
        </w:tc>
        <w:tc>
          <w:tcPr>
            <w:tcW w:type="dxa" w:w="2376"/>
            <w:shd w:val="clear" w:color="auto" w:fill="1F3A5F"/>
          </w:tcPr>
          <w:p>
            <w:r/>
            <w:r>
              <w:rPr>
                <w:b/>
                <w:color w:val="FFFFFF"/>
                <w:sz w:val="17"/>
              </w:rPr>
              <w:t>Recommended action</w:t>
            </w:r>
          </w:p>
        </w:tc>
      </w:tr>
      <w:tr>
        <w:tc>
          <w:tcPr>
            <w:tcW w:type="dxa" w:w="648"/>
          </w:tcPr>
          <w:p>
            <w:r/>
            <w:r>
              <w:rPr>
                <w:b/>
                <w:sz w:val="17"/>
              </w:rPr>
              <w:t>B-1</w:t>
            </w:r>
          </w:p>
        </w:tc>
        <w:tc>
          <w:tcPr>
            <w:tcW w:type="dxa" w:w="2880"/>
          </w:tcPr>
          <w:p>
            <w:r/>
            <w:r>
              <w:rPr>
                <w:sz w:val="17"/>
              </w:rPr>
              <w:t>“Pinnacle Software Holdings, Inc. was incorporated in the State of Texas on June 12, 2014.”</w:t>
            </w:r>
          </w:p>
        </w:tc>
        <w:tc>
          <w:tcPr>
            <w:tcW w:type="dxa" w:w="2520"/>
          </w:tcPr>
          <w:p>
            <w:r/>
            <w:r>
              <w:rPr>
                <w:sz w:val="17"/>
              </w:rPr>
              <w:t>10-K Item 1, MD&amp;A, Note 1; S-1 Prospectus Summary, Business, Description of Capital Stock, Note 1; Draft S-3 cover (“Delaware”).</w:t>
            </w:r>
          </w:p>
        </w:tc>
        <w:tc>
          <w:tcPr>
            <w:tcW w:type="dxa" w:w="4392"/>
          </w:tcPr>
          <w:p>
            <w:r/>
            <w:r>
              <w:rPr>
                <w:sz w:val="17"/>
              </w:rPr>
              <w:t>Wrong state. This is a fundamental misstatement that also undercuts the DGCL Section 203 and Delaware-law references in the same section and the Exhibit 5.1 opinion (Delaware law).</w:t>
            </w:r>
          </w:p>
        </w:tc>
        <w:tc>
          <w:tcPr>
            <w:tcW w:type="dxa" w:w="1008"/>
            <w:shd w:val="clear" w:color="auto" w:fill="F4CCCC"/>
          </w:tcPr>
          <w:p>
            <w:r/>
            <w:r>
              <w:rPr>
                <w:b/>
                <w:sz w:val="17"/>
              </w:rPr>
              <w:t>Critical</w:t>
            </w:r>
          </w:p>
        </w:tc>
        <w:tc>
          <w:tcPr>
            <w:tcW w:type="dxa" w:w="2376"/>
          </w:tcPr>
          <w:p>
            <w:r/>
            <w:r>
              <w:rPr>
                <w:sz w:val="17"/>
              </w:rPr>
              <w:t>Change to “incorporated in the State of Delaware on June 12, 2014.”</w:t>
            </w:r>
          </w:p>
        </w:tc>
      </w:tr>
      <w:tr>
        <w:tc>
          <w:tcPr>
            <w:tcW w:type="dxa" w:w="648"/>
          </w:tcPr>
          <w:p>
            <w:r/>
            <w:r>
              <w:rPr>
                <w:b/>
                <w:sz w:val="17"/>
              </w:rPr>
              <w:t>B-2</w:t>
            </w:r>
          </w:p>
        </w:tc>
        <w:tc>
          <w:tcPr>
            <w:tcW w:type="dxa" w:w="2880"/>
          </w:tcPr>
          <w:p>
            <w:r/>
            <w:r>
              <w:rPr>
                <w:sz w:val="17"/>
              </w:rPr>
              <w:t>Authorized “up to 150,000,000 shares of common stock.”</w:t>
            </w:r>
          </w:p>
        </w:tc>
        <w:tc>
          <w:tcPr>
            <w:tcW w:type="dxa" w:w="2520"/>
          </w:tcPr>
          <w:p>
            <w:r/>
            <w:r>
              <w:rPr>
                <w:sz w:val="17"/>
              </w:rPr>
              <w:t>10-K balance sheet and Note 6 (200,000,000); 10-K Exhibit 4.1 description; S-1 Capitalization, Description of Capital Stock, Note 5 (200,000,000).</w:t>
            </w:r>
          </w:p>
        </w:tc>
        <w:tc>
          <w:tcPr>
            <w:tcW w:type="dxa" w:w="4392"/>
          </w:tcPr>
          <w:p>
            <w:r/>
            <w:r>
              <w:rPr>
                <w:sz w:val="17"/>
              </w:rPr>
              <w:t>Wrong authorized share count. It understates headroom for shelf issuances and is inconsistent with the charter. Check whether any charter amendment has changed the figure since the 10-K.</w:t>
            </w:r>
          </w:p>
        </w:tc>
        <w:tc>
          <w:tcPr>
            <w:tcW w:type="dxa" w:w="1008"/>
            <w:shd w:val="clear" w:color="auto" w:fill="F4CCCC"/>
          </w:tcPr>
          <w:p>
            <w:r/>
            <w:r>
              <w:rPr>
                <w:b/>
                <w:sz w:val="17"/>
              </w:rPr>
              <w:t>Critical</w:t>
            </w:r>
          </w:p>
        </w:tc>
        <w:tc>
          <w:tcPr>
            <w:tcW w:type="dxa" w:w="2376"/>
          </w:tcPr>
          <w:p>
            <w:r/>
            <w:r>
              <w:rPr>
                <w:sz w:val="17"/>
              </w:rPr>
              <w:t>Conform to 200,000,000, verified against the A&amp;R Certificate of Incorporation as currently in effect.</w:t>
            </w:r>
          </w:p>
        </w:tc>
      </w:tr>
      <w:tr>
        <w:tc>
          <w:tcPr>
            <w:tcW w:type="dxa" w:w="648"/>
          </w:tcPr>
          <w:p>
            <w:r/>
            <w:r>
              <w:rPr>
                <w:b/>
                <w:sz w:val="17"/>
              </w:rPr>
              <w:t>B-3</w:t>
            </w:r>
          </w:p>
        </w:tc>
        <w:tc>
          <w:tcPr>
            <w:tcW w:type="dxa" w:w="2880"/>
          </w:tcPr>
          <w:p>
            <w:r/>
            <w:r>
              <w:rPr>
                <w:sz w:val="17"/>
              </w:rPr>
              <w:t>Transfer agent: “Atlantic Stock Transfer &amp; Trust Company.”</w:t>
            </w:r>
          </w:p>
        </w:tc>
        <w:tc>
          <w:tcPr>
            <w:tcW w:type="dxa" w:w="2520"/>
          </w:tcPr>
          <w:p>
            <w:r/>
            <w:r>
              <w:rPr>
                <w:sz w:val="17"/>
              </w:rPr>
              <w:t>S-1: “Meridian Trust &amp; Transfer Co.” (10-K silent).</w:t>
            </w:r>
          </w:p>
        </w:tc>
        <w:tc>
          <w:tcPr>
            <w:tcW w:type="dxa" w:w="4392"/>
          </w:tcPr>
          <w:p>
            <w:r/>
            <w:r>
              <w:rPr>
                <w:sz w:val="17"/>
              </w:rPr>
              <w:t>Inconsistent with the only prior disclosure. Possibly a post-IPO change, which should be confirmed.</w:t>
            </w:r>
          </w:p>
        </w:tc>
        <w:tc>
          <w:tcPr>
            <w:tcW w:type="dxa" w:w="1008"/>
            <w:shd w:val="clear" w:color="auto" w:fill="FFF2CC"/>
          </w:tcPr>
          <w:p>
            <w:r/>
            <w:r>
              <w:rPr>
                <w:b/>
                <w:sz w:val="17"/>
              </w:rPr>
              <w:t>Medium</w:t>
            </w:r>
          </w:p>
        </w:tc>
        <w:tc>
          <w:tcPr>
            <w:tcW w:type="dxa" w:w="2376"/>
          </w:tcPr>
          <w:p>
            <w:r/>
            <w:r>
              <w:rPr>
                <w:sz w:val="17"/>
              </w:rPr>
              <w:t>Confirm the current transfer agent and registrar (Form 8-A / Nasdaq records) and conform.</w:t>
            </w:r>
          </w:p>
        </w:tc>
      </w:tr>
      <w:tr>
        <w:tc>
          <w:tcPr>
            <w:tcW w:type="dxa" w:w="648"/>
          </w:tcPr>
          <w:p>
            <w:r/>
            <w:r>
              <w:rPr>
                <w:b/>
                <w:sz w:val="17"/>
              </w:rPr>
              <w:t>B-4</w:t>
            </w:r>
          </w:p>
        </w:tc>
        <w:tc>
          <w:tcPr>
            <w:tcW w:type="dxa" w:w="2880"/>
          </w:tcPr>
          <w:p>
            <w:r/>
            <w:r>
              <w:rPr>
                <w:sz w:val="17"/>
              </w:rPr>
              <w:t>Anti-takeover provisions list: classified board, Section 203, advance notice, authorized-but-unissued shares.</w:t>
            </w:r>
          </w:p>
        </w:tc>
        <w:tc>
          <w:tcPr>
            <w:tcW w:type="dxa" w:w="2520"/>
          </w:tcPr>
          <w:p>
            <w:r/>
            <w:r>
              <w:rPr>
                <w:sz w:val="17"/>
              </w:rPr>
              <w:t>10-K Item 1A: also “restrictions on the ability of stockholders to call special meetings.” S-1: prohibition of action by written consent and supermajority voting to amend the charter and bylaws.</w:t>
            </w:r>
          </w:p>
        </w:tc>
        <w:tc>
          <w:tcPr>
            <w:tcW w:type="dxa" w:w="4392"/>
          </w:tcPr>
          <w:p>
            <w:r/>
            <w:r>
              <w:rPr>
                <w:sz w:val="17"/>
              </w:rPr>
              <w:t>The list is incomplete compared with the charter and bylaw provisions previously disclosed. Item 202(a)(5) of Regulation S-K requires a brief description of provisions that would delay, defer or prevent a change in control. Any exclusive-forum provision (a frequent SEC comment) should also be described if present.</w:t>
            </w:r>
          </w:p>
        </w:tc>
        <w:tc>
          <w:tcPr>
            <w:tcW w:type="dxa" w:w="1008"/>
            <w:shd w:val="clear" w:color="auto" w:fill="FCE5CD"/>
          </w:tcPr>
          <w:p>
            <w:r/>
            <w:r>
              <w:rPr>
                <w:b/>
                <w:sz w:val="17"/>
              </w:rPr>
              <w:t>High</w:t>
            </w:r>
          </w:p>
        </w:tc>
        <w:tc>
          <w:tcPr>
            <w:tcW w:type="dxa" w:w="2376"/>
          </w:tcPr>
          <w:p>
            <w:r/>
            <w:r>
              <w:rPr>
                <w:sz w:val="17"/>
              </w:rPr>
              <w:t>Add the special meeting, written consent and supermajority provisions (and any exclusive forum / Section 102(b)(7) officer exculpation provisions) after reviewing the charter and bylaws.</w:t>
            </w:r>
          </w:p>
        </w:tc>
      </w:tr>
      <w:tr>
        <w:tc>
          <w:tcPr>
            <w:tcW w:type="dxa" w:w="648"/>
          </w:tcPr>
          <w:p>
            <w:r/>
            <w:r>
              <w:rPr>
                <w:b/>
                <w:sz w:val="17"/>
              </w:rPr>
              <w:t>B-5</w:t>
            </w:r>
          </w:p>
        </w:tc>
        <w:tc>
          <w:tcPr>
            <w:tcW w:type="dxa" w:w="2880"/>
          </w:tcPr>
          <w:p>
            <w:r/>
            <w:r>
              <w:rPr>
                <w:sz w:val="17"/>
              </w:rPr>
              <w:t>Dividends: “We have never declared or paid any cash dividends …”</w:t>
            </w:r>
          </w:p>
        </w:tc>
        <w:tc>
          <w:tcPr>
            <w:tcW w:type="dxa" w:w="2520"/>
          </w:tcPr>
          <w:p>
            <w:r/>
            <w:r>
              <w:rPr>
                <w:sz w:val="17"/>
              </w:rPr>
              <w:t>10-K Item 5: the Credit Facility with Calverley National Bank restricts payment of dividends.</w:t>
            </w:r>
          </w:p>
        </w:tc>
        <w:tc>
          <w:tcPr>
            <w:tcW w:type="dxa" w:w="4392"/>
          </w:tcPr>
          <w:p>
            <w:r/>
            <w:r>
              <w:rPr>
                <w:sz w:val="17"/>
              </w:rPr>
              <w:t>The covenant restriction is omitted. That matters to purchasers of common and preferred stock offered off the shelf.</w:t>
            </w:r>
          </w:p>
        </w:tc>
        <w:tc>
          <w:tcPr>
            <w:tcW w:type="dxa" w:w="1008"/>
            <w:shd w:val="clear" w:color="auto" w:fill="FFF2CC"/>
          </w:tcPr>
          <w:p>
            <w:r/>
            <w:r>
              <w:rPr>
                <w:b/>
                <w:sz w:val="17"/>
              </w:rPr>
              <w:t>Medium</w:t>
            </w:r>
          </w:p>
        </w:tc>
        <w:tc>
          <w:tcPr>
            <w:tcW w:type="dxa" w:w="2376"/>
          </w:tcPr>
          <w:p>
            <w:r/>
            <w:r>
              <w:rPr>
                <w:sz w:val="17"/>
              </w:rPr>
              <w:t>Add a sentence on Credit Facility dividend restrictions.</w:t>
            </w:r>
          </w:p>
        </w:tc>
      </w:tr>
      <w:tr>
        <w:tc>
          <w:tcPr>
            <w:tcW w:type="dxa" w:w="648"/>
          </w:tcPr>
          <w:p>
            <w:r/>
            <w:r>
              <w:rPr>
                <w:b/>
                <w:sz w:val="17"/>
              </w:rPr>
              <w:t>B-6</w:t>
            </w:r>
          </w:p>
        </w:tc>
        <w:tc>
          <w:tcPr>
            <w:tcW w:type="dxa" w:w="2880"/>
          </w:tcPr>
          <w:p>
            <w:r/>
            <w:r>
              <w:rPr>
                <w:sz w:val="17"/>
              </w:rPr>
              <w:t>Existing Indebtedness: “$350.0 million senior secured credit facility … $200.0 million term loan … $150.0 million revolving credit facility … matures on March 15, 2026.” Risk factor heading also says “$350.0 million.”</w:t>
            </w:r>
          </w:p>
        </w:tc>
        <w:tc>
          <w:tcPr>
            <w:tcW w:type="dxa" w:w="2520"/>
          </w:tcPr>
          <w:p>
            <w:r/>
            <w:r>
              <w:rPr>
                <w:sz w:val="17"/>
              </w:rPr>
              <w:t>10-K Item 1A, MD&amp;A Liquidity, Note 4, Exhibit 10.1: $400.0M facility; $250.0M Term Loan B; $150.0M Revolver; matures March 15, 2027.</w:t>
            </w:r>
          </w:p>
        </w:tc>
        <w:tc>
          <w:tcPr>
            <w:tcW w:type="dxa" w:w="4392"/>
          </w:tcPr>
          <w:p>
            <w:r/>
            <w:r>
              <w:rPr>
                <w:sz w:val="17"/>
              </w:rPr>
              <w:t>Facility size, term loan size and maturity are all wrong. (The draft’s own components, $200M + $150M = $350M, are internally consistent, but neither matches the 10-K.) It mislabels the Term Loan B as a “Term Loan.” Maturity is also a liquidity and refinancing point: about 21 months from a mid-2025 filing.</w:t>
            </w:r>
          </w:p>
        </w:tc>
        <w:tc>
          <w:tcPr>
            <w:tcW w:type="dxa" w:w="1008"/>
            <w:shd w:val="clear" w:color="auto" w:fill="F4CCCC"/>
          </w:tcPr>
          <w:p>
            <w:r/>
            <w:r>
              <w:rPr>
                <w:b/>
                <w:sz w:val="17"/>
              </w:rPr>
              <w:t>Critical</w:t>
            </w:r>
          </w:p>
        </w:tc>
        <w:tc>
          <w:tcPr>
            <w:tcW w:type="dxa" w:w="2376"/>
          </w:tcPr>
          <w:p>
            <w:r/>
            <w:r>
              <w:rPr>
                <w:sz w:val="17"/>
              </w:rPr>
              <w:t>Conform to $400.0M / $250.0M Term Loan B / $150.0M Revolver / March 15, 2027. Consider adding refinancing-risk disclosure.</w:t>
            </w:r>
          </w:p>
        </w:tc>
      </w:tr>
      <w:tr>
        <w:tc>
          <w:tcPr>
            <w:tcW w:type="dxa" w:w="648"/>
          </w:tcPr>
          <w:p>
            <w:r/>
            <w:r>
              <w:rPr>
                <w:b/>
                <w:sz w:val="17"/>
              </w:rPr>
              <w:t>B-7</w:t>
            </w:r>
          </w:p>
        </w:tc>
        <w:tc>
          <w:tcPr>
            <w:tcW w:type="dxa" w:w="2880"/>
          </w:tcPr>
          <w:p>
            <w:r/>
            <w:r>
              <w:rPr>
                <w:sz w:val="17"/>
              </w:rPr>
              <w:t>Pricing: “adjusted term SOFR … plus 2.75% … or (b) a base rate plus 1.75% … commitment fee of 0.375%”; obligations secured by assets of the Company “and its material domestic subsidiaries.”</w:t>
            </w:r>
          </w:p>
        </w:tc>
        <w:tc>
          <w:tcPr>
            <w:tcW w:type="dxa" w:w="2520"/>
          </w:tcPr>
          <w:p>
            <w:r/>
            <w:r>
              <w:rPr>
                <w:sz w:val="17"/>
              </w:rPr>
              <w:t>10-K: SOFR + 2.75%, 0.50% floor; secured by substantially all of the Company’s assets. No base-rate option, commitment fee or subsidiary guarantee/security disclosed.</w:t>
            </w:r>
          </w:p>
        </w:tc>
        <w:tc>
          <w:tcPr>
            <w:tcW w:type="dxa" w:w="4392"/>
          </w:tcPr>
          <w:p>
            <w:r/>
            <w:r>
              <w:rPr>
                <w:sz w:val="17"/>
              </w:rPr>
              <w:t>The draft adds terms that cannot be verified from the 10-K. They may be accurate, but they must be backed up by the Credit Agreement. Subsidiary guarantees also matter for structural subordination disclosure on any debt securities.</w:t>
            </w:r>
          </w:p>
        </w:tc>
        <w:tc>
          <w:tcPr>
            <w:tcW w:type="dxa" w:w="1008"/>
            <w:shd w:val="clear" w:color="auto" w:fill="FFF2CC"/>
          </w:tcPr>
          <w:p>
            <w:r/>
            <w:r>
              <w:rPr>
                <w:b/>
                <w:sz w:val="17"/>
              </w:rPr>
              <w:t>Medium</w:t>
            </w:r>
          </w:p>
        </w:tc>
        <w:tc>
          <w:tcPr>
            <w:tcW w:type="dxa" w:w="2376"/>
          </w:tcPr>
          <w:p>
            <w:r/>
            <w:r>
              <w:rPr>
                <w:sz w:val="17"/>
              </w:rPr>
              <w:t>Verify against the Credit Agreement (10-K Exhibit 10.1) and any amendments. Conform or delete.</w:t>
            </w:r>
          </w:p>
        </w:tc>
      </w:tr>
      <w:tr>
        <w:tc>
          <w:tcPr>
            <w:tcW w:type="dxa" w:w="648"/>
          </w:tcPr>
          <w:p>
            <w:r/>
            <w:r>
              <w:rPr>
                <w:b/>
                <w:sz w:val="17"/>
              </w:rPr>
              <w:t>B-8</w:t>
            </w:r>
          </w:p>
        </w:tc>
        <w:tc>
          <w:tcPr>
            <w:tcW w:type="dxa" w:w="2880"/>
          </w:tcPr>
          <w:p>
            <w:r/>
            <w:r>
              <w:rPr>
                <w:sz w:val="17"/>
              </w:rPr>
              <w:t>Location: the credit facility summary sits inside “Description of Debt Securities.”</w:t>
            </w:r>
          </w:p>
        </w:tc>
        <w:tc>
          <w:tcPr>
            <w:tcW w:type="dxa" w:w="2520"/>
          </w:tcPr>
          <w:p>
            <w:r/>
            <w:r>
              <w:rPr>
                <w:sz w:val="17"/>
              </w:rPr>
              <w:t>—</w:t>
            </w:r>
          </w:p>
        </w:tc>
        <w:tc>
          <w:tcPr>
            <w:tcW w:type="dxa" w:w="4392"/>
          </w:tcPr>
          <w:p>
            <w:r/>
            <w:r>
              <w:rPr>
                <w:sz w:val="17"/>
              </w:rPr>
              <w:t>Existing bank debt is not a security offered under the shelf. Placing it in the Description of Debt Securities is confusing. The description of the offered debt securities is also thin (no events of default, covenants, modification, defeasance, governing law, trustee or ranking/subordination), which commonly draws SEC comment for a base prospectus covering debt.</w:t>
            </w:r>
          </w:p>
        </w:tc>
        <w:tc>
          <w:tcPr>
            <w:tcW w:type="dxa" w:w="1008"/>
            <w:shd w:val="clear" w:color="auto" w:fill="FFF2CC"/>
          </w:tcPr>
          <w:p>
            <w:r/>
            <w:r>
              <w:rPr>
                <w:b/>
                <w:sz w:val="17"/>
              </w:rPr>
              <w:t>Medium</w:t>
            </w:r>
          </w:p>
        </w:tc>
        <w:tc>
          <w:tcPr>
            <w:tcW w:type="dxa" w:w="2376"/>
          </w:tcPr>
          <w:p>
            <w:r/>
            <w:r>
              <w:rPr>
                <w:sz w:val="17"/>
              </w:rPr>
              <w:t>Move the facility summary to Risk Factors or a capitalization discussion (or rely on incorporation). Expand the Description of Debt Securities to summarize the forms of indenture.</w:t>
            </w:r>
          </w:p>
        </w:tc>
      </w:tr>
      <w:tr>
        <w:tc>
          <w:tcPr>
            <w:tcW w:type="dxa" w:w="648"/>
          </w:tcPr>
          <w:p>
            <w:r/>
            <w:r>
              <w:rPr>
                <w:b/>
                <w:sz w:val="17"/>
              </w:rPr>
              <w:t>B-9</w:t>
            </w:r>
          </w:p>
        </w:tc>
        <w:tc>
          <w:tcPr>
            <w:tcW w:type="dxa" w:w="2880"/>
          </w:tcPr>
          <w:p>
            <w:r/>
            <w:r>
              <w:rPr>
                <w:sz w:val="17"/>
              </w:rPr>
              <w:t>Exhibit 4.1: A&amp;R Certificate of Incorporation incorporated from “Form S-1, File No. 333-258471.” Exhibit 4.4 uses the same file number.</w:t>
            </w:r>
          </w:p>
        </w:tc>
        <w:tc>
          <w:tcPr>
            <w:tcW w:type="dxa" w:w="2520"/>
          </w:tcPr>
          <w:p>
            <w:r/>
            <w:r>
              <w:rPr>
                <w:sz w:val="17"/>
              </w:rPr>
              <w:t>10-K Exhibits 3.1 and 3.2: S-1 “File No. 333-258472.”</w:t>
            </w:r>
          </w:p>
        </w:tc>
        <w:tc>
          <w:tcPr>
            <w:tcW w:type="dxa" w:w="4392"/>
          </w:tcPr>
          <w:p>
            <w:r/>
            <w:r>
              <w:rPr>
                <w:sz w:val="17"/>
              </w:rPr>
              <w:t>The S-1 file number is inconsistent (…471 vs. …472). A wrong cross-reference means the exhibit is not properly incorporated (Rule 411; Item 10(d) of Regulation S-K).</w:t>
            </w:r>
          </w:p>
        </w:tc>
        <w:tc>
          <w:tcPr>
            <w:tcW w:type="dxa" w:w="1008"/>
            <w:shd w:val="clear" w:color="auto" w:fill="FFF2CC"/>
          </w:tcPr>
          <w:p>
            <w:r/>
            <w:r>
              <w:rPr>
                <w:b/>
                <w:sz w:val="17"/>
              </w:rPr>
              <w:t>Medium</w:t>
            </w:r>
          </w:p>
        </w:tc>
        <w:tc>
          <w:tcPr>
            <w:tcW w:type="dxa" w:w="2376"/>
          </w:tcPr>
          <w:p>
            <w:r/>
            <w:r>
              <w:rPr>
                <w:sz w:val="17"/>
              </w:rPr>
              <w:t>Confirm the correct file number on EDGAR and add hyperlinks as required by Item 601(a)(2).</w:t>
            </w:r>
          </w:p>
        </w:tc>
      </w:tr>
      <w:tr>
        <w:tc>
          <w:tcPr>
            <w:tcW w:type="dxa" w:w="648"/>
          </w:tcPr>
          <w:p>
            <w:r/>
            <w:r>
              <w:rPr>
                <w:b/>
                <w:sz w:val="17"/>
              </w:rPr>
              <w:t>B-10</w:t>
            </w:r>
          </w:p>
        </w:tc>
        <w:tc>
          <w:tcPr>
            <w:tcW w:type="dxa" w:w="2880"/>
          </w:tcPr>
          <w:p>
            <w:r/>
            <w:r>
              <w:rPr>
                <w:sz w:val="17"/>
              </w:rPr>
              <w:t>Exhibit 4.2: A&amp;R Bylaws incorporated “by reference to Exhibit 3.2 to the Company’s Annual Report on Form 10-K for the fiscal year ended December 31, 2024.”</w:t>
            </w:r>
          </w:p>
        </w:tc>
        <w:tc>
          <w:tcPr>
            <w:tcW w:type="dxa" w:w="2520"/>
          </w:tcPr>
          <w:p>
            <w:r/>
            <w:r>
              <w:rPr>
                <w:sz w:val="17"/>
              </w:rPr>
              <w:t>10-K Exhibit 3.2 is itself incorporated by reference to the S-1. No bylaws are filed with the 10-K.</w:t>
            </w:r>
          </w:p>
        </w:tc>
        <w:tc>
          <w:tcPr>
            <w:tcW w:type="dxa" w:w="4392"/>
          </w:tcPr>
          <w:p>
            <w:r/>
            <w:r>
              <w:rPr>
                <w:sz w:val="17"/>
              </w:rPr>
              <w:t>Points to the wrong source document. Confirm whether the bylaws have been amended since the IPO; if so, the latest amended version must be filed or incorporated.</w:t>
            </w:r>
          </w:p>
        </w:tc>
        <w:tc>
          <w:tcPr>
            <w:tcW w:type="dxa" w:w="1008"/>
            <w:shd w:val="clear" w:color="auto" w:fill="FFF2CC"/>
          </w:tcPr>
          <w:p>
            <w:r/>
            <w:r>
              <w:rPr>
                <w:b/>
                <w:sz w:val="17"/>
              </w:rPr>
              <w:t>Medium</w:t>
            </w:r>
          </w:p>
        </w:tc>
        <w:tc>
          <w:tcPr>
            <w:tcW w:type="dxa" w:w="2376"/>
          </w:tcPr>
          <w:p>
            <w:r/>
            <w:r>
              <w:rPr>
                <w:sz w:val="17"/>
              </w:rPr>
              <w:t>Cite the original filing (S-1 Exhibit 3.2) or any later 8-K or 10-Q filing an amendment.</w:t>
            </w:r>
          </w:p>
        </w:tc>
      </w:tr>
      <w:tr>
        <w:tc>
          <w:tcPr>
            <w:tcW w:type="dxa" w:w="648"/>
          </w:tcPr>
          <w:p>
            <w:r/>
            <w:r>
              <w:rPr>
                <w:b/>
                <w:sz w:val="17"/>
              </w:rPr>
              <w:t>B-11</w:t>
            </w:r>
          </w:p>
        </w:tc>
        <w:tc>
          <w:tcPr>
            <w:tcW w:type="dxa" w:w="2880"/>
          </w:tcPr>
          <w:p>
            <w:r/>
            <w:r>
              <w:rPr>
                <w:sz w:val="17"/>
              </w:rPr>
              <w:t>Incorporation by Reference item 5: description of common stock in Form 8-A, “including Exhibit 4.8 to our Annual Report on Form 10-K.” Exhibit index separately uses “4.8” for Form of Unit Agreement.</w:t>
            </w:r>
          </w:p>
        </w:tc>
        <w:tc>
          <w:tcPr>
            <w:tcW w:type="dxa" w:w="2520"/>
          </w:tcPr>
          <w:p>
            <w:r/>
            <w:r>
              <w:rPr>
                <w:sz w:val="17"/>
              </w:rPr>
              <w:t>10-K exhibit index: no Exhibit 4.8 and no “Description of Securities” exhibit (only 3.1, 3.2, 4.1).</w:t>
            </w:r>
          </w:p>
        </w:tc>
        <w:tc>
          <w:tcPr>
            <w:tcW w:type="dxa" w:w="4392"/>
          </w:tcPr>
          <w:p>
            <w:r/>
            <w:r>
              <w:rPr>
                <w:sz w:val="17"/>
              </w:rPr>
              <w:t>It cross-references a 10-K exhibit that does not exist. The 10-K also appears to lack the Item 601(b)(4)(vi) description-of-securities exhibit, which a 10-K must include. The duplicate number 4.8 is also confusing.</w:t>
            </w:r>
          </w:p>
        </w:tc>
        <w:tc>
          <w:tcPr>
            <w:tcW w:type="dxa" w:w="1008"/>
            <w:shd w:val="clear" w:color="auto" w:fill="FCE5CD"/>
          </w:tcPr>
          <w:p>
            <w:r/>
            <w:r>
              <w:rPr>
                <w:b/>
                <w:sz w:val="17"/>
              </w:rPr>
              <w:t>High</w:t>
            </w:r>
          </w:p>
        </w:tc>
        <w:tc>
          <w:tcPr>
            <w:tcW w:type="dxa" w:w="2376"/>
          </w:tcPr>
          <w:p>
            <w:r/>
            <w:r>
              <w:rPr>
                <w:sz w:val="17"/>
              </w:rPr>
              <w:t>Confirm the 10-K exhibit list as filed. If the description of securities exhibit was omitted, consider a 10-K/A or filing it with the next 10-Q, then fix the cross-reference and exhibit numbering.</w:t>
            </w:r>
          </w:p>
        </w:tc>
      </w:tr>
      <w:tr>
        <w:tc>
          <w:tcPr>
            <w:tcW w:type="dxa" w:w="648"/>
          </w:tcPr>
          <w:p>
            <w:r/>
            <w:r>
              <w:rPr>
                <w:b/>
                <w:sz w:val="17"/>
              </w:rPr>
              <w:t>B-12</w:t>
            </w:r>
          </w:p>
        </w:tc>
        <w:tc>
          <w:tcPr>
            <w:tcW w:type="dxa" w:w="2880"/>
          </w:tcPr>
          <w:p>
            <w:r/>
            <w:r>
              <w:rPr>
                <w:sz w:val="17"/>
              </w:rPr>
              <w:t>Form 8-A “filed on September 14, 2021.”</w:t>
            </w:r>
          </w:p>
        </w:tc>
        <w:tc>
          <w:tcPr>
            <w:tcW w:type="dxa" w:w="2520"/>
          </w:tcPr>
          <w:p>
            <w:r/>
            <w:r>
              <w:rPr>
                <w:sz w:val="17"/>
              </w:rPr>
              <w:t>S-1 effective September 17, 2021; IPO closed September 17, 2021; Commission File No. 001-41278 (10-K).</w:t>
            </w:r>
          </w:p>
        </w:tc>
        <w:tc>
          <w:tcPr>
            <w:tcW w:type="dxa" w:w="4392"/>
          </w:tcPr>
          <w:p>
            <w:r/>
            <w:r>
              <w:rPr>
                <w:sz w:val="17"/>
              </w:rPr>
              <w:t>Plausible but unverified. Confirm the date and file number against EDGAR.</w:t>
            </w:r>
          </w:p>
        </w:tc>
        <w:tc>
          <w:tcPr>
            <w:tcW w:type="dxa" w:w="1008"/>
            <w:shd w:val="clear" w:color="auto" w:fill="D9EAD3"/>
          </w:tcPr>
          <w:p>
            <w:r/>
            <w:r>
              <w:rPr>
                <w:b/>
                <w:sz w:val="17"/>
              </w:rPr>
              <w:t>Low</w:t>
            </w:r>
          </w:p>
        </w:tc>
        <w:tc>
          <w:tcPr>
            <w:tcW w:type="dxa" w:w="2376"/>
          </w:tcPr>
          <w:p>
            <w:r/>
            <w:r>
              <w:rPr>
                <w:sz w:val="17"/>
              </w:rPr>
              <w:t>Verify on EDGAR.</w:t>
            </w:r>
          </w:p>
        </w:tc>
      </w:tr>
    </w:tbl>
    <w:p>
      <w:pPr>
        <w:spacing w:after="40"/>
      </w:pPr>
    </w:p>
    <w:p>
      <w:pPr>
        <w:pStyle w:val="Heading1"/>
      </w:pPr>
      <w:r>
        <w:t>5. Prospectus Summary, Business Description and Risk Factors</w:t>
      </w:r>
    </w:p>
    <w:tbl>
      <w:tblPr>
        <w:tblStyle w:val="TableGrid"/>
        <w:tblW w:type="auto" w:w="0"/>
        <w:jc w:val="center"/>
        <w:tblLayout w:type="fixed"/>
        <w:tblLook w:firstColumn="1" w:firstRow="1" w:lastColumn="0" w:lastRow="0" w:noHBand="0" w:noVBand="1" w:val="04A0"/>
      </w:tblPr>
      <w:tblGrid>
        <w:gridCol w:w="2304"/>
        <w:gridCol w:w="2304"/>
        <w:gridCol w:w="2304"/>
        <w:gridCol w:w="2304"/>
        <w:gridCol w:w="2304"/>
        <w:gridCol w:w="2304"/>
      </w:tblGrid>
      <w:tr>
        <w:trPr>
          <w:tblHeader w:val="true"/>
        </w:trPr>
        <w:tc>
          <w:tcPr>
            <w:tcW w:type="dxa" w:w="648"/>
            <w:shd w:val="clear" w:color="auto" w:fill="1F3A5F"/>
          </w:tcPr>
          <w:p>
            <w:r/>
            <w:r>
              <w:rPr>
                <w:b/>
                <w:color w:val="FFFFFF"/>
                <w:sz w:val="17"/>
              </w:rPr>
              <w:t>#</w:t>
            </w:r>
          </w:p>
        </w:tc>
        <w:tc>
          <w:tcPr>
            <w:tcW w:type="dxa" w:w="2880"/>
            <w:shd w:val="clear" w:color="auto" w:fill="1F3A5F"/>
          </w:tcPr>
          <w:p>
            <w:r/>
            <w:r>
              <w:rPr>
                <w:b/>
                <w:color w:val="FFFFFF"/>
                <w:sz w:val="17"/>
              </w:rPr>
              <w:t>Draft S-3 location / text</w:t>
            </w:r>
          </w:p>
        </w:tc>
        <w:tc>
          <w:tcPr>
            <w:tcW w:type="dxa" w:w="2520"/>
            <w:shd w:val="clear" w:color="auto" w:fill="1F3A5F"/>
          </w:tcPr>
          <w:p>
            <w:r/>
            <w:r>
              <w:rPr>
                <w:b/>
                <w:color w:val="FFFFFF"/>
                <w:sz w:val="17"/>
              </w:rPr>
              <w:t>Comparison source</w:t>
            </w:r>
          </w:p>
        </w:tc>
        <w:tc>
          <w:tcPr>
            <w:tcW w:type="dxa" w:w="4392"/>
            <w:shd w:val="clear" w:color="auto" w:fill="1F3A5F"/>
          </w:tcPr>
          <w:p>
            <w:r/>
            <w:r>
              <w:rPr>
                <w:b/>
                <w:color w:val="FFFFFF"/>
                <w:sz w:val="17"/>
              </w:rPr>
              <w:t>Deviation / analysis</w:t>
            </w:r>
          </w:p>
        </w:tc>
        <w:tc>
          <w:tcPr>
            <w:tcW w:type="dxa" w:w="1008"/>
            <w:shd w:val="clear" w:color="auto" w:fill="1F3A5F"/>
          </w:tcPr>
          <w:p>
            <w:r/>
            <w:r>
              <w:rPr>
                <w:b/>
                <w:color w:val="FFFFFF"/>
                <w:sz w:val="17"/>
              </w:rPr>
              <w:t>Severity</w:t>
            </w:r>
          </w:p>
        </w:tc>
        <w:tc>
          <w:tcPr>
            <w:tcW w:type="dxa" w:w="2376"/>
            <w:shd w:val="clear" w:color="auto" w:fill="1F3A5F"/>
          </w:tcPr>
          <w:p>
            <w:r/>
            <w:r>
              <w:rPr>
                <w:b/>
                <w:color w:val="FFFFFF"/>
                <w:sz w:val="17"/>
              </w:rPr>
              <w:t>Recommended action</w:t>
            </w:r>
          </w:p>
        </w:tc>
      </w:tr>
      <w:tr>
        <w:tc>
          <w:tcPr>
            <w:tcW w:type="dxa" w:w="648"/>
          </w:tcPr>
          <w:p>
            <w:r/>
            <w:r>
              <w:rPr>
                <w:b/>
                <w:sz w:val="17"/>
              </w:rPr>
              <w:t>C-1</w:t>
            </w:r>
          </w:p>
        </w:tc>
        <w:tc>
          <w:tcPr>
            <w:tcW w:type="dxa" w:w="2880"/>
          </w:tcPr>
          <w:p>
            <w:r/>
            <w:r>
              <w:rPr>
                <w:sz w:val="17"/>
              </w:rPr>
              <w:t>Our Business: only “two primary product suites … Pinnacle ERP … Pinnacle CRM.”</w:t>
            </w:r>
          </w:p>
        </w:tc>
        <w:tc>
          <w:tcPr>
            <w:tcW w:type="dxa" w:w="2520"/>
          </w:tcPr>
          <w:p>
            <w:r/>
            <w:r>
              <w:rPr>
                <w:sz w:val="17"/>
              </w:rPr>
              <w:t>10-K Item 1: DataForge Analytics acquisition (July 1, 2023, $145.0M; $110.0M cash + 823,529 shares), predictive analytics/AI integrated across ERP and CRM, cross-sell strategy, “significantly expanded” TAM. S-1 (pre-acquisition) mentions none of this.</w:t>
            </w:r>
          </w:p>
        </w:tc>
        <w:tc>
          <w:tcPr>
            <w:tcW w:type="dxa" w:w="4392"/>
          </w:tcPr>
          <w:p>
            <w:r/>
            <w:r>
              <w:rPr>
                <w:sz w:val="17"/>
              </w:rPr>
              <w:t>The business overview reflects the pre-acquisition S-1, not the current business. Omitting the Company’s most significant strategic transaction and its AI positioning makes the summary misleading by omission.</w:t>
            </w:r>
          </w:p>
        </w:tc>
        <w:tc>
          <w:tcPr>
            <w:tcW w:type="dxa" w:w="1008"/>
            <w:shd w:val="clear" w:color="auto" w:fill="FCE5CD"/>
          </w:tcPr>
          <w:p>
            <w:r/>
            <w:r>
              <w:rPr>
                <w:b/>
                <w:sz w:val="17"/>
              </w:rPr>
              <w:t>High</w:t>
            </w:r>
          </w:p>
        </w:tc>
        <w:tc>
          <w:tcPr>
            <w:tcW w:type="dxa" w:w="2376"/>
          </w:tcPr>
          <w:p>
            <w:r/>
            <w:r>
              <w:rPr>
                <w:sz w:val="17"/>
              </w:rPr>
              <w:t>Rewrite the overview from the 10-K Item 1 (ERP, CRM, DataForge predictive analytics, professional services; international footprint).</w:t>
            </w:r>
          </w:p>
        </w:tc>
      </w:tr>
      <w:tr>
        <w:tc>
          <w:tcPr>
            <w:tcW w:type="dxa" w:w="648"/>
          </w:tcPr>
          <w:p>
            <w:r/>
            <w:r>
              <w:rPr>
                <w:b/>
                <w:sz w:val="17"/>
              </w:rPr>
              <w:t>C-2</w:t>
            </w:r>
          </w:p>
        </w:tc>
        <w:tc>
          <w:tcPr>
            <w:tcW w:type="dxa" w:w="2880"/>
          </w:tcPr>
          <w:p>
            <w:r/>
            <w:r>
              <w:rPr>
                <w:sz w:val="17"/>
              </w:rPr>
              <w:t>Summary: “total revenue of $612.3 million, representing growth from prior periods.”</w:t>
            </w:r>
          </w:p>
        </w:tc>
        <w:tc>
          <w:tcPr>
            <w:tcW w:type="dxa" w:w="2520"/>
          </w:tcPr>
          <w:p>
            <w:r/>
            <w:r>
              <w:rPr>
                <w:sz w:val="17"/>
              </w:rPr>
              <w:t>10-K: $612.3M, up 22.8% from $498.7M; subscription $489.8M; net income $41.8M.</w:t>
            </w:r>
          </w:p>
        </w:tc>
        <w:tc>
          <w:tcPr>
            <w:tcW w:type="dxa" w:w="4392"/>
          </w:tcPr>
          <w:p>
            <w:r/>
            <w:r>
              <w:rPr>
                <w:sz w:val="17"/>
              </w:rPr>
              <w:t>Revenue figure ties. The “growth from prior periods” wording is vague. Any metric presented should match the 10-K exactly, and any Q1 2025 figures should come from the 10-Q.</w:t>
            </w:r>
          </w:p>
        </w:tc>
        <w:tc>
          <w:tcPr>
            <w:tcW w:type="dxa" w:w="1008"/>
            <w:shd w:val="clear" w:color="auto" w:fill="D9EAD3"/>
          </w:tcPr>
          <w:p>
            <w:r/>
            <w:r>
              <w:rPr>
                <w:b/>
                <w:sz w:val="17"/>
              </w:rPr>
              <w:t>Low</w:t>
            </w:r>
          </w:p>
        </w:tc>
        <w:tc>
          <w:tcPr>
            <w:tcW w:type="dxa" w:w="2376"/>
          </w:tcPr>
          <w:p>
            <w:r/>
            <w:r>
              <w:rPr>
                <w:sz w:val="17"/>
              </w:rPr>
              <w:t>Use the precise 10-K figures (or remove the financial data and rely on incorporation).</w:t>
            </w:r>
          </w:p>
        </w:tc>
      </w:tr>
      <w:tr>
        <w:tc>
          <w:tcPr>
            <w:tcW w:type="dxa" w:w="648"/>
          </w:tcPr>
          <w:p>
            <w:r/>
            <w:r>
              <w:rPr>
                <w:b/>
                <w:sz w:val="17"/>
              </w:rPr>
              <w:t>C-3</w:t>
            </w:r>
          </w:p>
        </w:tc>
        <w:tc>
          <w:tcPr>
            <w:tcW w:type="dxa" w:w="2880"/>
          </w:tcPr>
          <w:p>
            <w:r/>
            <w:r>
              <w:rPr>
                <w:sz w:val="17"/>
              </w:rPr>
              <w:t>Principal Offices: Austin “approximately 95,000 square feet … lease that expires in December 2026”; San Jose “approximately 25,000 square feet … expires in September 2026.”</w:t>
            </w:r>
          </w:p>
        </w:tc>
        <w:tc>
          <w:tcPr>
            <w:tcW w:type="dxa" w:w="2520"/>
          </w:tcPr>
          <w:p>
            <w:r/>
            <w:r>
              <w:rPr>
                <w:sz w:val="17"/>
              </w:rPr>
              <w:t>10-K Item 2: Austin 145,000 sq. ft., expiring December 2029; San Jose 35,000 sq. ft., expiring September 2026; London 12,000 sq. ft. (June 2028); Singapore 5,500 sq. ft. (March 2027). S-1: Austin 95,000 / December 2026; San Jose 25,000 / September 2024.</w:t>
            </w:r>
          </w:p>
        </w:tc>
        <w:tc>
          <w:tcPr>
            <w:tcW w:type="dxa" w:w="4392"/>
          </w:tcPr>
          <w:p>
            <w:r/>
            <w:r>
              <w:rPr>
                <w:sz w:val="17"/>
              </w:rPr>
              <w:t>Stale IPO-era Austin data; San Jose square footage is stale (and its expiry is a hybrid of the S-1 and 10-K). London and Singapore are omitted.</w:t>
            </w:r>
          </w:p>
        </w:tc>
        <w:tc>
          <w:tcPr>
            <w:tcW w:type="dxa" w:w="1008"/>
            <w:shd w:val="clear" w:color="auto" w:fill="FFF2CC"/>
          </w:tcPr>
          <w:p>
            <w:r/>
            <w:r>
              <w:rPr>
                <w:b/>
                <w:sz w:val="17"/>
              </w:rPr>
              <w:t>Medium</w:t>
            </w:r>
          </w:p>
        </w:tc>
        <w:tc>
          <w:tcPr>
            <w:tcW w:type="dxa" w:w="2376"/>
          </w:tcPr>
          <w:p>
            <w:r/>
            <w:r>
              <w:rPr>
                <w:sz w:val="17"/>
              </w:rPr>
              <w:t>Delete the property detail (not required by Form S-3) or conform it to 10-K Item 2.</w:t>
            </w:r>
          </w:p>
        </w:tc>
      </w:tr>
      <w:tr>
        <w:tc>
          <w:tcPr>
            <w:tcW w:type="dxa" w:w="648"/>
          </w:tcPr>
          <w:p>
            <w:r/>
            <w:r>
              <w:rPr>
                <w:b/>
                <w:sz w:val="17"/>
              </w:rPr>
              <w:t>C-4</w:t>
            </w:r>
          </w:p>
        </w:tc>
        <w:tc>
          <w:tcPr>
            <w:tcW w:type="dxa" w:w="2880"/>
          </w:tcPr>
          <w:p>
            <w:r/>
            <w:r>
              <w:rPr>
                <w:sz w:val="17"/>
              </w:rPr>
              <w:t>Competition / personnel risk factors refer to “the Austin, Texas and San Jose, California markets where we operate”; international risk factor is generic.</w:t>
            </w:r>
          </w:p>
        </w:tc>
        <w:tc>
          <w:tcPr>
            <w:tcW w:type="dxa" w:w="2520"/>
          </w:tcPr>
          <w:p>
            <w:r/>
            <w:r>
              <w:rPr>
                <w:sz w:val="17"/>
              </w:rPr>
              <w:t>10-K: offices and approximately 487 employees in London and Singapore; GDPR and PDPA obligations; FX exposure in GBP and SGD.</w:t>
            </w:r>
          </w:p>
        </w:tc>
        <w:tc>
          <w:tcPr>
            <w:tcW w:type="dxa" w:w="4392"/>
          </w:tcPr>
          <w:p>
            <w:r/>
            <w:r>
              <w:rPr>
                <w:sz w:val="17"/>
              </w:rPr>
              <w:t>Omits the Company’s international operations and the specific regulatory and FX risks disclosed in the 10-K.</w:t>
            </w:r>
          </w:p>
        </w:tc>
        <w:tc>
          <w:tcPr>
            <w:tcW w:type="dxa" w:w="1008"/>
            <w:shd w:val="clear" w:color="auto" w:fill="FFF2CC"/>
          </w:tcPr>
          <w:p>
            <w:r/>
            <w:r>
              <w:rPr>
                <w:b/>
                <w:sz w:val="17"/>
              </w:rPr>
              <w:t>Medium</w:t>
            </w:r>
          </w:p>
        </w:tc>
        <w:tc>
          <w:tcPr>
            <w:tcW w:type="dxa" w:w="2376"/>
          </w:tcPr>
          <w:p>
            <w:r/>
            <w:r>
              <w:rPr>
                <w:sz w:val="17"/>
              </w:rPr>
              <w:t>Conform to the 10-K risk factors or cross-refer to them.</w:t>
            </w:r>
          </w:p>
        </w:tc>
      </w:tr>
      <w:tr>
        <w:tc>
          <w:tcPr>
            <w:tcW w:type="dxa" w:w="648"/>
          </w:tcPr>
          <w:p>
            <w:r/>
            <w:r>
              <w:rPr>
                <w:b/>
                <w:sz w:val="17"/>
              </w:rPr>
              <w:t>C-5</w:t>
            </w:r>
          </w:p>
        </w:tc>
        <w:tc>
          <w:tcPr>
            <w:tcW w:type="dxa" w:w="2880"/>
          </w:tcPr>
          <w:p>
            <w:r/>
            <w:r>
              <w:rPr>
                <w:sz w:val="17"/>
              </w:rPr>
              <w:t>Risk factor: “We depend on a limited number of large customers for a significant portion of our revenue …”</w:t>
            </w:r>
          </w:p>
        </w:tc>
        <w:tc>
          <w:tcPr>
            <w:tcW w:type="dxa" w:w="2520"/>
          </w:tcPr>
          <w:p>
            <w:r/>
            <w:r>
              <w:rPr>
                <w:sz w:val="17"/>
              </w:rPr>
              <w:t>10-K Item 1: “No single customer accounted for more than 2% of our total revenue in FY2024”; thousands of customers; NRR approx. 118%, GRR approx. 93%. 10-K risk factors contain no customer-concentration risk.</w:t>
            </w:r>
          </w:p>
        </w:tc>
        <w:tc>
          <w:tcPr>
            <w:tcW w:type="dxa" w:w="4392"/>
          </w:tcPr>
          <w:p>
            <w:r/>
            <w:r>
              <w:rPr>
                <w:sz w:val="17"/>
              </w:rPr>
              <w:t>Directly contradicts the 10-K. A risk factor describing a concentration that does not exist is inaccurate. It also hides the real risk the 10-K identifies (retention and expansion).</w:t>
            </w:r>
          </w:p>
        </w:tc>
        <w:tc>
          <w:tcPr>
            <w:tcW w:type="dxa" w:w="1008"/>
            <w:shd w:val="clear" w:color="auto" w:fill="FCE5CD"/>
          </w:tcPr>
          <w:p>
            <w:r/>
            <w:r>
              <w:rPr>
                <w:b/>
                <w:sz w:val="17"/>
              </w:rPr>
              <w:t>High</w:t>
            </w:r>
          </w:p>
        </w:tc>
        <w:tc>
          <w:tcPr>
            <w:tcW w:type="dxa" w:w="2376"/>
          </w:tcPr>
          <w:p>
            <w:r/>
            <w:r>
              <w:rPr>
                <w:sz w:val="17"/>
              </w:rPr>
              <w:t>Delete, or replace with the 10-K’s retention/expansion risk factor.</w:t>
            </w:r>
          </w:p>
        </w:tc>
      </w:tr>
      <w:tr>
        <w:tc>
          <w:tcPr>
            <w:tcW w:type="dxa" w:w="648"/>
          </w:tcPr>
          <w:p>
            <w:r/>
            <w:r>
              <w:rPr>
                <w:b/>
                <w:sz w:val="17"/>
              </w:rPr>
              <w:t>C-6</w:t>
            </w:r>
          </w:p>
        </w:tc>
        <w:tc>
          <w:tcPr>
            <w:tcW w:type="dxa" w:w="2880"/>
          </w:tcPr>
          <w:p>
            <w:r/>
            <w:r>
              <w:rPr>
                <w:sz w:val="17"/>
              </w:rPr>
              <w:t>Risk factor: cloud hosting “provided by Amazon Web Services and Microsoft Azure.”</w:t>
            </w:r>
          </w:p>
        </w:tc>
        <w:tc>
          <w:tcPr>
            <w:tcW w:type="dxa" w:w="2520"/>
          </w:tcPr>
          <w:p>
            <w:r/>
            <w:r>
              <w:rPr>
                <w:sz w:val="17"/>
              </w:rPr>
              <w:t>10-K: “third-party public cloud infrastructure” (providers not named).</w:t>
            </w:r>
          </w:p>
        </w:tc>
        <w:tc>
          <w:tcPr>
            <w:tcW w:type="dxa" w:w="4392"/>
          </w:tcPr>
          <w:p>
            <w:r/>
            <w:r>
              <w:rPr>
                <w:sz w:val="17"/>
              </w:rPr>
              <w:t>The vendors named are not supported by the incorporated documents. They may be accurate, but they need back-up, and naming them creates a new disclosure baseline.</w:t>
            </w:r>
          </w:p>
        </w:tc>
        <w:tc>
          <w:tcPr>
            <w:tcW w:type="dxa" w:w="1008"/>
            <w:shd w:val="clear" w:color="auto" w:fill="D9EAD3"/>
          </w:tcPr>
          <w:p>
            <w:r/>
            <w:r>
              <w:rPr>
                <w:b/>
                <w:sz w:val="17"/>
              </w:rPr>
              <w:t>Low</w:t>
            </w:r>
          </w:p>
        </w:tc>
        <w:tc>
          <w:tcPr>
            <w:tcW w:type="dxa" w:w="2376"/>
          </w:tcPr>
          <w:p>
            <w:r/>
            <w:r>
              <w:rPr>
                <w:sz w:val="17"/>
              </w:rPr>
              <w:t>Confirm with the Company. Conform to the 10-K or keep the names with support.</w:t>
            </w:r>
          </w:p>
        </w:tc>
      </w:tr>
      <w:tr>
        <w:tc>
          <w:tcPr>
            <w:tcW w:type="dxa" w:w="648"/>
          </w:tcPr>
          <w:p>
            <w:r/>
            <w:r>
              <w:rPr>
                <w:b/>
                <w:sz w:val="17"/>
              </w:rPr>
              <w:t>C-7</w:t>
            </w:r>
          </w:p>
        </w:tc>
        <w:tc>
          <w:tcPr>
            <w:tcW w:type="dxa" w:w="2880"/>
          </w:tcPr>
          <w:p>
            <w:r/>
            <w:r>
              <w:rPr>
                <w:sz w:val="17"/>
              </w:rPr>
              <w:t>Risk factors: no cybersecurity risk factor and no discussion of the October 2024 incident.</w:t>
            </w:r>
          </w:p>
        </w:tc>
        <w:tc>
          <w:tcPr>
            <w:tcW w:type="dxa" w:w="2520"/>
          </w:tcPr>
          <w:p>
            <w:r/>
            <w:r>
              <w:rPr>
                <w:sz w:val="17"/>
              </w:rPr>
              <w:t>10-K Item 1A and Item 1C: October 2024 unauthorized access via a third-party component in the CRM platform; approx. 1,200 customer accounts; approx. $4.2M of costs; 8-K filed October 28, 2024 (Item 1.05); remediation completed December 2024; no material litigation to date.</w:t>
            </w:r>
          </w:p>
        </w:tc>
        <w:tc>
          <w:tcPr>
            <w:tcW w:type="dxa" w:w="4392"/>
          </w:tcPr>
          <w:p>
            <w:r/>
            <w:r>
              <w:rPr>
                <w:sz w:val="17"/>
              </w:rPr>
              <w:t>Material omission. The Draft S-3 even incorporates the October 28, 2024 8-K but says nothing about the incident. The SEC staff consistently comments when cybersecurity risk factors are hypothetical in tone after an actual incident.</w:t>
            </w:r>
          </w:p>
        </w:tc>
        <w:tc>
          <w:tcPr>
            <w:tcW w:type="dxa" w:w="1008"/>
            <w:shd w:val="clear" w:color="auto" w:fill="FCE5CD"/>
          </w:tcPr>
          <w:p>
            <w:r/>
            <w:r>
              <w:rPr>
                <w:b/>
                <w:sz w:val="17"/>
              </w:rPr>
              <w:t>High</w:t>
            </w:r>
          </w:p>
        </w:tc>
        <w:tc>
          <w:tcPr>
            <w:tcW w:type="dxa" w:w="2376"/>
          </w:tcPr>
          <w:p>
            <w:r/>
            <w:r>
              <w:rPr>
                <w:sz w:val="17"/>
              </w:rPr>
              <w:t>Add a cybersecurity and data privacy risk factor reflecting the actual incident, in line with the 10-K, or expressly cross-refer to it.</w:t>
            </w:r>
          </w:p>
        </w:tc>
      </w:tr>
      <w:tr>
        <w:tc>
          <w:tcPr>
            <w:tcW w:type="dxa" w:w="648"/>
          </w:tcPr>
          <w:p>
            <w:r/>
            <w:r>
              <w:rPr>
                <w:b/>
                <w:sz w:val="17"/>
              </w:rPr>
              <w:t>C-8</w:t>
            </w:r>
          </w:p>
        </w:tc>
        <w:tc>
          <w:tcPr>
            <w:tcW w:type="dxa" w:w="2880"/>
          </w:tcPr>
          <w:p>
            <w:r/>
            <w:r>
              <w:rPr>
                <w:sz w:val="17"/>
              </w:rPr>
              <w:t>Risk factors: acquisitions risk factor is generic (“We may pursue acquisitions …”).</w:t>
            </w:r>
          </w:p>
        </w:tc>
        <w:tc>
          <w:tcPr>
            <w:tcW w:type="dxa" w:w="2520"/>
          </w:tcPr>
          <w:p>
            <w:r/>
            <w:r>
              <w:rPr>
                <w:sz w:val="17"/>
              </w:rPr>
              <w:t>10-K: specific DataForge integration risk; $89.2M goodwill and $43.5M intangibles subject to impairment.</w:t>
            </w:r>
          </w:p>
        </w:tc>
        <w:tc>
          <w:tcPr>
            <w:tcW w:type="dxa" w:w="4392"/>
          </w:tcPr>
          <w:p>
            <w:r/>
            <w:r>
              <w:rPr>
                <w:sz w:val="17"/>
              </w:rPr>
              <w:t>Omits a current, specific risk in favor of generic text.</w:t>
            </w:r>
          </w:p>
        </w:tc>
        <w:tc>
          <w:tcPr>
            <w:tcW w:type="dxa" w:w="1008"/>
            <w:shd w:val="clear" w:color="auto" w:fill="FFF2CC"/>
          </w:tcPr>
          <w:p>
            <w:r/>
            <w:r>
              <w:rPr>
                <w:b/>
                <w:sz w:val="17"/>
              </w:rPr>
              <w:t>Medium</w:t>
            </w:r>
          </w:p>
        </w:tc>
        <w:tc>
          <w:tcPr>
            <w:tcW w:type="dxa" w:w="2376"/>
          </w:tcPr>
          <w:p>
            <w:r/>
            <w:r>
              <w:rPr>
                <w:sz w:val="17"/>
              </w:rPr>
              <w:t>Add a DataForge integration and impairment risk factor (or cross-refer).</w:t>
            </w:r>
          </w:p>
        </w:tc>
      </w:tr>
      <w:tr>
        <w:tc>
          <w:tcPr>
            <w:tcW w:type="dxa" w:w="648"/>
          </w:tcPr>
          <w:p>
            <w:r/>
            <w:r>
              <w:rPr>
                <w:b/>
                <w:sz w:val="17"/>
              </w:rPr>
              <w:t>C-9</w:t>
            </w:r>
          </w:p>
        </w:tc>
        <w:tc>
          <w:tcPr>
            <w:tcW w:type="dxa" w:w="2880"/>
          </w:tcPr>
          <w:p>
            <w:r/>
            <w:r>
              <w:rPr>
                <w:sz w:val="17"/>
              </w:rPr>
              <w:t>Risk factors: none on management turnover, AI competition, interest-rate exposure or covenant compliance.</w:t>
            </w:r>
          </w:p>
        </w:tc>
        <w:tc>
          <w:tcPr>
            <w:tcW w:type="dxa" w:w="2520"/>
          </w:tcPr>
          <w:p>
            <w:r/>
            <w:r>
              <w:rPr>
                <w:sz w:val="17"/>
              </w:rPr>
              <w:t>10-K Item 1A: management transitions (CFO 2023, CTO 2023, GC 2024); AI/ML competition; variable-rate exposure (+100 bps = approx. $2.25M a year); covenant risk.</w:t>
            </w:r>
          </w:p>
        </w:tc>
        <w:tc>
          <w:tcPr>
            <w:tcW w:type="dxa" w:w="4392"/>
          </w:tcPr>
          <w:p>
            <w:r/>
            <w:r>
              <w:rPr>
                <w:sz w:val="17"/>
              </w:rPr>
              <w:t>Material 10-K risks are not reflected. The Draft S-3 risk factor section reads as a partial, stale summary. Item 105 of Regulation S-K also discourages generic risks.</w:t>
            </w:r>
          </w:p>
        </w:tc>
        <w:tc>
          <w:tcPr>
            <w:tcW w:type="dxa" w:w="1008"/>
            <w:shd w:val="clear" w:color="auto" w:fill="FFF2CC"/>
          </w:tcPr>
          <w:p>
            <w:r/>
            <w:r>
              <w:rPr>
                <w:b/>
                <w:sz w:val="17"/>
              </w:rPr>
              <w:t>Medium</w:t>
            </w:r>
          </w:p>
        </w:tc>
        <w:tc>
          <w:tcPr>
            <w:tcW w:type="dxa" w:w="2376"/>
          </w:tcPr>
          <w:p>
            <w:r/>
            <w:r>
              <w:rPr>
                <w:sz w:val="17"/>
              </w:rPr>
              <w:t>Either cross-refer comprehensively to the 10-K and 10-Q risk factors and limit the prospectus to offering-specific risks, or conform the summary.</w:t>
            </w:r>
          </w:p>
        </w:tc>
      </w:tr>
      <w:tr>
        <w:tc>
          <w:tcPr>
            <w:tcW w:type="dxa" w:w="648"/>
          </w:tcPr>
          <w:p>
            <w:r/>
            <w:r>
              <w:rPr>
                <w:b/>
                <w:sz w:val="17"/>
              </w:rPr>
              <w:t>C-10</w:t>
            </w:r>
          </w:p>
        </w:tc>
        <w:tc>
          <w:tcPr>
            <w:tcW w:type="dxa" w:w="2880"/>
          </w:tcPr>
          <w:p>
            <w:r/>
            <w:r>
              <w:rPr>
                <w:sz w:val="17"/>
              </w:rPr>
              <w:t>Risk factors: no offering- or security-specific risks.</w:t>
            </w:r>
          </w:p>
        </w:tc>
        <w:tc>
          <w:tcPr>
            <w:tcW w:type="dxa" w:w="2520"/>
          </w:tcPr>
          <w:p>
            <w:r/>
            <w:r>
              <w:rPr>
                <w:sz w:val="17"/>
              </w:rPr>
              <w:t>Item 105 of Regulation S-K; Form S-3 Item 3.</w:t>
            </w:r>
          </w:p>
        </w:tc>
        <w:tc>
          <w:tcPr>
            <w:tcW w:type="dxa" w:w="4392"/>
          </w:tcPr>
          <w:p>
            <w:r/>
            <w:r>
              <w:rPr>
                <w:sz w:val="17"/>
              </w:rPr>
              <w:t>A universal shelf covering debt, preferred, depositary shares, warrants, purchase contracts and units should address dilution from shelf issuances, the lack of a trading market for new securities, structural subordination and secured-debt priority (the Credit Facility is secured by substantially all assets), and the effect of preferred stock on common holders. The 10-K’s own dilution risk factor references shelf registration statements.</w:t>
            </w:r>
          </w:p>
        </w:tc>
        <w:tc>
          <w:tcPr>
            <w:tcW w:type="dxa" w:w="1008"/>
            <w:shd w:val="clear" w:color="auto" w:fill="FFF2CC"/>
          </w:tcPr>
          <w:p>
            <w:r/>
            <w:r>
              <w:rPr>
                <w:b/>
                <w:sz w:val="17"/>
              </w:rPr>
              <w:t>Medium</w:t>
            </w:r>
          </w:p>
        </w:tc>
        <w:tc>
          <w:tcPr>
            <w:tcW w:type="dxa" w:w="2376"/>
          </w:tcPr>
          <w:p>
            <w:r/>
            <w:r>
              <w:rPr>
                <w:sz w:val="17"/>
              </w:rPr>
              <w:t>Add offering-related risk factors (or state that they will be in each prospectus supplement).</w:t>
            </w:r>
          </w:p>
        </w:tc>
      </w:tr>
      <w:tr>
        <w:tc>
          <w:tcPr>
            <w:tcW w:type="dxa" w:w="648"/>
          </w:tcPr>
          <w:p>
            <w:r/>
            <w:r>
              <w:rPr>
                <w:b/>
                <w:sz w:val="17"/>
              </w:rPr>
              <w:t>C-11</w:t>
            </w:r>
          </w:p>
        </w:tc>
        <w:tc>
          <w:tcPr>
            <w:tcW w:type="dxa" w:w="2880"/>
          </w:tcPr>
          <w:p>
            <w:r/>
            <w:r>
              <w:rPr>
                <w:sz w:val="17"/>
              </w:rPr>
              <w:t>Risk factors introductory language: “If any of the following risks actually occur …”</w:t>
            </w:r>
          </w:p>
        </w:tc>
        <w:tc>
          <w:tcPr>
            <w:tcW w:type="dxa" w:w="2520"/>
          </w:tcPr>
          <w:p>
            <w:r/>
            <w:r>
              <w:rPr>
                <w:sz w:val="17"/>
              </w:rPr>
              <w:t>—</w:t>
            </w:r>
          </w:p>
        </w:tc>
        <w:tc>
          <w:tcPr>
            <w:tcW w:type="dxa" w:w="4392"/>
          </w:tcPr>
          <w:p>
            <w:r/>
            <w:r>
              <w:rPr>
                <w:sz w:val="17"/>
              </w:rPr>
              <w:t>Drafting point: the section mixes a cross-reference approach with a partial list of risks. Make clear which governs, and avoid the implication that the listed risks are complete.</w:t>
            </w:r>
          </w:p>
        </w:tc>
        <w:tc>
          <w:tcPr>
            <w:tcW w:type="dxa" w:w="1008"/>
            <w:shd w:val="clear" w:color="auto" w:fill="D9EAD3"/>
          </w:tcPr>
          <w:p>
            <w:r/>
            <w:r>
              <w:rPr>
                <w:b/>
                <w:sz w:val="17"/>
              </w:rPr>
              <w:t>Low</w:t>
            </w:r>
          </w:p>
        </w:tc>
        <w:tc>
          <w:tcPr>
            <w:tcW w:type="dxa" w:w="2376"/>
          </w:tcPr>
          <w:p>
            <w:r/>
            <w:r>
              <w:rPr>
                <w:sz w:val="17"/>
              </w:rPr>
              <w:t>Clean up the introductory paragraph.</w:t>
            </w:r>
          </w:p>
        </w:tc>
      </w:tr>
    </w:tbl>
    <w:p>
      <w:pPr>
        <w:spacing w:after="40"/>
      </w:pPr>
    </w:p>
    <w:p>
      <w:pPr>
        <w:pStyle w:val="Heading1"/>
      </w:pPr>
      <w:r>
        <w:t>6. Use of Proceeds and Legal Proceedings</w:t>
      </w:r>
    </w:p>
    <w:tbl>
      <w:tblPr>
        <w:tblStyle w:val="TableGrid"/>
        <w:tblW w:type="auto" w:w="0"/>
        <w:jc w:val="center"/>
        <w:tblLayout w:type="fixed"/>
        <w:tblLook w:firstColumn="1" w:firstRow="1" w:lastColumn="0" w:lastRow="0" w:noHBand="0" w:noVBand="1" w:val="04A0"/>
      </w:tblPr>
      <w:tblGrid>
        <w:gridCol w:w="2304"/>
        <w:gridCol w:w="2304"/>
        <w:gridCol w:w="2304"/>
        <w:gridCol w:w="2304"/>
        <w:gridCol w:w="2304"/>
        <w:gridCol w:w="2304"/>
      </w:tblGrid>
      <w:tr>
        <w:trPr>
          <w:tblHeader w:val="true"/>
        </w:trPr>
        <w:tc>
          <w:tcPr>
            <w:tcW w:type="dxa" w:w="648"/>
            <w:shd w:val="clear" w:color="auto" w:fill="1F3A5F"/>
          </w:tcPr>
          <w:p>
            <w:r/>
            <w:r>
              <w:rPr>
                <w:b/>
                <w:color w:val="FFFFFF"/>
                <w:sz w:val="17"/>
              </w:rPr>
              <w:t>#</w:t>
            </w:r>
          </w:p>
        </w:tc>
        <w:tc>
          <w:tcPr>
            <w:tcW w:type="dxa" w:w="2880"/>
            <w:shd w:val="clear" w:color="auto" w:fill="1F3A5F"/>
          </w:tcPr>
          <w:p>
            <w:r/>
            <w:r>
              <w:rPr>
                <w:b/>
                <w:color w:val="FFFFFF"/>
                <w:sz w:val="17"/>
              </w:rPr>
              <w:t>Draft S-3 location / text</w:t>
            </w:r>
          </w:p>
        </w:tc>
        <w:tc>
          <w:tcPr>
            <w:tcW w:type="dxa" w:w="2520"/>
            <w:shd w:val="clear" w:color="auto" w:fill="1F3A5F"/>
          </w:tcPr>
          <w:p>
            <w:r/>
            <w:r>
              <w:rPr>
                <w:b/>
                <w:color w:val="FFFFFF"/>
                <w:sz w:val="17"/>
              </w:rPr>
              <w:t>Comparison source</w:t>
            </w:r>
          </w:p>
        </w:tc>
        <w:tc>
          <w:tcPr>
            <w:tcW w:type="dxa" w:w="4392"/>
            <w:shd w:val="clear" w:color="auto" w:fill="1F3A5F"/>
          </w:tcPr>
          <w:p>
            <w:r/>
            <w:r>
              <w:rPr>
                <w:b/>
                <w:color w:val="FFFFFF"/>
                <w:sz w:val="17"/>
              </w:rPr>
              <w:t>Deviation / analysis</w:t>
            </w:r>
          </w:p>
        </w:tc>
        <w:tc>
          <w:tcPr>
            <w:tcW w:type="dxa" w:w="1008"/>
            <w:shd w:val="clear" w:color="auto" w:fill="1F3A5F"/>
          </w:tcPr>
          <w:p>
            <w:r/>
            <w:r>
              <w:rPr>
                <w:b/>
                <w:color w:val="FFFFFF"/>
                <w:sz w:val="17"/>
              </w:rPr>
              <w:t>Severity</w:t>
            </w:r>
          </w:p>
        </w:tc>
        <w:tc>
          <w:tcPr>
            <w:tcW w:type="dxa" w:w="2376"/>
            <w:shd w:val="clear" w:color="auto" w:fill="1F3A5F"/>
          </w:tcPr>
          <w:p>
            <w:r/>
            <w:r>
              <w:rPr>
                <w:b/>
                <w:color w:val="FFFFFF"/>
                <w:sz w:val="17"/>
              </w:rPr>
              <w:t>Recommended action</w:t>
            </w:r>
          </w:p>
        </w:tc>
      </w:tr>
      <w:tr>
        <w:tc>
          <w:tcPr>
            <w:tcW w:type="dxa" w:w="648"/>
          </w:tcPr>
          <w:p>
            <w:r/>
            <w:r>
              <w:rPr>
                <w:b/>
                <w:sz w:val="17"/>
              </w:rPr>
              <w:t>D-1</w:t>
            </w:r>
          </w:p>
        </w:tc>
        <w:tc>
          <w:tcPr>
            <w:tcW w:type="dxa" w:w="2880"/>
          </w:tcPr>
          <w:p>
            <w:r/>
            <w:r>
              <w:rPr>
                <w:sz w:val="17"/>
              </w:rPr>
              <w:t>Use of Proceeds: “repay outstanding indebtedness under the Company’s bridge credit facility, which bears interest at LIBOR plus 4.50% per annum and matures on December 31, 2021. As of [●], 2021, we had approximately $85.0 million outstanding.”</w:t>
            </w:r>
          </w:p>
        </w:tc>
        <w:tc>
          <w:tcPr>
            <w:tcW w:type="dxa" w:w="2520"/>
          </w:tcPr>
          <w:p>
            <w:r/>
            <w:r>
              <w:rPr>
                <w:sz w:val="17"/>
              </w:rPr>
              <w:t>10-K Item 5 and MD&amp;A: bridge facility “fully repaid in connection with the closing of the IPO in September 2021 … no longer outstanding and was terminated.” S-1 Use of Proceeds, The Offering, Risk Factors, MD&amp;A, Note 4: identical bridge language.</w:t>
            </w:r>
          </w:p>
        </w:tc>
        <w:tc>
          <w:tcPr>
            <w:tcW w:type="dxa" w:w="4392"/>
          </w:tcPr>
          <w:p>
            <w:r/>
            <w:r>
              <w:rPr>
                <w:sz w:val="17"/>
              </w:rPr>
              <w:t>Copied verbatim from the S-1. It describes repaying debt that no longer exists, with a 2021 date and a discontinued benchmark (LIBOR). This is a materially false statement of intended use of proceeds (Item 504 of Regulation S-K). The only current debt is the Term Loan B ($225.0M outstanding).</w:t>
            </w:r>
          </w:p>
        </w:tc>
        <w:tc>
          <w:tcPr>
            <w:tcW w:type="dxa" w:w="1008"/>
            <w:shd w:val="clear" w:color="auto" w:fill="F4CCCC"/>
          </w:tcPr>
          <w:p>
            <w:r/>
            <w:r>
              <w:rPr>
                <w:b/>
                <w:sz w:val="17"/>
              </w:rPr>
              <w:t>Critical</w:t>
            </w:r>
          </w:p>
        </w:tc>
        <w:tc>
          <w:tcPr>
            <w:tcW w:type="dxa" w:w="2376"/>
          </w:tcPr>
          <w:p>
            <w:r/>
            <w:r>
              <w:rPr>
                <w:sz w:val="17"/>
              </w:rPr>
              <w:t>Delete. Use general-corporate-purposes language, and if debt repayment is contemplated, describe the Term Loan B (rate, maturity) as required by Instruction 4 to Item 504.</w:t>
            </w:r>
          </w:p>
        </w:tc>
      </w:tr>
      <w:tr>
        <w:tc>
          <w:tcPr>
            <w:tcW w:type="dxa" w:w="648"/>
          </w:tcPr>
          <w:p>
            <w:r/>
            <w:r>
              <w:rPr>
                <w:b/>
                <w:sz w:val="17"/>
              </w:rPr>
              <w:t>D-2</w:t>
            </w:r>
          </w:p>
        </w:tc>
        <w:tc>
          <w:tcPr>
            <w:tcW w:type="dxa" w:w="2880"/>
          </w:tcPr>
          <w:p>
            <w:r/>
            <w:r>
              <w:rPr>
                <w:sz w:val="17"/>
              </w:rPr>
              <w:t>Use of Proceeds: “We estimate that the net proceeds from this offering … will be approximately $[●].”</w:t>
            </w:r>
          </w:p>
        </w:tc>
        <w:tc>
          <w:tcPr>
            <w:tcW w:type="dxa" w:w="2520"/>
          </w:tcPr>
          <w:p>
            <w:r/>
            <w:r>
              <w:rPr>
                <w:sz w:val="17"/>
              </w:rPr>
              <w:t>Shelf practice; Item 504.</w:t>
            </w:r>
          </w:p>
        </w:tc>
        <w:tc>
          <w:tcPr>
            <w:tcW w:type="dxa" w:w="4392"/>
          </w:tcPr>
          <w:p>
            <w:r/>
            <w:r>
              <w:rPr>
                <w:sz w:val="17"/>
              </w:rPr>
              <w:t>A base shelf prospectus does not estimate net proceeds; that belongs in each prospectus supplement.</w:t>
            </w:r>
          </w:p>
        </w:tc>
        <w:tc>
          <w:tcPr>
            <w:tcW w:type="dxa" w:w="1008"/>
            <w:shd w:val="clear" w:color="auto" w:fill="D9EAD3"/>
          </w:tcPr>
          <w:p>
            <w:r/>
            <w:r>
              <w:rPr>
                <w:b/>
                <w:sz w:val="17"/>
              </w:rPr>
              <w:t>Low</w:t>
            </w:r>
          </w:p>
        </w:tc>
        <w:tc>
          <w:tcPr>
            <w:tcW w:type="dxa" w:w="2376"/>
          </w:tcPr>
          <w:p>
            <w:r/>
            <w:r>
              <w:rPr>
                <w:sz w:val="17"/>
              </w:rPr>
              <w:t>Delete the estimate; keep the cross-reference to the prospectus supplement.</w:t>
            </w:r>
          </w:p>
        </w:tc>
      </w:tr>
      <w:tr>
        <w:tc>
          <w:tcPr>
            <w:tcW w:type="dxa" w:w="648"/>
          </w:tcPr>
          <w:p>
            <w:r/>
            <w:r>
              <w:rPr>
                <w:b/>
                <w:sz w:val="17"/>
              </w:rPr>
              <w:t>D-3</w:t>
            </w:r>
          </w:p>
        </w:tc>
        <w:tc>
          <w:tcPr>
            <w:tcW w:type="dxa" w:w="2880"/>
          </w:tcPr>
          <w:p>
            <w:r/>
            <w:r>
              <w:rPr>
                <w:sz w:val="17"/>
              </w:rPr>
              <w:t>Veritech risk factor and Legal Proceedings: complaint “seeks damages of approximately $57.0 million.”</w:t>
            </w:r>
          </w:p>
        </w:tc>
        <w:tc>
          <w:tcPr>
            <w:tcW w:type="dxa" w:w="2520"/>
          </w:tcPr>
          <w:p>
            <w:r/>
            <w:r>
              <w:rPr>
                <w:sz w:val="17"/>
              </w:rPr>
              <w:t>10-K Item 1A, Item 3, Note 5: “seeking damages of $75.0 million, along with injunctive relief, attorneys’ fees, and costs.”</w:t>
            </w:r>
          </w:p>
        </w:tc>
        <w:tc>
          <w:tcPr>
            <w:tcW w:type="dxa" w:w="4392"/>
          </w:tcPr>
          <w:p>
            <w:r/>
            <w:r>
              <w:rPr>
                <w:sz w:val="17"/>
              </w:rPr>
              <w:t>Understates the amount claimed by $18.0 million (it looks like a transposition of 75 and 57). This is a material misstatement of a contingent liability. The actual $75.0M claim is roughly 1.8x FY2024 net income ($41.8M).</w:t>
            </w:r>
          </w:p>
        </w:tc>
        <w:tc>
          <w:tcPr>
            <w:tcW w:type="dxa" w:w="1008"/>
            <w:shd w:val="clear" w:color="auto" w:fill="F4CCCC"/>
          </w:tcPr>
          <w:p>
            <w:r/>
            <w:r>
              <w:rPr>
                <w:b/>
                <w:sz w:val="17"/>
              </w:rPr>
              <w:t>Critical</w:t>
            </w:r>
          </w:p>
        </w:tc>
        <w:tc>
          <w:tcPr>
            <w:tcW w:type="dxa" w:w="2376"/>
          </w:tcPr>
          <w:p>
            <w:r/>
            <w:r>
              <w:rPr>
                <w:sz w:val="17"/>
              </w:rPr>
              <w:t>Conform to $75.0 million and confirm against the complaint and any amended complaint.</w:t>
            </w:r>
          </w:p>
        </w:tc>
      </w:tr>
      <w:tr>
        <w:tc>
          <w:tcPr>
            <w:tcW w:type="dxa" w:w="648"/>
          </w:tcPr>
          <w:p>
            <w:r/>
            <w:r>
              <w:rPr>
                <w:b/>
                <w:sz w:val="17"/>
              </w:rPr>
              <w:t>D-4</w:t>
            </w:r>
          </w:p>
        </w:tc>
        <w:tc>
          <w:tcPr>
            <w:tcW w:type="dxa" w:w="2880"/>
          </w:tcPr>
          <w:p>
            <w:r/>
            <w:r>
              <w:rPr>
                <w:sz w:val="17"/>
              </w:rPr>
              <w:t>Legal Proceedings: “we do not currently believe that the resolution of this matter will have a material adverse effect on our financial condition, results of operations, or cash flows.”</w:t>
            </w:r>
          </w:p>
        </w:tc>
        <w:tc>
          <w:tcPr>
            <w:tcW w:type="dxa" w:w="2520"/>
          </w:tcPr>
          <w:p>
            <w:r/>
            <w:r>
              <w:rPr>
                <w:sz w:val="17"/>
              </w:rPr>
              <w:t>10-K Item 3: “an unfavorable outcome … could have a material adverse effect”; no loss accrued because not probable (ASC 450). The Draft S-3’s own risk factor says an adverse judgment “could have a material adverse effect.”</w:t>
            </w:r>
          </w:p>
        </w:tc>
        <w:tc>
          <w:tcPr>
            <w:tcW w:type="dxa" w:w="4392"/>
          </w:tcPr>
          <w:p>
            <w:r/>
            <w:r>
              <w:rPr>
                <w:sz w:val="17"/>
              </w:rPr>
              <w:t>This is a new conclusion that is more favorable than the 10-K’s, and it is internally inconsistent with the Draft S-3 risk factor. That invites SEC comment and Section 11 exposure if the case goes badly. The draft also omits the procedural status (answer and counterclaims filed June 10, 2024; discovery ongoing; no trial date) and the injunction risk to CRM features.</w:t>
            </w:r>
          </w:p>
        </w:tc>
        <w:tc>
          <w:tcPr>
            <w:tcW w:type="dxa" w:w="1008"/>
            <w:shd w:val="clear" w:color="auto" w:fill="FCE5CD"/>
          </w:tcPr>
          <w:p>
            <w:r/>
            <w:r>
              <w:rPr>
                <w:b/>
                <w:sz w:val="17"/>
              </w:rPr>
              <w:t>High</w:t>
            </w:r>
          </w:p>
        </w:tc>
        <w:tc>
          <w:tcPr>
            <w:tcW w:type="dxa" w:w="2376"/>
          </w:tcPr>
          <w:p>
            <w:r/>
            <w:r>
              <w:rPr>
                <w:sz w:val="17"/>
              </w:rPr>
              <w:t>Conform to the 10-K Item 3 text and update for any developments through the Q1 2025 10-Q and the filing date (status, any Markman ruling, trial date, accrual analysis).</w:t>
            </w:r>
          </w:p>
        </w:tc>
      </w:tr>
      <w:tr>
        <w:tc>
          <w:tcPr>
            <w:tcW w:type="dxa" w:w="648"/>
          </w:tcPr>
          <w:p>
            <w:r/>
            <w:r>
              <w:rPr>
                <w:b/>
                <w:sz w:val="17"/>
              </w:rPr>
              <w:t>D-5</w:t>
            </w:r>
          </w:p>
        </w:tc>
        <w:tc>
          <w:tcPr>
            <w:tcW w:type="dxa" w:w="2880"/>
          </w:tcPr>
          <w:p>
            <w:r/>
            <w:r>
              <w:rPr>
                <w:sz w:val="17"/>
              </w:rPr>
              <w:t>Legal Proceedings: “see Note [●] to our consolidated financial statements.”</w:t>
            </w:r>
          </w:p>
        </w:tc>
        <w:tc>
          <w:tcPr>
            <w:tcW w:type="dxa" w:w="2520"/>
          </w:tcPr>
          <w:p>
            <w:r/>
            <w:r>
              <w:rPr>
                <w:sz w:val="17"/>
              </w:rPr>
              <w:t>10-K Note 5 (Commitments and Contingencies).</w:t>
            </w:r>
          </w:p>
        </w:tc>
        <w:tc>
          <w:tcPr>
            <w:tcW w:type="dxa" w:w="4392"/>
          </w:tcPr>
          <w:p>
            <w:r/>
            <w:r>
              <w:rPr>
                <w:sz w:val="17"/>
              </w:rPr>
              <w:t>Placeholder left open.</w:t>
            </w:r>
          </w:p>
        </w:tc>
        <w:tc>
          <w:tcPr>
            <w:tcW w:type="dxa" w:w="1008"/>
            <w:shd w:val="clear" w:color="auto" w:fill="D9EAD3"/>
          </w:tcPr>
          <w:p>
            <w:r/>
            <w:r>
              <w:rPr>
                <w:b/>
                <w:sz w:val="17"/>
              </w:rPr>
              <w:t>Low</w:t>
            </w:r>
          </w:p>
        </w:tc>
        <w:tc>
          <w:tcPr>
            <w:tcW w:type="dxa" w:w="2376"/>
          </w:tcPr>
          <w:p>
            <w:r/>
            <w:r>
              <w:rPr>
                <w:sz w:val="17"/>
              </w:rPr>
              <w:t>Insert “Note 5,” or delete the section and rely on incorporation by reference.</w:t>
            </w:r>
          </w:p>
        </w:tc>
      </w:tr>
    </w:tbl>
    <w:p>
      <w:pPr>
        <w:spacing w:after="40"/>
      </w:pPr>
    </w:p>
    <w:p>
      <w:pPr>
        <w:pStyle w:val="Heading1"/>
      </w:pPr>
      <w:r>
        <w:t>7. Directors and Executive Officers; Signature Page and Power of Attorney</w:t>
      </w:r>
    </w:p>
    <w:p>
      <w:pPr>
        <w:spacing w:after="120"/>
      </w:pPr>
      <w:r>
        <w:rPr>
          <w:b w:val="0"/>
          <w:i/>
          <w:sz w:val="19"/>
        </w:rPr>
        <w:t>Overarching recommendation: Form S-3 does not require Item 401 disclosure in the prospectus. The section was carried over from the S-1 and is wrong in almost every row. We recommend deleting it and relying on incorporation by reference of the 10-K Part III and the 2025 proxy statement. If the Company insists on keeping it, every item below must be corrected.</w:t>
      </w:r>
    </w:p>
    <w:tbl>
      <w:tblPr>
        <w:tblStyle w:val="TableGrid"/>
        <w:tblW w:type="auto" w:w="0"/>
        <w:jc w:val="center"/>
        <w:tblLayout w:type="fixed"/>
        <w:tblLook w:firstColumn="1" w:firstRow="1" w:lastColumn="0" w:lastRow="0" w:noHBand="0" w:noVBand="1" w:val="04A0"/>
      </w:tblPr>
      <w:tblGrid>
        <w:gridCol w:w="2304"/>
        <w:gridCol w:w="2304"/>
        <w:gridCol w:w="2304"/>
        <w:gridCol w:w="2304"/>
        <w:gridCol w:w="2304"/>
        <w:gridCol w:w="2304"/>
      </w:tblGrid>
      <w:tr>
        <w:trPr>
          <w:tblHeader w:val="true"/>
        </w:trPr>
        <w:tc>
          <w:tcPr>
            <w:tcW w:type="dxa" w:w="648"/>
            <w:shd w:val="clear" w:color="auto" w:fill="1F3A5F"/>
          </w:tcPr>
          <w:p>
            <w:r/>
            <w:r>
              <w:rPr>
                <w:b/>
                <w:color w:val="FFFFFF"/>
                <w:sz w:val="17"/>
              </w:rPr>
              <w:t>#</w:t>
            </w:r>
          </w:p>
        </w:tc>
        <w:tc>
          <w:tcPr>
            <w:tcW w:type="dxa" w:w="2880"/>
            <w:shd w:val="clear" w:color="auto" w:fill="1F3A5F"/>
          </w:tcPr>
          <w:p>
            <w:r/>
            <w:r>
              <w:rPr>
                <w:b/>
                <w:color w:val="FFFFFF"/>
                <w:sz w:val="17"/>
              </w:rPr>
              <w:t>Draft S-3 location / text</w:t>
            </w:r>
          </w:p>
        </w:tc>
        <w:tc>
          <w:tcPr>
            <w:tcW w:type="dxa" w:w="2520"/>
            <w:shd w:val="clear" w:color="auto" w:fill="1F3A5F"/>
          </w:tcPr>
          <w:p>
            <w:r/>
            <w:r>
              <w:rPr>
                <w:b/>
                <w:color w:val="FFFFFF"/>
                <w:sz w:val="17"/>
              </w:rPr>
              <w:t>Comparison source</w:t>
            </w:r>
          </w:p>
        </w:tc>
        <w:tc>
          <w:tcPr>
            <w:tcW w:type="dxa" w:w="4392"/>
            <w:shd w:val="clear" w:color="auto" w:fill="1F3A5F"/>
          </w:tcPr>
          <w:p>
            <w:r/>
            <w:r>
              <w:rPr>
                <w:b/>
                <w:color w:val="FFFFFF"/>
                <w:sz w:val="17"/>
              </w:rPr>
              <w:t>Deviation / analysis</w:t>
            </w:r>
          </w:p>
        </w:tc>
        <w:tc>
          <w:tcPr>
            <w:tcW w:type="dxa" w:w="1008"/>
            <w:shd w:val="clear" w:color="auto" w:fill="1F3A5F"/>
          </w:tcPr>
          <w:p>
            <w:r/>
            <w:r>
              <w:rPr>
                <w:b/>
                <w:color w:val="FFFFFF"/>
                <w:sz w:val="17"/>
              </w:rPr>
              <w:t>Severity</w:t>
            </w:r>
          </w:p>
        </w:tc>
        <w:tc>
          <w:tcPr>
            <w:tcW w:type="dxa" w:w="2376"/>
            <w:shd w:val="clear" w:color="auto" w:fill="1F3A5F"/>
          </w:tcPr>
          <w:p>
            <w:r/>
            <w:r>
              <w:rPr>
                <w:b/>
                <w:color w:val="FFFFFF"/>
                <w:sz w:val="17"/>
              </w:rPr>
              <w:t>Recommended action</w:t>
            </w:r>
          </w:p>
        </w:tc>
      </w:tr>
      <w:tr>
        <w:tc>
          <w:tcPr>
            <w:tcW w:type="dxa" w:w="648"/>
          </w:tcPr>
          <w:p>
            <w:r/>
            <w:r>
              <w:rPr>
                <w:b/>
                <w:sz w:val="17"/>
              </w:rPr>
              <w:t>E-1</w:t>
            </w:r>
          </w:p>
        </w:tc>
        <w:tc>
          <w:tcPr>
            <w:tcW w:type="dxa" w:w="2880"/>
          </w:tcPr>
          <w:p>
            <w:r/>
            <w:r>
              <w:rPr>
                <w:sz w:val="17"/>
              </w:rPr>
              <w:t>Executive officers: Thomas R. Wheeler, CFO (“since August 2019”).</w:t>
            </w:r>
          </w:p>
        </w:tc>
        <w:tc>
          <w:tcPr>
            <w:tcW w:type="dxa" w:w="2520"/>
          </w:tcPr>
          <w:p>
            <w:r/>
            <w:r>
              <w:rPr>
                <w:sz w:val="17"/>
              </w:rPr>
              <w:t>10-K Item 10 and signatures: Jennifer Tsao-Park, CFO since March 6, 2023 (signs the 10-K and the 302/906 certifications). Wheeler was succeeded in 2023. S-1: Wheeler CFO “since 2018.” 10-K: Wheeler CFO “from the Company’s founding in 2014 through early 2023.”</w:t>
            </w:r>
          </w:p>
        </w:tc>
        <w:tc>
          <w:tcPr>
            <w:tcW w:type="dxa" w:w="4392"/>
          </w:tcPr>
          <w:p>
            <w:r/>
            <w:r>
              <w:rPr>
                <w:sz w:val="17"/>
              </w:rPr>
              <w:t>The wrong CFO is identified, and Wheeler’s tenure is given three different ways across the three documents.</w:t>
            </w:r>
          </w:p>
        </w:tc>
        <w:tc>
          <w:tcPr>
            <w:tcW w:type="dxa" w:w="1008"/>
            <w:shd w:val="clear" w:color="auto" w:fill="F4CCCC"/>
          </w:tcPr>
          <w:p>
            <w:r/>
            <w:r>
              <w:rPr>
                <w:b/>
                <w:sz w:val="17"/>
              </w:rPr>
              <w:t>Critical</w:t>
            </w:r>
          </w:p>
        </w:tc>
        <w:tc>
          <w:tcPr>
            <w:tcW w:type="dxa" w:w="2376"/>
          </w:tcPr>
          <w:p>
            <w:r/>
            <w:r>
              <w:rPr>
                <w:sz w:val="17"/>
              </w:rPr>
              <w:t>Replace with Jennifer Tsao-Park (age 42; bio per 10-K).</w:t>
            </w:r>
          </w:p>
        </w:tc>
      </w:tr>
      <w:tr>
        <w:tc>
          <w:tcPr>
            <w:tcW w:type="dxa" w:w="648"/>
          </w:tcPr>
          <w:p>
            <w:r/>
            <w:r>
              <w:rPr>
                <w:b/>
                <w:sz w:val="17"/>
              </w:rPr>
              <w:t>E-2</w:t>
            </w:r>
          </w:p>
        </w:tc>
        <w:tc>
          <w:tcPr>
            <w:tcW w:type="dxa" w:w="2880"/>
          </w:tcPr>
          <w:p>
            <w:r/>
            <w:r>
              <w:rPr>
                <w:sz w:val="17"/>
              </w:rPr>
              <w:t>Executive officers: Amanda Reiss, General Counsel and Secretary (“since January 2020”; formerly partner at Kirkpatrick &amp; Sullivan LLP 2013–2020; J.D. Columbia).</w:t>
            </w:r>
          </w:p>
        </w:tc>
        <w:tc>
          <w:tcPr>
            <w:tcW w:type="dxa" w:w="2520"/>
          </w:tcPr>
          <w:p>
            <w:r/>
            <w:r>
              <w:rPr>
                <w:sz w:val="17"/>
              </w:rPr>
              <w:t>10-K: Daniel K. Moretti, GC and Corporate Secretary since January 15, 2024. Reiss served “from 2019 through January 2024.” S-1: Reiss GC “since 2016,” formerly an associate at a national law firm, J.D. Georgetown.</w:t>
            </w:r>
          </w:p>
        </w:tc>
        <w:tc>
          <w:tcPr>
            <w:tcW w:type="dxa" w:w="4392"/>
          </w:tcPr>
          <w:p>
            <w:r/>
            <w:r>
              <w:rPr>
                <w:sz w:val="17"/>
              </w:rPr>
              <w:t>Former officer listed as current. Her biography is inconsistent with the S-1 on tenure, prior role and law school.</w:t>
            </w:r>
          </w:p>
        </w:tc>
        <w:tc>
          <w:tcPr>
            <w:tcW w:type="dxa" w:w="1008"/>
            <w:shd w:val="clear" w:color="auto" w:fill="F4CCCC"/>
          </w:tcPr>
          <w:p>
            <w:r/>
            <w:r>
              <w:rPr>
                <w:b/>
                <w:sz w:val="17"/>
              </w:rPr>
              <w:t>Critical</w:t>
            </w:r>
          </w:p>
        </w:tc>
        <w:tc>
          <w:tcPr>
            <w:tcW w:type="dxa" w:w="2376"/>
          </w:tcPr>
          <w:p>
            <w:r/>
            <w:r>
              <w:rPr>
                <w:sz w:val="17"/>
              </w:rPr>
              <w:t>Replace with Daniel K. Moretti (age 46; bio per 10-K).</w:t>
            </w:r>
          </w:p>
        </w:tc>
      </w:tr>
      <w:tr>
        <w:tc>
          <w:tcPr>
            <w:tcW w:type="dxa" w:w="648"/>
          </w:tcPr>
          <w:p>
            <w:r/>
            <w:r>
              <w:rPr>
                <w:b/>
                <w:sz w:val="17"/>
              </w:rPr>
              <w:t>E-3</w:t>
            </w:r>
          </w:p>
        </w:tc>
        <w:tc>
          <w:tcPr>
            <w:tcW w:type="dxa" w:w="2880"/>
          </w:tcPr>
          <w:p>
            <w:r/>
            <w:r>
              <w:rPr>
                <w:sz w:val="17"/>
              </w:rPr>
              <w:t>Executive officers: James Okoro, VP Engineering “since March 2018.”</w:t>
            </w:r>
          </w:p>
        </w:tc>
        <w:tc>
          <w:tcPr>
            <w:tcW w:type="dxa" w:w="2520"/>
          </w:tcPr>
          <w:p>
            <w:r/>
            <w:r>
              <w:rPr>
                <w:sz w:val="17"/>
              </w:rPr>
              <w:t>10-K: Okoro departed in June 2023; CTO role created and filled by Dr. Priya Venkatesh on August 1, 2023. S-1: Okoro “since 2017,” M.S. Computer Engineering (Stanford).</w:t>
            </w:r>
          </w:p>
        </w:tc>
        <w:tc>
          <w:tcPr>
            <w:tcW w:type="dxa" w:w="4392"/>
          </w:tcPr>
          <w:p>
            <w:r/>
            <w:r>
              <w:rPr>
                <w:sz w:val="17"/>
              </w:rPr>
              <w:t>Former officer listed. His tenure and degrees conflict with the S-1.</w:t>
            </w:r>
          </w:p>
        </w:tc>
        <w:tc>
          <w:tcPr>
            <w:tcW w:type="dxa" w:w="1008"/>
            <w:shd w:val="clear" w:color="auto" w:fill="FCE5CD"/>
          </w:tcPr>
          <w:p>
            <w:r/>
            <w:r>
              <w:rPr>
                <w:b/>
                <w:sz w:val="17"/>
              </w:rPr>
              <w:t>High</w:t>
            </w:r>
          </w:p>
        </w:tc>
        <w:tc>
          <w:tcPr>
            <w:tcW w:type="dxa" w:w="2376"/>
          </w:tcPr>
          <w:p>
            <w:r/>
            <w:r>
              <w:rPr>
                <w:sz w:val="17"/>
              </w:rPr>
              <w:t>Delete Okoro. Add Dr. Priya Venkatesh, CTO.</w:t>
            </w:r>
          </w:p>
        </w:tc>
      </w:tr>
      <w:tr>
        <w:tc>
          <w:tcPr>
            <w:tcW w:type="dxa" w:w="648"/>
          </w:tcPr>
          <w:p>
            <w:r/>
            <w:r>
              <w:rPr>
                <w:b/>
                <w:sz w:val="17"/>
              </w:rPr>
              <w:t>E-4</w:t>
            </w:r>
          </w:p>
        </w:tc>
        <w:tc>
          <w:tcPr>
            <w:tcW w:type="dxa" w:w="2880"/>
          </w:tcPr>
          <w:p>
            <w:r/>
            <w:r>
              <w:rPr>
                <w:sz w:val="17"/>
              </w:rPr>
              <w:t>Executive officers table lists four officers only.</w:t>
            </w:r>
          </w:p>
        </w:tc>
        <w:tc>
          <w:tcPr>
            <w:tcW w:type="dxa" w:w="2520"/>
          </w:tcPr>
          <w:p>
            <w:r/>
            <w:r>
              <w:rPr>
                <w:sz w:val="17"/>
              </w:rPr>
              <w:t>10-K: six executive officers: Ellsworth (CEO), Tsao-Park (CFO), Moretti (GC), Venkatesh (CTO), Robert Chen (CRO, June 2020), Michelle Adeyemi (CPO, September 2022).</w:t>
            </w:r>
          </w:p>
        </w:tc>
        <w:tc>
          <w:tcPr>
            <w:tcW w:type="dxa" w:w="4392"/>
          </w:tcPr>
          <w:p>
            <w:r/>
            <w:r>
              <w:rPr>
                <w:sz w:val="17"/>
              </w:rPr>
              <w:t>Chen, Adeyemi and Venkatesh are omitted.</w:t>
            </w:r>
          </w:p>
        </w:tc>
        <w:tc>
          <w:tcPr>
            <w:tcW w:type="dxa" w:w="1008"/>
            <w:shd w:val="clear" w:color="auto" w:fill="FCE5CD"/>
          </w:tcPr>
          <w:p>
            <w:r/>
            <w:r>
              <w:rPr>
                <w:b/>
                <w:sz w:val="17"/>
              </w:rPr>
              <w:t>High</w:t>
            </w:r>
          </w:p>
        </w:tc>
        <w:tc>
          <w:tcPr>
            <w:tcW w:type="dxa" w:w="2376"/>
          </w:tcPr>
          <w:p>
            <w:r/>
            <w:r>
              <w:rPr>
                <w:sz w:val="17"/>
              </w:rPr>
              <w:t>Conform to the 10-K roster (as updated by the proxy and any later 8-K Item 5.02).</w:t>
            </w:r>
          </w:p>
        </w:tc>
      </w:tr>
      <w:tr>
        <w:tc>
          <w:tcPr>
            <w:tcW w:type="dxa" w:w="648"/>
          </w:tcPr>
          <w:p>
            <w:r/>
            <w:r>
              <w:rPr>
                <w:b/>
                <w:sz w:val="17"/>
              </w:rPr>
              <w:t>E-5</w:t>
            </w:r>
          </w:p>
        </w:tc>
        <w:tc>
          <w:tcPr>
            <w:tcW w:type="dxa" w:w="2880"/>
          </w:tcPr>
          <w:p>
            <w:r/>
            <w:r>
              <w:rPr>
                <w:sz w:val="17"/>
              </w:rPr>
              <w:t>Directors table: five directors (Ellsworth, Vandermeer, Fontaine, Khalil, Hsueheh).</w:t>
            </w:r>
          </w:p>
        </w:tc>
        <w:tc>
          <w:tcPr>
            <w:tcW w:type="dxa" w:w="2520"/>
          </w:tcPr>
          <w:p>
            <w:r/>
            <w:r>
              <w:rPr>
                <w:sz w:val="17"/>
              </w:rPr>
              <w:t>10-K Item 10: seven-member board, including Gregory T. Banks (appointed February 2023; Audit Committee Chair and audit committee financial expert) and Lisa M. Cortez (appointed November 2023).</w:t>
            </w:r>
          </w:p>
        </w:tc>
        <w:tc>
          <w:tcPr>
            <w:tcW w:type="dxa" w:w="4392"/>
          </w:tcPr>
          <w:p>
            <w:r/>
            <w:r>
              <w:rPr>
                <w:sz w:val="17"/>
              </w:rPr>
              <w:t>Two sitting directors are omitted. This copies the S-1’s five-person board.</w:t>
            </w:r>
          </w:p>
        </w:tc>
        <w:tc>
          <w:tcPr>
            <w:tcW w:type="dxa" w:w="1008"/>
            <w:shd w:val="clear" w:color="auto" w:fill="FCE5CD"/>
          </w:tcPr>
          <w:p>
            <w:r/>
            <w:r>
              <w:rPr>
                <w:b/>
                <w:sz w:val="17"/>
              </w:rPr>
              <w:t>High</w:t>
            </w:r>
          </w:p>
        </w:tc>
        <w:tc>
          <w:tcPr>
            <w:tcW w:type="dxa" w:w="2376"/>
          </w:tcPr>
          <w:p>
            <w:r/>
            <w:r>
              <w:rPr>
                <w:sz w:val="17"/>
              </w:rPr>
              <w:t>Add Banks and Cortez. Confirm the post-2025 annual meeting composition.</w:t>
            </w:r>
          </w:p>
        </w:tc>
      </w:tr>
      <w:tr>
        <w:tc>
          <w:tcPr>
            <w:tcW w:type="dxa" w:w="648"/>
          </w:tcPr>
          <w:p>
            <w:r/>
            <w:r>
              <w:rPr>
                <w:b/>
                <w:sz w:val="17"/>
              </w:rPr>
              <w:t>E-6</w:t>
            </w:r>
          </w:p>
        </w:tc>
        <w:tc>
          <w:tcPr>
            <w:tcW w:type="dxa" w:w="2880"/>
          </w:tcPr>
          <w:p>
            <w:r/>
            <w:r>
              <w:rPr>
                <w:sz w:val="17"/>
              </w:rPr>
              <w:t>“Director Since” column: Vandermeer 2020; Fontaine 2019; Khalil 2021; Hsu 2020. Bios: Vandermeer since February 2020; Fontaine since June 2019; Khalil since September 2021; Hsu since April 2020.</w:t>
            </w:r>
          </w:p>
        </w:tc>
        <w:tc>
          <w:tcPr>
            <w:tcW w:type="dxa" w:w="2520"/>
          </w:tcPr>
          <w:p>
            <w:r/>
            <w:r>
              <w:rPr>
                <w:sz w:val="17"/>
              </w:rPr>
              <w:t>10-K: Vandermeer, Fontaine, Khalil and Hsu each a director “since the Company’s IPO in September 2021.” S-1 (pre-IPO): Vandermeer 2019; Fontaine 2020; Khalil 2020; Hsu 2019.</w:t>
            </w:r>
          </w:p>
        </w:tc>
        <w:tc>
          <w:tcPr>
            <w:tcW w:type="dxa" w:w="4392"/>
          </w:tcPr>
          <w:p>
            <w:r/>
            <w:r>
              <w:rPr>
                <w:sz w:val="17"/>
              </w:rPr>
              <w:t>Service dates are inconsistent across all three documents. None of the Draft S-3 dates match either source.</w:t>
            </w:r>
          </w:p>
        </w:tc>
        <w:tc>
          <w:tcPr>
            <w:tcW w:type="dxa" w:w="1008"/>
            <w:shd w:val="clear" w:color="auto" w:fill="FFF2CC"/>
          </w:tcPr>
          <w:p>
            <w:r/>
            <w:r>
              <w:rPr>
                <w:b/>
                <w:sz w:val="17"/>
              </w:rPr>
              <w:t>Medium</w:t>
            </w:r>
          </w:p>
        </w:tc>
        <w:tc>
          <w:tcPr>
            <w:tcW w:type="dxa" w:w="2376"/>
          </w:tcPr>
          <w:p>
            <w:r/>
            <w:r>
              <w:rPr>
                <w:sz w:val="17"/>
              </w:rPr>
              <w:t>Determine the correct dates from board minutes and D&amp;O questionnaires, then conform the 10-K and S-3 (and fix future Exchange Act reports).</w:t>
            </w:r>
          </w:p>
        </w:tc>
      </w:tr>
      <w:tr>
        <w:tc>
          <w:tcPr>
            <w:tcW w:type="dxa" w:w="648"/>
          </w:tcPr>
          <w:p>
            <w:r/>
            <w:r>
              <w:rPr>
                <w:b/>
                <w:sz w:val="17"/>
              </w:rPr>
              <w:t>E-7</w:t>
            </w:r>
          </w:p>
        </w:tc>
        <w:tc>
          <w:tcPr>
            <w:tcW w:type="dxa" w:w="2880"/>
          </w:tcPr>
          <w:p>
            <w:r/>
            <w:r>
              <w:rPr>
                <w:sz w:val="17"/>
              </w:rPr>
              <w:t>Director ages: Vandermeer 59; Fontaine 62; Khalil 44; Hsu 53.</w:t>
            </w:r>
          </w:p>
        </w:tc>
        <w:tc>
          <w:tcPr>
            <w:tcW w:type="dxa" w:w="2520"/>
          </w:tcPr>
          <w:p>
            <w:r/>
            <w:r>
              <w:rPr>
                <w:sz w:val="17"/>
              </w:rPr>
              <w:t>10-K: Vandermeer 61; Fontaine 55; Khalil 47; Hsu 58. S-1 (2021): Vandermeer 58; Fontaine 55; Khalil 50; Hsu 48.</w:t>
            </w:r>
          </w:p>
        </w:tc>
        <w:tc>
          <w:tcPr>
            <w:tcW w:type="dxa" w:w="4392"/>
          </w:tcPr>
          <w:p>
            <w:r/>
            <w:r>
              <w:rPr>
                <w:sz w:val="17"/>
              </w:rPr>
              <w:t>None of the ages match the 10-K. Several are also arithmetically impossible against the S-1 (e.g., Khalil 50 in 2021 but 44 or 47 in 2025; Fontaine 55 in both 2021 and 2025).</w:t>
            </w:r>
          </w:p>
        </w:tc>
        <w:tc>
          <w:tcPr>
            <w:tcW w:type="dxa" w:w="1008"/>
            <w:shd w:val="clear" w:color="auto" w:fill="FFF2CC"/>
          </w:tcPr>
          <w:p>
            <w:r/>
            <w:r>
              <w:rPr>
                <w:b/>
                <w:sz w:val="17"/>
              </w:rPr>
              <w:t>Medium</w:t>
            </w:r>
          </w:p>
        </w:tc>
        <w:tc>
          <w:tcPr>
            <w:tcW w:type="dxa" w:w="2376"/>
          </w:tcPr>
          <w:p>
            <w:r/>
            <w:r>
              <w:rPr>
                <w:sz w:val="17"/>
              </w:rPr>
              <w:t>Confirm from D&amp;O questionnaires and conform.</w:t>
            </w:r>
          </w:p>
        </w:tc>
      </w:tr>
      <w:tr>
        <w:tc>
          <w:tcPr>
            <w:tcW w:type="dxa" w:w="648"/>
          </w:tcPr>
          <w:p>
            <w:r/>
            <w:r>
              <w:rPr>
                <w:b/>
                <w:sz w:val="17"/>
              </w:rPr>
              <w:t>E-8</w:t>
            </w:r>
          </w:p>
        </w:tc>
        <w:tc>
          <w:tcPr>
            <w:tcW w:type="dxa" w:w="2880"/>
          </w:tcPr>
          <w:p>
            <w:r/>
            <w:r>
              <w:rPr>
                <w:sz w:val="17"/>
              </w:rPr>
              <w:t>Board classes: Class I (Vandermeer, Hsu), terms expiring 2026; Class III (Ellsworth, Khalil), 2025; Class II (Fontaine), 2027.</w:t>
            </w:r>
          </w:p>
        </w:tc>
        <w:tc>
          <w:tcPr>
            <w:tcW w:type="dxa" w:w="2520"/>
          </w:tcPr>
          <w:p>
            <w:r/>
            <w:r>
              <w:rPr>
                <w:sz w:val="17"/>
              </w:rPr>
              <w:t>10-K: Class I (Vandermeer, Khalil, Hsu), expiring 2025; Class II (Fontaine, Cortez), 2027; Class III (Ellsworth, Banks), 2026.</w:t>
            </w:r>
          </w:p>
        </w:tc>
        <w:tc>
          <w:tcPr>
            <w:tcW w:type="dxa" w:w="4392"/>
          </w:tcPr>
          <w:p>
            <w:r/>
            <w:r>
              <w:rPr>
                <w:sz w:val="17"/>
              </w:rPr>
              <w:t>Class assignments and expiry years conflict with the 10-K. The Class I terms expired at the 2025 annual meeting (proxy filed April 14, 2025), so the post-meeting results (Item 5.07 8-K) must be reflected.</w:t>
            </w:r>
          </w:p>
        </w:tc>
        <w:tc>
          <w:tcPr>
            <w:tcW w:type="dxa" w:w="1008"/>
            <w:shd w:val="clear" w:color="auto" w:fill="FFF2CC"/>
          </w:tcPr>
          <w:p>
            <w:r/>
            <w:r>
              <w:rPr>
                <w:b/>
                <w:sz w:val="17"/>
              </w:rPr>
              <w:t>Medium</w:t>
            </w:r>
          </w:p>
        </w:tc>
        <w:tc>
          <w:tcPr>
            <w:tcW w:type="dxa" w:w="2376"/>
          </w:tcPr>
          <w:p>
            <w:r/>
            <w:r>
              <w:rPr>
                <w:sz w:val="17"/>
              </w:rPr>
              <w:t>Conform to the charter, 10-K and 2025 meeting results.</w:t>
            </w:r>
          </w:p>
        </w:tc>
      </w:tr>
      <w:tr>
        <w:tc>
          <w:tcPr>
            <w:tcW w:type="dxa" w:w="648"/>
          </w:tcPr>
          <w:p>
            <w:r/>
            <w:r>
              <w:rPr>
                <w:b/>
                <w:sz w:val="17"/>
              </w:rPr>
              <w:t>E-9</w:t>
            </w:r>
          </w:p>
        </w:tc>
        <w:tc>
          <w:tcPr>
            <w:tcW w:type="dxa" w:w="2880"/>
          </w:tcPr>
          <w:p>
            <w:r/>
            <w:r>
              <w:rPr>
                <w:sz w:val="17"/>
              </w:rPr>
              <w:t>Biographies: Vandermeer, CEO of Aldersgate Health Systems; Ph.D. Biomedical Engineering (Johns Hopkins). Fontaine, Managing Director, Thornfield Capital Partners since 2009. Khalil, founder and CEO of Lumen Dynamics. Hsu, CTO of Horizon Cloud Computing; former VP Infrastructure, AWS.</w:t>
            </w:r>
          </w:p>
        </w:tc>
        <w:tc>
          <w:tcPr>
            <w:tcW w:type="dxa" w:w="2520"/>
          </w:tcPr>
          <w:p>
            <w:r/>
            <w:r>
              <w:rPr>
                <w:sz w:val="17"/>
              </w:rPr>
              <w:t>10-K: Vandermeer, senior executive at enterprise software companies. Fontaine, Managing Director, Evergreen Capital Partners. Khalil, COO of Meridian Digital. Hsu, Partner, Pacific Rim Ventures. S-1: Vandermeer Ph.D. EE (MIT), former public-company CEO; Fontaine Managing Partner of a PE firm; Khalil former CMO of a Fortune 500 company; Hsu co-founder/partner of a VC firm.</w:t>
            </w:r>
          </w:p>
        </w:tc>
        <w:tc>
          <w:tcPr>
            <w:tcW w:type="dxa" w:w="4392"/>
          </w:tcPr>
          <w:p>
            <w:r/>
            <w:r>
              <w:rPr>
                <w:sz w:val="17"/>
              </w:rPr>
              <w:t>Principal occupations and credentials conflict with both prior filings. This matters for Item 401(e), independence (Nasdaq Rule 5605) and related-person (Item 404) analysis; for example, Hsu’s claimed former AWS role sits alongside an AWS hosting dependency.</w:t>
            </w:r>
          </w:p>
        </w:tc>
        <w:tc>
          <w:tcPr>
            <w:tcW w:type="dxa" w:w="1008"/>
            <w:shd w:val="clear" w:color="auto" w:fill="FCE5CD"/>
          </w:tcPr>
          <w:p>
            <w:r/>
            <w:r>
              <w:rPr>
                <w:b/>
                <w:sz w:val="17"/>
              </w:rPr>
              <w:t>High</w:t>
            </w:r>
          </w:p>
        </w:tc>
        <w:tc>
          <w:tcPr>
            <w:tcW w:type="dxa" w:w="2376"/>
          </w:tcPr>
          <w:p>
            <w:r/>
            <w:r>
              <w:rPr>
                <w:sz w:val="17"/>
              </w:rPr>
              <w:t>Rebuild bios from current D&amp;O questionnaires. Re-run the independence and Item 404 review for any new affiliations.</w:t>
            </w:r>
          </w:p>
        </w:tc>
      </w:tr>
      <w:tr>
        <w:tc>
          <w:tcPr>
            <w:tcW w:type="dxa" w:w="648"/>
          </w:tcPr>
          <w:p>
            <w:r/>
            <w:r>
              <w:rPr>
                <w:b/>
                <w:sz w:val="17"/>
              </w:rPr>
              <w:t>E-10</w:t>
            </w:r>
          </w:p>
        </w:tc>
        <w:tc>
          <w:tcPr>
            <w:tcW w:type="dxa" w:w="2880"/>
          </w:tcPr>
          <w:p>
            <w:r/>
            <w:r>
              <w:rPr>
                <w:sz w:val="17"/>
              </w:rPr>
              <w:t>Name: “William Hsueheh” in the table, the bio heading and the signature block; “Mr. Hsu” in the text.</w:t>
            </w:r>
          </w:p>
        </w:tc>
        <w:tc>
          <w:tcPr>
            <w:tcW w:type="dxa" w:w="2520"/>
          </w:tcPr>
          <w:p>
            <w:r/>
            <w:r>
              <w:rPr>
                <w:sz w:val="17"/>
              </w:rPr>
              <w:t>S-1: “William Hsu” throughout. The 10-K repeats the “Hsueheh” / “Mr. Hsu” inconsistency.</w:t>
            </w:r>
          </w:p>
        </w:tc>
        <w:tc>
          <w:tcPr>
            <w:tcW w:type="dxa" w:w="4392"/>
          </w:tcPr>
          <w:p>
            <w:r/>
            <w:r>
              <w:rPr>
                <w:sz w:val="17"/>
              </w:rPr>
              <w:t>Apparent typographical corruption of the director’s name, which carries into the signature block of a document he must sign.</w:t>
            </w:r>
          </w:p>
        </w:tc>
        <w:tc>
          <w:tcPr>
            <w:tcW w:type="dxa" w:w="1008"/>
            <w:shd w:val="clear" w:color="auto" w:fill="FFF2CC"/>
          </w:tcPr>
          <w:p>
            <w:r/>
            <w:r>
              <w:rPr>
                <w:b/>
                <w:sz w:val="17"/>
              </w:rPr>
              <w:t>Medium</w:t>
            </w:r>
          </w:p>
        </w:tc>
        <w:tc>
          <w:tcPr>
            <w:tcW w:type="dxa" w:w="2376"/>
          </w:tcPr>
          <w:p>
            <w:r/>
            <w:r>
              <w:rPr>
                <w:sz w:val="17"/>
              </w:rPr>
              <w:t>Confirm the legal name with the director. Correct the S-3 and future filings.</w:t>
            </w:r>
          </w:p>
        </w:tc>
      </w:tr>
      <w:tr>
        <w:tc>
          <w:tcPr>
            <w:tcW w:type="dxa" w:w="648"/>
          </w:tcPr>
          <w:p>
            <w:r/>
            <w:r>
              <w:rPr>
                <w:b/>
                <w:sz w:val="17"/>
              </w:rPr>
              <w:t>E-11</w:t>
            </w:r>
          </w:p>
        </w:tc>
        <w:tc>
          <w:tcPr>
            <w:tcW w:type="dxa" w:w="2880"/>
          </w:tcPr>
          <w:p>
            <w:r/>
            <w:r>
              <w:rPr>
                <w:sz w:val="17"/>
              </w:rPr>
              <w:t>Wheeler bio: VP Finance at Ridgeline Technologies 2014–2019; Dunlevy LLP 2000–2014; B.B.A. (SMU).</w:t>
            </w:r>
          </w:p>
        </w:tc>
        <w:tc>
          <w:tcPr>
            <w:tcW w:type="dxa" w:w="2520"/>
          </w:tcPr>
          <w:p>
            <w:r/>
            <w:r>
              <w:rPr>
                <w:sz w:val="17"/>
              </w:rPr>
              <w:t>10-K: Wheeler CFO of Pinnacle from 2014. S-1: CFO since 2018; prior VP Finance at a public software company; B.S. Accounting (SMU) and MBA (Wharton).</w:t>
            </w:r>
          </w:p>
        </w:tc>
        <w:tc>
          <w:tcPr>
            <w:tcW w:type="dxa" w:w="4392"/>
          </w:tcPr>
          <w:p>
            <w:r/>
            <w:r>
              <w:rPr>
                <w:sz w:val="17"/>
              </w:rPr>
              <w:t>The biographical history is irreconcilable among the three documents. It is moot once Wheeler is removed, but it suggests the S-3 bios were not diligenced.</w:t>
            </w:r>
          </w:p>
        </w:tc>
        <w:tc>
          <w:tcPr>
            <w:tcW w:type="dxa" w:w="1008"/>
            <w:shd w:val="clear" w:color="auto" w:fill="D9EAD3"/>
          </w:tcPr>
          <w:p>
            <w:r/>
            <w:r>
              <w:rPr>
                <w:b/>
                <w:sz w:val="17"/>
              </w:rPr>
              <w:t>Low</w:t>
            </w:r>
          </w:p>
        </w:tc>
        <w:tc>
          <w:tcPr>
            <w:tcW w:type="dxa" w:w="2376"/>
          </w:tcPr>
          <w:p>
            <w:r/>
            <w:r>
              <w:rPr>
                <w:sz w:val="17"/>
              </w:rPr>
              <w:t>Delete with E-1.</w:t>
            </w:r>
          </w:p>
        </w:tc>
      </w:tr>
      <w:tr>
        <w:tc>
          <w:tcPr>
            <w:tcW w:type="dxa" w:w="648"/>
          </w:tcPr>
          <w:p>
            <w:r/>
            <w:r>
              <w:rPr>
                <w:b/>
                <w:sz w:val="17"/>
              </w:rPr>
              <w:t>E-12</w:t>
            </w:r>
          </w:p>
        </w:tc>
        <w:tc>
          <w:tcPr>
            <w:tcW w:type="dxa" w:w="2880"/>
          </w:tcPr>
          <w:p>
            <w:r/>
            <w:r>
              <w:rPr>
                <w:sz w:val="17"/>
              </w:rPr>
              <w:t>Signature page: Thomas R. Wheeler signs as “Chief Financial Officer (Principal Financial Officer and Principal Accounting Officer).”</w:t>
            </w:r>
          </w:p>
        </w:tc>
        <w:tc>
          <w:tcPr>
            <w:tcW w:type="dxa" w:w="2520"/>
          </w:tcPr>
          <w:p>
            <w:r/>
            <w:r>
              <w:rPr>
                <w:sz w:val="17"/>
              </w:rPr>
              <w:t>Securities Act Section 6(a); Form S-3 Instructions for Signatures. 10-K signatures: Tsao-Park as PFO/PAO.</w:t>
            </w:r>
          </w:p>
        </w:tc>
        <w:tc>
          <w:tcPr>
            <w:tcW w:type="dxa" w:w="4392"/>
          </w:tcPr>
          <w:p>
            <w:r/>
            <w:r>
              <w:rPr>
                <w:sz w:val="17"/>
              </w:rPr>
              <w:t>The registration statement must be signed by the principal financial officer and the controller or principal accounting officer. A former officer cannot sign, so the filing would be defective. It also misidentifies the person who bears Section 11 liability as a signatory.</w:t>
            </w:r>
          </w:p>
        </w:tc>
        <w:tc>
          <w:tcPr>
            <w:tcW w:type="dxa" w:w="1008"/>
            <w:shd w:val="clear" w:color="auto" w:fill="F4CCCC"/>
          </w:tcPr>
          <w:p>
            <w:r/>
            <w:r>
              <w:rPr>
                <w:b/>
                <w:sz w:val="17"/>
              </w:rPr>
              <w:t>Critical</w:t>
            </w:r>
          </w:p>
        </w:tc>
        <w:tc>
          <w:tcPr>
            <w:tcW w:type="dxa" w:w="2376"/>
          </w:tcPr>
          <w:p>
            <w:r/>
            <w:r>
              <w:rPr>
                <w:sz w:val="17"/>
              </w:rPr>
              <w:t>Replace with Jennifer Tsao-Park (or whoever is PAO if different).</w:t>
            </w:r>
          </w:p>
        </w:tc>
      </w:tr>
      <w:tr>
        <w:tc>
          <w:tcPr>
            <w:tcW w:type="dxa" w:w="648"/>
          </w:tcPr>
          <w:p>
            <w:r/>
            <w:r>
              <w:rPr>
                <w:b/>
                <w:sz w:val="17"/>
              </w:rPr>
              <w:t>E-13</w:t>
            </w:r>
          </w:p>
        </w:tc>
        <w:tc>
          <w:tcPr>
            <w:tcW w:type="dxa" w:w="2880"/>
          </w:tcPr>
          <w:p>
            <w:r/>
            <w:r>
              <w:rPr>
                <w:sz w:val="17"/>
              </w:rPr>
              <w:t>Signature page: director signature blocks for Ellsworth, Vandermeer, Fontaine, Khalil, Hsueheh only.</w:t>
            </w:r>
          </w:p>
        </w:tc>
        <w:tc>
          <w:tcPr>
            <w:tcW w:type="dxa" w:w="2520"/>
          </w:tcPr>
          <w:p>
            <w:r/>
            <w:r>
              <w:rPr>
                <w:sz w:val="17"/>
              </w:rPr>
              <w:t>10-K: seven directors.</w:t>
            </w:r>
          </w:p>
        </w:tc>
        <w:tc>
          <w:tcPr>
            <w:tcW w:type="dxa" w:w="4392"/>
          </w:tcPr>
          <w:p>
            <w:r/>
            <w:r>
              <w:rPr>
                <w:sz w:val="17"/>
              </w:rPr>
              <w:t>A majority of the board must sign. Five of seven technically satisfies that, but Banks and Cortez are omitted, so the board is presented inaccurately. Each director is liable under Section 11(a)(2) whether or not they sign.</w:t>
            </w:r>
          </w:p>
        </w:tc>
        <w:tc>
          <w:tcPr>
            <w:tcW w:type="dxa" w:w="1008"/>
            <w:shd w:val="clear" w:color="auto" w:fill="FCE5CD"/>
          </w:tcPr>
          <w:p>
            <w:r/>
            <w:r>
              <w:rPr>
                <w:b/>
                <w:sz w:val="17"/>
              </w:rPr>
              <w:t>High</w:t>
            </w:r>
          </w:p>
        </w:tc>
        <w:tc>
          <w:tcPr>
            <w:tcW w:type="dxa" w:w="2376"/>
          </w:tcPr>
          <w:p>
            <w:r/>
            <w:r>
              <w:rPr>
                <w:sz w:val="17"/>
              </w:rPr>
              <w:t>Add signature blocks for all seven current directors (as of the filing date).</w:t>
            </w:r>
          </w:p>
        </w:tc>
      </w:tr>
      <w:tr>
        <w:tc>
          <w:tcPr>
            <w:tcW w:type="dxa" w:w="648"/>
          </w:tcPr>
          <w:p>
            <w:r/>
            <w:r>
              <w:rPr>
                <w:b/>
                <w:sz w:val="17"/>
              </w:rPr>
              <w:t>E-14</w:t>
            </w:r>
          </w:p>
        </w:tc>
        <w:tc>
          <w:tcPr>
            <w:tcW w:type="dxa" w:w="2880"/>
          </w:tcPr>
          <w:p>
            <w:r/>
            <w:r>
              <w:rPr>
                <w:sz w:val="17"/>
              </w:rPr>
              <w:t>Power of attorney appoints “Marcus J. Ellsworth and Thomas R. Wheeler” as attorneys-in-fact.</w:t>
            </w:r>
          </w:p>
        </w:tc>
        <w:tc>
          <w:tcPr>
            <w:tcW w:type="dxa" w:w="2520"/>
          </w:tcPr>
          <w:p>
            <w:r/>
            <w:r>
              <w:rPr>
                <w:sz w:val="17"/>
              </w:rPr>
              <w:t>10-K POA: Ellsworth and Jennifer Tsao-Park.</w:t>
            </w:r>
          </w:p>
        </w:tc>
        <w:tc>
          <w:tcPr>
            <w:tcW w:type="dxa" w:w="4392"/>
          </w:tcPr>
          <w:p>
            <w:r/>
            <w:r>
              <w:rPr>
                <w:sz w:val="17"/>
              </w:rPr>
              <w:t>Appointing a former officer as attorney-in-fact undermines the ability to sign post-effective amendments and Rule 462(b) filings.</w:t>
            </w:r>
          </w:p>
        </w:tc>
        <w:tc>
          <w:tcPr>
            <w:tcW w:type="dxa" w:w="1008"/>
            <w:shd w:val="clear" w:color="auto" w:fill="FCE5CD"/>
          </w:tcPr>
          <w:p>
            <w:r/>
            <w:r>
              <w:rPr>
                <w:b/>
                <w:sz w:val="17"/>
              </w:rPr>
              <w:t>High</w:t>
            </w:r>
          </w:p>
        </w:tc>
        <w:tc>
          <w:tcPr>
            <w:tcW w:type="dxa" w:w="2376"/>
          </w:tcPr>
          <w:p>
            <w:r/>
            <w:r>
              <w:rPr>
                <w:sz w:val="17"/>
              </w:rPr>
              <w:t>Appoint Ellsworth and Tsao-Park (and possibly Moretti). The POA should also cover post-effective amendments under Rule 413(b) for adding securities classes to an automatic shelf.</w:t>
            </w:r>
          </w:p>
        </w:tc>
      </w:tr>
    </w:tbl>
    <w:p>
      <w:pPr>
        <w:spacing w:after="40"/>
      </w:pPr>
    </w:p>
    <w:p>
      <w:pPr>
        <w:pStyle w:val="Heading1"/>
      </w:pPr>
      <w:r>
        <w:t>8. Tax Disclosure, Experts, Available Information, Incorporation by Reference, Exhibits and Omitted Items</w:t>
      </w:r>
    </w:p>
    <w:tbl>
      <w:tblPr>
        <w:tblStyle w:val="TableGrid"/>
        <w:tblW w:type="auto" w:w="0"/>
        <w:jc w:val="center"/>
        <w:tblLayout w:type="fixed"/>
        <w:tblLook w:firstColumn="1" w:firstRow="1" w:lastColumn="0" w:lastRow="0" w:noHBand="0" w:noVBand="1" w:val="04A0"/>
      </w:tblPr>
      <w:tblGrid>
        <w:gridCol w:w="2304"/>
        <w:gridCol w:w="2304"/>
        <w:gridCol w:w="2304"/>
        <w:gridCol w:w="2304"/>
        <w:gridCol w:w="2304"/>
        <w:gridCol w:w="2304"/>
      </w:tblGrid>
      <w:tr>
        <w:trPr>
          <w:tblHeader w:val="true"/>
        </w:trPr>
        <w:tc>
          <w:tcPr>
            <w:tcW w:type="dxa" w:w="648"/>
            <w:shd w:val="clear" w:color="auto" w:fill="1F3A5F"/>
          </w:tcPr>
          <w:p>
            <w:r/>
            <w:r>
              <w:rPr>
                <w:b/>
                <w:color w:val="FFFFFF"/>
                <w:sz w:val="17"/>
              </w:rPr>
              <w:t>#</w:t>
            </w:r>
          </w:p>
        </w:tc>
        <w:tc>
          <w:tcPr>
            <w:tcW w:type="dxa" w:w="2880"/>
            <w:shd w:val="clear" w:color="auto" w:fill="1F3A5F"/>
          </w:tcPr>
          <w:p>
            <w:r/>
            <w:r>
              <w:rPr>
                <w:b/>
                <w:color w:val="FFFFFF"/>
                <w:sz w:val="17"/>
              </w:rPr>
              <w:t>Draft S-3 location / text</w:t>
            </w:r>
          </w:p>
        </w:tc>
        <w:tc>
          <w:tcPr>
            <w:tcW w:type="dxa" w:w="2520"/>
            <w:shd w:val="clear" w:color="auto" w:fill="1F3A5F"/>
          </w:tcPr>
          <w:p>
            <w:r/>
            <w:r>
              <w:rPr>
                <w:b/>
                <w:color w:val="FFFFFF"/>
                <w:sz w:val="17"/>
              </w:rPr>
              <w:t>Comparison source</w:t>
            </w:r>
          </w:p>
        </w:tc>
        <w:tc>
          <w:tcPr>
            <w:tcW w:type="dxa" w:w="4392"/>
            <w:shd w:val="clear" w:color="auto" w:fill="1F3A5F"/>
          </w:tcPr>
          <w:p>
            <w:r/>
            <w:r>
              <w:rPr>
                <w:b/>
                <w:color w:val="FFFFFF"/>
                <w:sz w:val="17"/>
              </w:rPr>
              <w:t>Deviation / analysis</w:t>
            </w:r>
          </w:p>
        </w:tc>
        <w:tc>
          <w:tcPr>
            <w:tcW w:type="dxa" w:w="1008"/>
            <w:shd w:val="clear" w:color="auto" w:fill="1F3A5F"/>
          </w:tcPr>
          <w:p>
            <w:r/>
            <w:r>
              <w:rPr>
                <w:b/>
                <w:color w:val="FFFFFF"/>
                <w:sz w:val="17"/>
              </w:rPr>
              <w:t>Severity</w:t>
            </w:r>
          </w:p>
        </w:tc>
        <w:tc>
          <w:tcPr>
            <w:tcW w:type="dxa" w:w="2376"/>
            <w:shd w:val="clear" w:color="auto" w:fill="1F3A5F"/>
          </w:tcPr>
          <w:p>
            <w:r/>
            <w:r>
              <w:rPr>
                <w:b/>
                <w:color w:val="FFFFFF"/>
                <w:sz w:val="17"/>
              </w:rPr>
              <w:t>Recommended action</w:t>
            </w:r>
          </w:p>
        </w:tc>
      </w:tr>
      <w:tr>
        <w:tc>
          <w:tcPr>
            <w:tcW w:type="dxa" w:w="648"/>
          </w:tcPr>
          <w:p>
            <w:r/>
            <w:r>
              <w:rPr>
                <w:b/>
                <w:sz w:val="17"/>
              </w:rPr>
              <w:t>F-1</w:t>
            </w:r>
          </w:p>
        </w:tc>
        <w:tc>
          <w:tcPr>
            <w:tcW w:type="dxa" w:w="2880"/>
          </w:tcPr>
          <w:p>
            <w:r/>
            <w:r>
              <w:rPr>
                <w:sz w:val="17"/>
              </w:rPr>
              <w:t>Tax: “Corporate Alternative Minimum Tax … Under Section 55 … imposed at a rate of 20% on AMTI in excess of a $40,000 exemption amount (subject to phase-out).”</w:t>
            </w:r>
          </w:p>
        </w:tc>
        <w:tc>
          <w:tcPr>
            <w:tcW w:type="dxa" w:w="2520"/>
          </w:tcPr>
          <w:p>
            <w:r/>
            <w:r>
              <w:rPr>
                <w:sz w:val="17"/>
              </w:rPr>
              <w:t>Current Internal Revenue Code (not in the comparison documents).</w:t>
            </w:r>
          </w:p>
        </w:tc>
        <w:tc>
          <w:tcPr>
            <w:tcW w:type="dxa" w:w="4392"/>
          </w:tcPr>
          <w:p>
            <w:r/>
            <w:r>
              <w:rPr>
                <w:sz w:val="17"/>
              </w:rPr>
              <w:t>Legally wrong. The 20% corporate AMT and $40,000 exemption were repealed for tax years beginning after December 31, 2017 (Tax Cuts and Jobs Act). The Inflation Reduction Act of 2022 introduced a new 15% corporate AMT on adjusted financial statement income, which applies only to corporations averaging more than $1 billion of AFSI, so it is generally not relevant to investors’ holding of the securities.</w:t>
            </w:r>
          </w:p>
        </w:tc>
        <w:tc>
          <w:tcPr>
            <w:tcW w:type="dxa" w:w="1008"/>
            <w:shd w:val="clear" w:color="auto" w:fill="FCE5CD"/>
          </w:tcPr>
          <w:p>
            <w:r/>
            <w:r>
              <w:rPr>
                <w:b/>
                <w:sz w:val="17"/>
              </w:rPr>
              <w:t>High</w:t>
            </w:r>
          </w:p>
        </w:tc>
        <w:tc>
          <w:tcPr>
            <w:tcW w:type="dxa" w:w="2376"/>
          </w:tcPr>
          <w:p>
            <w:r/>
            <w:r>
              <w:rPr>
                <w:sz w:val="17"/>
              </w:rPr>
              <w:t>Delete the paragraph. Have tax counsel review the entire section.</w:t>
            </w:r>
          </w:p>
        </w:tc>
      </w:tr>
      <w:tr>
        <w:tc>
          <w:tcPr>
            <w:tcW w:type="dxa" w:w="648"/>
          </w:tcPr>
          <w:p>
            <w:r/>
            <w:r>
              <w:rPr>
                <w:b/>
                <w:sz w:val="17"/>
              </w:rPr>
              <w:t>F-2</w:t>
            </w:r>
          </w:p>
        </w:tc>
        <w:tc>
          <w:tcPr>
            <w:tcW w:type="dxa" w:w="2880"/>
          </w:tcPr>
          <w:p>
            <w:r/>
            <w:r>
              <w:rPr>
                <w:sz w:val="17"/>
              </w:rPr>
              <w:t>Tax scope: excludes “persons who are not citizens or residents of the United States” but then discusses “Non-U.S. Holders.” No definitions of U.S. or non-U.S. holder; no FATCA; no USRPHC statement; no discussion of debt, preferred, warrants or OID.</w:t>
            </w:r>
          </w:p>
        </w:tc>
        <w:tc>
          <w:tcPr>
            <w:tcW w:type="dxa" w:w="2520"/>
          </w:tcPr>
          <w:p>
            <w:r/>
            <w:r>
              <w:rPr>
                <w:sz w:val="17"/>
              </w:rPr>
              <w:t>S-1 tax section: definitions, FATCA-style certifications, USRPHC statement.</w:t>
            </w:r>
          </w:p>
        </w:tc>
        <w:tc>
          <w:tcPr>
            <w:tcW w:type="dxa" w:w="4392"/>
          </w:tcPr>
          <w:p>
            <w:r/>
            <w:r>
              <w:rPr>
                <w:sz w:val="17"/>
              </w:rPr>
              <w:t>The section is internally inconsistent and incomplete for a universal shelf. If titled “Material” tax consequences it may also call for an Exhibit 8 tax opinion (Item 601(b)(8); Staff Legal Bulletin No. 19).</w:t>
            </w:r>
          </w:p>
        </w:tc>
        <w:tc>
          <w:tcPr>
            <w:tcW w:type="dxa" w:w="1008"/>
            <w:shd w:val="clear" w:color="auto" w:fill="FCE5CD"/>
          </w:tcPr>
          <w:p>
            <w:r/>
            <w:r>
              <w:rPr>
                <w:b/>
                <w:sz w:val="17"/>
              </w:rPr>
              <w:t>High</w:t>
            </w:r>
          </w:p>
        </w:tc>
        <w:tc>
          <w:tcPr>
            <w:tcW w:type="dxa" w:w="2376"/>
          </w:tcPr>
          <w:p>
            <w:r/>
            <w:r>
              <w:rPr>
                <w:sz w:val="17"/>
              </w:rPr>
              <w:t>Prefer removing the tax section from the base prospectus and addressing tax in each prospectus supplement. Otherwise rewrite it completely and add Exhibit 8.1 if needed.</w:t>
            </w:r>
          </w:p>
        </w:tc>
      </w:tr>
      <w:tr>
        <w:tc>
          <w:tcPr>
            <w:tcW w:type="dxa" w:w="648"/>
          </w:tcPr>
          <w:p>
            <w:r/>
            <w:r>
              <w:rPr>
                <w:b/>
                <w:sz w:val="17"/>
              </w:rPr>
              <w:t>F-3</w:t>
            </w:r>
          </w:p>
        </w:tc>
        <w:tc>
          <w:tcPr>
            <w:tcW w:type="dxa" w:w="2880"/>
          </w:tcPr>
          <w:p>
            <w:r/>
            <w:r>
              <w:rPr>
                <w:sz w:val="17"/>
              </w:rPr>
              <w:t>Experts: financial statements and “management’s assessment of the effectiveness of internal control over financial reporting” incorporated “in reliance upon the reports of Redmond Clearwater LLP.” Auditor’s office address is given.</w:t>
            </w:r>
          </w:p>
        </w:tc>
        <w:tc>
          <w:tcPr>
            <w:tcW w:type="dxa" w:w="2520"/>
          </w:tcPr>
          <w:p>
            <w:r/>
            <w:r>
              <w:rPr>
                <w:sz w:val="17"/>
              </w:rPr>
              <w:t>10-K: Redmond Clearwater LLP, Dallas (PCAOB ID 4781), report dated March 28, 2025, including an ICFR opinion.</w:t>
            </w:r>
          </w:p>
        </w:tc>
        <w:tc>
          <w:tcPr>
            <w:tcW w:type="dxa" w:w="4392"/>
          </w:tcPr>
          <w:p>
            <w:r/>
            <w:r>
              <w:rPr>
                <w:sz w:val="17"/>
              </w:rPr>
              <w:t>The auditor opines on the effectiveness of ICFR, not on “management’s assessment.” That wording dates from AS 2 (pre-2007). The office address is unnecessary. Conform the wording to the auditor’s consent (Exhibit 23.1).</w:t>
            </w:r>
          </w:p>
        </w:tc>
        <w:tc>
          <w:tcPr>
            <w:tcW w:type="dxa" w:w="1008"/>
            <w:shd w:val="clear" w:color="auto" w:fill="D9EAD3"/>
          </w:tcPr>
          <w:p>
            <w:r/>
            <w:r>
              <w:rPr>
                <w:b/>
                <w:sz w:val="17"/>
              </w:rPr>
              <w:t>Low</w:t>
            </w:r>
          </w:p>
        </w:tc>
        <w:tc>
          <w:tcPr>
            <w:tcW w:type="dxa" w:w="2376"/>
          </w:tcPr>
          <w:p>
            <w:r/>
            <w:r>
              <w:rPr>
                <w:sz w:val="17"/>
              </w:rPr>
              <w:t>Revise to “the effectiveness of internal control over financial reporting” and agree the text with the auditor.</w:t>
            </w:r>
          </w:p>
        </w:tc>
      </w:tr>
      <w:tr>
        <w:tc>
          <w:tcPr>
            <w:tcW w:type="dxa" w:w="648"/>
          </w:tcPr>
          <w:p>
            <w:r/>
            <w:r>
              <w:rPr>
                <w:b/>
                <w:sz w:val="17"/>
              </w:rPr>
              <w:t>F-4</w:t>
            </w:r>
          </w:p>
        </w:tc>
        <w:tc>
          <w:tcPr>
            <w:tcW w:type="dxa" w:w="2880"/>
          </w:tcPr>
          <w:p>
            <w:r/>
            <w:r>
              <w:rPr>
                <w:sz w:val="17"/>
              </w:rPr>
              <w:t>Where You Can Find More Information: reports “can also be inspected at the offices of the Nasdaq Stock Market.”</w:t>
            </w:r>
          </w:p>
        </w:tc>
        <w:tc>
          <w:tcPr>
            <w:tcW w:type="dxa" w:w="2520"/>
          </w:tcPr>
          <w:p>
            <w:r/>
            <w:r>
              <w:rPr>
                <w:sz w:val="17"/>
              </w:rPr>
              <w:t>Current Item 502 / Form S-3 Item 12 practice.</w:t>
            </w:r>
          </w:p>
        </w:tc>
        <w:tc>
          <w:tcPr>
            <w:tcW w:type="dxa" w:w="4392"/>
          </w:tcPr>
          <w:p>
            <w:r/>
            <w:r>
              <w:rPr>
                <w:sz w:val="17"/>
              </w:rPr>
              <w:t>Outdated boilerplate.</w:t>
            </w:r>
          </w:p>
        </w:tc>
        <w:tc>
          <w:tcPr>
            <w:tcW w:type="dxa" w:w="1008"/>
            <w:shd w:val="clear" w:color="auto" w:fill="D9EAD3"/>
          </w:tcPr>
          <w:p>
            <w:r/>
            <w:r>
              <w:rPr>
                <w:b/>
                <w:sz w:val="17"/>
              </w:rPr>
              <w:t>Low</w:t>
            </w:r>
          </w:p>
        </w:tc>
        <w:tc>
          <w:tcPr>
            <w:tcW w:type="dxa" w:w="2376"/>
          </w:tcPr>
          <w:p>
            <w:r/>
            <w:r>
              <w:rPr>
                <w:sz w:val="17"/>
              </w:rPr>
              <w:t>Delete. Refer to the SEC website and the Company website.</w:t>
            </w:r>
          </w:p>
        </w:tc>
      </w:tr>
      <w:tr>
        <w:tc>
          <w:tcPr>
            <w:tcW w:type="dxa" w:w="648"/>
          </w:tcPr>
          <w:p>
            <w:r/>
            <w:r>
              <w:rPr>
                <w:b/>
                <w:sz w:val="17"/>
              </w:rPr>
              <w:t>F-5</w:t>
            </w:r>
          </w:p>
        </w:tc>
        <w:tc>
          <w:tcPr>
            <w:tcW w:type="dxa" w:w="2880"/>
          </w:tcPr>
          <w:p>
            <w:r/>
            <w:r>
              <w:rPr>
                <w:sz w:val="17"/>
              </w:rPr>
              <w:t>Incorporation list: 8-Ks dated October 28, 2024, January 14, 2025, February 24, 2025 and April 7, 2025.</w:t>
            </w:r>
          </w:p>
        </w:tc>
        <w:tc>
          <w:tcPr>
            <w:tcW w:type="dxa" w:w="2520"/>
          </w:tcPr>
          <w:p>
            <w:r/>
            <w:r>
              <w:rPr>
                <w:sz w:val="17"/>
              </w:rPr>
              <w:t>Form S-3 Item 12(a)(2) requires all reports filed since the end of the fiscal year covered by the 10-K. The October 28, 2024 8-K (cyber incident) predates the year-end.</w:t>
            </w:r>
          </w:p>
        </w:tc>
        <w:tc>
          <w:tcPr>
            <w:tcW w:type="dxa" w:w="4392"/>
          </w:tcPr>
          <w:p>
            <w:r/>
            <w:r>
              <w:rPr>
                <w:sz w:val="17"/>
              </w:rPr>
              <w:t>Including the October 2024 8-K is harmless but not required. The list must be complete through the filing date: confirm there are no omitted 8-Ks, such as an Item 5.07 8-K for the 2025 annual meeting or Item 5.02 8-Ks. If filing is after the Q2 10-Q, add it.</w:t>
            </w:r>
          </w:p>
        </w:tc>
        <w:tc>
          <w:tcPr>
            <w:tcW w:type="dxa" w:w="1008"/>
            <w:shd w:val="clear" w:color="auto" w:fill="FFF2CC"/>
          </w:tcPr>
          <w:p>
            <w:r/>
            <w:r>
              <w:rPr>
                <w:b/>
                <w:sz w:val="17"/>
              </w:rPr>
              <w:t>Medium</w:t>
            </w:r>
          </w:p>
        </w:tc>
        <w:tc>
          <w:tcPr>
            <w:tcW w:type="dxa" w:w="2376"/>
          </w:tcPr>
          <w:p>
            <w:r/>
            <w:r>
              <w:rPr>
                <w:sz w:val="17"/>
              </w:rPr>
              <w:t>Run an EDGAR check on the filing date and conform. Include a general statement covering post-filing, pre-effective filings for Rule 462(e).</w:t>
            </w:r>
          </w:p>
        </w:tc>
      </w:tr>
      <w:tr>
        <w:tc>
          <w:tcPr>
            <w:tcW w:type="dxa" w:w="648"/>
          </w:tcPr>
          <w:p>
            <w:r/>
            <w:r>
              <w:rPr>
                <w:b/>
                <w:sz w:val="17"/>
              </w:rPr>
              <w:t>F-6</w:t>
            </w:r>
          </w:p>
        </w:tc>
        <w:tc>
          <w:tcPr>
            <w:tcW w:type="dxa" w:w="2880"/>
          </w:tcPr>
          <w:p>
            <w:r/>
            <w:r>
              <w:rPr>
                <w:sz w:val="17"/>
              </w:rPr>
              <w:t>Incorporation list item 1: 10-K date.</w:t>
            </w:r>
          </w:p>
        </w:tc>
        <w:tc>
          <w:tcPr>
            <w:tcW w:type="dxa" w:w="2520"/>
          </w:tcPr>
          <w:p>
            <w:r/>
            <w:r>
              <w:rPr>
                <w:sz w:val="17"/>
              </w:rPr>
              <w:t>See A-1.</w:t>
            </w:r>
          </w:p>
        </w:tc>
        <w:tc>
          <w:tcPr>
            <w:tcW w:type="dxa" w:w="4392"/>
          </w:tcPr>
          <w:p>
            <w:r/>
            <w:r>
              <w:rPr>
                <w:sz w:val="17"/>
              </w:rPr>
              <w:t>See A-1.</w:t>
            </w:r>
          </w:p>
        </w:tc>
        <w:tc>
          <w:tcPr>
            <w:tcW w:type="dxa" w:w="1008"/>
            <w:shd w:val="clear" w:color="auto" w:fill="F4CCCC"/>
          </w:tcPr>
          <w:p>
            <w:r/>
            <w:r>
              <w:rPr>
                <w:b/>
                <w:sz w:val="17"/>
              </w:rPr>
              <w:t>Critical</w:t>
            </w:r>
          </w:p>
        </w:tc>
        <w:tc>
          <w:tcPr>
            <w:tcW w:type="dxa" w:w="2376"/>
          </w:tcPr>
          <w:p>
            <w:r/>
            <w:r>
              <w:rPr>
                <w:sz w:val="17"/>
              </w:rPr>
              <w:t>See A-1.</w:t>
            </w:r>
          </w:p>
        </w:tc>
      </w:tr>
      <w:tr>
        <w:tc>
          <w:tcPr>
            <w:tcW w:type="dxa" w:w="648"/>
          </w:tcPr>
          <w:p>
            <w:r/>
            <w:r>
              <w:rPr>
                <w:b/>
                <w:sz w:val="17"/>
              </w:rPr>
              <w:t>F-7</w:t>
            </w:r>
          </w:p>
        </w:tc>
        <w:tc>
          <w:tcPr>
            <w:tcW w:type="dxa" w:w="2880"/>
          </w:tcPr>
          <w:p>
            <w:r/>
            <w:r>
              <w:rPr>
                <w:sz w:val="17"/>
              </w:rPr>
              <w:t>Exhibit 4.3, Form of Indenture: “To be filed by amendment or as an exhibit to a report filed under the Exchange Act.”</w:t>
            </w:r>
          </w:p>
        </w:tc>
        <w:tc>
          <w:tcPr>
            <w:tcW w:type="dxa" w:w="2520"/>
          </w:tcPr>
          <w:p>
            <w:r/>
            <w:r>
              <w:rPr>
                <w:sz w:val="17"/>
              </w:rPr>
              <w:t>Trust Indenture Act Sections 305 and 309 and related SEC staff Trust Indenture Act interpretations (the indenture must be qualified at effectiveness; only the trustee’s Form T-1 may be filed later under Section 305(b)(2)).</w:t>
            </w:r>
          </w:p>
        </w:tc>
        <w:tc>
          <w:tcPr>
            <w:tcW w:type="dxa" w:w="4392"/>
          </w:tcPr>
          <w:p>
            <w:r/>
            <w:r>
              <w:rPr>
                <w:sz w:val="17"/>
              </w:rPr>
              <w:t>Debt securities cannot be offered off the shelf unless the senior and subordinated indentures are filed and qualified when the registration statement becomes effective. Filing them later by 8-K is not permitted for a new indenture. (The draft also refers to separate senior and subordinated indentures but lists only one form.)</w:t>
            </w:r>
          </w:p>
        </w:tc>
        <w:tc>
          <w:tcPr>
            <w:tcW w:type="dxa" w:w="1008"/>
            <w:shd w:val="clear" w:color="auto" w:fill="FCE5CD"/>
          </w:tcPr>
          <w:p>
            <w:r/>
            <w:r>
              <w:rPr>
                <w:b/>
                <w:sz w:val="17"/>
              </w:rPr>
              <w:t>High</w:t>
            </w:r>
          </w:p>
        </w:tc>
        <w:tc>
          <w:tcPr>
            <w:tcW w:type="dxa" w:w="2376"/>
          </w:tcPr>
          <w:p>
            <w:r/>
            <w:r>
              <w:rPr>
                <w:sz w:val="17"/>
              </w:rPr>
              <w:t>File forms of senior and subordinated indentures as Exhibits 4.3 and 4.4 with the initial filing. Keep Exhibit 25.1 (T-1) under 305(b)(2).</w:t>
            </w:r>
          </w:p>
        </w:tc>
      </w:tr>
      <w:tr>
        <w:tc>
          <w:tcPr>
            <w:tcW w:type="dxa" w:w="648"/>
          </w:tcPr>
          <w:p>
            <w:r/>
            <w:r>
              <w:rPr>
                <w:b/>
                <w:sz w:val="17"/>
              </w:rPr>
              <w:t>F-8</w:t>
            </w:r>
          </w:p>
        </w:tc>
        <w:tc>
          <w:tcPr>
            <w:tcW w:type="dxa" w:w="2880"/>
          </w:tcPr>
          <w:p>
            <w:r/>
            <w:r>
              <w:rPr>
                <w:sz w:val="17"/>
              </w:rPr>
              <w:t>Exhibit index: 5.1 and 23.1 marked “Filed herewith” (draft); Exhibit 107 listed; no Exhibit 8.1.</w:t>
            </w:r>
          </w:p>
        </w:tc>
        <w:tc>
          <w:tcPr>
            <w:tcW w:type="dxa" w:w="2520"/>
          </w:tcPr>
          <w:p>
            <w:r/>
            <w:r>
              <w:rPr>
                <w:sz w:val="17"/>
              </w:rPr>
              <w:t>Item 601 of Regulation S-K.</w:t>
            </w:r>
          </w:p>
        </w:tc>
        <w:tc>
          <w:tcPr>
            <w:tcW w:type="dxa" w:w="4392"/>
          </w:tcPr>
          <w:p>
            <w:r/>
            <w:r>
              <w:rPr>
                <w:sz w:val="17"/>
              </w:rPr>
              <w:t>The Exhibit 5.1 legality opinion must reflect Delaware law (see B-1) and must cover each class, including binding-obligation opinions for the debt, warrants, purchase contracts and units (Staff Legal Bulletin No. 19). Consider Exhibit 8.1 (see F-2).</w:t>
            </w:r>
          </w:p>
        </w:tc>
        <w:tc>
          <w:tcPr>
            <w:tcW w:type="dxa" w:w="1008"/>
            <w:shd w:val="clear" w:color="auto" w:fill="FFF2CC"/>
          </w:tcPr>
          <w:p>
            <w:r/>
            <w:r>
              <w:rPr>
                <w:b/>
                <w:sz w:val="17"/>
              </w:rPr>
              <w:t>Medium</w:t>
            </w:r>
          </w:p>
        </w:tc>
        <w:tc>
          <w:tcPr>
            <w:tcW w:type="dxa" w:w="2376"/>
          </w:tcPr>
          <w:p>
            <w:r/>
            <w:r>
              <w:rPr>
                <w:sz w:val="17"/>
              </w:rPr>
              <w:t>Coordinate the opinion scope with Whitfield &amp; Crane. Confirm the auditor consent is dated on or about the filing date.</w:t>
            </w:r>
          </w:p>
        </w:tc>
      </w:tr>
      <w:tr>
        <w:tc>
          <w:tcPr>
            <w:tcW w:type="dxa" w:w="648"/>
          </w:tcPr>
          <w:p>
            <w:r/>
            <w:r>
              <w:rPr>
                <w:b/>
                <w:sz w:val="17"/>
              </w:rPr>
              <w:t>F-9</w:t>
            </w:r>
          </w:p>
        </w:tc>
        <w:tc>
          <w:tcPr>
            <w:tcW w:type="dxa" w:w="2880"/>
          </w:tcPr>
          <w:p>
            <w:r/>
            <w:r>
              <w:rPr>
                <w:sz w:val="17"/>
              </w:rPr>
              <w:t>Part II of the registration statement is entirely missing.</w:t>
            </w:r>
          </w:p>
        </w:tc>
        <w:tc>
          <w:tcPr>
            <w:tcW w:type="dxa" w:w="2520"/>
          </w:tcPr>
          <w:p>
            <w:r/>
            <w:r>
              <w:rPr>
                <w:sz w:val="17"/>
              </w:rPr>
              <w:t>Form S-3 Part II: Item 14 (Other Expenses of Issuance and Distribution, Item 511), Item 15 (Indemnification of Directors and Officers, Item 702), Item 16 (Exhibits), Item 17 (Undertakings, Item 512(a), (b), (h) and, for the automatic shelf, the Rule 430B undertakings).</w:t>
            </w:r>
          </w:p>
        </w:tc>
        <w:tc>
          <w:tcPr>
            <w:tcW w:type="dxa" w:w="4392"/>
          </w:tcPr>
          <w:p>
            <w:r/>
            <w:r>
              <w:rPr>
                <w:sz w:val="17"/>
              </w:rPr>
              <w:t>Mandatory content is omitted. Without the Item 512(a) undertakings the Company cannot rely on Rule 415 and Rule 430B (for example, the undertaking to update via Exchange Act reports or a 424(b) supplement). The S-1 has a Part II template the team can adapt, but the S-1 version is IPO-specific (Rule 430A) and must not be copied wholesale.</w:t>
            </w:r>
          </w:p>
        </w:tc>
        <w:tc>
          <w:tcPr>
            <w:tcW w:type="dxa" w:w="1008"/>
            <w:shd w:val="clear" w:color="auto" w:fill="F4CCCC"/>
          </w:tcPr>
          <w:p>
            <w:r/>
            <w:r>
              <w:rPr>
                <w:b/>
                <w:sz w:val="17"/>
              </w:rPr>
              <w:t>Critical</w:t>
            </w:r>
          </w:p>
        </w:tc>
        <w:tc>
          <w:tcPr>
            <w:tcW w:type="dxa" w:w="2376"/>
          </w:tcPr>
          <w:p>
            <w:r/>
            <w:r>
              <w:rPr>
                <w:sz w:val="17"/>
              </w:rPr>
              <w:t>Draft Part II for an S-3ASR: Item 14 (can state fees are deferred under 456(b) and 457(r) and that other expenses are estimated in the prospectus supplement), Item 15 (DGCL 102(b)(7) and 145; charter, bylaws, indemnification agreements; D&amp;O insurance), Item 16, and the full Item 512 undertakings.</w:t>
            </w:r>
          </w:p>
        </w:tc>
      </w:tr>
      <w:tr>
        <w:tc>
          <w:tcPr>
            <w:tcW w:type="dxa" w:w="648"/>
          </w:tcPr>
          <w:p>
            <w:r/>
            <w:r>
              <w:rPr>
                <w:b/>
                <w:sz w:val="17"/>
              </w:rPr>
              <w:t>F-10</w:t>
            </w:r>
          </w:p>
        </w:tc>
        <w:tc>
          <w:tcPr>
            <w:tcW w:type="dxa" w:w="2880"/>
          </w:tcPr>
          <w:p>
            <w:r/>
            <w:r>
              <w:rPr>
                <w:sz w:val="17"/>
              </w:rPr>
              <w:t>Draft prospectus lacks Rule 430B / Rule 409 language on omitted information and selling securityholders.</w:t>
            </w:r>
          </w:p>
        </w:tc>
        <w:tc>
          <w:tcPr>
            <w:tcW w:type="dxa" w:w="2520"/>
          </w:tcPr>
          <w:p>
            <w:r/>
            <w:r>
              <w:rPr>
                <w:sz w:val="17"/>
              </w:rPr>
              <w:t>Rule 430B.</w:t>
            </w:r>
          </w:p>
        </w:tc>
        <w:tc>
          <w:tcPr>
            <w:tcW w:type="dxa" w:w="4392"/>
          </w:tcPr>
          <w:p>
            <w:r/>
            <w:r>
              <w:rPr>
                <w:sz w:val="17"/>
              </w:rPr>
              <w:t>If the Company wants flexibility to register resales by holders under the IPO Registration Rights Agreement (S-1), the base prospectus should include a placeholder “Selling Securityholders” section and the cover should cover secondary sales.</w:t>
            </w:r>
          </w:p>
        </w:tc>
        <w:tc>
          <w:tcPr>
            <w:tcW w:type="dxa" w:w="1008"/>
            <w:shd w:val="clear" w:color="auto" w:fill="D9EAD3"/>
          </w:tcPr>
          <w:p>
            <w:r/>
            <w:r>
              <w:rPr>
                <w:b/>
                <w:sz w:val="17"/>
              </w:rPr>
              <w:t>Low</w:t>
            </w:r>
          </w:p>
        </w:tc>
        <w:tc>
          <w:tcPr>
            <w:tcW w:type="dxa" w:w="2376"/>
          </w:tcPr>
          <w:p>
            <w:r/>
            <w:r>
              <w:rPr>
                <w:sz w:val="17"/>
              </w:rPr>
              <w:t>Confirm with the Company whether resale coverage is wanted.</w:t>
            </w:r>
          </w:p>
        </w:tc>
      </w:tr>
      <w:tr>
        <w:tc>
          <w:tcPr>
            <w:tcW w:type="dxa" w:w="648"/>
          </w:tcPr>
          <w:p>
            <w:r/>
            <w:r>
              <w:rPr>
                <w:b/>
                <w:sz w:val="17"/>
              </w:rPr>
              <w:t>F-11</w:t>
            </w:r>
          </w:p>
        </w:tc>
        <w:tc>
          <w:tcPr>
            <w:tcW w:type="dxa" w:w="2880"/>
          </w:tcPr>
          <w:p>
            <w:r/>
            <w:r>
              <w:rPr>
                <w:sz w:val="17"/>
              </w:rPr>
              <w:t>Plan of Distribution: “at the market” offerings under Rule 415(a)(4).</w:t>
            </w:r>
          </w:p>
        </w:tc>
        <w:tc>
          <w:tcPr>
            <w:tcW w:type="dxa" w:w="2520"/>
          </w:tcPr>
          <w:p>
            <w:r/>
            <w:r>
              <w:rPr>
                <w:sz w:val="17"/>
              </w:rPr>
              <w:t>—</w:t>
            </w:r>
          </w:p>
        </w:tc>
        <w:tc>
          <w:tcPr>
            <w:tcW w:type="dxa" w:w="4392"/>
          </w:tcPr>
          <w:p>
            <w:r/>
            <w:r>
              <w:rPr>
                <w:sz w:val="17"/>
              </w:rPr>
              <w:t>Acceptable for a primary shelf. Make sure any ATM sales agreement is filed by 8-K or prospectus supplement and that the Regulation M and FINRA Rule 5110 analysis is done at takedown.</w:t>
            </w:r>
          </w:p>
        </w:tc>
        <w:tc>
          <w:tcPr>
            <w:tcW w:type="dxa" w:w="1008"/>
            <w:shd w:val="clear" w:color="auto" w:fill="D9EAD3"/>
          </w:tcPr>
          <w:p>
            <w:r/>
            <w:r>
              <w:rPr>
                <w:b/>
                <w:sz w:val="17"/>
              </w:rPr>
              <w:t>Low</w:t>
            </w:r>
          </w:p>
        </w:tc>
        <w:tc>
          <w:tcPr>
            <w:tcW w:type="dxa" w:w="2376"/>
          </w:tcPr>
          <w:p>
            <w:r/>
            <w:r>
              <w:rPr>
                <w:sz w:val="17"/>
              </w:rPr>
              <w:t>No change needed now.</w:t>
            </w:r>
          </w:p>
        </w:tc>
      </w:tr>
    </w:tbl>
    <w:p>
      <w:pPr>
        <w:spacing w:after="40"/>
      </w:pPr>
    </w:p>
    <w:p>
      <w:pPr>
        <w:pStyle w:val="Heading1"/>
      </w:pPr>
      <w:r>
        <w:t>9. Issues in the Incorporated 10-K and Prior S-1 That Flow Into the Shelf</w:t>
      </w:r>
    </w:p>
    <w:p>
      <w:pPr>
        <w:spacing w:after="120"/>
      </w:pPr>
      <w:r>
        <w:rPr>
          <w:b w:val="0"/>
          <w:i w:val="0"/>
          <w:sz w:val="19"/>
        </w:rPr>
        <w:t>Because the 10-K will be incorporated by reference, its contents become part of the S-3 for Section 11 purposes. The items below are inconsistencies within the 10-K, or between the 10-K and the S-1, that we noted during the comparison. They should be addressed in diligence (with the auditor where relevant). Any that are material may require a 10-K/A or corrective disclosure in the next Exchange Act report before or soon after the shelf is filed.</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trPr>
        <w:tc>
          <w:tcPr>
            <w:tcW w:type="dxa" w:w="648"/>
            <w:shd w:val="clear" w:color="auto" w:fill="1F3A5F"/>
          </w:tcPr>
          <w:p>
            <w:r/>
            <w:r>
              <w:rPr>
                <w:b/>
                <w:color w:val="FFFFFF"/>
                <w:sz w:val="17"/>
              </w:rPr>
              <w:t>#</w:t>
            </w:r>
          </w:p>
        </w:tc>
        <w:tc>
          <w:tcPr>
            <w:tcW w:type="dxa" w:w="3168"/>
            <w:shd w:val="clear" w:color="auto" w:fill="1F3A5F"/>
          </w:tcPr>
          <w:p>
            <w:r/>
            <w:r>
              <w:rPr>
                <w:b/>
                <w:color w:val="FFFFFF"/>
                <w:sz w:val="17"/>
              </w:rPr>
              <w:t>Document / location</w:t>
            </w:r>
          </w:p>
        </w:tc>
        <w:tc>
          <w:tcPr>
            <w:tcW w:type="dxa" w:w="6984"/>
            <w:shd w:val="clear" w:color="auto" w:fill="1F3A5F"/>
          </w:tcPr>
          <w:p>
            <w:r/>
            <w:r>
              <w:rPr>
                <w:b/>
                <w:color w:val="FFFFFF"/>
                <w:sz w:val="17"/>
              </w:rPr>
              <w:t>Issue</w:t>
            </w:r>
          </w:p>
        </w:tc>
        <w:tc>
          <w:tcPr>
            <w:tcW w:type="dxa" w:w="1008"/>
            <w:shd w:val="clear" w:color="auto" w:fill="1F3A5F"/>
          </w:tcPr>
          <w:p>
            <w:r/>
            <w:r>
              <w:rPr>
                <w:b/>
                <w:color w:val="FFFFFF"/>
                <w:sz w:val="17"/>
              </w:rPr>
              <w:t>Severity</w:t>
            </w:r>
          </w:p>
        </w:tc>
        <w:tc>
          <w:tcPr>
            <w:tcW w:type="dxa" w:w="2016"/>
            <w:shd w:val="clear" w:color="auto" w:fill="1F3A5F"/>
          </w:tcPr>
          <w:p>
            <w:r/>
            <w:r>
              <w:rPr>
                <w:b/>
                <w:color w:val="FFFFFF"/>
                <w:sz w:val="17"/>
              </w:rPr>
              <w:t>Recommended action</w:t>
            </w:r>
          </w:p>
        </w:tc>
      </w:tr>
      <w:tr>
        <w:tc>
          <w:tcPr>
            <w:tcW w:type="dxa" w:w="648"/>
          </w:tcPr>
          <w:p>
            <w:r/>
            <w:r>
              <w:rPr>
                <w:b/>
                <w:sz w:val="17"/>
              </w:rPr>
              <w:t>G-1</w:t>
            </w:r>
          </w:p>
        </w:tc>
        <w:tc>
          <w:tcPr>
            <w:tcW w:type="dxa" w:w="3168"/>
          </w:tcPr>
          <w:p>
            <w:r/>
            <w:r>
              <w:rPr>
                <w:sz w:val="17"/>
              </w:rPr>
              <w:t>10-K cover: shares outstanding “as of December 31, 2024.”</w:t>
            </w:r>
          </w:p>
        </w:tc>
        <w:tc>
          <w:tcPr>
            <w:tcW w:type="dxa" w:w="6984"/>
          </w:tcPr>
          <w:p>
            <w:r/>
            <w:r>
              <w:rPr>
                <w:sz w:val="17"/>
              </w:rPr>
              <w:t>Form 10-K requires the share count as of the latest practicable date. Using the year-end date, together with the S-3 figure of 74.2M at April 30, 2025, raises a reconciliation question (see A-6).</w:t>
            </w:r>
          </w:p>
        </w:tc>
        <w:tc>
          <w:tcPr>
            <w:tcW w:type="dxa" w:w="1008"/>
            <w:shd w:val="clear" w:color="auto" w:fill="FFF2CC"/>
          </w:tcPr>
          <w:p>
            <w:r/>
            <w:r>
              <w:rPr>
                <w:b/>
                <w:sz w:val="17"/>
              </w:rPr>
              <w:t>Medium</w:t>
            </w:r>
          </w:p>
        </w:tc>
        <w:tc>
          <w:tcPr>
            <w:tcW w:type="dxa" w:w="2016"/>
          </w:tcPr>
          <w:p>
            <w:r/>
            <w:r>
              <w:rPr>
                <w:sz w:val="17"/>
              </w:rPr>
              <w:t>Reconcile with the transfer agent.</w:t>
            </w:r>
          </w:p>
        </w:tc>
      </w:tr>
      <w:tr>
        <w:tc>
          <w:tcPr>
            <w:tcW w:type="dxa" w:w="648"/>
          </w:tcPr>
          <w:p>
            <w:r/>
            <w:r>
              <w:rPr>
                <w:b/>
                <w:sz w:val="17"/>
              </w:rPr>
              <w:t>G-2</w:t>
            </w:r>
          </w:p>
        </w:tc>
        <w:tc>
          <w:tcPr>
            <w:tcW w:type="dxa" w:w="3168"/>
          </w:tcPr>
          <w:p>
            <w:r/>
            <w:r>
              <w:rPr>
                <w:sz w:val="17"/>
              </w:rPr>
              <w:t>10-K balance sheet: retained earnings $141,200K (2023) to $243,097K (2024).</w:t>
            </w:r>
          </w:p>
        </w:tc>
        <w:tc>
          <w:tcPr>
            <w:tcW w:type="dxa" w:w="6984"/>
          </w:tcPr>
          <w:p>
            <w:r/>
            <w:r>
              <w:rPr>
                <w:sz w:val="17"/>
              </w:rPr>
              <w:t>That is an increase of $101.9M, against FY2024 net income of $41.8M with no dividends. The roll-forward does not tie. The balance sheet otherwise foots ($595.3M + $892.3M = $1,487.6M).</w:t>
            </w:r>
          </w:p>
        </w:tc>
        <w:tc>
          <w:tcPr>
            <w:tcW w:type="dxa" w:w="1008"/>
            <w:shd w:val="clear" w:color="auto" w:fill="FCE5CD"/>
          </w:tcPr>
          <w:p>
            <w:r/>
            <w:r>
              <w:rPr>
                <w:b/>
                <w:sz w:val="17"/>
              </w:rPr>
              <w:t>High</w:t>
            </w:r>
          </w:p>
        </w:tc>
        <w:tc>
          <w:tcPr>
            <w:tcW w:type="dxa" w:w="2016"/>
          </w:tcPr>
          <w:p>
            <w:r/>
            <w:r>
              <w:rPr>
                <w:sz w:val="17"/>
              </w:rPr>
              <w:t>Raise with the CFO and the auditor. Do not file the S-3 until this is explained, given that the auditor’s consent and Section 11 expertised portion are involved.</w:t>
            </w:r>
          </w:p>
        </w:tc>
      </w:tr>
      <w:tr>
        <w:tc>
          <w:tcPr>
            <w:tcW w:type="dxa" w:w="648"/>
          </w:tcPr>
          <w:p>
            <w:r/>
            <w:r>
              <w:rPr>
                <w:b/>
                <w:sz w:val="17"/>
              </w:rPr>
              <w:t>G-3</w:t>
            </w:r>
          </w:p>
        </w:tc>
        <w:tc>
          <w:tcPr>
            <w:tcW w:type="dxa" w:w="3168"/>
          </w:tcPr>
          <w:p>
            <w:r/>
            <w:r>
              <w:rPr>
                <w:sz w:val="17"/>
              </w:rPr>
              <w:t>10-K balance sheet: “Other non-current assets” $907.9M (61% of total assets).</w:t>
            </w:r>
          </w:p>
        </w:tc>
        <w:tc>
          <w:tcPr>
            <w:tcW w:type="dxa" w:w="6984"/>
          </w:tcPr>
          <w:p>
            <w:r/>
            <w:r>
              <w:rPr>
                <w:sz w:val="17"/>
              </w:rPr>
              <w:t>This unexplained line item dominates the balance sheet and is not discussed in MD&amp;A or the notes.</w:t>
            </w:r>
          </w:p>
        </w:tc>
        <w:tc>
          <w:tcPr>
            <w:tcW w:type="dxa" w:w="1008"/>
            <w:shd w:val="clear" w:color="auto" w:fill="FFF2CC"/>
          </w:tcPr>
          <w:p>
            <w:r/>
            <w:r>
              <w:rPr>
                <w:b/>
                <w:sz w:val="17"/>
              </w:rPr>
              <w:t>Medium</w:t>
            </w:r>
          </w:p>
        </w:tc>
        <w:tc>
          <w:tcPr>
            <w:tcW w:type="dxa" w:w="2016"/>
          </w:tcPr>
          <w:p>
            <w:r/>
            <w:r>
              <w:rPr>
                <w:sz w:val="17"/>
              </w:rPr>
              <w:t>Diligence the composition with the CFO and auditor.</w:t>
            </w:r>
          </w:p>
        </w:tc>
      </w:tr>
      <w:tr>
        <w:tc>
          <w:tcPr>
            <w:tcW w:type="dxa" w:w="648"/>
          </w:tcPr>
          <w:p>
            <w:r/>
            <w:r>
              <w:rPr>
                <w:b/>
                <w:sz w:val="17"/>
              </w:rPr>
              <w:t>G-4</w:t>
            </w:r>
          </w:p>
        </w:tc>
        <w:tc>
          <w:tcPr>
            <w:tcW w:type="dxa" w:w="3168"/>
          </w:tcPr>
          <w:p>
            <w:r/>
            <w:r>
              <w:rPr>
                <w:sz w:val="17"/>
              </w:rPr>
              <w:t>10-K Note 4 / MD&amp;A: Term Loan B of $250.0M with quarterly amortization of $625,000 (0.25%); $225.0M outstanding at December 31, 2024.</w:t>
            </w:r>
          </w:p>
        </w:tc>
        <w:tc>
          <w:tcPr>
            <w:tcW w:type="dxa" w:w="6984"/>
          </w:tcPr>
          <w:p>
            <w:r/>
            <w:r>
              <w:rPr>
                <w:sz w:val="17"/>
              </w:rPr>
              <w:t>At $2.5M a year since March 2022, the balance should be about $243–244M, not $225.0M. The current portion of $2.5M is consistent with the stated amortization, so either there were voluntary prepayments (not disclosed in the cash flow statement, which shows only $2.5M of FY2024 repayments) or a figure is wrong. The December 31, 2023 balance ($227.5M) likewise implies about $22.5M of repayments in 2022–2023, against scheduled amortization of roughly $4.4M and FY2023 cash repayments of only $2.5M.</w:t>
            </w:r>
          </w:p>
        </w:tc>
        <w:tc>
          <w:tcPr>
            <w:tcW w:type="dxa" w:w="1008"/>
            <w:shd w:val="clear" w:color="auto" w:fill="FFF2CC"/>
          </w:tcPr>
          <w:p>
            <w:r/>
            <w:r>
              <w:rPr>
                <w:b/>
                <w:sz w:val="17"/>
              </w:rPr>
              <w:t>Medium</w:t>
            </w:r>
          </w:p>
        </w:tc>
        <w:tc>
          <w:tcPr>
            <w:tcW w:type="dxa" w:w="2016"/>
          </w:tcPr>
          <w:p>
            <w:r/>
            <w:r>
              <w:rPr>
                <w:sz w:val="17"/>
              </w:rPr>
              <w:t>Reconcile the debt roll-forward. Consider the “Other financing activities” outflow of $56.9M.</w:t>
            </w:r>
          </w:p>
        </w:tc>
      </w:tr>
      <w:tr>
        <w:tc>
          <w:tcPr>
            <w:tcW w:type="dxa" w:w="648"/>
          </w:tcPr>
          <w:p>
            <w:r/>
            <w:r>
              <w:rPr>
                <w:b/>
                <w:sz w:val="17"/>
              </w:rPr>
              <w:t>G-5</w:t>
            </w:r>
          </w:p>
        </w:tc>
        <w:tc>
          <w:tcPr>
            <w:tcW w:type="dxa" w:w="3168"/>
          </w:tcPr>
          <w:p>
            <w:r/>
            <w:r>
              <w:rPr>
                <w:sz w:val="17"/>
              </w:rPr>
              <w:t>10-K Item 5 and MD&amp;A: bridge facility of “$45,000,000” repaid at the IPO.</w:t>
            </w:r>
          </w:p>
        </w:tc>
        <w:tc>
          <w:tcPr>
            <w:tcW w:type="dxa" w:w="6984"/>
          </w:tcPr>
          <w:p>
            <w:r/>
            <w:r>
              <w:rPr>
                <w:sz w:val="17"/>
              </w:rPr>
              <w:t>The S-1 consistently states $85.0M outstanding and to be repaid. The two filings contradict each other on the amount of IPO proceeds applied to debt (also relevant to Rule 463 / Item 701(f) use-of-proceeds reporting).</w:t>
            </w:r>
          </w:p>
        </w:tc>
        <w:tc>
          <w:tcPr>
            <w:tcW w:type="dxa" w:w="1008"/>
            <w:shd w:val="clear" w:color="auto" w:fill="FFF2CC"/>
          </w:tcPr>
          <w:p>
            <w:r/>
            <w:r>
              <w:rPr>
                <w:b/>
                <w:sz w:val="17"/>
              </w:rPr>
              <w:t>Medium</w:t>
            </w:r>
          </w:p>
        </w:tc>
        <w:tc>
          <w:tcPr>
            <w:tcW w:type="dxa" w:w="2016"/>
          </w:tcPr>
          <w:p>
            <w:r/>
            <w:r>
              <w:rPr>
                <w:sz w:val="17"/>
              </w:rPr>
              <w:t>Confirm the actual payoff amount and correct prospectively.</w:t>
            </w:r>
          </w:p>
        </w:tc>
      </w:tr>
      <w:tr>
        <w:tc>
          <w:tcPr>
            <w:tcW w:type="dxa" w:w="648"/>
          </w:tcPr>
          <w:p>
            <w:r/>
            <w:r>
              <w:rPr>
                <w:b/>
                <w:sz w:val="17"/>
              </w:rPr>
              <w:t>G-6</w:t>
            </w:r>
          </w:p>
        </w:tc>
        <w:tc>
          <w:tcPr>
            <w:tcW w:type="dxa" w:w="3168"/>
          </w:tcPr>
          <w:p>
            <w:r/>
            <w:r>
              <w:rPr>
                <w:sz w:val="17"/>
              </w:rPr>
              <w:t>10-K Exhibit 10.12: “Asset Purchase Agreement” for DataForge; Note 3 says the Company “acquired 100% of the outstanding equity interests.”</w:t>
            </w:r>
          </w:p>
        </w:tc>
        <w:tc>
          <w:tcPr>
            <w:tcW w:type="dxa" w:w="6984"/>
          </w:tcPr>
          <w:p>
            <w:r/>
            <w:r>
              <w:rPr>
                <w:sz w:val="17"/>
              </w:rPr>
              <w:t>Inconsistent description of the transaction structure. Exhibit 21.1 lists DataForge Analytics, Inc. as a subsidiary, which is consistent with a stock deal.</w:t>
            </w:r>
          </w:p>
        </w:tc>
        <w:tc>
          <w:tcPr>
            <w:tcW w:type="dxa" w:w="1008"/>
            <w:shd w:val="clear" w:color="auto" w:fill="D9EAD3"/>
          </w:tcPr>
          <w:p>
            <w:r/>
            <w:r>
              <w:rPr>
                <w:b/>
                <w:sz w:val="17"/>
              </w:rPr>
              <w:t>Low</w:t>
            </w:r>
          </w:p>
        </w:tc>
        <w:tc>
          <w:tcPr>
            <w:tcW w:type="dxa" w:w="2016"/>
          </w:tcPr>
          <w:p>
            <w:r/>
            <w:r>
              <w:rPr>
                <w:sz w:val="17"/>
              </w:rPr>
              <w:t>Correct the exhibit description in the next periodic report.</w:t>
            </w:r>
          </w:p>
        </w:tc>
      </w:tr>
      <w:tr>
        <w:tc>
          <w:tcPr>
            <w:tcW w:type="dxa" w:w="648"/>
          </w:tcPr>
          <w:p>
            <w:r/>
            <w:r>
              <w:rPr>
                <w:b/>
                <w:sz w:val="17"/>
              </w:rPr>
              <w:t>G-7</w:t>
            </w:r>
          </w:p>
        </w:tc>
        <w:tc>
          <w:tcPr>
            <w:tcW w:type="dxa" w:w="3168"/>
          </w:tcPr>
          <w:p>
            <w:r/>
            <w:r>
              <w:rPr>
                <w:sz w:val="17"/>
              </w:rPr>
              <w:t>10-K Item 1 vs. S-1 Business: 23 issued U.S. patents (December 2024) vs. 47 issued (June 2021).</w:t>
            </w:r>
          </w:p>
        </w:tc>
        <w:tc>
          <w:tcPr>
            <w:tcW w:type="dxa" w:w="6984"/>
          </w:tcPr>
          <w:p>
            <w:r/>
            <w:r>
              <w:rPr>
                <w:sz w:val="17"/>
              </w:rPr>
              <w:t>A decline of more than half of the patent portfolio is unexplained (lapses, sales or an error) and is relevant to the IP risk factor and the Veritech defense.</w:t>
            </w:r>
          </w:p>
        </w:tc>
        <w:tc>
          <w:tcPr>
            <w:tcW w:type="dxa" w:w="1008"/>
            <w:shd w:val="clear" w:color="auto" w:fill="D9EAD3"/>
          </w:tcPr>
          <w:p>
            <w:r/>
            <w:r>
              <w:rPr>
                <w:b/>
                <w:sz w:val="17"/>
              </w:rPr>
              <w:t>Low</w:t>
            </w:r>
          </w:p>
        </w:tc>
        <w:tc>
          <w:tcPr>
            <w:tcW w:type="dxa" w:w="2016"/>
          </w:tcPr>
          <w:p>
            <w:r/>
            <w:r>
              <w:rPr>
                <w:sz w:val="17"/>
              </w:rPr>
              <w:t>Confirm with the Company.</w:t>
            </w:r>
          </w:p>
        </w:tc>
      </w:tr>
      <w:tr>
        <w:tc>
          <w:tcPr>
            <w:tcW w:type="dxa" w:w="648"/>
          </w:tcPr>
          <w:p>
            <w:r/>
            <w:r>
              <w:rPr>
                <w:b/>
                <w:sz w:val="17"/>
              </w:rPr>
              <w:t>G-8</w:t>
            </w:r>
          </w:p>
        </w:tc>
        <w:tc>
          <w:tcPr>
            <w:tcW w:type="dxa" w:w="3168"/>
          </w:tcPr>
          <w:p>
            <w:r/>
            <w:r>
              <w:rPr>
                <w:sz w:val="17"/>
              </w:rPr>
              <w:t>10-K Item 10 vs. S-1 Management: officer and director tenures, ages, employers and degrees (see E-6, E-7, E-9, E-11).</w:t>
            </w:r>
          </w:p>
        </w:tc>
        <w:tc>
          <w:tcPr>
            <w:tcW w:type="dxa" w:w="6984"/>
          </w:tcPr>
          <w:p>
            <w:r/>
            <w:r>
              <w:rPr>
                <w:sz w:val="17"/>
              </w:rPr>
              <w:t>The 10-K itself conflicts with the S-1 on director start dates, ages and biographies (e.g., Fontaine 55 in both 2021 and 2025; directors “since IPO” vs. 2019/2020 pre-IPO). Reiss’s and Wheeler’s tenures differ across all documents.</w:t>
            </w:r>
          </w:p>
        </w:tc>
        <w:tc>
          <w:tcPr>
            <w:tcW w:type="dxa" w:w="1008"/>
            <w:shd w:val="clear" w:color="auto" w:fill="FFF2CC"/>
          </w:tcPr>
          <w:p>
            <w:r/>
            <w:r>
              <w:rPr>
                <w:b/>
                <w:sz w:val="17"/>
              </w:rPr>
              <w:t>Medium</w:t>
            </w:r>
          </w:p>
        </w:tc>
        <w:tc>
          <w:tcPr>
            <w:tcW w:type="dxa" w:w="2016"/>
          </w:tcPr>
          <w:p>
            <w:r/>
            <w:r>
              <w:rPr>
                <w:sz w:val="17"/>
              </w:rPr>
              <w:t>Correct in the 2026 proxy and 10-K. Use D&amp;O questionnaires as the source.</w:t>
            </w:r>
          </w:p>
        </w:tc>
      </w:tr>
      <w:tr>
        <w:tc>
          <w:tcPr>
            <w:tcW w:type="dxa" w:w="648"/>
          </w:tcPr>
          <w:p>
            <w:r/>
            <w:r>
              <w:rPr>
                <w:b/>
                <w:sz w:val="17"/>
              </w:rPr>
              <w:t>G-9</w:t>
            </w:r>
          </w:p>
        </w:tc>
        <w:tc>
          <w:tcPr>
            <w:tcW w:type="dxa" w:w="3168"/>
          </w:tcPr>
          <w:p>
            <w:r/>
            <w:r>
              <w:rPr>
                <w:sz w:val="17"/>
              </w:rPr>
              <w:t>10-K exhibit index: no Item 601(b)(4)(vi) description-of-securities exhibit; no Credit Agreement amendments; leases (10.8–10.11) not marked as filed or incorporated.</w:t>
            </w:r>
          </w:p>
        </w:tc>
        <w:tc>
          <w:tcPr>
            <w:tcW w:type="dxa" w:w="6984"/>
          </w:tcPr>
          <w:p>
            <w:r/>
            <w:r>
              <w:rPr>
                <w:sz w:val="17"/>
              </w:rPr>
              <w:t>Possible 10-K exhibit deficiencies that the S-3 cross-references rely on (see B-11).</w:t>
            </w:r>
          </w:p>
        </w:tc>
        <w:tc>
          <w:tcPr>
            <w:tcW w:type="dxa" w:w="1008"/>
            <w:shd w:val="clear" w:color="auto" w:fill="FFF2CC"/>
          </w:tcPr>
          <w:p>
            <w:r/>
            <w:r>
              <w:rPr>
                <w:b/>
                <w:sz w:val="17"/>
              </w:rPr>
              <w:t>Medium</w:t>
            </w:r>
          </w:p>
        </w:tc>
        <w:tc>
          <w:tcPr>
            <w:tcW w:type="dxa" w:w="2016"/>
          </w:tcPr>
          <w:p>
            <w:r/>
            <w:r>
              <w:rPr>
                <w:sz w:val="17"/>
              </w:rPr>
              <w:t>Confirm the as-filed exhibit index and cure as needed.</w:t>
            </w:r>
          </w:p>
        </w:tc>
      </w:tr>
      <w:tr>
        <w:tc>
          <w:tcPr>
            <w:tcW w:type="dxa" w:w="648"/>
          </w:tcPr>
          <w:p>
            <w:r/>
            <w:r>
              <w:rPr>
                <w:b/>
                <w:sz w:val="17"/>
              </w:rPr>
              <w:t>G-10</w:t>
            </w:r>
          </w:p>
        </w:tc>
        <w:tc>
          <w:tcPr>
            <w:tcW w:type="dxa" w:w="3168"/>
          </w:tcPr>
          <w:p>
            <w:r/>
            <w:r>
              <w:rPr>
                <w:sz w:val="17"/>
              </w:rPr>
              <w:t>10-K Note 8: “No material subsequent events.”</w:t>
            </w:r>
          </w:p>
        </w:tc>
        <w:tc>
          <w:tcPr>
            <w:tcW w:type="dxa" w:w="6984"/>
          </w:tcPr>
          <w:p>
            <w:r/>
            <w:r>
              <w:rPr>
                <w:sz w:val="17"/>
              </w:rPr>
              <w:t>The S-3 lists 8-Ks filed January 14 and February 24, 2025, before the 10-K was issued. Confirm none reported events requiring subsequent-event disclosure under ASC 855.</w:t>
            </w:r>
          </w:p>
        </w:tc>
        <w:tc>
          <w:tcPr>
            <w:tcW w:type="dxa" w:w="1008"/>
            <w:shd w:val="clear" w:color="auto" w:fill="D9EAD3"/>
          </w:tcPr>
          <w:p>
            <w:r/>
            <w:r>
              <w:rPr>
                <w:b/>
                <w:sz w:val="17"/>
              </w:rPr>
              <w:t>Low</w:t>
            </w:r>
          </w:p>
        </w:tc>
        <w:tc>
          <w:tcPr>
            <w:tcW w:type="dxa" w:w="2016"/>
          </w:tcPr>
          <w:p>
            <w:r/>
            <w:r>
              <w:rPr>
                <w:sz w:val="17"/>
              </w:rPr>
              <w:t>Review the 8-K content.</w:t>
            </w:r>
          </w:p>
        </w:tc>
      </w:tr>
    </w:tbl>
    <w:p>
      <w:pPr>
        <w:spacing w:after="40"/>
      </w:pPr>
    </w:p>
    <w:p>
      <w:pPr>
        <w:pStyle w:val="Heading1"/>
      </w:pPr>
      <w:r>
        <w:t>10. SEC Comment and Liability Risk Assessment</w:t>
      </w:r>
    </w:p>
    <w:p>
      <w:pPr>
        <w:spacing w:after="120"/>
      </w:pPr>
      <w:r>
        <w:rPr>
          <w:b w:val="0"/>
          <w:i w:val="0"/>
          <w:sz w:val="20"/>
        </w:rPr>
        <w:t>An S-3ASR becomes effective on filing, but the Division of Corporation Finance can and does select automatic shelves (and the incorporated 10-K) for review. We expect comments, or post-effective amendment requests, in these areas:</w:t>
      </w:r>
    </w:p>
    <w:p>
      <w:pPr>
        <w:pStyle w:val="ListBullet"/>
        <w:spacing w:after="60"/>
      </w:pPr>
      <w:r>
        <w:rPr>
          <w:b/>
        </w:rPr>
        <w:t xml:space="preserve">Eligibility (Item A-1). </w:t>
      </w:r>
      <w:r>
        <w:t>If the 10-K was untimely, the staff may challenge reliance on Form S-3 and WKSI status, which would be a severe outcome for any takedown already completed.</w:t>
      </w:r>
    </w:p>
    <w:p>
      <w:pPr>
        <w:pStyle w:val="ListBullet"/>
        <w:spacing w:after="60"/>
      </w:pPr>
      <w:r>
        <w:rPr>
          <w:b/>
        </w:rPr>
        <w:t xml:space="preserve">Accuracy of incorporated vs. restated disclosure. </w:t>
      </w:r>
      <w:r>
        <w:t>Conflicts between the prospectus and the incorporated 10-K (state of incorporation, share authorization, debt terms, litigation exposure, management) invite comments asking which statement is correct. Under the incorporation-by-reference rules, later statements modify earlier ones, so the stale prospectus text could be read as superseding the accurate 10-K disclosure.</w:t>
      </w:r>
    </w:p>
    <w:p>
      <w:pPr>
        <w:pStyle w:val="ListBullet"/>
        <w:spacing w:after="60"/>
      </w:pPr>
      <w:r>
        <w:rPr>
          <w:b/>
        </w:rPr>
        <w:t xml:space="preserve">Cybersecurity. </w:t>
      </w:r>
      <w:r>
        <w:t>The staff has repeatedly asked registrants that experienced incidents to replace hypothetical risk language with a description of actual events (see Item 1.05 of Form 8-K and Item 106 of Regulation S-K). Omitting the incident from the risk factor section is a likely comment.</w:t>
      </w:r>
    </w:p>
    <w:p>
      <w:pPr>
        <w:pStyle w:val="ListBullet"/>
        <w:spacing w:after="60"/>
      </w:pPr>
      <w:r>
        <w:rPr>
          <w:b/>
        </w:rPr>
        <w:t xml:space="preserve">Use of proceeds (Item 504). </w:t>
      </w:r>
      <w:r>
        <w:t>Describing repayment of non-existent LIBOR debt is an obvious defect. Any actual debt repayment must state the interest rate and maturity.</w:t>
      </w:r>
    </w:p>
    <w:p>
      <w:pPr>
        <w:pStyle w:val="ListBullet"/>
        <w:spacing w:after="60"/>
      </w:pPr>
      <w:r>
        <w:rPr>
          <w:b/>
        </w:rPr>
        <w:t xml:space="preserve">Litigation (Item 103 / ASC 450). </w:t>
      </w:r>
      <w:r>
        <w:t>The understatement of damages and the new “no material adverse effect” conclusion are inconsistent with the 10-K and the risk factor.</w:t>
      </w:r>
    </w:p>
    <w:p>
      <w:pPr>
        <w:pStyle w:val="ListBullet"/>
        <w:spacing w:after="60"/>
      </w:pPr>
      <w:r>
        <w:rPr>
          <w:b/>
        </w:rPr>
        <w:t xml:space="preserve">Risk factor presentation (Item 105). </w:t>
      </w:r>
      <w:r>
        <w:t>Generic risks and an inaccurate customer-concentration risk factor.</w:t>
      </w:r>
    </w:p>
    <w:p>
      <w:pPr>
        <w:pStyle w:val="ListBullet"/>
        <w:spacing w:after="60"/>
      </w:pPr>
      <w:r>
        <w:rPr>
          <w:b/>
        </w:rPr>
        <w:t xml:space="preserve">Description of securities (Item 202). </w:t>
      </w:r>
      <w:r>
        <w:t>Incomplete anti-takeover description; thin debt description; no filed indenture.</w:t>
      </w:r>
    </w:p>
    <w:p>
      <w:pPr>
        <w:pStyle w:val="ListBullet"/>
        <w:spacing w:after="60"/>
      </w:pPr>
      <w:r>
        <w:rPr>
          <w:b/>
        </w:rPr>
        <w:t xml:space="preserve">Tax disclosure. </w:t>
      </w:r>
      <w:r>
        <w:t>The inaccurate AMT discussion and the internally inconsistent scope.</w:t>
      </w:r>
    </w:p>
    <w:p>
      <w:pPr>
        <w:pStyle w:val="ListBullet"/>
        <w:spacing w:after="60"/>
      </w:pPr>
      <w:r>
        <w:rPr>
          <w:b/>
        </w:rPr>
        <w:t xml:space="preserve">Mechanics. </w:t>
      </w:r>
      <w:r>
        <w:t>Missing Part II and undertakings, wrong signatories, cover-page check boxes, fee table format, exhibit cross-references and file numbers.</w:t>
      </w:r>
    </w:p>
    <w:p>
      <w:pPr>
        <w:spacing w:after="120"/>
      </w:pPr>
      <w:r>
        <w:rPr>
          <w:b w:val="0"/>
          <w:i w:val="0"/>
          <w:sz w:val="20"/>
        </w:rPr>
        <w:t>Liability: Each of these errors would be in the registration statement at effectiveness and at each Rule 430B effective date for underwriters. Material misstatements expose the issuer (strict liability), and the directors, signing officers and underwriters (subject to a due-diligence defense), under Section 11. Prospectus-supplement purchasers would also have Section 12(a)(2) claims. Underwriters’ counsel will not be able to give a negative assurance (10b-5) letter on this disclosure, and the auditor will not deliver a comfort letter against financial figures that do not tie to the 10-K.</w:t>
      </w:r>
    </w:p>
    <w:p>
      <w:pPr>
        <w:pStyle w:val="Heading1"/>
      </w:pPr>
      <w:r>
        <w:t>11. Open Items and Diligence Requests</w:t>
      </w:r>
    </w:p>
    <w:p>
      <w:pPr>
        <w:pStyle w:val="ListBullet"/>
        <w:spacing w:after="60"/>
      </w:pPr>
      <w:r>
        <w:t>EDGAR acceptance record for the FY2024 10-K and any Form 12b-25; confirmation that all Exchange Act reports in the prior 12 months were timely (Form S-3 I.A.3).</w:t>
      </w:r>
    </w:p>
    <w:p>
      <w:pPr>
        <w:pStyle w:val="ListBullet"/>
        <w:spacing w:after="60"/>
      </w:pPr>
      <w:r>
        <w:t>WKSI determination memo (public float calculation as of a date within 60 days before the eligibility determination date; ineligible-issuer check).</w:t>
      </w:r>
    </w:p>
    <w:p>
      <w:pPr>
        <w:pStyle w:val="ListBullet"/>
        <w:spacing w:after="60"/>
      </w:pPr>
      <w:r>
        <w:t>A&amp;R Certificate of Incorporation and Bylaws as currently in effect (state, authorized shares, special meetings, written consent, supermajority, exclusive forum, officer exculpation).</w:t>
      </w:r>
    </w:p>
    <w:p>
      <w:pPr>
        <w:pStyle w:val="ListBullet"/>
        <w:spacing w:after="60"/>
      </w:pPr>
      <w:r>
        <w:t>Credit Agreement dated March 15, 2022 and all amendments (size, tranches, maturity, pricing, base-rate option, commitment fee, guarantors, dividend covenants); debt roll-forward reconciliation (G-4).</w:t>
      </w:r>
    </w:p>
    <w:p>
      <w:pPr>
        <w:pStyle w:val="ListBullet"/>
        <w:spacing w:after="60"/>
      </w:pPr>
      <w:r>
        <w:t>Veritech complaint, docket and outside counsel’s litigation update (damages claimed, status, ASC 450 assessment).</w:t>
      </w:r>
    </w:p>
    <w:p>
      <w:pPr>
        <w:pStyle w:val="ListBullet"/>
        <w:spacing w:after="60"/>
      </w:pPr>
      <w:r>
        <w:t>Transfer agent certificate of shares outstanding as of the latest practicable date and an explanation of the change from 77.0M (A-6, G-1).</w:t>
      </w:r>
    </w:p>
    <w:p>
      <w:pPr>
        <w:pStyle w:val="ListBullet"/>
        <w:spacing w:after="60"/>
      </w:pPr>
      <w:r>
        <w:t>Current D&amp;O questionnaires; 2025 proxy statement; Item 5.07 results of the 2025 annual meeting; any Item 5.02 8-Ks since January 1, 2025.</w:t>
      </w:r>
    </w:p>
    <w:p>
      <w:pPr>
        <w:pStyle w:val="ListBullet"/>
        <w:spacing w:after="60"/>
      </w:pPr>
      <w:r>
        <w:t>Q1 2025 Form 10-Q (and any later 10-Q) and all 8-Ks filed since December 31, 2024, to complete the incorporation list and refresh disclosures.</w:t>
      </w:r>
    </w:p>
    <w:p>
      <w:pPr>
        <w:pStyle w:val="ListBullet"/>
        <w:spacing w:after="60"/>
      </w:pPr>
      <w:r>
        <w:t>Auditor confirmation regarding the retained earnings roll-forward and other non-current assets (G-2, G-3), and agreement on the Experts wording and consent.</w:t>
      </w:r>
    </w:p>
    <w:p>
      <w:pPr>
        <w:pStyle w:val="ListBullet"/>
        <w:spacing w:after="60"/>
      </w:pPr>
      <w:r>
        <w:t>Forms of senior and subordinated indentures; trustee identity; T-1 timing.</w:t>
      </w:r>
    </w:p>
    <w:p>
      <w:pPr>
        <w:pStyle w:val="ListBullet"/>
        <w:spacing w:after="60"/>
      </w:pPr>
      <w:r>
        <w:t>Confirmation of the transfer agent, Form 8-A date and file number, and the S-1 file number (333-258471 vs. 333-258472).</w:t>
      </w:r>
    </w:p>
    <w:p>
      <w:pPr>
        <w:pStyle w:val="ListBullet"/>
        <w:spacing w:after="60"/>
      </w:pPr>
      <w:r>
        <w:t>Company preference on pay-as-you-go (Rule 456(b) / 457(r)) vs. a $750M fixed shelf; confirmation of the fee rate on the filing date.</w:t>
      </w:r>
    </w:p>
    <w:p>
      <w:pPr>
        <w:pStyle w:val="Heading1"/>
      </w:pPr>
      <w:r>
        <w:t>Appendix A — Key Data Point Reconciliation</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trPr>
        <w:tc>
          <w:tcPr>
            <w:tcW w:type="dxa" w:w="2736"/>
            <w:shd w:val="clear" w:color="auto" w:fill="1F3A5F"/>
          </w:tcPr>
          <w:p>
            <w:r/>
            <w:r>
              <w:rPr>
                <w:b/>
                <w:color w:val="FFFFFF"/>
                <w:sz w:val="17"/>
              </w:rPr>
              <w:t>Data point</w:t>
            </w:r>
          </w:p>
        </w:tc>
        <w:tc>
          <w:tcPr>
            <w:tcW w:type="dxa" w:w="2880"/>
            <w:shd w:val="clear" w:color="auto" w:fill="1F3A5F"/>
          </w:tcPr>
          <w:p>
            <w:r/>
            <w:r>
              <w:rPr>
                <w:b/>
                <w:color w:val="FFFFFF"/>
                <w:sz w:val="17"/>
              </w:rPr>
              <w:t>Draft S-3</w:t>
            </w:r>
          </w:p>
        </w:tc>
        <w:tc>
          <w:tcPr>
            <w:tcW w:type="dxa" w:w="3312"/>
            <w:shd w:val="clear" w:color="auto" w:fill="1F3A5F"/>
          </w:tcPr>
          <w:p>
            <w:r/>
            <w:r>
              <w:rPr>
                <w:b/>
                <w:color w:val="FFFFFF"/>
                <w:sz w:val="17"/>
              </w:rPr>
              <w:t>FY2024 10-K</w:t>
            </w:r>
          </w:p>
        </w:tc>
        <w:tc>
          <w:tcPr>
            <w:tcW w:type="dxa" w:w="2880"/>
            <w:shd w:val="clear" w:color="auto" w:fill="1F3A5F"/>
          </w:tcPr>
          <w:p>
            <w:r/>
            <w:r>
              <w:rPr>
                <w:b/>
                <w:color w:val="FFFFFF"/>
                <w:sz w:val="17"/>
              </w:rPr>
              <w:t>2021 S-1</w:t>
            </w:r>
          </w:p>
        </w:tc>
        <w:tc>
          <w:tcPr>
            <w:tcW w:type="dxa" w:w="2016"/>
            <w:shd w:val="clear" w:color="auto" w:fill="1F3A5F"/>
          </w:tcPr>
          <w:p>
            <w:r/>
            <w:r>
              <w:rPr>
                <w:b/>
                <w:color w:val="FFFFFF"/>
                <w:sz w:val="17"/>
              </w:rPr>
              <w:t>Status</w:t>
            </w:r>
          </w:p>
        </w:tc>
      </w:tr>
      <w:tr>
        <w:tc>
          <w:tcPr>
            <w:tcW w:type="dxa" w:w="2736"/>
          </w:tcPr>
          <w:p>
            <w:r/>
            <w:r>
              <w:rPr>
                <w:b/>
                <w:sz w:val="17"/>
              </w:rPr>
              <w:t>State of incorporation</w:t>
            </w:r>
          </w:p>
        </w:tc>
        <w:tc>
          <w:tcPr>
            <w:tcW w:type="dxa" w:w="2880"/>
          </w:tcPr>
          <w:p>
            <w:r/>
            <w:r>
              <w:rPr>
                <w:sz w:val="17"/>
              </w:rPr>
              <w:t>Texas (Cap. Stock); Delaware (cover)</w:t>
            </w:r>
          </w:p>
        </w:tc>
        <w:tc>
          <w:tcPr>
            <w:tcW w:type="dxa" w:w="3312"/>
          </w:tcPr>
          <w:p>
            <w:r/>
            <w:r>
              <w:rPr>
                <w:sz w:val="17"/>
              </w:rPr>
              <w:t>Delaware</w:t>
            </w:r>
          </w:p>
        </w:tc>
        <w:tc>
          <w:tcPr>
            <w:tcW w:type="dxa" w:w="2880"/>
          </w:tcPr>
          <w:p>
            <w:r/>
            <w:r>
              <w:rPr>
                <w:sz w:val="17"/>
              </w:rPr>
              <w:t>Delaware</w:t>
            </w:r>
          </w:p>
        </w:tc>
        <w:tc>
          <w:tcPr>
            <w:tcW w:type="dxa" w:w="2016"/>
          </w:tcPr>
          <w:p>
            <w:r/>
            <w:r>
              <w:rPr>
                <w:sz w:val="17"/>
              </w:rPr>
              <w:t>S-3 wrong</w:t>
            </w:r>
          </w:p>
        </w:tc>
      </w:tr>
      <w:tr>
        <w:tc>
          <w:tcPr>
            <w:tcW w:type="dxa" w:w="2736"/>
          </w:tcPr>
          <w:p>
            <w:r/>
            <w:r>
              <w:rPr>
                <w:b/>
                <w:sz w:val="17"/>
              </w:rPr>
              <w:t>Authorized common stock</w:t>
            </w:r>
          </w:p>
        </w:tc>
        <w:tc>
          <w:tcPr>
            <w:tcW w:type="dxa" w:w="2880"/>
          </w:tcPr>
          <w:p>
            <w:r/>
            <w:r>
              <w:rPr>
                <w:sz w:val="17"/>
              </w:rPr>
              <w:t>150,000,000</w:t>
            </w:r>
          </w:p>
        </w:tc>
        <w:tc>
          <w:tcPr>
            <w:tcW w:type="dxa" w:w="3312"/>
          </w:tcPr>
          <w:p>
            <w:r/>
            <w:r>
              <w:rPr>
                <w:sz w:val="17"/>
              </w:rPr>
              <w:t>200,000,000</w:t>
            </w:r>
          </w:p>
        </w:tc>
        <w:tc>
          <w:tcPr>
            <w:tcW w:type="dxa" w:w="2880"/>
          </w:tcPr>
          <w:p>
            <w:r/>
            <w:r>
              <w:rPr>
                <w:sz w:val="17"/>
              </w:rPr>
              <w:t>200,000,000</w:t>
            </w:r>
          </w:p>
        </w:tc>
        <w:tc>
          <w:tcPr>
            <w:tcW w:type="dxa" w:w="2016"/>
          </w:tcPr>
          <w:p>
            <w:r/>
            <w:r>
              <w:rPr>
                <w:sz w:val="17"/>
              </w:rPr>
              <w:t>S-3 wrong</w:t>
            </w:r>
          </w:p>
        </w:tc>
      </w:tr>
      <w:tr>
        <w:tc>
          <w:tcPr>
            <w:tcW w:type="dxa" w:w="2736"/>
          </w:tcPr>
          <w:p>
            <w:r/>
            <w:r>
              <w:rPr>
                <w:b/>
                <w:sz w:val="17"/>
              </w:rPr>
              <w:t>Shares outstanding</w:t>
            </w:r>
          </w:p>
        </w:tc>
        <w:tc>
          <w:tcPr>
            <w:tcW w:type="dxa" w:w="2880"/>
          </w:tcPr>
          <w:p>
            <w:r/>
            <w:r>
              <w:rPr>
                <w:sz w:val="17"/>
              </w:rPr>
              <w:t>74,200,000 (April 30, 2025)</w:t>
            </w:r>
          </w:p>
        </w:tc>
        <w:tc>
          <w:tcPr>
            <w:tcW w:type="dxa" w:w="3312"/>
          </w:tcPr>
          <w:p>
            <w:r/>
            <w:r>
              <w:rPr>
                <w:sz w:val="17"/>
              </w:rPr>
              <w:t>77,000,000 (December 31, 2024)</w:t>
            </w:r>
          </w:p>
        </w:tc>
        <w:tc>
          <w:tcPr>
            <w:tcW w:type="dxa" w:w="2880"/>
          </w:tcPr>
          <w:p>
            <w:r/>
            <w:r>
              <w:rPr>
                <w:sz w:val="17"/>
              </w:rPr>
              <w:t>approx. 63,000,000 post-IPO</w:t>
            </w:r>
          </w:p>
        </w:tc>
        <w:tc>
          <w:tcPr>
            <w:tcW w:type="dxa" w:w="2016"/>
          </w:tcPr>
          <w:p>
            <w:r/>
            <w:r>
              <w:rPr>
                <w:sz w:val="17"/>
              </w:rPr>
              <w:t>Reconcile</w:t>
            </w:r>
          </w:p>
        </w:tc>
      </w:tr>
      <w:tr>
        <w:tc>
          <w:tcPr>
            <w:tcW w:type="dxa" w:w="2736"/>
          </w:tcPr>
          <w:p>
            <w:r/>
            <w:r>
              <w:rPr>
                <w:b/>
                <w:sz w:val="17"/>
              </w:rPr>
              <w:t>Telephone</w:t>
            </w:r>
          </w:p>
        </w:tc>
        <w:tc>
          <w:tcPr>
            <w:tcW w:type="dxa" w:w="2880"/>
          </w:tcPr>
          <w:p>
            <w:r/>
            <w:r>
              <w:rPr>
                <w:sz w:val="17"/>
              </w:rPr>
              <w:t>(512) 555-0140</w:t>
            </w:r>
          </w:p>
        </w:tc>
        <w:tc>
          <w:tcPr>
            <w:tcW w:type="dxa" w:w="3312"/>
          </w:tcPr>
          <w:p>
            <w:r/>
            <w:r>
              <w:rPr>
                <w:sz w:val="17"/>
              </w:rPr>
              <w:t>(512) 555-0100</w:t>
            </w:r>
          </w:p>
        </w:tc>
        <w:tc>
          <w:tcPr>
            <w:tcW w:type="dxa" w:w="2880"/>
          </w:tcPr>
          <w:p>
            <w:r/>
            <w:r>
              <w:rPr>
                <w:sz w:val="17"/>
              </w:rPr>
              <w:t>(512) 555-0100</w:t>
            </w:r>
          </w:p>
        </w:tc>
        <w:tc>
          <w:tcPr>
            <w:tcW w:type="dxa" w:w="2016"/>
          </w:tcPr>
          <w:p>
            <w:r/>
            <w:r>
              <w:rPr>
                <w:sz w:val="17"/>
              </w:rPr>
              <w:t>S-3 inconsistent</w:t>
            </w:r>
          </w:p>
        </w:tc>
      </w:tr>
      <w:tr>
        <w:tc>
          <w:tcPr>
            <w:tcW w:type="dxa" w:w="2736"/>
          </w:tcPr>
          <w:p>
            <w:r/>
            <w:r>
              <w:rPr>
                <w:b/>
                <w:sz w:val="17"/>
              </w:rPr>
              <w:t>CFO</w:t>
            </w:r>
          </w:p>
        </w:tc>
        <w:tc>
          <w:tcPr>
            <w:tcW w:type="dxa" w:w="2880"/>
          </w:tcPr>
          <w:p>
            <w:r/>
            <w:r>
              <w:rPr>
                <w:sz w:val="17"/>
              </w:rPr>
              <w:t>Thomas R. Wheeler</w:t>
            </w:r>
          </w:p>
        </w:tc>
        <w:tc>
          <w:tcPr>
            <w:tcW w:type="dxa" w:w="3312"/>
          </w:tcPr>
          <w:p>
            <w:r/>
            <w:r>
              <w:rPr>
                <w:sz w:val="17"/>
              </w:rPr>
              <w:t>Jennifer Tsao-Park (since March 6, 2023)</w:t>
            </w:r>
          </w:p>
        </w:tc>
        <w:tc>
          <w:tcPr>
            <w:tcW w:type="dxa" w:w="2880"/>
          </w:tcPr>
          <w:p>
            <w:r/>
            <w:r>
              <w:rPr>
                <w:sz w:val="17"/>
              </w:rPr>
              <w:t>Thomas R. Wheeler</w:t>
            </w:r>
          </w:p>
        </w:tc>
        <w:tc>
          <w:tcPr>
            <w:tcW w:type="dxa" w:w="2016"/>
          </w:tcPr>
          <w:p>
            <w:r/>
            <w:r>
              <w:rPr>
                <w:sz w:val="17"/>
              </w:rPr>
              <w:t>S-3 stale</w:t>
            </w:r>
          </w:p>
        </w:tc>
      </w:tr>
      <w:tr>
        <w:tc>
          <w:tcPr>
            <w:tcW w:type="dxa" w:w="2736"/>
          </w:tcPr>
          <w:p>
            <w:r/>
            <w:r>
              <w:rPr>
                <w:b/>
                <w:sz w:val="17"/>
              </w:rPr>
              <w:t>General Counsel / agent for service</w:t>
            </w:r>
          </w:p>
        </w:tc>
        <w:tc>
          <w:tcPr>
            <w:tcW w:type="dxa" w:w="2880"/>
          </w:tcPr>
          <w:p>
            <w:r/>
            <w:r>
              <w:rPr>
                <w:sz w:val="17"/>
              </w:rPr>
              <w:t>Amanda Reiss</w:t>
            </w:r>
          </w:p>
        </w:tc>
        <w:tc>
          <w:tcPr>
            <w:tcW w:type="dxa" w:w="3312"/>
          </w:tcPr>
          <w:p>
            <w:r/>
            <w:r>
              <w:rPr>
                <w:sz w:val="17"/>
              </w:rPr>
              <w:t>Daniel K. Moretti (since January 15, 2024)</w:t>
            </w:r>
          </w:p>
        </w:tc>
        <w:tc>
          <w:tcPr>
            <w:tcW w:type="dxa" w:w="2880"/>
          </w:tcPr>
          <w:p>
            <w:r/>
            <w:r>
              <w:rPr>
                <w:sz w:val="17"/>
              </w:rPr>
              <w:t>Amanda Reiss</w:t>
            </w:r>
          </w:p>
        </w:tc>
        <w:tc>
          <w:tcPr>
            <w:tcW w:type="dxa" w:w="2016"/>
          </w:tcPr>
          <w:p>
            <w:r/>
            <w:r>
              <w:rPr>
                <w:sz w:val="17"/>
              </w:rPr>
              <w:t>S-3 stale</w:t>
            </w:r>
          </w:p>
        </w:tc>
      </w:tr>
      <w:tr>
        <w:tc>
          <w:tcPr>
            <w:tcW w:type="dxa" w:w="2736"/>
          </w:tcPr>
          <w:p>
            <w:r/>
            <w:r>
              <w:rPr>
                <w:b/>
                <w:sz w:val="17"/>
              </w:rPr>
              <w:t>Technology lead</w:t>
            </w:r>
          </w:p>
        </w:tc>
        <w:tc>
          <w:tcPr>
            <w:tcW w:type="dxa" w:w="2880"/>
          </w:tcPr>
          <w:p>
            <w:r/>
            <w:r>
              <w:rPr>
                <w:sz w:val="17"/>
              </w:rPr>
              <w:t>James Okoro, VP Engineering</w:t>
            </w:r>
          </w:p>
        </w:tc>
        <w:tc>
          <w:tcPr>
            <w:tcW w:type="dxa" w:w="3312"/>
          </w:tcPr>
          <w:p>
            <w:r/>
            <w:r>
              <w:rPr>
                <w:sz w:val="17"/>
              </w:rPr>
              <w:t>Dr. Priya Venkatesh, CTO (Okoro left June 2023)</w:t>
            </w:r>
          </w:p>
        </w:tc>
        <w:tc>
          <w:tcPr>
            <w:tcW w:type="dxa" w:w="2880"/>
          </w:tcPr>
          <w:p>
            <w:r/>
            <w:r>
              <w:rPr>
                <w:sz w:val="17"/>
              </w:rPr>
              <w:t>James Okoro</w:t>
            </w:r>
          </w:p>
        </w:tc>
        <w:tc>
          <w:tcPr>
            <w:tcW w:type="dxa" w:w="2016"/>
          </w:tcPr>
          <w:p>
            <w:r/>
            <w:r>
              <w:rPr>
                <w:sz w:val="17"/>
              </w:rPr>
              <w:t>S-3 stale</w:t>
            </w:r>
          </w:p>
        </w:tc>
      </w:tr>
      <w:tr>
        <w:tc>
          <w:tcPr>
            <w:tcW w:type="dxa" w:w="2736"/>
          </w:tcPr>
          <w:p>
            <w:r/>
            <w:r>
              <w:rPr>
                <w:b/>
                <w:sz w:val="17"/>
              </w:rPr>
              <w:t>Other executive officers</w:t>
            </w:r>
          </w:p>
        </w:tc>
        <w:tc>
          <w:tcPr>
            <w:tcW w:type="dxa" w:w="2880"/>
          </w:tcPr>
          <w:p>
            <w:r/>
            <w:r>
              <w:rPr>
                <w:sz w:val="17"/>
              </w:rPr>
              <w:t>None</w:t>
            </w:r>
          </w:p>
        </w:tc>
        <w:tc>
          <w:tcPr>
            <w:tcW w:type="dxa" w:w="3312"/>
          </w:tcPr>
          <w:p>
            <w:r/>
            <w:r>
              <w:rPr>
                <w:sz w:val="17"/>
              </w:rPr>
              <w:t>Robert Chen (CRO); Michelle Adeyemi (CPO)</w:t>
            </w:r>
          </w:p>
        </w:tc>
        <w:tc>
          <w:tcPr>
            <w:tcW w:type="dxa" w:w="2880"/>
          </w:tcPr>
          <w:p>
            <w:r/>
            <w:r>
              <w:rPr>
                <w:sz w:val="17"/>
              </w:rPr>
              <w:t>Maddox; Mercer (SVPs)</w:t>
            </w:r>
          </w:p>
        </w:tc>
        <w:tc>
          <w:tcPr>
            <w:tcW w:type="dxa" w:w="2016"/>
          </w:tcPr>
          <w:p>
            <w:r/>
            <w:r>
              <w:rPr>
                <w:sz w:val="17"/>
              </w:rPr>
              <w:t>S-3 omits</w:t>
            </w:r>
          </w:p>
        </w:tc>
      </w:tr>
      <w:tr>
        <w:tc>
          <w:tcPr>
            <w:tcW w:type="dxa" w:w="2736"/>
          </w:tcPr>
          <w:p>
            <w:r/>
            <w:r>
              <w:rPr>
                <w:b/>
                <w:sz w:val="17"/>
              </w:rPr>
              <w:t>Board size</w:t>
            </w:r>
          </w:p>
        </w:tc>
        <w:tc>
          <w:tcPr>
            <w:tcW w:type="dxa" w:w="2880"/>
          </w:tcPr>
          <w:p>
            <w:r/>
            <w:r>
              <w:rPr>
                <w:sz w:val="17"/>
              </w:rPr>
              <w:t>5</w:t>
            </w:r>
          </w:p>
        </w:tc>
        <w:tc>
          <w:tcPr>
            <w:tcW w:type="dxa" w:w="3312"/>
          </w:tcPr>
          <w:p>
            <w:r/>
            <w:r>
              <w:rPr>
                <w:sz w:val="17"/>
              </w:rPr>
              <w:t>7 (adds Banks, Cortez)</w:t>
            </w:r>
          </w:p>
        </w:tc>
        <w:tc>
          <w:tcPr>
            <w:tcW w:type="dxa" w:w="2880"/>
          </w:tcPr>
          <w:p>
            <w:r/>
            <w:r>
              <w:rPr>
                <w:sz w:val="17"/>
              </w:rPr>
              <w:t>5</w:t>
            </w:r>
          </w:p>
        </w:tc>
        <w:tc>
          <w:tcPr>
            <w:tcW w:type="dxa" w:w="2016"/>
          </w:tcPr>
          <w:p>
            <w:r/>
            <w:r>
              <w:rPr>
                <w:sz w:val="17"/>
              </w:rPr>
              <w:t>S-3 stale</w:t>
            </w:r>
          </w:p>
        </w:tc>
      </w:tr>
      <w:tr>
        <w:tc>
          <w:tcPr>
            <w:tcW w:type="dxa" w:w="2736"/>
          </w:tcPr>
          <w:p>
            <w:r/>
            <w:r>
              <w:rPr>
                <w:b/>
                <w:sz w:val="17"/>
              </w:rPr>
              <w:t>Credit facility</w:t>
            </w:r>
          </w:p>
        </w:tc>
        <w:tc>
          <w:tcPr>
            <w:tcW w:type="dxa" w:w="2880"/>
          </w:tcPr>
          <w:p>
            <w:r/>
            <w:r>
              <w:rPr>
                <w:sz w:val="17"/>
              </w:rPr>
              <w:t>$350.0M; $200.0M TL; matures March 15, 2026</w:t>
            </w:r>
          </w:p>
        </w:tc>
        <w:tc>
          <w:tcPr>
            <w:tcW w:type="dxa" w:w="3312"/>
          </w:tcPr>
          <w:p>
            <w:r/>
            <w:r>
              <w:rPr>
                <w:sz w:val="17"/>
              </w:rPr>
              <w:t>$400.0M; $250.0M TLB; matures March 15, 2027</w:t>
            </w:r>
          </w:p>
        </w:tc>
        <w:tc>
          <w:tcPr>
            <w:tcW w:type="dxa" w:w="2880"/>
          </w:tcPr>
          <w:p>
            <w:r/>
            <w:r>
              <w:rPr>
                <w:sz w:val="17"/>
              </w:rPr>
              <w:t>n/a (bridge only)</w:t>
            </w:r>
          </w:p>
        </w:tc>
        <w:tc>
          <w:tcPr>
            <w:tcW w:type="dxa" w:w="2016"/>
          </w:tcPr>
          <w:p>
            <w:r/>
            <w:r>
              <w:rPr>
                <w:sz w:val="17"/>
              </w:rPr>
              <w:t>S-3 wrong</w:t>
            </w:r>
          </w:p>
        </w:tc>
      </w:tr>
      <w:tr>
        <w:tc>
          <w:tcPr>
            <w:tcW w:type="dxa" w:w="2736"/>
          </w:tcPr>
          <w:p>
            <w:r/>
            <w:r>
              <w:rPr>
                <w:b/>
                <w:sz w:val="17"/>
              </w:rPr>
              <w:t>Debt outstanding (December 31, 2024)</w:t>
            </w:r>
          </w:p>
        </w:tc>
        <w:tc>
          <w:tcPr>
            <w:tcW w:type="dxa" w:w="2880"/>
          </w:tcPr>
          <w:p>
            <w:r/>
            <w:r>
              <w:rPr>
                <w:sz w:val="17"/>
              </w:rPr>
              <w:t>$225.0M</w:t>
            </w:r>
          </w:p>
        </w:tc>
        <w:tc>
          <w:tcPr>
            <w:tcW w:type="dxa" w:w="3312"/>
          </w:tcPr>
          <w:p>
            <w:r/>
            <w:r>
              <w:rPr>
                <w:sz w:val="17"/>
              </w:rPr>
              <w:t>$225.0M</w:t>
            </w:r>
          </w:p>
        </w:tc>
        <w:tc>
          <w:tcPr>
            <w:tcW w:type="dxa" w:w="2880"/>
          </w:tcPr>
          <w:p>
            <w:r/>
            <w:r>
              <w:rPr>
                <w:sz w:val="17"/>
              </w:rPr>
              <w:t>—</w:t>
            </w:r>
          </w:p>
        </w:tc>
        <w:tc>
          <w:tcPr>
            <w:tcW w:type="dxa" w:w="2016"/>
          </w:tcPr>
          <w:p>
            <w:r/>
            <w:r>
              <w:rPr>
                <w:sz w:val="17"/>
              </w:rPr>
              <w:t>Ties</w:t>
            </w:r>
          </w:p>
        </w:tc>
      </w:tr>
      <w:tr>
        <w:tc>
          <w:tcPr>
            <w:tcW w:type="dxa" w:w="2736"/>
          </w:tcPr>
          <w:p>
            <w:r/>
            <w:r>
              <w:rPr>
                <w:b/>
                <w:sz w:val="17"/>
              </w:rPr>
              <w:t>Bridge facility</w:t>
            </w:r>
          </w:p>
        </w:tc>
        <w:tc>
          <w:tcPr>
            <w:tcW w:type="dxa" w:w="2880"/>
          </w:tcPr>
          <w:p>
            <w:r/>
            <w:r>
              <w:rPr>
                <w:sz w:val="17"/>
              </w:rPr>
              <w:t>To be repaid; $85.0M; LIBOR+4.50%; matures December 31, 2021</w:t>
            </w:r>
          </w:p>
        </w:tc>
        <w:tc>
          <w:tcPr>
            <w:tcW w:type="dxa" w:w="3312"/>
          </w:tcPr>
          <w:p>
            <w:r/>
            <w:r>
              <w:rPr>
                <w:sz w:val="17"/>
              </w:rPr>
              <w:t>Repaid and terminated September 2021 ($45.0M per 10-K)</w:t>
            </w:r>
          </w:p>
        </w:tc>
        <w:tc>
          <w:tcPr>
            <w:tcW w:type="dxa" w:w="2880"/>
          </w:tcPr>
          <w:p>
            <w:r/>
            <w:r>
              <w:rPr>
                <w:sz w:val="17"/>
              </w:rPr>
              <w:t>$85.0M to be repaid from IPO</w:t>
            </w:r>
          </w:p>
        </w:tc>
        <w:tc>
          <w:tcPr>
            <w:tcW w:type="dxa" w:w="2016"/>
          </w:tcPr>
          <w:p>
            <w:r/>
            <w:r>
              <w:rPr>
                <w:sz w:val="17"/>
              </w:rPr>
              <w:t>S-3 stale; 10-K/S-1 conflict</w:t>
            </w:r>
          </w:p>
        </w:tc>
      </w:tr>
      <w:tr>
        <w:tc>
          <w:tcPr>
            <w:tcW w:type="dxa" w:w="2736"/>
          </w:tcPr>
          <w:p>
            <w:r/>
            <w:r>
              <w:rPr>
                <w:b/>
                <w:sz w:val="17"/>
              </w:rPr>
              <w:t>Veritech damages sought</w:t>
            </w:r>
          </w:p>
        </w:tc>
        <w:tc>
          <w:tcPr>
            <w:tcW w:type="dxa" w:w="2880"/>
          </w:tcPr>
          <w:p>
            <w:r/>
            <w:r>
              <w:rPr>
                <w:sz w:val="17"/>
              </w:rPr>
              <w:t>$57.0M</w:t>
            </w:r>
          </w:p>
        </w:tc>
        <w:tc>
          <w:tcPr>
            <w:tcW w:type="dxa" w:w="3312"/>
          </w:tcPr>
          <w:p>
            <w:r/>
            <w:r>
              <w:rPr>
                <w:sz w:val="17"/>
              </w:rPr>
              <w:t>$75.0M + injunction, fees, costs</w:t>
            </w:r>
          </w:p>
        </w:tc>
        <w:tc>
          <w:tcPr>
            <w:tcW w:type="dxa" w:w="2880"/>
          </w:tcPr>
          <w:p>
            <w:r/>
            <w:r>
              <w:rPr>
                <w:sz w:val="17"/>
              </w:rPr>
              <w:t>n/a (no material litigation)</w:t>
            </w:r>
          </w:p>
        </w:tc>
        <w:tc>
          <w:tcPr>
            <w:tcW w:type="dxa" w:w="2016"/>
          </w:tcPr>
          <w:p>
            <w:r/>
            <w:r>
              <w:rPr>
                <w:sz w:val="17"/>
              </w:rPr>
              <w:t>S-3 wrong</w:t>
            </w:r>
          </w:p>
        </w:tc>
      </w:tr>
      <w:tr>
        <w:tc>
          <w:tcPr>
            <w:tcW w:type="dxa" w:w="2736"/>
          </w:tcPr>
          <w:p>
            <w:r/>
            <w:r>
              <w:rPr>
                <w:b/>
                <w:sz w:val="17"/>
              </w:rPr>
              <w:t>Austin HQ</w:t>
            </w:r>
          </w:p>
        </w:tc>
        <w:tc>
          <w:tcPr>
            <w:tcW w:type="dxa" w:w="2880"/>
          </w:tcPr>
          <w:p>
            <w:r/>
            <w:r>
              <w:rPr>
                <w:sz w:val="17"/>
              </w:rPr>
              <w:t>95,000 sq. ft.; December 2026</w:t>
            </w:r>
          </w:p>
        </w:tc>
        <w:tc>
          <w:tcPr>
            <w:tcW w:type="dxa" w:w="3312"/>
          </w:tcPr>
          <w:p>
            <w:r/>
            <w:r>
              <w:rPr>
                <w:sz w:val="17"/>
              </w:rPr>
              <w:t>145,000 sq. ft.; December 2029</w:t>
            </w:r>
          </w:p>
        </w:tc>
        <w:tc>
          <w:tcPr>
            <w:tcW w:type="dxa" w:w="2880"/>
          </w:tcPr>
          <w:p>
            <w:r/>
            <w:r>
              <w:rPr>
                <w:sz w:val="17"/>
              </w:rPr>
              <w:t>95,000 sq. ft.; December 2026</w:t>
            </w:r>
          </w:p>
        </w:tc>
        <w:tc>
          <w:tcPr>
            <w:tcW w:type="dxa" w:w="2016"/>
          </w:tcPr>
          <w:p>
            <w:r/>
            <w:r>
              <w:rPr>
                <w:sz w:val="17"/>
              </w:rPr>
              <w:t>S-3 stale</w:t>
            </w:r>
          </w:p>
        </w:tc>
      </w:tr>
      <w:tr>
        <w:tc>
          <w:tcPr>
            <w:tcW w:type="dxa" w:w="2736"/>
          </w:tcPr>
          <w:p>
            <w:r/>
            <w:r>
              <w:rPr>
                <w:b/>
                <w:sz w:val="17"/>
              </w:rPr>
              <w:t>San Jose</w:t>
            </w:r>
          </w:p>
        </w:tc>
        <w:tc>
          <w:tcPr>
            <w:tcW w:type="dxa" w:w="2880"/>
          </w:tcPr>
          <w:p>
            <w:r/>
            <w:r>
              <w:rPr>
                <w:sz w:val="17"/>
              </w:rPr>
              <w:t>25,000 sq. ft.; September 2026</w:t>
            </w:r>
          </w:p>
        </w:tc>
        <w:tc>
          <w:tcPr>
            <w:tcW w:type="dxa" w:w="3312"/>
          </w:tcPr>
          <w:p>
            <w:r/>
            <w:r>
              <w:rPr>
                <w:sz w:val="17"/>
              </w:rPr>
              <w:t>35,000 sq. ft.; September 2026</w:t>
            </w:r>
          </w:p>
        </w:tc>
        <w:tc>
          <w:tcPr>
            <w:tcW w:type="dxa" w:w="2880"/>
          </w:tcPr>
          <w:p>
            <w:r/>
            <w:r>
              <w:rPr>
                <w:sz w:val="17"/>
              </w:rPr>
              <w:t>25,000 sq. ft.; September 2024</w:t>
            </w:r>
          </w:p>
        </w:tc>
        <w:tc>
          <w:tcPr>
            <w:tcW w:type="dxa" w:w="2016"/>
          </w:tcPr>
          <w:p>
            <w:r/>
            <w:r>
              <w:rPr>
                <w:sz w:val="17"/>
              </w:rPr>
              <w:t>S-3 hybrid / stale</w:t>
            </w:r>
          </w:p>
        </w:tc>
      </w:tr>
      <w:tr>
        <w:tc>
          <w:tcPr>
            <w:tcW w:type="dxa" w:w="2736"/>
          </w:tcPr>
          <w:p>
            <w:r/>
            <w:r>
              <w:rPr>
                <w:b/>
                <w:sz w:val="17"/>
              </w:rPr>
              <w:t>International offices</w:t>
            </w:r>
          </w:p>
        </w:tc>
        <w:tc>
          <w:tcPr>
            <w:tcW w:type="dxa" w:w="2880"/>
          </w:tcPr>
          <w:p>
            <w:r/>
            <w:r>
              <w:rPr>
                <w:sz w:val="17"/>
              </w:rPr>
              <w:t>None disclosed</w:t>
            </w:r>
          </w:p>
        </w:tc>
        <w:tc>
          <w:tcPr>
            <w:tcW w:type="dxa" w:w="3312"/>
          </w:tcPr>
          <w:p>
            <w:r/>
            <w:r>
              <w:rPr>
                <w:sz w:val="17"/>
              </w:rPr>
              <w:t>London (12,000 sq. ft.); Singapore (5,500 sq. ft.)</w:t>
            </w:r>
          </w:p>
        </w:tc>
        <w:tc>
          <w:tcPr>
            <w:tcW w:type="dxa" w:w="2880"/>
          </w:tcPr>
          <w:p>
            <w:r/>
            <w:r>
              <w:rPr>
                <w:sz w:val="17"/>
              </w:rPr>
              <w:t>None</w:t>
            </w:r>
          </w:p>
        </w:tc>
        <w:tc>
          <w:tcPr>
            <w:tcW w:type="dxa" w:w="2016"/>
          </w:tcPr>
          <w:p>
            <w:r/>
            <w:r>
              <w:rPr>
                <w:sz w:val="17"/>
              </w:rPr>
              <w:t>S-3 omits</w:t>
            </w:r>
          </w:p>
        </w:tc>
      </w:tr>
      <w:tr>
        <w:tc>
          <w:tcPr>
            <w:tcW w:type="dxa" w:w="2736"/>
          </w:tcPr>
          <w:p>
            <w:r/>
            <w:r>
              <w:rPr>
                <w:b/>
                <w:sz w:val="17"/>
              </w:rPr>
              <w:t>Customer concentration</w:t>
            </w:r>
          </w:p>
        </w:tc>
        <w:tc>
          <w:tcPr>
            <w:tcW w:type="dxa" w:w="2880"/>
          </w:tcPr>
          <w:p>
            <w:r/>
            <w:r>
              <w:rPr>
                <w:sz w:val="17"/>
              </w:rPr>
              <w:t>“Limited number of large customers”</w:t>
            </w:r>
          </w:p>
        </w:tc>
        <w:tc>
          <w:tcPr>
            <w:tcW w:type="dxa" w:w="3312"/>
          </w:tcPr>
          <w:p>
            <w:r/>
            <w:r>
              <w:rPr>
                <w:sz w:val="17"/>
              </w:rPr>
              <w:t>No customer &gt; 2% of revenue</w:t>
            </w:r>
          </w:p>
        </w:tc>
        <w:tc>
          <w:tcPr>
            <w:tcW w:type="dxa" w:w="2880"/>
          </w:tcPr>
          <w:p>
            <w:r/>
            <w:r>
              <w:rPr>
                <w:sz w:val="17"/>
              </w:rPr>
              <w:t>Over 2,400 customers</w:t>
            </w:r>
          </w:p>
        </w:tc>
        <w:tc>
          <w:tcPr>
            <w:tcW w:type="dxa" w:w="2016"/>
          </w:tcPr>
          <w:p>
            <w:r/>
            <w:r>
              <w:rPr>
                <w:sz w:val="17"/>
              </w:rPr>
              <w:t>S-3 wrong</w:t>
            </w:r>
          </w:p>
        </w:tc>
      </w:tr>
      <w:tr>
        <w:tc>
          <w:tcPr>
            <w:tcW w:type="dxa" w:w="2736"/>
          </w:tcPr>
          <w:p>
            <w:r/>
            <w:r>
              <w:rPr>
                <w:b/>
                <w:sz w:val="17"/>
              </w:rPr>
              <w:t>Cybersecurity incident (October 2024)</w:t>
            </w:r>
          </w:p>
        </w:tc>
        <w:tc>
          <w:tcPr>
            <w:tcW w:type="dxa" w:w="2880"/>
          </w:tcPr>
          <w:p>
            <w:r/>
            <w:r>
              <w:rPr>
                <w:sz w:val="17"/>
              </w:rPr>
              <w:t>Not disclosed</w:t>
            </w:r>
          </w:p>
        </w:tc>
        <w:tc>
          <w:tcPr>
            <w:tcW w:type="dxa" w:w="3312"/>
          </w:tcPr>
          <w:p>
            <w:r/>
            <w:r>
              <w:rPr>
                <w:sz w:val="17"/>
              </w:rPr>
              <w:t>1,200 accounts; $4.2M of costs; 8-K October 28, 2024</w:t>
            </w:r>
          </w:p>
        </w:tc>
        <w:tc>
          <w:tcPr>
            <w:tcW w:type="dxa" w:w="2880"/>
          </w:tcPr>
          <w:p>
            <w:r/>
            <w:r>
              <w:rPr>
                <w:sz w:val="17"/>
              </w:rPr>
              <w:t>n/a</w:t>
            </w:r>
          </w:p>
        </w:tc>
        <w:tc>
          <w:tcPr>
            <w:tcW w:type="dxa" w:w="2016"/>
          </w:tcPr>
          <w:p>
            <w:r/>
            <w:r>
              <w:rPr>
                <w:sz w:val="17"/>
              </w:rPr>
              <w:t>S-3 omits</w:t>
            </w:r>
          </w:p>
        </w:tc>
      </w:tr>
      <w:tr>
        <w:tc>
          <w:tcPr>
            <w:tcW w:type="dxa" w:w="2736"/>
          </w:tcPr>
          <w:p>
            <w:r/>
            <w:r>
              <w:rPr>
                <w:b/>
                <w:sz w:val="17"/>
              </w:rPr>
              <w:t>DataForge acquisition</w:t>
            </w:r>
          </w:p>
        </w:tc>
        <w:tc>
          <w:tcPr>
            <w:tcW w:type="dxa" w:w="2880"/>
          </w:tcPr>
          <w:p>
            <w:r/>
            <w:r>
              <w:rPr>
                <w:sz w:val="17"/>
              </w:rPr>
              <w:t>Not disclosed</w:t>
            </w:r>
          </w:p>
        </w:tc>
        <w:tc>
          <w:tcPr>
            <w:tcW w:type="dxa" w:w="3312"/>
          </w:tcPr>
          <w:p>
            <w:r/>
            <w:r>
              <w:rPr>
                <w:sz w:val="17"/>
              </w:rPr>
              <w:t>$145.0M (July 1, 2023); goodwill $89.2M</w:t>
            </w:r>
          </w:p>
        </w:tc>
        <w:tc>
          <w:tcPr>
            <w:tcW w:type="dxa" w:w="2880"/>
          </w:tcPr>
          <w:p>
            <w:r/>
            <w:r>
              <w:rPr>
                <w:sz w:val="17"/>
              </w:rPr>
              <w:t>n/a</w:t>
            </w:r>
          </w:p>
        </w:tc>
        <w:tc>
          <w:tcPr>
            <w:tcW w:type="dxa" w:w="2016"/>
          </w:tcPr>
          <w:p>
            <w:r/>
            <w:r>
              <w:rPr>
                <w:sz w:val="17"/>
              </w:rPr>
              <w:t>S-3 omits</w:t>
            </w:r>
          </w:p>
        </w:tc>
      </w:tr>
      <w:tr>
        <w:tc>
          <w:tcPr>
            <w:tcW w:type="dxa" w:w="2736"/>
          </w:tcPr>
          <w:p>
            <w:r/>
            <w:r>
              <w:rPr>
                <w:b/>
                <w:sz w:val="17"/>
              </w:rPr>
              <w:t>FY2024 revenue / employees</w:t>
            </w:r>
          </w:p>
        </w:tc>
        <w:tc>
          <w:tcPr>
            <w:tcW w:type="dxa" w:w="2880"/>
          </w:tcPr>
          <w:p>
            <w:r/>
            <w:r>
              <w:rPr>
                <w:sz w:val="17"/>
              </w:rPr>
              <w:t>$612.3M / 2,847</w:t>
            </w:r>
          </w:p>
        </w:tc>
        <w:tc>
          <w:tcPr>
            <w:tcW w:type="dxa" w:w="3312"/>
          </w:tcPr>
          <w:p>
            <w:r/>
            <w:r>
              <w:rPr>
                <w:sz w:val="17"/>
              </w:rPr>
              <w:t>$612.3M / 2,847</w:t>
            </w:r>
          </w:p>
        </w:tc>
        <w:tc>
          <w:tcPr>
            <w:tcW w:type="dxa" w:w="2880"/>
          </w:tcPr>
          <w:p>
            <w:r/>
            <w:r>
              <w:rPr>
                <w:sz w:val="17"/>
              </w:rPr>
              <w:t>—</w:t>
            </w:r>
          </w:p>
        </w:tc>
        <w:tc>
          <w:tcPr>
            <w:tcW w:type="dxa" w:w="2016"/>
          </w:tcPr>
          <w:p>
            <w:r/>
            <w:r>
              <w:rPr>
                <w:sz w:val="17"/>
              </w:rPr>
              <w:t>Ties</w:t>
            </w:r>
          </w:p>
        </w:tc>
      </w:tr>
      <w:tr>
        <w:tc>
          <w:tcPr>
            <w:tcW w:type="dxa" w:w="2736"/>
          </w:tcPr>
          <w:p>
            <w:r/>
            <w:r>
              <w:rPr>
                <w:b/>
                <w:sz w:val="17"/>
              </w:rPr>
              <w:t>Transfer agent</w:t>
            </w:r>
          </w:p>
        </w:tc>
        <w:tc>
          <w:tcPr>
            <w:tcW w:type="dxa" w:w="2880"/>
          </w:tcPr>
          <w:p>
            <w:r/>
            <w:r>
              <w:rPr>
                <w:sz w:val="17"/>
              </w:rPr>
              <w:t>Atlantic Stock Transfer &amp; Trust Company</w:t>
            </w:r>
          </w:p>
        </w:tc>
        <w:tc>
          <w:tcPr>
            <w:tcW w:type="dxa" w:w="3312"/>
          </w:tcPr>
          <w:p>
            <w:r/>
            <w:r>
              <w:rPr>
                <w:sz w:val="17"/>
              </w:rPr>
              <w:t>Not stated</w:t>
            </w:r>
          </w:p>
        </w:tc>
        <w:tc>
          <w:tcPr>
            <w:tcW w:type="dxa" w:w="2880"/>
          </w:tcPr>
          <w:p>
            <w:r/>
            <w:r>
              <w:rPr>
                <w:sz w:val="17"/>
              </w:rPr>
              <w:t>Meridian Trust &amp; Transfer Co.</w:t>
            </w:r>
          </w:p>
        </w:tc>
        <w:tc>
          <w:tcPr>
            <w:tcW w:type="dxa" w:w="2016"/>
          </w:tcPr>
          <w:p>
            <w:r/>
            <w:r>
              <w:rPr>
                <w:sz w:val="17"/>
              </w:rPr>
              <w:t>Confirm</w:t>
            </w:r>
          </w:p>
        </w:tc>
      </w:tr>
      <w:tr>
        <w:tc>
          <w:tcPr>
            <w:tcW w:type="dxa" w:w="2736"/>
          </w:tcPr>
          <w:p>
            <w:r/>
            <w:r>
              <w:rPr>
                <w:b/>
                <w:sz w:val="17"/>
              </w:rPr>
              <w:t>S-1 file number</w:t>
            </w:r>
          </w:p>
        </w:tc>
        <w:tc>
          <w:tcPr>
            <w:tcW w:type="dxa" w:w="2880"/>
          </w:tcPr>
          <w:p>
            <w:r/>
            <w:r>
              <w:rPr>
                <w:sz w:val="17"/>
              </w:rPr>
              <w:t>333-258471</w:t>
            </w:r>
          </w:p>
        </w:tc>
        <w:tc>
          <w:tcPr>
            <w:tcW w:type="dxa" w:w="3312"/>
          </w:tcPr>
          <w:p>
            <w:r/>
            <w:r>
              <w:rPr>
                <w:sz w:val="17"/>
              </w:rPr>
              <w:t>333-258472</w:t>
            </w:r>
          </w:p>
        </w:tc>
        <w:tc>
          <w:tcPr>
            <w:tcW w:type="dxa" w:w="2880"/>
          </w:tcPr>
          <w:p>
            <w:r/>
            <w:r>
              <w:rPr>
                <w:sz w:val="17"/>
              </w:rPr>
              <w:t>333-XXXXXX</w:t>
            </w:r>
          </w:p>
        </w:tc>
        <w:tc>
          <w:tcPr>
            <w:tcW w:type="dxa" w:w="2016"/>
          </w:tcPr>
          <w:p>
            <w:r/>
            <w:r>
              <w:rPr>
                <w:sz w:val="17"/>
              </w:rPr>
              <w:t>Confirm</w:t>
            </w:r>
          </w:p>
        </w:tc>
      </w:tr>
      <w:tr>
        <w:tc>
          <w:tcPr>
            <w:tcW w:type="dxa" w:w="2736"/>
          </w:tcPr>
          <w:p>
            <w:r/>
            <w:r>
              <w:rPr>
                <w:b/>
                <w:sz w:val="17"/>
              </w:rPr>
              <w:t>10-K filing date</w:t>
            </w:r>
          </w:p>
        </w:tc>
        <w:tc>
          <w:tcPr>
            <w:tcW w:type="dxa" w:w="2880"/>
          </w:tcPr>
          <w:p>
            <w:r/>
            <w:r>
              <w:rPr>
                <w:sz w:val="17"/>
              </w:rPr>
              <w:t>March 3, 2025</w:t>
            </w:r>
          </w:p>
        </w:tc>
        <w:tc>
          <w:tcPr>
            <w:tcW w:type="dxa" w:w="3312"/>
          </w:tcPr>
          <w:p>
            <w:r/>
            <w:r>
              <w:rPr>
                <w:sz w:val="17"/>
              </w:rPr>
              <w:t>Audit report and signatures March 28, 2025</w:t>
            </w:r>
          </w:p>
        </w:tc>
        <w:tc>
          <w:tcPr>
            <w:tcW w:type="dxa" w:w="2880"/>
          </w:tcPr>
          <w:p>
            <w:r/>
            <w:r>
              <w:rPr>
                <w:sz w:val="17"/>
              </w:rPr>
              <w:t>—</w:t>
            </w:r>
          </w:p>
        </w:tc>
        <w:tc>
          <w:tcPr>
            <w:tcW w:type="dxa" w:w="2016"/>
          </w:tcPr>
          <w:p>
            <w:r/>
            <w:r>
              <w:rPr>
                <w:sz w:val="17"/>
              </w:rPr>
              <w:t>Critical, confirm</w:t>
            </w:r>
          </w:p>
        </w:tc>
      </w:tr>
      <w:tr>
        <w:tc>
          <w:tcPr>
            <w:tcW w:type="dxa" w:w="2736"/>
          </w:tcPr>
          <w:p>
            <w:r/>
            <w:r>
              <w:rPr>
                <w:b/>
                <w:sz w:val="17"/>
              </w:rPr>
              <w:t>Auditor</w:t>
            </w:r>
          </w:p>
        </w:tc>
        <w:tc>
          <w:tcPr>
            <w:tcW w:type="dxa" w:w="2880"/>
          </w:tcPr>
          <w:p>
            <w:r/>
            <w:r>
              <w:rPr>
                <w:sz w:val="17"/>
              </w:rPr>
              <w:t>Redmond Clearwater LLP, Dallas</w:t>
            </w:r>
          </w:p>
        </w:tc>
        <w:tc>
          <w:tcPr>
            <w:tcW w:type="dxa" w:w="3312"/>
          </w:tcPr>
          <w:p>
            <w:r/>
            <w:r>
              <w:rPr>
                <w:sz w:val="17"/>
              </w:rPr>
              <w:t>Redmond Clearwater LLP, Dallas (PCAOB 4781)</w:t>
            </w:r>
          </w:p>
        </w:tc>
        <w:tc>
          <w:tcPr>
            <w:tcW w:type="dxa" w:w="2880"/>
          </w:tcPr>
          <w:p>
            <w:r/>
            <w:r>
              <w:rPr>
                <w:sz w:val="17"/>
              </w:rPr>
              <w:t>Redmond Clearwater LLP</w:t>
            </w:r>
          </w:p>
        </w:tc>
        <w:tc>
          <w:tcPr>
            <w:tcW w:type="dxa" w:w="2016"/>
          </w:tcPr>
          <w:p>
            <w:r/>
            <w:r>
              <w:rPr>
                <w:sz w:val="17"/>
              </w:rPr>
              <w:t>Ties</w:t>
            </w:r>
          </w:p>
        </w:tc>
      </w:tr>
      <w:tr>
        <w:tc>
          <w:tcPr>
            <w:tcW w:type="dxa" w:w="2736"/>
          </w:tcPr>
          <w:p>
            <w:r/>
            <w:r>
              <w:rPr>
                <w:b/>
                <w:sz w:val="17"/>
              </w:rPr>
              <w:t>SEC fee</w:t>
            </w:r>
          </w:p>
        </w:tc>
        <w:tc>
          <w:tcPr>
            <w:tcW w:type="dxa" w:w="2880"/>
          </w:tcPr>
          <w:p>
            <w:r/>
            <w:r>
              <w:rPr>
                <w:sz w:val="17"/>
              </w:rPr>
              <w:t>$114,825 at $153.10/$1M on $750M</w:t>
            </w:r>
          </w:p>
        </w:tc>
        <w:tc>
          <w:tcPr>
            <w:tcW w:type="dxa" w:w="3312"/>
          </w:tcPr>
          <w:p>
            <w:r/>
            <w:r>
              <w:rPr>
                <w:sz w:val="17"/>
              </w:rPr>
              <w:t>—</w:t>
            </w:r>
          </w:p>
        </w:tc>
        <w:tc>
          <w:tcPr>
            <w:tcW w:type="dxa" w:w="2880"/>
          </w:tcPr>
          <w:p>
            <w:r/>
            <w:r>
              <w:rPr>
                <w:sz w:val="17"/>
              </w:rPr>
              <w:t>$38,185 (IPO)</w:t>
            </w:r>
          </w:p>
        </w:tc>
        <w:tc>
          <w:tcPr>
            <w:tcW w:type="dxa" w:w="2016"/>
          </w:tcPr>
          <w:p>
            <w:r/>
            <w:r>
              <w:rPr>
                <w:sz w:val="17"/>
              </w:rPr>
              <w:t>Math ties; confirm rate on filing date</w:t>
            </w:r>
          </w:p>
        </w:tc>
      </w:tr>
    </w:tbl>
    <w:p>
      <w:pPr>
        <w:spacing w:after="40"/>
      </w:pPr>
    </w:p>
    <w:p>
      <w:pPr>
        <w:spacing w:after="120"/>
      </w:pPr>
      <w:r>
        <w:rPr>
          <w:b w:val="0"/>
          <w:i/>
          <w:sz w:val="17"/>
        </w:rPr>
        <w:t>This report is based solely on the three documents identified above and is intended to support the working group’s revision of the Draft S-3. It is not a substitute for the Company’s own back-up verification or for full underwriter due diligence. Statements about SEC rules and practice reflect our understanding as of this review and should be confirmed for any rule changes before filing.</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