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&amp; CONFIDENTIAL — ATTORNEY WORK PRODUCT — DRAFT FOR DISCUSSION</w:t>
      </w:r>
    </w:p>
    <w:p>
      <w:pPr>
        <w:spacing w:after="80"/>
        <w:jc w:val="center"/>
      </w:pPr>
      <w:r>
        <w:rPr>
          <w:b/>
          <w:i w:val="0"/>
          <w:sz w:val="32"/>
        </w:rPr>
        <w:t>RIDGELINE THERAPEUTICS, INC. — INITIAL PUBLIC OFFERING</w:t>
      </w:r>
    </w:p>
    <w:p>
      <w:pPr>
        <w:spacing w:after="80"/>
        <w:jc w:val="center"/>
      </w:pPr>
      <w:r>
        <w:rPr>
          <w:b/>
          <w:i w:val="0"/>
          <w:sz w:val="26"/>
        </w:rPr>
        <w:t>Underwriting Agreement Term Sheet Summary and Cross-Document Discrepancy Review</w:t>
      </w:r>
    </w:p>
    <w:p>
      <w:pPr>
        <w:spacing w:after="80"/>
        <w:jc w:val="center"/>
      </w:pPr>
      <w:r>
        <w:rPr>
          <w:b w:val="0"/>
          <w:i w:val="0"/>
          <w:sz w:val="20"/>
        </w:rPr>
        <w:t>8,500,000 Firm Shares (plus up to 1,275,000 Option Shares) of Common Stock, par value $0.001 — The Nasdaq Global Market: RDGX</w:t>
      </w:r>
    </w:p>
    <w:tbl>
      <w:tblPr>
        <w:tblStyle w:val="TableGrid"/>
        <w:tblW w:type="auto" w:w="0"/>
        <w:jc w:val="center"/>
        <w:tblLayout w:type="fixed"/>
        <w:tblLook w:firstColumn="1" w:firstRow="1" w:lastColumn="0" w:lastRow="0" w:noHBand="0" w:noVBand="1" w:val="04A0"/>
      </w:tblPr>
      <w:tblGrid>
        <w:gridCol w:w="6912"/>
        <w:gridCol w:w="6912"/>
      </w:tblGrid>
      <w:tr>
        <w:trPr>
          <w:tblHeader w:val="true"/>
        </w:trPr>
        <w:tc>
          <w:tcPr>
            <w:tcW w:type="dxa" w:w="2304"/>
            <w:shd w:val="clear" w:color="auto" w:fill="1F3A5F"/>
          </w:tcPr>
          <w:p>
            <w:r/>
            <w:r>
              <w:rPr>
                <w:b/>
                <w:color w:val="FFFFFF"/>
                <w:sz w:val="18"/>
              </w:rPr>
              <w:t>Item</w:t>
            </w:r>
          </w:p>
        </w:tc>
        <w:tc>
          <w:tcPr>
            <w:tcW w:type="dxa" w:w="11520"/>
            <w:shd w:val="clear" w:color="auto" w:fill="1F3A5F"/>
          </w:tcPr>
          <w:p>
            <w:r/>
            <w:r>
              <w:rPr>
                <w:b/>
                <w:color w:val="FFFFFF"/>
                <w:sz w:val="18"/>
              </w:rPr>
              <w:t>Detail</w:t>
            </w:r>
          </w:p>
        </w:tc>
      </w:tr>
      <w:tr>
        <w:tc>
          <w:tcPr>
            <w:tcW w:type="dxa" w:w="2304"/>
          </w:tcPr>
          <w:p>
            <w:pPr>
              <w:spacing w:after="20"/>
            </w:pPr>
            <w:r/>
            <w:r>
              <w:rPr>
                <w:b w:val="0"/>
                <w:i w:val="0"/>
                <w:sz w:val="18"/>
              </w:rPr>
              <w:t>Documents reviewed</w:t>
            </w:r>
          </w:p>
        </w:tc>
        <w:tc>
          <w:tcPr>
            <w:tcW w:type="dxa" w:w="11520"/>
          </w:tcPr>
          <w:p>
            <w:pPr>
              <w:spacing w:after="20"/>
            </w:pPr>
            <w:r/>
            <w:r>
              <w:rPr>
                <w:b w:val="0"/>
                <w:i w:val="0"/>
                <w:sz w:val="18"/>
              </w:rPr>
              <w:t>(1) Underwriting Agreement dated as of June 11, 2025 (execution version; signature blocks unsigned) (the "UA"); (2) Closing Checklist prepared by Thornfield &amp; Associates LLP, last updated June 11, 2025 (the "Checklist"); (3) Pricing email chain "Final Pricing Confirmation and UA Execution Logistics," June 10–11, 2025 (Whitmore / Delgado / Thornfield) (the "Pricing Email"); (4) Underwriter Allocation Summary workbook prepared by J. Whitmore, June 11, 2025 (Header Block, Allocation Summary and Notes tabs) (the "Allocation Spreadsheet").</w:t>
            </w:r>
          </w:p>
        </w:tc>
      </w:tr>
      <w:tr>
        <w:tc>
          <w:tcPr>
            <w:tcW w:type="dxa" w:w="2304"/>
          </w:tcPr>
          <w:p>
            <w:pPr>
              <w:spacing w:after="20"/>
            </w:pPr>
            <w:r/>
            <w:r>
              <w:rPr>
                <w:b w:val="0"/>
                <w:i w:val="0"/>
                <w:sz w:val="18"/>
              </w:rPr>
              <w:t>Posture</w:t>
            </w:r>
          </w:p>
        </w:tc>
        <w:tc>
          <w:tcPr>
            <w:tcW w:type="dxa" w:w="11520"/>
          </w:tcPr>
          <w:p>
            <w:pPr>
              <w:spacing w:after="20"/>
            </w:pPr>
            <w:r/>
            <w:r>
              <w:rPr>
                <w:b w:val="0"/>
                <w:i w:val="0"/>
                <w:sz w:val="18"/>
              </w:rPr>
              <w:t>Documents reflect the morning of June 11, 2025: pricing agreed June 10, UA to be signed June 11, Final Prospectus to be filed June 12, Closing scheduled June 16, 2025.</w:t>
            </w:r>
          </w:p>
        </w:tc>
      </w:tr>
      <w:tr>
        <w:tc>
          <w:tcPr>
            <w:tcW w:type="dxa" w:w="2304"/>
          </w:tcPr>
          <w:p>
            <w:pPr>
              <w:spacing w:after="20"/>
            </w:pPr>
            <w:r/>
            <w:r>
              <w:rPr>
                <w:b w:val="0"/>
                <w:i w:val="0"/>
                <w:sz w:val="18"/>
              </w:rPr>
              <w:t>Bottom line</w:t>
            </w:r>
          </w:p>
        </w:tc>
        <w:tc>
          <w:tcPr>
            <w:tcW w:type="dxa" w:w="11520"/>
          </w:tcPr>
          <w:p>
            <w:pPr>
              <w:spacing w:after="20"/>
            </w:pPr>
            <w:r/>
            <w:r>
              <w:rPr>
                <w:b w:val="0"/>
                <w:i w:val="0"/>
                <w:sz w:val="18"/>
              </w:rPr>
              <w:t xml:space="preserve">The core economics (8,500,000 Firm Shares at $18.00; $1.26 / 7.0% discount; $16.74 net; $142,290,000 firm net proceeds; 1,275,000 Option Shares; $163,633,500 maximum net proceeds) tie out across all four documents. However, the UA should </w:t>
            </w:r>
            <w:r>
              <w:rPr>
                <w:b/>
                <w:i w:val="0"/>
                <w:sz w:val="18"/>
              </w:rPr>
              <w:t>not</w:t>
            </w:r>
            <w:r>
              <w:rPr>
                <w:b w:val="0"/>
                <w:i w:val="0"/>
                <w:sz w:val="18"/>
              </w:rPr>
              <w:t xml:space="preserve"> be released for signature in its current form. We identified </w:t>
            </w:r>
            <w:r>
              <w:rPr>
                <w:b/>
                <w:i w:val="0"/>
                <w:sz w:val="18"/>
              </w:rPr>
              <w:t>6 critical</w:t>
            </w:r>
            <w:r>
              <w:rPr>
                <w:b w:val="0"/>
                <w:i w:val="0"/>
                <w:sz w:val="18"/>
              </w:rPr>
              <w:t xml:space="preserve"> and </w:t>
            </w:r>
            <w:r>
              <w:rPr>
                <w:b/>
                <w:i w:val="0"/>
                <w:sz w:val="18"/>
              </w:rPr>
              <w:t>6 high-priority</w:t>
            </w:r>
            <w:r>
              <w:rPr>
                <w:b w:val="0"/>
                <w:i w:val="0"/>
                <w:sz w:val="18"/>
              </w:rPr>
              <w:t xml:space="preserve"> issues (plus medium and low clean-up items), including a 7.5% vs. 7.0% discount misstatement in the Recitals, an Option Share allocation in Schedule A that over-allocates 3,750 shares (carried into the Allocation Spreadsheet), a Nasdaq Capital Market (vs. Global Market) closing condition, a June 17 bring-down comfort letter date that post-dates the June 16 Closing, and representations (Nasdaq approval; receipt of all lock-ups) that the Checklist and email chain show are not yet true. A suspect Representative email domain should be resolved before any wire instructions are exchanged.</w:t>
            </w:r>
          </w:p>
        </w:tc>
      </w:tr>
      <w:tr>
        <w:tc>
          <w:tcPr>
            <w:tcW w:type="dxa" w:w="2304"/>
          </w:tcPr>
          <w:p>
            <w:pPr>
              <w:spacing w:after="20"/>
            </w:pPr>
            <w:r/>
            <w:r>
              <w:rPr>
                <w:b w:val="0"/>
                <w:i w:val="0"/>
                <w:sz w:val="18"/>
              </w:rPr>
              <w:t>Convention</w:t>
            </w:r>
          </w:p>
        </w:tc>
        <w:tc>
          <w:tcPr>
            <w:tcW w:type="dxa" w:w="11520"/>
          </w:tcPr>
          <w:p>
            <w:pPr>
              <w:spacing w:after="20"/>
            </w:pPr>
            <w:r/>
            <w:r>
              <w:rPr>
                <w:b w:val="0"/>
                <w:i w:val="0"/>
                <w:sz w:val="18"/>
              </w:rPr>
              <w:t>Section references are to the UA unless noted. "Critical" = must be fixed or confirmed before UA execution; "High" = fix before Closing / Final Prospectus; "Medium" = should be addressed / negotiated; "Low" = conforming or clean-up.</w:t>
            </w:r>
          </w:p>
        </w:tc>
      </w:tr>
    </w:tbl>
    <w:p>
      <w:pPr>
        <w:spacing w:after="40"/>
      </w:pPr>
    </w:p>
    <w:p>
      <w:pPr>
        <w:pStyle w:val="Heading1"/>
      </w:pPr>
      <w:r>
        <w:t>Part I — Priority Action Items (Pre-Execution)</w:t>
      </w:r>
    </w:p>
    <w:p>
      <w:pPr>
        <w:pStyle w:val="ListBullet"/>
        <w:spacing w:after="40"/>
      </w:pPr>
      <w:r>
        <w:rPr>
          <w:b/>
          <w:i w:val="0"/>
        </w:rPr>
        <w:t>Correct Recital 5</w:t>
      </w:r>
      <w:r>
        <w:rPr>
          <w:b w:val="0"/>
          <w:i w:val="0"/>
        </w:rPr>
        <w:t xml:space="preserve"> ("7.5% of the initial public offering price") to </w:t>
      </w:r>
      <w:r>
        <w:rPr>
          <w:b/>
          <w:i w:val="0"/>
        </w:rPr>
        <w:t>7.0%</w:t>
      </w:r>
      <w:r>
        <w:rPr>
          <w:b w:val="0"/>
          <w:i w:val="0"/>
        </w:rPr>
        <w:t xml:space="preserve"> — $1.26 / $18.00 = 7.0%, as stated in Section 2(a), the Pricing Email, the Checklist and the Allocation Spreadsheet.</w:t>
      </w:r>
    </w:p>
    <w:p>
      <w:pPr>
        <w:pStyle w:val="ListBullet"/>
        <w:spacing w:after="40"/>
      </w:pPr>
      <w:r>
        <w:rPr>
          <w:b/>
          <w:i w:val="0"/>
        </w:rPr>
        <w:t>Correct Schedule A Option Shares for Elmsford &amp; Co. from 195,000 to 191,250</w:t>
      </w:r>
      <w:r>
        <w:rPr>
          <w:b w:val="0"/>
          <w:i w:val="0"/>
        </w:rPr>
        <w:t xml:space="preserve"> (15.0% x 1,275,000) and add the missing Option Share total (1,275,000). Current column sums to 1,278,750 — 3,750 shares more than the 1,275,000 the Company granted in Section 2(b). Re-issue the Allocation Spreadsheet, which reproduces the error.</w:t>
      </w:r>
    </w:p>
    <w:p>
      <w:pPr>
        <w:pStyle w:val="ListBullet"/>
        <w:spacing w:after="40"/>
      </w:pPr>
      <w:r>
        <w:rPr>
          <w:b/>
          <w:i w:val="0"/>
        </w:rPr>
        <w:t>Conform Section 7(h)</w:t>
      </w:r>
      <w:r>
        <w:rPr>
          <w:b w:val="0"/>
          <w:i w:val="0"/>
        </w:rPr>
        <w:t xml:space="preserve"> listing condition from "The Nasdaq Capital Market" to </w:t>
      </w:r>
      <w:r>
        <w:rPr>
          <w:b/>
          <w:i w:val="0"/>
        </w:rPr>
        <w:t>The Nasdaq Global Market</w:t>
      </w:r>
      <w:r>
        <w:rPr>
          <w:b w:val="0"/>
          <w:i w:val="0"/>
        </w:rPr>
        <w:t xml:space="preserve"> (as in the Recitals, Sections 1(p), 4(g), 5(h), 8(a)(v), the Checklist and the Pricing Email).</w:t>
      </w:r>
    </w:p>
    <w:p>
      <w:pPr>
        <w:pStyle w:val="ListBullet"/>
        <w:spacing w:after="40"/>
      </w:pPr>
      <w:r>
        <w:rPr>
          <w:b/>
          <w:i w:val="0"/>
        </w:rPr>
        <w:t>Conform Section 7(d)(ii)</w:t>
      </w:r>
      <w:r>
        <w:rPr>
          <w:b w:val="0"/>
          <w:i w:val="0"/>
        </w:rPr>
        <w:t xml:space="preserve"> bring-down comfort letter date from </w:t>
      </w:r>
      <w:r>
        <w:rPr>
          <w:b/>
          <w:i w:val="0"/>
        </w:rPr>
        <w:t>June 17, 2025 to June 16, 2025</w:t>
      </w:r>
      <w:r>
        <w:rPr>
          <w:b w:val="0"/>
          <w:i w:val="0"/>
        </w:rPr>
        <w:t xml:space="preserve"> (the Closing Date per the definition, Section 3, the Checklist (Item 12) and the Pricing Email).</w:t>
      </w:r>
    </w:p>
    <w:p>
      <w:pPr>
        <w:pStyle w:val="ListBullet"/>
        <w:spacing w:after="40"/>
      </w:pPr>
      <w:r>
        <w:rPr>
          <w:b/>
          <w:i w:val="0"/>
        </w:rPr>
        <w:t>Nasdaq approval rep (Recital 7 and Section 1(p))</w:t>
      </w:r>
      <w:r>
        <w:rPr>
          <w:b w:val="0"/>
          <w:i w:val="0"/>
        </w:rPr>
        <w:t xml:space="preserve"> states the Common Stock "has been approved" for listing, but the Checklist (Item 17: "Application submitted; approval pending") and Ms. Thornfield’s June 11 email ("pending final confirmation") say otherwise. Obtain the Nasdaq approval letter before signing or revise the rep.</w:t>
      </w:r>
    </w:p>
    <w:p>
      <w:pPr>
        <w:pStyle w:val="ListBullet"/>
        <w:spacing w:after="40"/>
      </w:pPr>
      <w:r>
        <w:rPr>
          <w:b/>
          <w:i w:val="0"/>
        </w:rPr>
        <w:t>Lock-up rep (Section 5(l))</w:t>
      </w:r>
      <w:r>
        <w:rPr>
          <w:b w:val="0"/>
          <w:i w:val="0"/>
        </w:rPr>
        <w:t xml:space="preserve"> states the Company has received executed Lock-Up Agreements from every director, executive officer and 5%+ holder, but Checklist Item 16 shows "Collection in progress," Ms. Thornfield asked Aldersgate on June 11 to independently confirm receipt, and the Schedule B form is dated June 12, 2025 (after UA execution). Reconcile the signed lock-up list to the stockholder ledger and obtain the Representative’s written confirmation before signing.</w:t>
      </w:r>
    </w:p>
    <w:p>
      <w:pPr>
        <w:pStyle w:val="ListBullet"/>
        <w:spacing w:after="40"/>
      </w:pPr>
      <w:r>
        <w:rPr>
          <w:b/>
          <w:i w:val="0"/>
        </w:rPr>
        <w:t>Verify Representative identity / email domain.</w:t>
      </w:r>
      <w:r>
        <w:rPr>
          <w:b w:val="0"/>
          <w:i w:val="0"/>
        </w:rPr>
        <w:t xml:space="preserve"> Mr. Whitmore (Aldersgate MD) is writing from </w:t>
      </w:r>
      <w:r>
        <w:rPr>
          <w:b/>
          <w:i w:val="0"/>
        </w:rPr>
        <w:t>@crestviewcapital.com</w:t>
      </w:r>
      <w:r>
        <w:rPr>
          <w:b w:val="0"/>
          <w:i w:val="0"/>
        </w:rPr>
        <w:t xml:space="preserve">; the UA notice block (Section 12(a)) and Checklist list </w:t>
      </w:r>
      <w:r>
        <w:rPr>
          <w:b/>
          <w:i w:val="0"/>
        </w:rPr>
        <w:t>@crestviewcm.com</w:t>
      </w:r>
      <w:r>
        <w:rPr>
          <w:b w:val="0"/>
          <w:i w:val="0"/>
        </w:rPr>
        <w:t>; neither is an Aldersgate domain. Confirm the correct notice address by telephone to a known number, and require call-back verification of all wire instructions (Checklist Item 28) — a classic business-email-compromise risk on a $142.29 million settlement.</w:t>
      </w:r>
    </w:p>
    <w:p>
      <w:pPr>
        <w:pStyle w:val="ListBullet"/>
        <w:spacing w:after="40"/>
      </w:pPr>
      <w:r>
        <w:rPr>
          <w:b/>
          <w:i w:val="0"/>
        </w:rPr>
        <w:t>FINRA no-objection.</w:t>
      </w:r>
      <w:r>
        <w:rPr>
          <w:b w:val="0"/>
          <w:i w:val="0"/>
        </w:rPr>
        <w:t xml:space="preserve"> Checklist Item 18 shows the FINRA filing "Filed; awaiting clearance" (due "prior to effectiveness"), yet the Registration Statement is already effective (Item 1). FINRA no-objection is a condition to both parties’ obligations (Sections 6(c) and 7(i)); confirm it has been received before pricing is finalized and the UA signed.</w:t>
      </w:r>
    </w:p>
    <w:p>
      <w:pPr>
        <w:pStyle w:val="Heading1"/>
      </w:pPr>
      <w:r>
        <w:t>Part II — Structured Term Sheet (Underwriting Agreement)</w:t>
      </w:r>
    </w:p>
    <w:p>
      <w:pPr>
        <w:pStyle w:val="Heading2"/>
      </w:pPr>
      <w:r>
        <w:t>A. Parties, Advisors and Transaction Overview</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2304"/>
            <w:shd w:val="clear" w:color="auto" w:fill="1F3A5F"/>
          </w:tcPr>
          <w:p>
            <w:r/>
            <w:r>
              <w:rPr>
                <w:b/>
                <w:color w:val="FFFFFF"/>
                <w:sz w:val="18"/>
              </w:rPr>
              <w:t>Term</w:t>
            </w:r>
          </w:p>
        </w:tc>
        <w:tc>
          <w:tcPr>
            <w:tcW w:type="dxa" w:w="5472"/>
            <w:shd w:val="clear" w:color="auto" w:fill="1F3A5F"/>
          </w:tcPr>
          <w:p>
            <w:r/>
            <w:r>
              <w:rPr>
                <w:b/>
                <w:color w:val="FFFFFF"/>
                <w:sz w:val="18"/>
              </w:rPr>
              <w:t>UA Provision</w:t>
            </w:r>
          </w:p>
        </w:tc>
        <w:tc>
          <w:tcPr>
            <w:tcW w:type="dxa" w:w="1440"/>
            <w:shd w:val="clear" w:color="auto" w:fill="1F3A5F"/>
          </w:tcPr>
          <w:p>
            <w:r/>
            <w:r>
              <w:rPr>
                <w:b/>
                <w:color w:val="FFFFFF"/>
                <w:sz w:val="18"/>
              </w:rPr>
              <w:t>UA Ref.</w:t>
            </w:r>
          </w:p>
        </w:tc>
        <w:tc>
          <w:tcPr>
            <w:tcW w:type="dxa" w:w="4608"/>
            <w:shd w:val="clear" w:color="auto" w:fill="1F3A5F"/>
          </w:tcPr>
          <w:p>
            <w:r/>
            <w:r>
              <w:rPr>
                <w:b/>
                <w:color w:val="FFFFFF"/>
                <w:sz w:val="18"/>
              </w:rPr>
              <w:t>Cross-Check</w:t>
            </w:r>
          </w:p>
        </w:tc>
      </w:tr>
      <w:tr>
        <w:tc>
          <w:tcPr>
            <w:tcW w:type="dxa" w:w="2304"/>
          </w:tcPr>
          <w:p>
            <w:pPr>
              <w:spacing w:after="20"/>
            </w:pPr>
            <w:r/>
            <w:r>
              <w:rPr>
                <w:b w:val="0"/>
                <w:i w:val="0"/>
                <w:sz w:val="18"/>
              </w:rPr>
              <w:t>Issuer</w:t>
            </w:r>
          </w:p>
        </w:tc>
        <w:tc>
          <w:tcPr>
            <w:tcW w:type="dxa" w:w="5472"/>
          </w:tcPr>
          <w:p>
            <w:pPr>
              <w:spacing w:after="20"/>
            </w:pPr>
            <w:r/>
            <w:r>
              <w:rPr>
                <w:b w:val="0"/>
                <w:i w:val="0"/>
                <w:sz w:val="18"/>
              </w:rPr>
              <w:t>Ridgeline Therapeutics, Inc., a Delaware corporation (incorporated March 14, 2018); 4200 Biopharma Boulevard, Suite 300, Cambridge, MA 02142</w:t>
            </w:r>
          </w:p>
        </w:tc>
        <w:tc>
          <w:tcPr>
            <w:tcW w:type="dxa" w:w="1440"/>
          </w:tcPr>
          <w:p>
            <w:pPr>
              <w:spacing w:after="20"/>
            </w:pPr>
            <w:r/>
            <w:r>
              <w:rPr>
                <w:b w:val="0"/>
                <w:i w:val="0"/>
                <w:sz w:val="18"/>
              </w:rPr>
              <w:t>Preamble; Defs.; 1(b)</w:t>
            </w:r>
          </w:p>
        </w:tc>
        <w:tc>
          <w:tcPr>
            <w:tcW w:type="dxa" w:w="4608"/>
          </w:tcPr>
          <w:p>
            <w:pPr>
              <w:spacing w:after="20"/>
            </w:pPr>
            <w:r/>
            <w:r>
              <w:rPr>
                <w:b w:val="0"/>
                <w:i w:val="0"/>
                <w:sz w:val="18"/>
              </w:rPr>
              <w:t>Consistent (Checklist §I; Pricing Email signature).</w:t>
            </w:r>
          </w:p>
        </w:tc>
      </w:tr>
      <w:tr>
        <w:tc>
          <w:tcPr>
            <w:tcW w:type="dxa" w:w="2304"/>
          </w:tcPr>
          <w:p>
            <w:pPr>
              <w:spacing w:after="20"/>
            </w:pPr>
            <w:r/>
            <w:r>
              <w:rPr>
                <w:b w:val="0"/>
                <w:i w:val="0"/>
                <w:sz w:val="18"/>
              </w:rPr>
              <w:t>Subsidiary</w:t>
            </w:r>
          </w:p>
        </w:tc>
        <w:tc>
          <w:tcPr>
            <w:tcW w:type="dxa" w:w="5472"/>
          </w:tcPr>
          <w:p>
            <w:pPr>
              <w:spacing w:after="20"/>
            </w:pPr>
            <w:r/>
            <w:r>
              <w:rPr>
                <w:b w:val="0"/>
                <w:i w:val="0"/>
                <w:sz w:val="18"/>
              </w:rPr>
              <w:t>Ridgeline Therapeutics Securities Corp. (Massachusetts), wholly owned</w:t>
            </w:r>
          </w:p>
        </w:tc>
        <w:tc>
          <w:tcPr>
            <w:tcW w:type="dxa" w:w="1440"/>
          </w:tcPr>
          <w:p>
            <w:pPr>
              <w:spacing w:after="20"/>
            </w:pPr>
            <w:r/>
            <w:r>
              <w:rPr>
                <w:b w:val="0"/>
                <w:i w:val="0"/>
                <w:sz w:val="18"/>
              </w:rPr>
              <w:t>Defs.; 1(c)</w:t>
            </w:r>
          </w:p>
        </w:tc>
        <w:tc>
          <w:tcPr>
            <w:tcW w:type="dxa" w:w="4608"/>
          </w:tcPr>
          <w:p>
            <w:pPr>
              <w:spacing w:after="20"/>
            </w:pPr>
            <w:r/>
            <w:r>
              <w:rPr>
                <w:b w:val="0"/>
                <w:i w:val="0"/>
                <w:sz w:val="18"/>
              </w:rPr>
              <w:t>Consistent. No subsidiary good standing certificate required by 7(f) (Checklist Item 15 flags as open).</w:t>
            </w:r>
          </w:p>
        </w:tc>
      </w:tr>
      <w:tr>
        <w:tc>
          <w:tcPr>
            <w:tcW w:type="dxa" w:w="2304"/>
          </w:tcPr>
          <w:p>
            <w:pPr>
              <w:spacing w:after="20"/>
            </w:pPr>
            <w:r/>
            <w:r>
              <w:rPr>
                <w:b w:val="0"/>
                <w:i w:val="0"/>
                <w:sz w:val="18"/>
              </w:rPr>
              <w:t>Representative / Lead Bookrunner</w:t>
            </w:r>
          </w:p>
        </w:tc>
        <w:tc>
          <w:tcPr>
            <w:tcW w:type="dxa" w:w="5472"/>
          </w:tcPr>
          <w:p>
            <w:pPr>
              <w:spacing w:after="20"/>
            </w:pPr>
            <w:r/>
            <w:r>
              <w:rPr>
                <w:b w:val="0"/>
                <w:i w:val="0"/>
                <w:sz w:val="18"/>
              </w:rPr>
              <w:t>Aldersgate Capital Markets LLC, 610 Lexington Ave., 38th Fl., New York, NY 10022 (Jonathan R. Whitmore, MD)</w:t>
            </w:r>
          </w:p>
        </w:tc>
        <w:tc>
          <w:tcPr>
            <w:tcW w:type="dxa" w:w="1440"/>
          </w:tcPr>
          <w:p>
            <w:pPr>
              <w:spacing w:after="20"/>
            </w:pPr>
            <w:r/>
            <w:r>
              <w:rPr>
                <w:b w:val="0"/>
                <w:i w:val="0"/>
                <w:sz w:val="18"/>
              </w:rPr>
              <w:t>Preamble; Defs.; 12(a)</w:t>
            </w:r>
          </w:p>
        </w:tc>
        <w:tc>
          <w:tcPr>
            <w:tcW w:type="dxa" w:w="4608"/>
          </w:tcPr>
          <w:p>
            <w:pPr>
              <w:spacing w:after="20"/>
            </w:pPr>
            <w:r/>
            <w:r>
              <w:rPr>
                <w:b w:val="0"/>
                <w:i w:val="0"/>
                <w:sz w:val="18"/>
              </w:rPr>
              <w:t xml:space="preserve">Name/address consistent. </w:t>
            </w:r>
            <w:r>
              <w:rPr>
                <w:b/>
                <w:i w:val="0"/>
                <w:sz w:val="18"/>
              </w:rPr>
              <w:t>Email domain discrepancy</w:t>
            </w:r>
            <w:r>
              <w:rPr>
                <w:b w:val="0"/>
                <w:i w:val="0"/>
                <w:sz w:val="18"/>
              </w:rPr>
              <w:t xml:space="preserve"> (see Issue 7).</w:t>
            </w:r>
          </w:p>
        </w:tc>
      </w:tr>
      <w:tr>
        <w:tc>
          <w:tcPr>
            <w:tcW w:type="dxa" w:w="2304"/>
          </w:tcPr>
          <w:p>
            <w:pPr>
              <w:spacing w:after="20"/>
            </w:pPr>
            <w:r/>
            <w:r>
              <w:rPr>
                <w:b w:val="0"/>
                <w:i w:val="0"/>
                <w:sz w:val="18"/>
              </w:rPr>
              <w:t>Other Underwriters</w:t>
            </w:r>
          </w:p>
        </w:tc>
        <w:tc>
          <w:tcPr>
            <w:tcW w:type="dxa" w:w="5472"/>
          </w:tcPr>
          <w:p>
            <w:pPr>
              <w:spacing w:after="20"/>
            </w:pPr>
            <w:r/>
            <w:r>
              <w:rPr>
                <w:b w:val="0"/>
                <w:i w:val="0"/>
                <w:sz w:val="18"/>
              </w:rPr>
              <w:t>Haldane Securities Inc. (signatory David A. Kestner, MD); Elmsford &amp; Co. (signatory Margaret Chen-Watanabe, Partner)</w:t>
            </w:r>
          </w:p>
        </w:tc>
        <w:tc>
          <w:tcPr>
            <w:tcW w:type="dxa" w:w="1440"/>
          </w:tcPr>
          <w:p>
            <w:pPr>
              <w:spacing w:after="20"/>
            </w:pPr>
            <w:r/>
            <w:r>
              <w:rPr>
                <w:b w:val="0"/>
                <w:i w:val="0"/>
                <w:sz w:val="18"/>
              </w:rPr>
              <w:t>Sched. A; sig. pages</w:t>
            </w:r>
          </w:p>
        </w:tc>
        <w:tc>
          <w:tcPr>
            <w:tcW w:type="dxa" w:w="4608"/>
          </w:tcPr>
          <w:p>
            <w:pPr>
              <w:spacing w:after="20"/>
            </w:pPr>
            <w:r/>
            <w:r>
              <w:rPr>
                <w:b w:val="0"/>
                <w:i w:val="0"/>
                <w:sz w:val="18"/>
              </w:rPr>
              <w:t>Allocation Spreadsheet/Checklist describe both as Co-Managers; Checklist lists Elmsford contact "To be confirmed".</w:t>
            </w:r>
          </w:p>
        </w:tc>
      </w:tr>
      <w:tr>
        <w:tc>
          <w:tcPr>
            <w:tcW w:type="dxa" w:w="2304"/>
          </w:tcPr>
          <w:p>
            <w:pPr>
              <w:spacing w:after="20"/>
            </w:pPr>
            <w:r/>
            <w:r>
              <w:rPr>
                <w:b w:val="0"/>
                <w:i w:val="0"/>
                <w:sz w:val="18"/>
              </w:rPr>
              <w:t>Company Counsel</w:t>
            </w:r>
          </w:p>
        </w:tc>
        <w:tc>
          <w:tcPr>
            <w:tcW w:type="dxa" w:w="5472"/>
          </w:tcPr>
          <w:p>
            <w:pPr>
              <w:spacing w:after="20"/>
            </w:pPr>
            <w:r/>
            <w:r>
              <w:rPr>
                <w:b w:val="0"/>
                <w:i w:val="0"/>
                <w:sz w:val="18"/>
              </w:rPr>
              <w:t>Thornfield &amp; Associates LLP, 125 High St., 20th Fl., Boston, MA 02110 (Catherine Thornfield)</w:t>
            </w:r>
          </w:p>
        </w:tc>
        <w:tc>
          <w:tcPr>
            <w:tcW w:type="dxa" w:w="1440"/>
          </w:tcPr>
          <w:p>
            <w:pPr>
              <w:spacing w:after="20"/>
            </w:pPr>
            <w:r/>
            <w:r>
              <w:rPr>
                <w:b w:val="0"/>
                <w:i w:val="0"/>
                <w:sz w:val="18"/>
              </w:rPr>
              <w:t>Defs.; 7(b)</w:t>
            </w:r>
          </w:p>
        </w:tc>
        <w:tc>
          <w:tcPr>
            <w:tcW w:type="dxa" w:w="4608"/>
          </w:tcPr>
          <w:p>
            <w:pPr>
              <w:spacing w:after="20"/>
            </w:pPr>
            <w:r/>
            <w:r>
              <w:rPr>
                <w:b w:val="0"/>
                <w:i w:val="0"/>
                <w:sz w:val="18"/>
              </w:rPr>
              <w:t>Consistent.</w:t>
            </w:r>
          </w:p>
        </w:tc>
      </w:tr>
      <w:tr>
        <w:tc>
          <w:tcPr>
            <w:tcW w:type="dxa" w:w="2304"/>
          </w:tcPr>
          <w:p>
            <w:pPr>
              <w:spacing w:after="20"/>
            </w:pPr>
            <w:r/>
            <w:r>
              <w:rPr>
                <w:b w:val="0"/>
                <w:i w:val="0"/>
                <w:sz w:val="18"/>
              </w:rPr>
              <w:t>Underwriters’ Counsel</w:t>
            </w:r>
          </w:p>
        </w:tc>
        <w:tc>
          <w:tcPr>
            <w:tcW w:type="dxa" w:w="5472"/>
          </w:tcPr>
          <w:p>
            <w:pPr>
              <w:spacing w:after="20"/>
            </w:pPr>
            <w:r/>
            <w:r>
              <w:rPr>
                <w:b w:val="0"/>
                <w:i w:val="0"/>
                <w:sz w:val="18"/>
              </w:rPr>
              <w:t>Grayling Hart LLP, 55 West 53rd St., 30th Fl., New York, NY 10019 (Susan Grayling)</w:t>
            </w:r>
          </w:p>
        </w:tc>
        <w:tc>
          <w:tcPr>
            <w:tcW w:type="dxa" w:w="1440"/>
          </w:tcPr>
          <w:p>
            <w:pPr>
              <w:spacing w:after="20"/>
            </w:pPr>
            <w:r/>
            <w:r>
              <w:rPr>
                <w:b w:val="0"/>
                <w:i w:val="0"/>
                <w:sz w:val="18"/>
              </w:rPr>
              <w:t>Defs.; 7(c)</w:t>
            </w:r>
          </w:p>
        </w:tc>
        <w:tc>
          <w:tcPr>
            <w:tcW w:type="dxa" w:w="4608"/>
          </w:tcPr>
          <w:p>
            <w:pPr>
              <w:spacing w:after="20"/>
            </w:pPr>
            <w:r/>
            <w:r>
              <w:rPr>
                <w:b w:val="0"/>
                <w:i w:val="0"/>
                <w:sz w:val="18"/>
              </w:rPr>
              <w:t>Consistent.</w:t>
            </w:r>
          </w:p>
        </w:tc>
      </w:tr>
      <w:tr>
        <w:tc>
          <w:tcPr>
            <w:tcW w:type="dxa" w:w="2304"/>
          </w:tcPr>
          <w:p>
            <w:pPr>
              <w:spacing w:after="20"/>
            </w:pPr>
            <w:r/>
            <w:r>
              <w:rPr>
                <w:b w:val="0"/>
                <w:i w:val="0"/>
                <w:sz w:val="18"/>
              </w:rPr>
              <w:t>Auditors</w:t>
            </w:r>
          </w:p>
        </w:tc>
        <w:tc>
          <w:tcPr>
            <w:tcW w:type="dxa" w:w="5472"/>
          </w:tcPr>
          <w:p>
            <w:pPr>
              <w:spacing w:after="20"/>
            </w:pPr>
            <w:r/>
            <w:r>
              <w:rPr>
                <w:b w:val="0"/>
                <w:i w:val="0"/>
                <w:sz w:val="18"/>
              </w:rPr>
              <w:t>Pennworth &amp; Gale LLP, 75 Federal St., Suite 1400, Boston, MA 02110 (engagement partner Robert Pennworth)</w:t>
            </w:r>
          </w:p>
        </w:tc>
        <w:tc>
          <w:tcPr>
            <w:tcW w:type="dxa" w:w="1440"/>
          </w:tcPr>
          <w:p>
            <w:pPr>
              <w:spacing w:after="20"/>
            </w:pPr>
            <w:r/>
            <w:r>
              <w:rPr>
                <w:b w:val="0"/>
                <w:i w:val="0"/>
                <w:sz w:val="18"/>
              </w:rPr>
              <w:t>Defs.; 1(h); 7(d)</w:t>
            </w:r>
          </w:p>
        </w:tc>
        <w:tc>
          <w:tcPr>
            <w:tcW w:type="dxa" w:w="4608"/>
          </w:tcPr>
          <w:p>
            <w:pPr>
              <w:spacing w:after="20"/>
            </w:pPr>
            <w:r/>
            <w:r>
              <w:rPr>
                <w:b w:val="0"/>
                <w:i w:val="0"/>
                <w:sz w:val="18"/>
              </w:rPr>
              <w:t>Consistent.</w:t>
            </w:r>
          </w:p>
        </w:tc>
      </w:tr>
      <w:tr>
        <w:tc>
          <w:tcPr>
            <w:tcW w:type="dxa" w:w="2304"/>
          </w:tcPr>
          <w:p>
            <w:pPr>
              <w:spacing w:after="20"/>
            </w:pPr>
            <w:r/>
            <w:r>
              <w:rPr>
                <w:b w:val="0"/>
                <w:i w:val="0"/>
                <w:sz w:val="18"/>
              </w:rPr>
              <w:t>Transfer Agent / Registrar</w:t>
            </w:r>
          </w:p>
        </w:tc>
        <w:tc>
          <w:tcPr>
            <w:tcW w:type="dxa" w:w="5472"/>
          </w:tcPr>
          <w:p>
            <w:pPr>
              <w:spacing w:after="20"/>
            </w:pPr>
            <w:r/>
            <w:r>
              <w:rPr>
                <w:b w:val="0"/>
                <w:i w:val="0"/>
                <w:sz w:val="18"/>
              </w:rPr>
              <w:t>Pinebrook Transfer Services Inc.</w:t>
            </w:r>
          </w:p>
        </w:tc>
        <w:tc>
          <w:tcPr>
            <w:tcW w:type="dxa" w:w="1440"/>
          </w:tcPr>
          <w:p>
            <w:pPr>
              <w:spacing w:after="20"/>
            </w:pPr>
            <w:r/>
            <w:r>
              <w:rPr>
                <w:b w:val="0"/>
                <w:i w:val="0"/>
                <w:sz w:val="18"/>
              </w:rPr>
              <w:t>1(q); 4(a)(viii)</w:t>
            </w:r>
          </w:p>
        </w:tc>
        <w:tc>
          <w:tcPr>
            <w:tcW w:type="dxa" w:w="4608"/>
          </w:tcPr>
          <w:p>
            <w:pPr>
              <w:spacing w:after="20"/>
            </w:pPr>
            <w:r/>
            <w:r>
              <w:rPr>
                <w:b w:val="0"/>
                <w:i w:val="0"/>
                <w:sz w:val="18"/>
              </w:rPr>
              <w:t>Consistent; Checklist contact details "To be confirmed".</w:t>
            </w:r>
          </w:p>
        </w:tc>
      </w:tr>
      <w:tr>
        <w:tc>
          <w:tcPr>
            <w:tcW w:type="dxa" w:w="2304"/>
          </w:tcPr>
          <w:p>
            <w:pPr>
              <w:spacing w:after="20"/>
            </w:pPr>
            <w:r/>
            <w:r>
              <w:rPr>
                <w:b w:val="0"/>
                <w:i w:val="0"/>
                <w:sz w:val="18"/>
              </w:rPr>
              <w:t>Offering type / Registration</w:t>
            </w:r>
          </w:p>
        </w:tc>
        <w:tc>
          <w:tcPr>
            <w:tcW w:type="dxa" w:w="5472"/>
          </w:tcPr>
          <w:p>
            <w:pPr>
              <w:spacing w:after="20"/>
            </w:pPr>
            <w:r/>
            <w:r>
              <w:rPr>
                <w:b w:val="0"/>
                <w:i w:val="0"/>
                <w:sz w:val="18"/>
              </w:rPr>
              <w:t>Firm commitment IPO registered on Form S-1 (File No. 333-XXXXXX), declared effective; Rule 430A pricing; Final Prospectus dated June 12, 2025 under Rule 424(b)</w:t>
            </w:r>
          </w:p>
        </w:tc>
        <w:tc>
          <w:tcPr>
            <w:tcW w:type="dxa" w:w="1440"/>
          </w:tcPr>
          <w:p>
            <w:pPr>
              <w:spacing w:after="20"/>
            </w:pPr>
            <w:r/>
            <w:r>
              <w:rPr>
                <w:b w:val="0"/>
                <w:i w:val="0"/>
                <w:sz w:val="18"/>
              </w:rPr>
              <w:t>Recitals; Defs.; 1(a)</w:t>
            </w:r>
          </w:p>
        </w:tc>
        <w:tc>
          <w:tcPr>
            <w:tcW w:type="dxa" w:w="4608"/>
          </w:tcPr>
          <w:p>
            <w:pPr>
              <w:spacing w:after="20"/>
            </w:pPr>
            <w:r/>
            <w:r>
              <w:rPr>
                <w:b/>
                <w:i w:val="0"/>
                <w:sz w:val="18"/>
              </w:rPr>
              <w:t>File number is a placeholder</w:t>
            </w:r>
            <w:r>
              <w:rPr>
                <w:b w:val="0"/>
                <w:i w:val="0"/>
                <w:sz w:val="18"/>
              </w:rPr>
              <w:t xml:space="preserve"> in the UA (333-XXXXXX) and the Checklist (333-XXXXX — different number of digits). Insert the actual number.</w:t>
            </w:r>
          </w:p>
        </w:tc>
      </w:tr>
      <w:tr>
        <w:tc>
          <w:tcPr>
            <w:tcW w:type="dxa" w:w="2304"/>
          </w:tcPr>
          <w:p>
            <w:pPr>
              <w:spacing w:after="20"/>
            </w:pPr>
            <w:r/>
            <w:r>
              <w:rPr>
                <w:b w:val="0"/>
                <w:i w:val="0"/>
                <w:sz w:val="18"/>
              </w:rPr>
              <w:t>Exchange / Ticker</w:t>
            </w:r>
          </w:p>
        </w:tc>
        <w:tc>
          <w:tcPr>
            <w:tcW w:type="dxa" w:w="5472"/>
          </w:tcPr>
          <w:p>
            <w:pPr>
              <w:spacing w:after="20"/>
            </w:pPr>
            <w:r/>
            <w:r>
              <w:rPr>
                <w:b w:val="0"/>
                <w:i w:val="0"/>
                <w:sz w:val="18"/>
              </w:rPr>
              <w:t>The Nasdaq Global Market — "RDGX"</w:t>
            </w:r>
          </w:p>
        </w:tc>
        <w:tc>
          <w:tcPr>
            <w:tcW w:type="dxa" w:w="1440"/>
          </w:tcPr>
          <w:p>
            <w:pPr>
              <w:spacing w:after="20"/>
            </w:pPr>
            <w:r/>
            <w:r>
              <w:rPr>
                <w:b w:val="0"/>
                <w:i w:val="0"/>
                <w:sz w:val="18"/>
              </w:rPr>
              <w:t>Recitals; 1(p); 4(g)</w:t>
            </w:r>
          </w:p>
        </w:tc>
        <w:tc>
          <w:tcPr>
            <w:tcW w:type="dxa" w:w="4608"/>
          </w:tcPr>
          <w:p>
            <w:pPr>
              <w:spacing w:after="20"/>
            </w:pPr>
            <w:r/>
            <w:r>
              <w:rPr>
                <w:b/>
                <w:i w:val="0"/>
                <w:sz w:val="18"/>
              </w:rPr>
              <w:t>Section 7(h) says Nasdaq Capital Market</w:t>
            </w:r>
            <w:r>
              <w:rPr>
                <w:b w:val="0"/>
                <w:i w:val="0"/>
                <w:sz w:val="18"/>
              </w:rPr>
              <w:t xml:space="preserve"> (Issue 3). Approval status inconsistent (Issue 5).</w:t>
            </w:r>
          </w:p>
        </w:tc>
      </w:tr>
      <w:tr>
        <w:tc>
          <w:tcPr>
            <w:tcW w:type="dxa" w:w="2304"/>
          </w:tcPr>
          <w:p>
            <w:pPr>
              <w:spacing w:after="20"/>
            </w:pPr>
            <w:r/>
            <w:r>
              <w:rPr>
                <w:b w:val="0"/>
                <w:i w:val="0"/>
                <w:sz w:val="18"/>
              </w:rPr>
              <w:t>Emerging growth company</w:t>
            </w:r>
          </w:p>
        </w:tc>
        <w:tc>
          <w:tcPr>
            <w:tcW w:type="dxa" w:w="5472"/>
          </w:tcPr>
          <w:p>
            <w:pPr>
              <w:spacing w:after="20"/>
            </w:pPr>
            <w:r/>
            <w:r>
              <w:rPr>
                <w:b w:val="0"/>
                <w:i w:val="0"/>
                <w:sz w:val="18"/>
              </w:rPr>
              <w:t>Company is an EGC under Section 2(a)(19) of the Act; must notify Representative if it ceases to be one before distribution completes</w:t>
            </w:r>
          </w:p>
        </w:tc>
        <w:tc>
          <w:tcPr>
            <w:tcW w:type="dxa" w:w="1440"/>
          </w:tcPr>
          <w:p>
            <w:pPr>
              <w:spacing w:after="20"/>
            </w:pPr>
            <w:r/>
            <w:r>
              <w:rPr>
                <w:b w:val="0"/>
                <w:i w:val="0"/>
                <w:sz w:val="18"/>
              </w:rPr>
              <w:t>1(t); 5(g)</w:t>
            </w:r>
          </w:p>
        </w:tc>
        <w:tc>
          <w:tcPr>
            <w:tcW w:type="dxa" w:w="4608"/>
          </w:tcPr>
          <w:p>
            <w:pPr>
              <w:spacing w:after="20"/>
            </w:pPr>
            <w:r/>
            <w:r>
              <w:rPr>
                <w:b w:val="0"/>
                <w:i w:val="0"/>
                <w:sz w:val="18"/>
              </w:rPr>
              <w:t>No conflict.</w:t>
            </w:r>
          </w:p>
        </w:tc>
      </w:tr>
      <w:tr>
        <w:tc>
          <w:tcPr>
            <w:tcW w:type="dxa" w:w="2304"/>
          </w:tcPr>
          <w:p>
            <w:pPr>
              <w:spacing w:after="20"/>
            </w:pPr>
            <w:r/>
            <w:r>
              <w:rPr>
                <w:b w:val="0"/>
                <w:i w:val="0"/>
                <w:sz w:val="18"/>
              </w:rPr>
              <w:t>Lead product</w:t>
            </w:r>
          </w:p>
        </w:tc>
        <w:tc>
          <w:tcPr>
            <w:tcW w:type="dxa" w:w="5472"/>
          </w:tcPr>
          <w:p>
            <w:pPr>
              <w:spacing w:after="20"/>
            </w:pPr>
            <w:r/>
            <w:r>
              <w:rPr>
                <w:b w:val="0"/>
                <w:i w:val="0"/>
                <w:sz w:val="18"/>
              </w:rPr>
              <w:t>RDG-4710, Phase 2, non-small cell lung cancer; 14 issued U.S. patents / 7 pending U.S. applications</w:t>
            </w:r>
          </w:p>
        </w:tc>
        <w:tc>
          <w:tcPr>
            <w:tcW w:type="dxa" w:w="1440"/>
          </w:tcPr>
          <w:p>
            <w:pPr>
              <w:spacing w:after="20"/>
            </w:pPr>
            <w:r/>
            <w:r>
              <w:rPr>
                <w:b w:val="0"/>
                <w:i w:val="0"/>
                <w:sz w:val="18"/>
              </w:rPr>
              <w:t>1(j)</w:t>
            </w:r>
          </w:p>
        </w:tc>
        <w:tc>
          <w:tcPr>
            <w:tcW w:type="dxa" w:w="4608"/>
          </w:tcPr>
          <w:p>
            <w:pPr>
              <w:spacing w:after="20"/>
            </w:pPr>
            <w:r/>
            <w:r>
              <w:rPr>
                <w:b w:val="0"/>
                <w:i w:val="0"/>
                <w:sz w:val="18"/>
              </w:rPr>
              <w:t>Pricing Email references the same Phase 2 data.</w:t>
            </w:r>
          </w:p>
        </w:tc>
      </w:tr>
    </w:tbl>
    <w:p>
      <w:pPr>
        <w:spacing w:after="40"/>
      </w:pPr>
    </w:p>
    <w:p>
      <w:pPr>
        <w:pStyle w:val="Heading2"/>
      </w:pPr>
      <w:r>
        <w:t>B. Pricing and Economics</w:t>
      </w:r>
    </w:p>
    <w:tbl>
      <w:tblPr>
        <w:tblStyle w:val="TableGrid"/>
        <w:tblW w:type="auto" w:w="0"/>
        <w:jc w:val="center"/>
        <w:tblLayout w:type="fixed"/>
        <w:tblLook w:firstColumn="1" w:firstRow="1" w:lastColumn="0" w:lastRow="0" w:noHBand="0" w:noVBand="1" w:val="04A0"/>
      </w:tblPr>
      <w:tblGrid>
        <w:gridCol w:w="1975"/>
        <w:gridCol w:w="1975"/>
        <w:gridCol w:w="1975"/>
        <w:gridCol w:w="1975"/>
        <w:gridCol w:w="1975"/>
        <w:gridCol w:w="1975"/>
        <w:gridCol w:w="1975"/>
      </w:tblGrid>
      <w:tr>
        <w:trPr>
          <w:tblHeader w:val="true"/>
        </w:trPr>
        <w:tc>
          <w:tcPr>
            <w:tcW w:type="dxa" w:w="1800"/>
            <w:shd w:val="clear" w:color="auto" w:fill="1F3A5F"/>
          </w:tcPr>
          <w:p>
            <w:r/>
            <w:r>
              <w:rPr>
                <w:b/>
                <w:color w:val="FFFFFF"/>
                <w:sz w:val="18"/>
              </w:rPr>
              <w:t>Term</w:t>
            </w:r>
          </w:p>
        </w:tc>
        <w:tc>
          <w:tcPr>
            <w:tcW w:type="dxa" w:w="2736"/>
            <w:shd w:val="clear" w:color="auto" w:fill="1F3A5F"/>
          </w:tcPr>
          <w:p>
            <w:r/>
            <w:r>
              <w:rPr>
                <w:b/>
                <w:color w:val="FFFFFF"/>
                <w:sz w:val="18"/>
              </w:rPr>
              <w:t>UA Provision</w:t>
            </w:r>
          </w:p>
        </w:tc>
        <w:tc>
          <w:tcPr>
            <w:tcW w:type="dxa" w:w="1224"/>
            <w:shd w:val="clear" w:color="auto" w:fill="1F3A5F"/>
          </w:tcPr>
          <w:p>
            <w:r/>
            <w:r>
              <w:rPr>
                <w:b/>
                <w:color w:val="FFFFFF"/>
                <w:sz w:val="18"/>
              </w:rPr>
              <w:t>UA Ref.</w:t>
            </w:r>
          </w:p>
        </w:tc>
        <w:tc>
          <w:tcPr>
            <w:tcW w:type="dxa" w:w="1800"/>
            <w:shd w:val="clear" w:color="auto" w:fill="1F3A5F"/>
          </w:tcPr>
          <w:p>
            <w:r/>
            <w:r>
              <w:rPr>
                <w:b/>
                <w:color w:val="FFFFFF"/>
                <w:sz w:val="18"/>
              </w:rPr>
              <w:t>Pricing Email</w:t>
            </w:r>
          </w:p>
        </w:tc>
        <w:tc>
          <w:tcPr>
            <w:tcW w:type="dxa" w:w="1800"/>
            <w:shd w:val="clear" w:color="auto" w:fill="1F3A5F"/>
          </w:tcPr>
          <w:p>
            <w:r/>
            <w:r>
              <w:rPr>
                <w:b/>
                <w:color w:val="FFFFFF"/>
                <w:sz w:val="18"/>
              </w:rPr>
              <w:t>Checklist</w:t>
            </w:r>
          </w:p>
        </w:tc>
        <w:tc>
          <w:tcPr>
            <w:tcW w:type="dxa" w:w="2160"/>
            <w:shd w:val="clear" w:color="auto" w:fill="1F3A5F"/>
          </w:tcPr>
          <w:p>
            <w:r/>
            <w:r>
              <w:rPr>
                <w:b/>
                <w:color w:val="FFFFFF"/>
                <w:sz w:val="18"/>
              </w:rPr>
              <w:t>Allocation Spreadsheet</w:t>
            </w:r>
          </w:p>
        </w:tc>
        <w:tc>
          <w:tcPr>
            <w:tcW w:type="dxa" w:w="2304"/>
            <w:shd w:val="clear" w:color="auto" w:fill="1F3A5F"/>
          </w:tcPr>
          <w:p>
            <w:r/>
            <w:r>
              <w:rPr>
                <w:b/>
                <w:color w:val="FFFFFF"/>
                <w:sz w:val="18"/>
              </w:rPr>
              <w:t>Status</w:t>
            </w:r>
          </w:p>
        </w:tc>
      </w:tr>
      <w:tr>
        <w:tc>
          <w:tcPr>
            <w:tcW w:type="dxa" w:w="1800"/>
          </w:tcPr>
          <w:p>
            <w:pPr>
              <w:spacing w:after="20"/>
            </w:pPr>
            <w:r/>
            <w:r>
              <w:rPr>
                <w:b w:val="0"/>
                <w:i w:val="0"/>
                <w:sz w:val="18"/>
              </w:rPr>
              <w:t>Firm Shares</w:t>
            </w:r>
          </w:p>
        </w:tc>
        <w:tc>
          <w:tcPr>
            <w:tcW w:type="dxa" w:w="2736"/>
          </w:tcPr>
          <w:p>
            <w:pPr>
              <w:spacing w:after="20"/>
            </w:pPr>
            <w:r/>
            <w:r>
              <w:rPr>
                <w:b w:val="0"/>
                <w:i w:val="0"/>
                <w:sz w:val="18"/>
              </w:rPr>
              <w:t>8,500,000</w:t>
            </w:r>
          </w:p>
        </w:tc>
        <w:tc>
          <w:tcPr>
            <w:tcW w:type="dxa" w:w="1224"/>
          </w:tcPr>
          <w:p>
            <w:pPr>
              <w:spacing w:after="20"/>
            </w:pPr>
            <w:r/>
            <w:r>
              <w:rPr>
                <w:b w:val="0"/>
                <w:i w:val="0"/>
                <w:sz w:val="18"/>
              </w:rPr>
              <w:t>Recitals; Defs.; 2(a)</w:t>
            </w:r>
          </w:p>
        </w:tc>
        <w:tc>
          <w:tcPr>
            <w:tcW w:type="dxa" w:w="1800"/>
          </w:tcPr>
          <w:p>
            <w:pPr>
              <w:spacing w:after="20"/>
            </w:pPr>
            <w:r/>
            <w:r>
              <w:rPr>
                <w:b w:val="0"/>
                <w:i w:val="0"/>
                <w:sz w:val="18"/>
              </w:rPr>
              <w:t>8,500,000</w:t>
            </w:r>
          </w:p>
        </w:tc>
        <w:tc>
          <w:tcPr>
            <w:tcW w:type="dxa" w:w="1800"/>
          </w:tcPr>
          <w:p>
            <w:pPr>
              <w:spacing w:after="20"/>
            </w:pPr>
            <w:r/>
            <w:r>
              <w:rPr>
                <w:b w:val="0"/>
                <w:i w:val="0"/>
                <w:sz w:val="18"/>
              </w:rPr>
              <w:t>8,500,000</w:t>
            </w:r>
          </w:p>
        </w:tc>
        <w:tc>
          <w:tcPr>
            <w:tcW w:type="dxa" w:w="2160"/>
          </w:tcPr>
          <w:p>
            <w:pPr>
              <w:spacing w:after="20"/>
            </w:pPr>
            <w:r/>
            <w:r>
              <w:rPr>
                <w:b w:val="0"/>
                <w:i w:val="0"/>
                <w:sz w:val="18"/>
              </w:rPr>
              <w:t>8,500,000</w:t>
            </w:r>
          </w:p>
        </w:tc>
        <w:tc>
          <w:tcPr>
            <w:tcW w:type="dxa" w:w="2304"/>
          </w:tcPr>
          <w:p>
            <w:pPr>
              <w:spacing w:after="20"/>
            </w:pPr>
            <w:r/>
            <w:r>
              <w:rPr>
                <w:b w:val="0"/>
                <w:i w:val="0"/>
                <w:sz w:val="18"/>
              </w:rPr>
              <w:t>Consistent</w:t>
            </w:r>
          </w:p>
        </w:tc>
      </w:tr>
      <w:tr>
        <w:tc>
          <w:tcPr>
            <w:tcW w:type="dxa" w:w="1800"/>
          </w:tcPr>
          <w:p>
            <w:pPr>
              <w:spacing w:after="20"/>
            </w:pPr>
            <w:r/>
            <w:r>
              <w:rPr>
                <w:b w:val="0"/>
                <w:i w:val="0"/>
                <w:sz w:val="18"/>
              </w:rPr>
              <w:t>Public Offering Price</w:t>
            </w:r>
          </w:p>
        </w:tc>
        <w:tc>
          <w:tcPr>
            <w:tcW w:type="dxa" w:w="2736"/>
          </w:tcPr>
          <w:p>
            <w:pPr>
              <w:spacing w:after="20"/>
            </w:pPr>
            <w:r/>
            <w:r>
              <w:rPr>
                <w:b w:val="0"/>
                <w:i w:val="0"/>
                <w:sz w:val="18"/>
              </w:rPr>
              <w:t>$18.00 per share</w:t>
            </w:r>
          </w:p>
        </w:tc>
        <w:tc>
          <w:tcPr>
            <w:tcW w:type="dxa" w:w="1224"/>
          </w:tcPr>
          <w:p>
            <w:pPr>
              <w:spacing w:after="20"/>
            </w:pPr>
            <w:r/>
            <w:r>
              <w:rPr>
                <w:b w:val="0"/>
                <w:i w:val="0"/>
                <w:sz w:val="18"/>
              </w:rPr>
              <w:t>Recitals; Defs.</w:t>
            </w:r>
          </w:p>
        </w:tc>
        <w:tc>
          <w:tcPr>
            <w:tcW w:type="dxa" w:w="1800"/>
          </w:tcPr>
          <w:p>
            <w:pPr>
              <w:spacing w:after="20"/>
            </w:pPr>
            <w:r/>
            <w:r>
              <w:rPr>
                <w:b w:val="0"/>
                <w:i w:val="0"/>
                <w:sz w:val="18"/>
              </w:rPr>
              <w:t>$18.00 (midpoint of range)</w:t>
            </w:r>
          </w:p>
        </w:tc>
        <w:tc>
          <w:tcPr>
            <w:tcW w:type="dxa" w:w="1800"/>
          </w:tcPr>
          <w:p>
            <w:pPr>
              <w:spacing w:after="20"/>
            </w:pPr>
            <w:r/>
            <w:r>
              <w:rPr>
                <w:b w:val="0"/>
                <w:i w:val="0"/>
                <w:sz w:val="18"/>
              </w:rPr>
              <w:t>$18.00</w:t>
            </w:r>
          </w:p>
        </w:tc>
        <w:tc>
          <w:tcPr>
            <w:tcW w:type="dxa" w:w="2160"/>
          </w:tcPr>
          <w:p>
            <w:pPr>
              <w:spacing w:after="20"/>
            </w:pPr>
            <w:r/>
            <w:r>
              <w:rPr>
                <w:b w:val="0"/>
                <w:i w:val="0"/>
                <w:sz w:val="18"/>
              </w:rPr>
              <w:t>$18.00</w:t>
            </w:r>
          </w:p>
        </w:tc>
        <w:tc>
          <w:tcPr>
            <w:tcW w:type="dxa" w:w="2304"/>
          </w:tcPr>
          <w:p>
            <w:pPr>
              <w:spacing w:after="20"/>
            </w:pPr>
            <w:r/>
            <w:r>
              <w:rPr>
                <w:b w:val="0"/>
                <w:i w:val="0"/>
                <w:sz w:val="18"/>
              </w:rPr>
              <w:t>Consistent</w:t>
            </w:r>
          </w:p>
        </w:tc>
      </w:tr>
      <w:tr>
        <w:tc>
          <w:tcPr>
            <w:tcW w:type="dxa" w:w="1800"/>
          </w:tcPr>
          <w:p>
            <w:pPr>
              <w:spacing w:after="20"/>
            </w:pPr>
            <w:r/>
            <w:r>
              <w:rPr>
                <w:b w:val="0"/>
                <w:i w:val="0"/>
                <w:sz w:val="18"/>
              </w:rPr>
              <w:t>Underwriting discount</w:t>
            </w:r>
          </w:p>
        </w:tc>
        <w:tc>
          <w:tcPr>
            <w:tcW w:type="dxa" w:w="2736"/>
          </w:tcPr>
          <w:p>
            <w:pPr>
              <w:spacing w:after="20"/>
            </w:pPr>
            <w:r/>
            <w:r>
              <w:rPr>
                <w:b w:val="0"/>
                <w:i w:val="0"/>
                <w:sz w:val="18"/>
              </w:rPr>
              <w:t xml:space="preserve">$1.26 per share; </w:t>
            </w:r>
            <w:r>
              <w:rPr>
                <w:b/>
                <w:i w:val="0"/>
                <w:sz w:val="18"/>
              </w:rPr>
              <w:t>7.0%</w:t>
            </w:r>
            <w:r>
              <w:rPr>
                <w:b w:val="0"/>
                <w:i w:val="0"/>
                <w:sz w:val="18"/>
              </w:rPr>
              <w:t xml:space="preserve"> (Section 2(a)); </w:t>
            </w:r>
            <w:r>
              <w:rPr>
                <w:b/>
                <w:i w:val="0"/>
                <w:sz w:val="18"/>
              </w:rPr>
              <w:t>7.5%</w:t>
            </w:r>
            <w:r>
              <w:rPr>
                <w:b w:val="0"/>
                <w:i w:val="0"/>
                <w:sz w:val="18"/>
              </w:rPr>
              <w:t xml:space="preserve"> (Recital 5)</w:t>
            </w:r>
          </w:p>
        </w:tc>
        <w:tc>
          <w:tcPr>
            <w:tcW w:type="dxa" w:w="1224"/>
          </w:tcPr>
          <w:p>
            <w:pPr>
              <w:spacing w:after="20"/>
            </w:pPr>
            <w:r/>
            <w:r>
              <w:rPr>
                <w:b w:val="0"/>
                <w:i w:val="0"/>
                <w:sz w:val="18"/>
              </w:rPr>
              <w:t>Recital 5; 2(a)</w:t>
            </w:r>
          </w:p>
        </w:tc>
        <w:tc>
          <w:tcPr>
            <w:tcW w:type="dxa" w:w="1800"/>
          </w:tcPr>
          <w:p>
            <w:pPr>
              <w:spacing w:after="20"/>
            </w:pPr>
            <w:r/>
            <w:r>
              <w:rPr>
                <w:b w:val="0"/>
                <w:i w:val="0"/>
                <w:sz w:val="18"/>
              </w:rPr>
              <w:t>$1.26 (7.0%)</w:t>
            </w:r>
          </w:p>
        </w:tc>
        <w:tc>
          <w:tcPr>
            <w:tcW w:type="dxa" w:w="1800"/>
          </w:tcPr>
          <w:p>
            <w:pPr>
              <w:spacing w:after="20"/>
            </w:pPr>
            <w:r/>
            <w:r>
              <w:rPr>
                <w:b w:val="0"/>
                <w:i w:val="0"/>
                <w:sz w:val="18"/>
              </w:rPr>
              <w:t>$1.26 (7.0%)</w:t>
            </w:r>
          </w:p>
        </w:tc>
        <w:tc>
          <w:tcPr>
            <w:tcW w:type="dxa" w:w="2160"/>
          </w:tcPr>
          <w:p>
            <w:pPr>
              <w:spacing w:after="20"/>
            </w:pPr>
            <w:r/>
            <w:r>
              <w:rPr>
                <w:b w:val="0"/>
                <w:i w:val="0"/>
                <w:sz w:val="18"/>
              </w:rPr>
              <w:t>$1.26 (7.0%)</w:t>
            </w:r>
          </w:p>
        </w:tc>
        <w:tc>
          <w:tcPr>
            <w:tcW w:type="dxa" w:w="2304"/>
          </w:tcPr>
          <w:p>
            <w:pPr>
              <w:spacing w:after="20"/>
            </w:pPr>
            <w:r/>
            <w:r>
              <w:rPr>
                <w:b/>
                <w:i w:val="0"/>
                <w:sz w:val="18"/>
              </w:rPr>
              <w:t>Discrepancy — Recital 5 wrong (Issue 1)</w:t>
            </w:r>
          </w:p>
        </w:tc>
      </w:tr>
      <w:tr>
        <w:tc>
          <w:tcPr>
            <w:tcW w:type="dxa" w:w="1800"/>
          </w:tcPr>
          <w:p>
            <w:pPr>
              <w:spacing w:after="20"/>
            </w:pPr>
            <w:r/>
            <w:r>
              <w:rPr>
                <w:b w:val="0"/>
                <w:i w:val="0"/>
                <w:sz w:val="18"/>
              </w:rPr>
              <w:t>Net Price to Company</w:t>
            </w:r>
          </w:p>
        </w:tc>
        <w:tc>
          <w:tcPr>
            <w:tcW w:type="dxa" w:w="2736"/>
          </w:tcPr>
          <w:p>
            <w:pPr>
              <w:spacing w:after="20"/>
            </w:pPr>
            <w:r/>
            <w:r>
              <w:rPr>
                <w:b w:val="0"/>
                <w:i w:val="0"/>
                <w:sz w:val="18"/>
              </w:rPr>
              <w:t>$16.74 per share</w:t>
            </w:r>
          </w:p>
        </w:tc>
        <w:tc>
          <w:tcPr>
            <w:tcW w:type="dxa" w:w="1224"/>
          </w:tcPr>
          <w:p>
            <w:pPr>
              <w:spacing w:after="20"/>
            </w:pPr>
            <w:r/>
            <w:r>
              <w:rPr>
                <w:b w:val="0"/>
                <w:i w:val="0"/>
                <w:sz w:val="18"/>
              </w:rPr>
              <w:t>Defs.; 2(a)</w:t>
            </w:r>
          </w:p>
        </w:tc>
        <w:tc>
          <w:tcPr>
            <w:tcW w:type="dxa" w:w="1800"/>
          </w:tcPr>
          <w:p>
            <w:pPr>
              <w:spacing w:after="20"/>
            </w:pPr>
            <w:r/>
            <w:r>
              <w:rPr>
                <w:b w:val="0"/>
                <w:i w:val="0"/>
                <w:sz w:val="18"/>
              </w:rPr>
              <w:t>$16.74</w:t>
            </w:r>
          </w:p>
        </w:tc>
        <w:tc>
          <w:tcPr>
            <w:tcW w:type="dxa" w:w="1800"/>
          </w:tcPr>
          <w:p>
            <w:pPr>
              <w:spacing w:after="20"/>
            </w:pPr>
            <w:r/>
            <w:r>
              <w:rPr>
                <w:b w:val="0"/>
                <w:i w:val="0"/>
                <w:sz w:val="18"/>
              </w:rPr>
              <w:t>$16.74</w:t>
            </w:r>
          </w:p>
        </w:tc>
        <w:tc>
          <w:tcPr>
            <w:tcW w:type="dxa" w:w="2160"/>
          </w:tcPr>
          <w:p>
            <w:pPr>
              <w:spacing w:after="20"/>
            </w:pPr>
            <w:r/>
            <w:r>
              <w:rPr>
                <w:b w:val="0"/>
                <w:i w:val="0"/>
                <w:sz w:val="18"/>
              </w:rPr>
              <w:t>$16.74</w:t>
            </w:r>
          </w:p>
        </w:tc>
        <w:tc>
          <w:tcPr>
            <w:tcW w:type="dxa" w:w="2304"/>
          </w:tcPr>
          <w:p>
            <w:pPr>
              <w:spacing w:after="20"/>
            </w:pPr>
            <w:r/>
            <w:r>
              <w:rPr>
                <w:b w:val="0"/>
                <w:i w:val="0"/>
                <w:sz w:val="18"/>
              </w:rPr>
              <w:t>Consistent</w:t>
            </w:r>
          </w:p>
        </w:tc>
      </w:tr>
      <w:tr>
        <w:tc>
          <w:tcPr>
            <w:tcW w:type="dxa" w:w="1800"/>
          </w:tcPr>
          <w:p>
            <w:pPr>
              <w:spacing w:after="20"/>
            </w:pPr>
            <w:r/>
            <w:r>
              <w:rPr>
                <w:b w:val="0"/>
                <w:i w:val="0"/>
                <w:sz w:val="18"/>
              </w:rPr>
              <w:t>Gross proceeds (firm)</w:t>
            </w:r>
          </w:p>
        </w:tc>
        <w:tc>
          <w:tcPr>
            <w:tcW w:type="dxa" w:w="2736"/>
          </w:tcPr>
          <w:p>
            <w:pPr>
              <w:spacing w:after="20"/>
            </w:pPr>
            <w:r/>
            <w:r>
              <w:rPr>
                <w:b w:val="0"/>
                <w:i w:val="0"/>
                <w:sz w:val="18"/>
              </w:rPr>
              <w:t>$153,000,000</w:t>
            </w:r>
          </w:p>
        </w:tc>
        <w:tc>
          <w:tcPr>
            <w:tcW w:type="dxa" w:w="1224"/>
          </w:tcPr>
          <w:p>
            <w:pPr>
              <w:spacing w:after="20"/>
            </w:pPr>
            <w:r/>
            <w:r>
              <w:rPr>
                <w:b w:val="0"/>
                <w:i w:val="0"/>
                <w:sz w:val="18"/>
              </w:rPr>
              <w:t>2(a)</w:t>
            </w:r>
          </w:p>
        </w:tc>
        <w:tc>
          <w:tcPr>
            <w:tcW w:type="dxa" w:w="1800"/>
          </w:tcPr>
          <w:p>
            <w:pPr>
              <w:spacing w:after="20"/>
            </w:pPr>
            <w:r/>
            <w:r>
              <w:rPr>
                <w:b w:val="0"/>
                <w:i w:val="0"/>
                <w:sz w:val="18"/>
              </w:rPr>
              <w:t>$153,000,000</w:t>
            </w:r>
          </w:p>
        </w:tc>
        <w:tc>
          <w:tcPr>
            <w:tcW w:type="dxa" w:w="1800"/>
          </w:tcPr>
          <w:p>
            <w:pPr>
              <w:spacing w:after="20"/>
            </w:pPr>
            <w:r/>
            <w:r>
              <w:rPr>
                <w:b w:val="0"/>
                <w:i w:val="0"/>
                <w:sz w:val="18"/>
              </w:rPr>
              <w:t>—</w:t>
            </w:r>
          </w:p>
        </w:tc>
        <w:tc>
          <w:tcPr>
            <w:tcW w:type="dxa" w:w="2160"/>
          </w:tcPr>
          <w:p>
            <w:pPr>
              <w:spacing w:after="20"/>
            </w:pPr>
            <w:r/>
            <w:r>
              <w:rPr>
                <w:b w:val="0"/>
                <w:i w:val="0"/>
                <w:sz w:val="18"/>
              </w:rPr>
              <w:t>$153,000,000</w:t>
            </w:r>
          </w:p>
        </w:tc>
        <w:tc>
          <w:tcPr>
            <w:tcW w:type="dxa" w:w="2304"/>
          </w:tcPr>
          <w:p>
            <w:pPr>
              <w:spacing w:after="20"/>
            </w:pPr>
            <w:r/>
            <w:r>
              <w:rPr>
                <w:b w:val="0"/>
                <w:i w:val="0"/>
                <w:sz w:val="18"/>
              </w:rPr>
              <w:t>Consistent</w:t>
            </w:r>
          </w:p>
        </w:tc>
      </w:tr>
      <w:tr>
        <w:tc>
          <w:tcPr>
            <w:tcW w:type="dxa" w:w="1800"/>
          </w:tcPr>
          <w:p>
            <w:pPr>
              <w:spacing w:after="20"/>
            </w:pPr>
            <w:r/>
            <w:r>
              <w:rPr>
                <w:b w:val="0"/>
                <w:i w:val="0"/>
                <w:sz w:val="18"/>
              </w:rPr>
              <w:t>Total discount (firm)</w:t>
            </w:r>
          </w:p>
        </w:tc>
        <w:tc>
          <w:tcPr>
            <w:tcW w:type="dxa" w:w="2736"/>
          </w:tcPr>
          <w:p>
            <w:pPr>
              <w:spacing w:after="20"/>
            </w:pPr>
            <w:r/>
            <w:r>
              <w:rPr>
                <w:b w:val="0"/>
                <w:i w:val="0"/>
                <w:sz w:val="18"/>
              </w:rPr>
              <w:t>$10,710,000</w:t>
            </w:r>
          </w:p>
        </w:tc>
        <w:tc>
          <w:tcPr>
            <w:tcW w:type="dxa" w:w="1224"/>
          </w:tcPr>
          <w:p>
            <w:pPr>
              <w:spacing w:after="20"/>
            </w:pPr>
            <w:r/>
            <w:r>
              <w:rPr>
                <w:b w:val="0"/>
                <w:i w:val="0"/>
                <w:sz w:val="18"/>
              </w:rPr>
              <w:t>2(a); 10</w:t>
            </w:r>
          </w:p>
        </w:tc>
        <w:tc>
          <w:tcPr>
            <w:tcW w:type="dxa" w:w="1800"/>
          </w:tcPr>
          <w:p>
            <w:pPr>
              <w:spacing w:after="20"/>
            </w:pPr>
            <w:r/>
            <w:r>
              <w:rPr>
                <w:b w:val="0"/>
                <w:i w:val="0"/>
                <w:sz w:val="18"/>
              </w:rPr>
              <w:t>$10,710,000</w:t>
            </w:r>
          </w:p>
        </w:tc>
        <w:tc>
          <w:tcPr>
            <w:tcW w:type="dxa" w:w="1800"/>
          </w:tcPr>
          <w:p>
            <w:pPr>
              <w:spacing w:after="20"/>
            </w:pPr>
            <w:r/>
            <w:r>
              <w:rPr>
                <w:b w:val="0"/>
                <w:i w:val="0"/>
                <w:sz w:val="18"/>
              </w:rPr>
              <w:t>$10,710,000 (Item 29)</w:t>
            </w:r>
          </w:p>
        </w:tc>
        <w:tc>
          <w:tcPr>
            <w:tcW w:type="dxa" w:w="2160"/>
          </w:tcPr>
          <w:p>
            <w:pPr>
              <w:spacing w:after="20"/>
            </w:pPr>
            <w:r/>
            <w:r>
              <w:rPr>
                <w:b w:val="0"/>
                <w:i w:val="0"/>
                <w:sz w:val="18"/>
              </w:rPr>
              <w:t>$10,710,000</w:t>
            </w:r>
          </w:p>
        </w:tc>
        <w:tc>
          <w:tcPr>
            <w:tcW w:type="dxa" w:w="2304"/>
          </w:tcPr>
          <w:p>
            <w:pPr>
              <w:spacing w:after="20"/>
            </w:pPr>
            <w:r/>
            <w:r>
              <w:rPr>
                <w:b w:val="0"/>
                <w:i w:val="0"/>
                <w:sz w:val="18"/>
              </w:rPr>
              <w:t>Consistent</w:t>
            </w:r>
          </w:p>
        </w:tc>
      </w:tr>
      <w:tr>
        <w:tc>
          <w:tcPr>
            <w:tcW w:type="dxa" w:w="1800"/>
          </w:tcPr>
          <w:p>
            <w:pPr>
              <w:spacing w:after="20"/>
            </w:pPr>
            <w:r/>
            <w:r>
              <w:rPr>
                <w:b w:val="0"/>
                <w:i w:val="0"/>
                <w:sz w:val="18"/>
              </w:rPr>
              <w:t>Net proceeds (firm, pre-expenses)</w:t>
            </w:r>
          </w:p>
        </w:tc>
        <w:tc>
          <w:tcPr>
            <w:tcW w:type="dxa" w:w="2736"/>
          </w:tcPr>
          <w:p>
            <w:pPr>
              <w:spacing w:after="20"/>
            </w:pPr>
            <w:r/>
            <w:r>
              <w:rPr>
                <w:b w:val="0"/>
                <w:i w:val="0"/>
                <w:sz w:val="18"/>
              </w:rPr>
              <w:t>$142,290,000</w:t>
            </w:r>
          </w:p>
        </w:tc>
        <w:tc>
          <w:tcPr>
            <w:tcW w:type="dxa" w:w="1224"/>
          </w:tcPr>
          <w:p>
            <w:pPr>
              <w:spacing w:after="20"/>
            </w:pPr>
            <w:r/>
            <w:r>
              <w:rPr>
                <w:b w:val="0"/>
                <w:i w:val="0"/>
                <w:sz w:val="18"/>
              </w:rPr>
              <w:t>2(a)</w:t>
            </w:r>
          </w:p>
        </w:tc>
        <w:tc>
          <w:tcPr>
            <w:tcW w:type="dxa" w:w="1800"/>
          </w:tcPr>
          <w:p>
            <w:pPr>
              <w:spacing w:after="20"/>
            </w:pPr>
            <w:r/>
            <w:r>
              <w:rPr>
                <w:b w:val="0"/>
                <w:i w:val="0"/>
                <w:sz w:val="18"/>
              </w:rPr>
              <w:t>$142,290,000</w:t>
            </w:r>
          </w:p>
        </w:tc>
        <w:tc>
          <w:tcPr>
            <w:tcW w:type="dxa" w:w="1800"/>
          </w:tcPr>
          <w:p>
            <w:pPr>
              <w:spacing w:after="20"/>
            </w:pPr>
            <w:r/>
            <w:r>
              <w:rPr>
                <w:b w:val="0"/>
                <w:i w:val="0"/>
                <w:sz w:val="18"/>
              </w:rPr>
              <w:t>$142,290,000</w:t>
            </w:r>
          </w:p>
        </w:tc>
        <w:tc>
          <w:tcPr>
            <w:tcW w:type="dxa" w:w="2160"/>
          </w:tcPr>
          <w:p>
            <w:pPr>
              <w:spacing w:after="20"/>
            </w:pPr>
            <w:r/>
            <w:r>
              <w:rPr>
                <w:b w:val="0"/>
                <w:i w:val="0"/>
                <w:sz w:val="18"/>
              </w:rPr>
              <w:t>$142,290,000</w:t>
            </w:r>
          </w:p>
        </w:tc>
        <w:tc>
          <w:tcPr>
            <w:tcW w:type="dxa" w:w="2304"/>
          </w:tcPr>
          <w:p>
            <w:pPr>
              <w:spacing w:after="20"/>
            </w:pPr>
            <w:r/>
            <w:r>
              <w:rPr>
                <w:b w:val="0"/>
                <w:i w:val="0"/>
                <w:sz w:val="18"/>
              </w:rPr>
              <w:t>Consistent</w:t>
            </w:r>
          </w:p>
        </w:tc>
      </w:tr>
      <w:tr>
        <w:tc>
          <w:tcPr>
            <w:tcW w:type="dxa" w:w="1800"/>
          </w:tcPr>
          <w:p>
            <w:pPr>
              <w:spacing w:after="20"/>
            </w:pPr>
            <w:r/>
            <w:r>
              <w:rPr>
                <w:b w:val="0"/>
                <w:i w:val="0"/>
                <w:sz w:val="18"/>
              </w:rPr>
              <w:t>Option Shares</w:t>
            </w:r>
          </w:p>
        </w:tc>
        <w:tc>
          <w:tcPr>
            <w:tcW w:type="dxa" w:w="2736"/>
          </w:tcPr>
          <w:p>
            <w:pPr>
              <w:spacing w:after="20"/>
            </w:pPr>
            <w:r/>
            <w:r>
              <w:rPr>
                <w:b w:val="0"/>
                <w:i w:val="0"/>
                <w:sz w:val="18"/>
              </w:rPr>
              <w:t>Up to 1,275,000 (15% of Firm Shares) at $16.74</w:t>
            </w:r>
          </w:p>
        </w:tc>
        <w:tc>
          <w:tcPr>
            <w:tcW w:type="dxa" w:w="1224"/>
          </w:tcPr>
          <w:p>
            <w:pPr>
              <w:spacing w:after="20"/>
            </w:pPr>
            <w:r/>
            <w:r>
              <w:rPr>
                <w:b w:val="0"/>
                <w:i w:val="0"/>
                <w:sz w:val="18"/>
              </w:rPr>
              <w:t>Recitals; 2(b)</w:t>
            </w:r>
          </w:p>
        </w:tc>
        <w:tc>
          <w:tcPr>
            <w:tcW w:type="dxa" w:w="1800"/>
          </w:tcPr>
          <w:p>
            <w:pPr>
              <w:spacing w:after="20"/>
            </w:pPr>
            <w:r/>
            <w:r>
              <w:rPr>
                <w:b w:val="0"/>
                <w:i w:val="0"/>
                <w:sz w:val="18"/>
              </w:rPr>
              <w:t>1,275,000 (15%)</w:t>
            </w:r>
          </w:p>
        </w:tc>
        <w:tc>
          <w:tcPr>
            <w:tcW w:type="dxa" w:w="1800"/>
          </w:tcPr>
          <w:p>
            <w:pPr>
              <w:spacing w:after="20"/>
            </w:pPr>
            <w:r/>
            <w:r>
              <w:rPr>
                <w:b w:val="0"/>
                <w:i w:val="0"/>
                <w:sz w:val="18"/>
              </w:rPr>
              <w:t>1,275,000</w:t>
            </w:r>
          </w:p>
        </w:tc>
        <w:tc>
          <w:tcPr>
            <w:tcW w:type="dxa" w:w="2160"/>
          </w:tcPr>
          <w:p>
            <w:pPr>
              <w:spacing w:after="20"/>
            </w:pPr>
            <w:r/>
            <w:r>
              <w:rPr>
                <w:b w:val="0"/>
                <w:i w:val="0"/>
                <w:sz w:val="18"/>
              </w:rPr>
              <w:t xml:space="preserve">Header: 1,275,000; Allocation tab: </w:t>
            </w:r>
            <w:r>
              <w:rPr>
                <w:b/>
                <w:i w:val="0"/>
                <w:sz w:val="18"/>
              </w:rPr>
              <w:t>1,278,750</w:t>
            </w:r>
          </w:p>
        </w:tc>
        <w:tc>
          <w:tcPr>
            <w:tcW w:type="dxa" w:w="2304"/>
          </w:tcPr>
          <w:p>
            <w:pPr>
              <w:spacing w:after="20"/>
            </w:pPr>
            <w:r/>
            <w:r>
              <w:rPr>
                <w:b/>
                <w:i w:val="0"/>
                <w:sz w:val="18"/>
              </w:rPr>
              <w:t>Discrepancy — Schedule A / Spreadsheet (Issue 2)</w:t>
            </w:r>
          </w:p>
        </w:tc>
      </w:tr>
      <w:tr>
        <w:tc>
          <w:tcPr>
            <w:tcW w:type="dxa" w:w="1800"/>
          </w:tcPr>
          <w:p>
            <w:pPr>
              <w:spacing w:after="20"/>
            </w:pPr>
            <w:r/>
            <w:r>
              <w:rPr>
                <w:b w:val="0"/>
                <w:i w:val="0"/>
                <w:sz w:val="18"/>
              </w:rPr>
              <w:t>Option net proceeds (full exercise)</w:t>
            </w:r>
          </w:p>
        </w:tc>
        <w:tc>
          <w:tcPr>
            <w:tcW w:type="dxa" w:w="2736"/>
          </w:tcPr>
          <w:p>
            <w:pPr>
              <w:spacing w:after="20"/>
            </w:pPr>
            <w:r/>
            <w:r>
              <w:rPr>
                <w:b w:val="0"/>
                <w:i w:val="0"/>
                <w:sz w:val="18"/>
              </w:rPr>
              <w:t>$21,343,500</w:t>
            </w:r>
          </w:p>
        </w:tc>
        <w:tc>
          <w:tcPr>
            <w:tcW w:type="dxa" w:w="1224"/>
          </w:tcPr>
          <w:p>
            <w:pPr>
              <w:spacing w:after="20"/>
            </w:pPr>
            <w:r/>
            <w:r>
              <w:rPr>
                <w:b w:val="0"/>
                <w:i w:val="0"/>
                <w:sz w:val="18"/>
              </w:rPr>
              <w:t>2(b)</w:t>
            </w:r>
          </w:p>
        </w:tc>
        <w:tc>
          <w:tcPr>
            <w:tcW w:type="dxa" w:w="1800"/>
          </w:tcPr>
          <w:p>
            <w:pPr>
              <w:spacing w:after="20"/>
            </w:pPr>
            <w:r/>
            <w:r>
              <w:rPr>
                <w:b w:val="0"/>
                <w:i w:val="0"/>
                <w:sz w:val="18"/>
              </w:rPr>
              <w:t>—</w:t>
            </w:r>
          </w:p>
        </w:tc>
        <w:tc>
          <w:tcPr>
            <w:tcW w:type="dxa" w:w="1800"/>
          </w:tcPr>
          <w:p>
            <w:pPr>
              <w:spacing w:after="20"/>
            </w:pPr>
            <w:r/>
            <w:r>
              <w:rPr>
                <w:b w:val="0"/>
                <w:i w:val="0"/>
                <w:sz w:val="18"/>
              </w:rPr>
              <w:t>$21,343,500 (Item 28)</w:t>
            </w:r>
          </w:p>
        </w:tc>
        <w:tc>
          <w:tcPr>
            <w:tcW w:type="dxa" w:w="2160"/>
          </w:tcPr>
          <w:p>
            <w:pPr>
              <w:spacing w:after="20"/>
            </w:pPr>
            <w:r/>
            <w:r>
              <w:rPr>
                <w:b/>
                <w:i w:val="0"/>
                <w:sz w:val="18"/>
              </w:rPr>
              <w:t>$21,406,275</w:t>
            </w:r>
          </w:p>
        </w:tc>
        <w:tc>
          <w:tcPr>
            <w:tcW w:type="dxa" w:w="2304"/>
          </w:tcPr>
          <w:p>
            <w:pPr>
              <w:spacing w:after="20"/>
            </w:pPr>
            <w:r/>
            <w:r>
              <w:rPr>
                <w:b w:val="0"/>
                <w:i w:val="0"/>
                <w:sz w:val="18"/>
              </w:rPr>
              <w:t>Spreadsheet overstated by $62,775</w:t>
            </w:r>
          </w:p>
        </w:tc>
      </w:tr>
      <w:tr>
        <w:tc>
          <w:tcPr>
            <w:tcW w:type="dxa" w:w="1800"/>
          </w:tcPr>
          <w:p>
            <w:pPr>
              <w:spacing w:after="20"/>
            </w:pPr>
            <w:r/>
            <w:r>
              <w:rPr>
                <w:b w:val="0"/>
                <w:i w:val="0"/>
                <w:sz w:val="18"/>
              </w:rPr>
              <w:t>Maximum shares</w:t>
            </w:r>
          </w:p>
        </w:tc>
        <w:tc>
          <w:tcPr>
            <w:tcW w:type="dxa" w:w="2736"/>
          </w:tcPr>
          <w:p>
            <w:pPr>
              <w:spacing w:after="20"/>
            </w:pPr>
            <w:r/>
            <w:r>
              <w:rPr>
                <w:b w:val="0"/>
                <w:i w:val="0"/>
                <w:sz w:val="18"/>
              </w:rPr>
              <w:t>9,775,000</w:t>
            </w:r>
          </w:p>
        </w:tc>
        <w:tc>
          <w:tcPr>
            <w:tcW w:type="dxa" w:w="1224"/>
          </w:tcPr>
          <w:p>
            <w:pPr>
              <w:spacing w:after="20"/>
            </w:pPr>
            <w:r/>
            <w:r>
              <w:rPr>
                <w:b w:val="0"/>
                <w:i w:val="0"/>
                <w:sz w:val="18"/>
              </w:rPr>
              <w:t>2(b)</w:t>
            </w:r>
          </w:p>
        </w:tc>
        <w:tc>
          <w:tcPr>
            <w:tcW w:type="dxa" w:w="1800"/>
          </w:tcPr>
          <w:p>
            <w:pPr>
              <w:spacing w:after="20"/>
            </w:pPr>
            <w:r/>
            <w:r>
              <w:rPr>
                <w:b w:val="0"/>
                <w:i w:val="0"/>
                <w:sz w:val="18"/>
              </w:rPr>
              <w:t>9,775,000</w:t>
            </w:r>
          </w:p>
        </w:tc>
        <w:tc>
          <w:tcPr>
            <w:tcW w:type="dxa" w:w="1800"/>
          </w:tcPr>
          <w:p>
            <w:pPr>
              <w:spacing w:after="20"/>
            </w:pPr>
            <w:r/>
            <w:r>
              <w:rPr>
                <w:b w:val="0"/>
                <w:i w:val="0"/>
                <w:sz w:val="18"/>
              </w:rPr>
              <w:t>—</w:t>
            </w:r>
          </w:p>
        </w:tc>
        <w:tc>
          <w:tcPr>
            <w:tcW w:type="dxa" w:w="2160"/>
          </w:tcPr>
          <w:p>
            <w:pPr>
              <w:spacing w:after="20"/>
            </w:pPr>
            <w:r/>
            <w:r>
              <w:rPr>
                <w:b w:val="0"/>
                <w:i w:val="0"/>
                <w:sz w:val="18"/>
              </w:rPr>
              <w:t xml:space="preserve">Header 9,775,000; Allocation tab </w:t>
            </w:r>
            <w:r>
              <w:rPr>
                <w:b/>
                <w:i w:val="0"/>
                <w:sz w:val="18"/>
              </w:rPr>
              <w:t>9,778,750</w:t>
            </w:r>
          </w:p>
        </w:tc>
        <w:tc>
          <w:tcPr>
            <w:tcW w:type="dxa" w:w="2304"/>
          </w:tcPr>
          <w:p>
            <w:pPr>
              <w:spacing w:after="20"/>
            </w:pPr>
            <w:r/>
            <w:r>
              <w:rPr>
                <w:b w:val="0"/>
                <w:i w:val="0"/>
                <w:sz w:val="18"/>
              </w:rPr>
              <w:t>Spreadsheet internally inconsistent</w:t>
            </w:r>
          </w:p>
        </w:tc>
      </w:tr>
      <w:tr>
        <w:tc>
          <w:tcPr>
            <w:tcW w:type="dxa" w:w="1800"/>
          </w:tcPr>
          <w:p>
            <w:pPr>
              <w:spacing w:after="20"/>
            </w:pPr>
            <w:r/>
            <w:r>
              <w:rPr>
                <w:b w:val="0"/>
                <w:i w:val="0"/>
                <w:sz w:val="18"/>
              </w:rPr>
              <w:t>Maximum net proceeds</w:t>
            </w:r>
          </w:p>
        </w:tc>
        <w:tc>
          <w:tcPr>
            <w:tcW w:type="dxa" w:w="2736"/>
          </w:tcPr>
          <w:p>
            <w:pPr>
              <w:spacing w:after="20"/>
            </w:pPr>
            <w:r/>
            <w:r>
              <w:rPr>
                <w:b w:val="0"/>
                <w:i w:val="0"/>
                <w:sz w:val="18"/>
              </w:rPr>
              <w:t>$163,633,500</w:t>
            </w:r>
          </w:p>
        </w:tc>
        <w:tc>
          <w:tcPr>
            <w:tcW w:type="dxa" w:w="1224"/>
          </w:tcPr>
          <w:p>
            <w:pPr>
              <w:spacing w:after="20"/>
            </w:pPr>
            <w:r/>
            <w:r>
              <w:rPr>
                <w:b w:val="0"/>
                <w:i w:val="0"/>
                <w:sz w:val="18"/>
              </w:rPr>
              <w:t>2(b); 10</w:t>
            </w:r>
          </w:p>
        </w:tc>
        <w:tc>
          <w:tcPr>
            <w:tcW w:type="dxa" w:w="1800"/>
          </w:tcPr>
          <w:p>
            <w:pPr>
              <w:spacing w:after="20"/>
            </w:pPr>
            <w:r/>
            <w:r>
              <w:rPr>
                <w:b w:val="0"/>
                <w:i w:val="0"/>
                <w:sz w:val="18"/>
              </w:rPr>
              <w:t>$163,633,500</w:t>
            </w:r>
          </w:p>
        </w:tc>
        <w:tc>
          <w:tcPr>
            <w:tcW w:type="dxa" w:w="1800"/>
          </w:tcPr>
          <w:p>
            <w:pPr>
              <w:spacing w:after="20"/>
            </w:pPr>
            <w:r/>
            <w:r>
              <w:rPr>
                <w:b w:val="0"/>
                <w:i w:val="0"/>
                <w:sz w:val="18"/>
              </w:rPr>
              <w:t>$163,633,500</w:t>
            </w:r>
          </w:p>
        </w:tc>
        <w:tc>
          <w:tcPr>
            <w:tcW w:type="dxa" w:w="2160"/>
          </w:tcPr>
          <w:p>
            <w:pPr>
              <w:spacing w:after="20"/>
            </w:pPr>
            <w:r/>
            <w:r>
              <w:rPr>
                <w:b/>
                <w:i w:val="0"/>
                <w:sz w:val="18"/>
              </w:rPr>
              <w:t>$163,696,275</w:t>
            </w:r>
          </w:p>
        </w:tc>
        <w:tc>
          <w:tcPr>
            <w:tcW w:type="dxa" w:w="2304"/>
          </w:tcPr>
          <w:p>
            <w:pPr>
              <w:spacing w:after="20"/>
            </w:pPr>
            <w:r/>
            <w:r>
              <w:rPr>
                <w:b w:val="0"/>
                <w:i w:val="0"/>
                <w:sz w:val="18"/>
              </w:rPr>
              <w:t>Spreadsheet overstated by $62,775</w:t>
            </w:r>
          </w:p>
        </w:tc>
      </w:tr>
      <w:tr>
        <w:tc>
          <w:tcPr>
            <w:tcW w:type="dxa" w:w="1800"/>
          </w:tcPr>
          <w:p>
            <w:pPr>
              <w:spacing w:after="20"/>
            </w:pPr>
            <w:r/>
            <w:r>
              <w:rPr>
                <w:b w:val="0"/>
                <w:i w:val="0"/>
                <w:sz w:val="18"/>
              </w:rPr>
              <w:t>Maximum total discount</w:t>
            </w:r>
          </w:p>
        </w:tc>
        <w:tc>
          <w:tcPr>
            <w:tcW w:type="dxa" w:w="2736"/>
          </w:tcPr>
          <w:p>
            <w:pPr>
              <w:spacing w:after="20"/>
            </w:pPr>
            <w:r/>
            <w:r>
              <w:rPr>
                <w:b w:val="0"/>
                <w:i w:val="0"/>
                <w:sz w:val="18"/>
              </w:rPr>
              <w:t>$12,316,500</w:t>
            </w:r>
          </w:p>
        </w:tc>
        <w:tc>
          <w:tcPr>
            <w:tcW w:type="dxa" w:w="1224"/>
          </w:tcPr>
          <w:p>
            <w:pPr>
              <w:spacing w:after="20"/>
            </w:pPr>
            <w:r/>
            <w:r>
              <w:rPr>
                <w:b w:val="0"/>
                <w:i w:val="0"/>
                <w:sz w:val="18"/>
              </w:rPr>
              <w:t>10</w:t>
            </w:r>
          </w:p>
        </w:tc>
        <w:tc>
          <w:tcPr>
            <w:tcW w:type="dxa" w:w="1800"/>
          </w:tcPr>
          <w:p>
            <w:pPr>
              <w:spacing w:after="20"/>
            </w:pPr>
            <w:r/>
            <w:r>
              <w:rPr>
                <w:b w:val="0"/>
                <w:i w:val="0"/>
                <w:sz w:val="18"/>
              </w:rPr>
              <w:t>—</w:t>
            </w:r>
          </w:p>
        </w:tc>
        <w:tc>
          <w:tcPr>
            <w:tcW w:type="dxa" w:w="1800"/>
          </w:tcPr>
          <w:p>
            <w:pPr>
              <w:spacing w:after="20"/>
            </w:pPr>
            <w:r/>
            <w:r>
              <w:rPr>
                <w:b w:val="0"/>
                <w:i w:val="0"/>
                <w:sz w:val="18"/>
              </w:rPr>
              <w:t>—</w:t>
            </w:r>
          </w:p>
        </w:tc>
        <w:tc>
          <w:tcPr>
            <w:tcW w:type="dxa" w:w="2160"/>
          </w:tcPr>
          <w:p>
            <w:pPr>
              <w:spacing w:after="20"/>
            </w:pPr>
            <w:r/>
            <w:r>
              <w:rPr>
                <w:b/>
                <w:i w:val="0"/>
                <w:sz w:val="18"/>
              </w:rPr>
              <w:t>$12,321,225</w:t>
            </w:r>
          </w:p>
        </w:tc>
        <w:tc>
          <w:tcPr>
            <w:tcW w:type="dxa" w:w="2304"/>
          </w:tcPr>
          <w:p>
            <w:pPr>
              <w:spacing w:after="20"/>
            </w:pPr>
            <w:r/>
            <w:r>
              <w:rPr>
                <w:b w:val="0"/>
                <w:i w:val="0"/>
                <w:sz w:val="18"/>
              </w:rPr>
              <w:t>Spreadsheet overstated by $4,725</w:t>
            </w:r>
          </w:p>
        </w:tc>
      </w:tr>
      <w:tr>
        <w:tc>
          <w:tcPr>
            <w:tcW w:type="dxa" w:w="1800"/>
          </w:tcPr>
          <w:p>
            <w:pPr>
              <w:spacing w:after="20"/>
            </w:pPr>
            <w:r/>
            <w:r>
              <w:rPr>
                <w:b w:val="0"/>
                <w:i w:val="0"/>
                <w:sz w:val="18"/>
              </w:rPr>
              <w:t>Pre-/post-IPO shares outstanding</w:t>
            </w:r>
          </w:p>
        </w:tc>
        <w:tc>
          <w:tcPr>
            <w:tcW w:type="dxa" w:w="2736"/>
          </w:tcPr>
          <w:p>
            <w:pPr>
              <w:spacing w:after="20"/>
            </w:pPr>
            <w:r/>
            <w:r>
              <w:rPr>
                <w:b w:val="0"/>
                <w:i w:val="0"/>
                <w:sz w:val="18"/>
              </w:rPr>
              <w:t>42,000,000 outstanding pre-IPO; authorized 200,000,000 common / 10,000,000 preferred (none outstanding)</w:t>
            </w:r>
          </w:p>
        </w:tc>
        <w:tc>
          <w:tcPr>
            <w:tcW w:type="dxa" w:w="1224"/>
          </w:tcPr>
          <w:p>
            <w:pPr>
              <w:spacing w:after="20"/>
            </w:pPr>
            <w:r/>
            <w:r>
              <w:rPr>
                <w:b w:val="0"/>
                <w:i w:val="0"/>
                <w:sz w:val="18"/>
              </w:rPr>
              <w:t>1(d)</w:t>
            </w:r>
          </w:p>
        </w:tc>
        <w:tc>
          <w:tcPr>
            <w:tcW w:type="dxa" w:w="1800"/>
          </w:tcPr>
          <w:p>
            <w:pPr>
              <w:spacing w:after="20"/>
            </w:pPr>
            <w:r/>
            <w:r>
              <w:rPr>
                <w:b w:val="0"/>
                <w:i w:val="0"/>
                <w:sz w:val="18"/>
              </w:rPr>
              <w:t>50,500,000 post-IPO (firm)</w:t>
            </w:r>
          </w:p>
        </w:tc>
        <w:tc>
          <w:tcPr>
            <w:tcW w:type="dxa" w:w="1800"/>
          </w:tcPr>
          <w:p>
            <w:pPr>
              <w:spacing w:after="20"/>
            </w:pPr>
            <w:r/>
            <w:r>
              <w:rPr>
                <w:b w:val="0"/>
                <w:i w:val="0"/>
                <w:sz w:val="18"/>
              </w:rPr>
              <w:t>42,000,000 pre-IPO</w:t>
            </w:r>
          </w:p>
        </w:tc>
        <w:tc>
          <w:tcPr>
            <w:tcW w:type="dxa" w:w="2160"/>
          </w:tcPr>
          <w:p>
            <w:pPr>
              <w:spacing w:after="20"/>
            </w:pPr>
            <w:r/>
            <w:r>
              <w:rPr>
                <w:b w:val="0"/>
                <w:i w:val="0"/>
                <w:sz w:val="18"/>
              </w:rPr>
              <w:t>50,500,000 firm / 51,775,000 full option</w:t>
            </w:r>
          </w:p>
        </w:tc>
        <w:tc>
          <w:tcPr>
            <w:tcW w:type="dxa" w:w="2304"/>
          </w:tcPr>
          <w:p>
            <w:pPr>
              <w:spacing w:after="20"/>
            </w:pPr>
            <w:r/>
            <w:r>
              <w:rPr>
                <w:b w:val="0"/>
                <w:i w:val="0"/>
                <w:sz w:val="18"/>
              </w:rPr>
              <w:t>Consistent (arithmetic verified)</w:t>
            </w:r>
          </w:p>
        </w:tc>
      </w:tr>
      <w:tr>
        <w:tc>
          <w:tcPr>
            <w:tcW w:type="dxa" w:w="1800"/>
          </w:tcPr>
          <w:p>
            <w:pPr>
              <w:spacing w:after="20"/>
            </w:pPr>
            <w:r/>
            <w:r>
              <w:rPr>
                <w:b w:val="0"/>
                <w:i w:val="0"/>
                <w:sz w:val="18"/>
              </w:rPr>
              <w:t>Cash position</w:t>
            </w:r>
          </w:p>
        </w:tc>
        <w:tc>
          <w:tcPr>
            <w:tcW w:type="dxa" w:w="2736"/>
          </w:tcPr>
          <w:p>
            <w:pPr>
              <w:spacing w:after="20"/>
            </w:pPr>
            <w:r/>
            <w:r>
              <w:rPr>
                <w:b w:val="0"/>
                <w:i w:val="0"/>
                <w:sz w:val="18"/>
              </w:rPr>
              <w:t>~$28,400,000 cash and equivalents at March 31, 2025</w:t>
            </w:r>
          </w:p>
        </w:tc>
        <w:tc>
          <w:tcPr>
            <w:tcW w:type="dxa" w:w="1224"/>
          </w:tcPr>
          <w:p>
            <w:pPr>
              <w:spacing w:after="20"/>
            </w:pPr>
            <w:r/>
            <w:r>
              <w:rPr>
                <w:b w:val="0"/>
                <w:i w:val="0"/>
                <w:sz w:val="18"/>
              </w:rPr>
              <w:t>1(r)</w:t>
            </w:r>
          </w:p>
        </w:tc>
        <w:tc>
          <w:tcPr>
            <w:tcW w:type="dxa" w:w="1800"/>
          </w:tcPr>
          <w:p>
            <w:pPr>
              <w:spacing w:after="20"/>
            </w:pPr>
            <w:r/>
            <w:r>
              <w:rPr>
                <w:b w:val="0"/>
                <w:i w:val="0"/>
                <w:sz w:val="18"/>
              </w:rPr>
              <w:t>—</w:t>
            </w:r>
          </w:p>
        </w:tc>
        <w:tc>
          <w:tcPr>
            <w:tcW w:type="dxa" w:w="1800"/>
          </w:tcPr>
          <w:p>
            <w:pPr>
              <w:spacing w:after="20"/>
            </w:pPr>
            <w:r/>
            <w:r>
              <w:rPr>
                <w:b w:val="0"/>
                <w:i w:val="0"/>
                <w:sz w:val="18"/>
              </w:rPr>
              <w:t>—</w:t>
            </w:r>
          </w:p>
        </w:tc>
        <w:tc>
          <w:tcPr>
            <w:tcW w:type="dxa" w:w="2160"/>
          </w:tcPr>
          <w:p>
            <w:pPr>
              <w:spacing w:after="20"/>
            </w:pPr>
            <w:r/>
            <w:r>
              <w:rPr>
                <w:b w:val="0"/>
                <w:i w:val="0"/>
                <w:sz w:val="18"/>
              </w:rPr>
              <w:t>—</w:t>
            </w:r>
          </w:p>
        </w:tc>
        <w:tc>
          <w:tcPr>
            <w:tcW w:type="dxa" w:w="2304"/>
          </w:tcPr>
          <w:p>
            <w:pPr>
              <w:spacing w:after="20"/>
            </w:pPr>
            <w:r/>
            <w:r>
              <w:rPr>
                <w:b w:val="0"/>
                <w:i w:val="0"/>
                <w:sz w:val="18"/>
              </w:rPr>
              <w:t>For prospectus/comfort letter tie-out</w:t>
            </w:r>
          </w:p>
        </w:tc>
      </w:tr>
    </w:tbl>
    <w:p>
      <w:pPr>
        <w:spacing w:after="40"/>
      </w:pPr>
    </w:p>
    <w:p>
      <w:pPr>
        <w:pStyle w:val="Heading2"/>
      </w:pPr>
      <w:r>
        <w:t>C. Syndicate Allocation (Schedule A) — As Drafted vs. Corrected</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gridCol w:w="1728"/>
        <w:gridCol w:w="1728"/>
        <w:gridCol w:w="1728"/>
      </w:tblGrid>
      <w:tr>
        <w:trPr>
          <w:tblHeader w:val="true"/>
        </w:trPr>
        <w:tc>
          <w:tcPr>
            <w:tcW w:type="dxa" w:w="2736"/>
            <w:shd w:val="clear" w:color="auto" w:fill="1F3A5F"/>
          </w:tcPr>
          <w:p>
            <w:r/>
            <w:r>
              <w:rPr>
                <w:b/>
                <w:color w:val="FFFFFF"/>
                <w:sz w:val="18"/>
              </w:rPr>
              <w:t>Underwriter</w:t>
            </w:r>
          </w:p>
        </w:tc>
        <w:tc>
          <w:tcPr>
            <w:tcW w:type="dxa" w:w="2016"/>
            <w:shd w:val="clear" w:color="auto" w:fill="1F3A5F"/>
          </w:tcPr>
          <w:p>
            <w:r/>
            <w:r>
              <w:rPr>
                <w:b/>
                <w:color w:val="FFFFFF"/>
                <w:sz w:val="18"/>
              </w:rPr>
              <w:t>Role</w:t>
            </w:r>
          </w:p>
        </w:tc>
        <w:tc>
          <w:tcPr>
            <w:tcW w:type="dxa" w:w="1296"/>
            <w:shd w:val="clear" w:color="auto" w:fill="1F3A5F"/>
          </w:tcPr>
          <w:p>
            <w:r/>
            <w:r>
              <w:rPr>
                <w:b/>
                <w:color w:val="FFFFFF"/>
                <w:sz w:val="18"/>
              </w:rPr>
              <w:t>Firm Shares</w:t>
            </w:r>
          </w:p>
        </w:tc>
        <w:tc>
          <w:tcPr>
            <w:tcW w:type="dxa" w:w="1008"/>
            <w:shd w:val="clear" w:color="auto" w:fill="1F3A5F"/>
          </w:tcPr>
          <w:p>
            <w:r/>
            <w:r>
              <w:rPr>
                <w:b/>
                <w:color w:val="FFFFFF"/>
                <w:sz w:val="18"/>
              </w:rPr>
              <w:t>% of Firm</w:t>
            </w:r>
          </w:p>
        </w:tc>
        <w:tc>
          <w:tcPr>
            <w:tcW w:type="dxa" w:w="2016"/>
            <w:shd w:val="clear" w:color="auto" w:fill="1F3A5F"/>
          </w:tcPr>
          <w:p>
            <w:r/>
            <w:r>
              <w:rPr>
                <w:b/>
                <w:color w:val="FFFFFF"/>
                <w:sz w:val="18"/>
              </w:rPr>
              <w:t>Option Shares (Sched. A as drafted)</w:t>
            </w:r>
          </w:p>
        </w:tc>
        <w:tc>
          <w:tcPr>
            <w:tcW w:type="dxa" w:w="1872"/>
            <w:shd w:val="clear" w:color="auto" w:fill="1F3A5F"/>
          </w:tcPr>
          <w:p>
            <w:r/>
            <w:r>
              <w:rPr>
                <w:b/>
                <w:color w:val="FFFFFF"/>
                <w:sz w:val="18"/>
              </w:rPr>
              <w:t>Option Shares (correct pro rata, 2(b))</w:t>
            </w:r>
          </w:p>
        </w:tc>
        <w:tc>
          <w:tcPr>
            <w:tcW w:type="dxa" w:w="1152"/>
            <w:shd w:val="clear" w:color="auto" w:fill="1F3A5F"/>
          </w:tcPr>
          <w:p>
            <w:r/>
            <w:r>
              <w:rPr>
                <w:b/>
                <w:color w:val="FFFFFF"/>
                <w:sz w:val="18"/>
              </w:rPr>
              <w:t>Difference</w:t>
            </w:r>
          </w:p>
        </w:tc>
        <w:tc>
          <w:tcPr>
            <w:tcW w:type="dxa" w:w="1728"/>
            <w:shd w:val="clear" w:color="auto" w:fill="1F3A5F"/>
          </w:tcPr>
          <w:p>
            <w:r/>
            <w:r>
              <w:rPr>
                <w:b/>
                <w:color w:val="FFFFFF"/>
                <w:sz w:val="18"/>
              </w:rPr>
              <w:t>Corrected max. total shares</w:t>
            </w:r>
          </w:p>
        </w:tc>
      </w:tr>
      <w:tr>
        <w:tc>
          <w:tcPr>
            <w:tcW w:type="dxa" w:w="2736"/>
          </w:tcPr>
          <w:p>
            <w:pPr>
              <w:spacing w:after="20"/>
            </w:pPr>
            <w:r/>
            <w:r>
              <w:rPr>
                <w:b w:val="0"/>
                <w:i w:val="0"/>
                <w:sz w:val="18"/>
              </w:rPr>
              <w:t>Aldersgate Capital Markets LLC</w:t>
            </w:r>
          </w:p>
        </w:tc>
        <w:tc>
          <w:tcPr>
            <w:tcW w:type="dxa" w:w="2016"/>
          </w:tcPr>
          <w:p>
            <w:pPr>
              <w:spacing w:after="20"/>
            </w:pPr>
            <w:r/>
            <w:r>
              <w:rPr>
                <w:b w:val="0"/>
                <w:i w:val="0"/>
                <w:sz w:val="18"/>
              </w:rPr>
              <w:t>Representative / Lead Bookrunner</w:t>
            </w:r>
          </w:p>
        </w:tc>
        <w:tc>
          <w:tcPr>
            <w:tcW w:type="dxa" w:w="1296"/>
          </w:tcPr>
          <w:p>
            <w:pPr>
              <w:spacing w:after="20"/>
            </w:pPr>
            <w:r/>
            <w:r>
              <w:rPr>
                <w:b w:val="0"/>
                <w:i w:val="0"/>
                <w:sz w:val="18"/>
              </w:rPr>
              <w:t>5,100,000</w:t>
            </w:r>
          </w:p>
        </w:tc>
        <w:tc>
          <w:tcPr>
            <w:tcW w:type="dxa" w:w="1008"/>
          </w:tcPr>
          <w:p>
            <w:pPr>
              <w:spacing w:after="20"/>
            </w:pPr>
            <w:r/>
            <w:r>
              <w:rPr>
                <w:b w:val="0"/>
                <w:i w:val="0"/>
                <w:sz w:val="18"/>
              </w:rPr>
              <w:t>60.0%</w:t>
            </w:r>
          </w:p>
        </w:tc>
        <w:tc>
          <w:tcPr>
            <w:tcW w:type="dxa" w:w="2016"/>
          </w:tcPr>
          <w:p>
            <w:pPr>
              <w:spacing w:after="20"/>
            </w:pPr>
            <w:r/>
            <w:r>
              <w:rPr>
                <w:b w:val="0"/>
                <w:i w:val="0"/>
                <w:sz w:val="18"/>
              </w:rPr>
              <w:t>765,000</w:t>
            </w:r>
          </w:p>
        </w:tc>
        <w:tc>
          <w:tcPr>
            <w:tcW w:type="dxa" w:w="1872"/>
          </w:tcPr>
          <w:p>
            <w:pPr>
              <w:spacing w:after="20"/>
            </w:pPr>
            <w:r/>
            <w:r>
              <w:rPr>
                <w:b w:val="0"/>
                <w:i w:val="0"/>
                <w:sz w:val="18"/>
              </w:rPr>
              <w:t>765,000</w:t>
            </w:r>
          </w:p>
        </w:tc>
        <w:tc>
          <w:tcPr>
            <w:tcW w:type="dxa" w:w="1152"/>
          </w:tcPr>
          <w:p>
            <w:pPr>
              <w:spacing w:after="20"/>
            </w:pPr>
            <w:r/>
            <w:r>
              <w:rPr>
                <w:b w:val="0"/>
                <w:i w:val="0"/>
                <w:sz w:val="18"/>
              </w:rPr>
              <w:t>—</w:t>
            </w:r>
          </w:p>
        </w:tc>
        <w:tc>
          <w:tcPr>
            <w:tcW w:type="dxa" w:w="1728"/>
          </w:tcPr>
          <w:p>
            <w:pPr>
              <w:spacing w:after="20"/>
            </w:pPr>
            <w:r/>
            <w:r>
              <w:rPr>
                <w:b w:val="0"/>
                <w:i w:val="0"/>
                <w:sz w:val="18"/>
              </w:rPr>
              <w:t>5,865,000</w:t>
            </w:r>
          </w:p>
        </w:tc>
      </w:tr>
      <w:tr>
        <w:tc>
          <w:tcPr>
            <w:tcW w:type="dxa" w:w="2736"/>
          </w:tcPr>
          <w:p>
            <w:pPr>
              <w:spacing w:after="20"/>
            </w:pPr>
            <w:r/>
            <w:r>
              <w:rPr>
                <w:b w:val="0"/>
                <w:i w:val="0"/>
                <w:sz w:val="18"/>
              </w:rPr>
              <w:t>Haldane Securities Inc.</w:t>
            </w:r>
          </w:p>
        </w:tc>
        <w:tc>
          <w:tcPr>
            <w:tcW w:type="dxa" w:w="2016"/>
          </w:tcPr>
          <w:p>
            <w:pPr>
              <w:spacing w:after="20"/>
            </w:pPr>
            <w:r/>
            <w:r>
              <w:rPr>
                <w:b w:val="0"/>
                <w:i w:val="0"/>
                <w:sz w:val="18"/>
              </w:rPr>
              <w:t>Co-Manager</w:t>
            </w:r>
          </w:p>
        </w:tc>
        <w:tc>
          <w:tcPr>
            <w:tcW w:type="dxa" w:w="1296"/>
          </w:tcPr>
          <w:p>
            <w:pPr>
              <w:spacing w:after="20"/>
            </w:pPr>
            <w:r/>
            <w:r>
              <w:rPr>
                <w:b w:val="0"/>
                <w:i w:val="0"/>
                <w:sz w:val="18"/>
              </w:rPr>
              <w:t>2,125,000</w:t>
            </w:r>
          </w:p>
        </w:tc>
        <w:tc>
          <w:tcPr>
            <w:tcW w:type="dxa" w:w="1008"/>
          </w:tcPr>
          <w:p>
            <w:pPr>
              <w:spacing w:after="20"/>
            </w:pPr>
            <w:r/>
            <w:r>
              <w:rPr>
                <w:b w:val="0"/>
                <w:i w:val="0"/>
                <w:sz w:val="18"/>
              </w:rPr>
              <w:t>25.0%</w:t>
            </w:r>
          </w:p>
        </w:tc>
        <w:tc>
          <w:tcPr>
            <w:tcW w:type="dxa" w:w="2016"/>
          </w:tcPr>
          <w:p>
            <w:pPr>
              <w:spacing w:after="20"/>
            </w:pPr>
            <w:r/>
            <w:r>
              <w:rPr>
                <w:b w:val="0"/>
                <w:i w:val="0"/>
                <w:sz w:val="18"/>
              </w:rPr>
              <w:t>318,750</w:t>
            </w:r>
          </w:p>
        </w:tc>
        <w:tc>
          <w:tcPr>
            <w:tcW w:type="dxa" w:w="1872"/>
          </w:tcPr>
          <w:p>
            <w:pPr>
              <w:spacing w:after="20"/>
            </w:pPr>
            <w:r/>
            <w:r>
              <w:rPr>
                <w:b w:val="0"/>
                <w:i w:val="0"/>
                <w:sz w:val="18"/>
              </w:rPr>
              <w:t>318,750</w:t>
            </w:r>
          </w:p>
        </w:tc>
        <w:tc>
          <w:tcPr>
            <w:tcW w:type="dxa" w:w="1152"/>
          </w:tcPr>
          <w:p>
            <w:pPr>
              <w:spacing w:after="20"/>
            </w:pPr>
            <w:r/>
            <w:r>
              <w:rPr>
                <w:b w:val="0"/>
                <w:i w:val="0"/>
                <w:sz w:val="18"/>
              </w:rPr>
              <w:t>—</w:t>
            </w:r>
          </w:p>
        </w:tc>
        <w:tc>
          <w:tcPr>
            <w:tcW w:type="dxa" w:w="1728"/>
          </w:tcPr>
          <w:p>
            <w:pPr>
              <w:spacing w:after="20"/>
            </w:pPr>
            <w:r/>
            <w:r>
              <w:rPr>
                <w:b w:val="0"/>
                <w:i w:val="0"/>
                <w:sz w:val="18"/>
              </w:rPr>
              <w:t>2,443,750</w:t>
            </w:r>
          </w:p>
        </w:tc>
      </w:tr>
      <w:tr>
        <w:tc>
          <w:tcPr>
            <w:tcW w:type="dxa" w:w="2736"/>
          </w:tcPr>
          <w:p>
            <w:pPr>
              <w:spacing w:after="20"/>
            </w:pPr>
            <w:r/>
            <w:r>
              <w:rPr>
                <w:b w:val="0"/>
                <w:i w:val="0"/>
                <w:sz w:val="18"/>
              </w:rPr>
              <w:t>Elmsford &amp; Co.</w:t>
            </w:r>
          </w:p>
        </w:tc>
        <w:tc>
          <w:tcPr>
            <w:tcW w:type="dxa" w:w="2016"/>
          </w:tcPr>
          <w:p>
            <w:pPr>
              <w:spacing w:after="20"/>
            </w:pPr>
            <w:r/>
            <w:r>
              <w:rPr>
                <w:b w:val="0"/>
                <w:i w:val="0"/>
                <w:sz w:val="18"/>
              </w:rPr>
              <w:t>Co-Manager</w:t>
            </w:r>
          </w:p>
        </w:tc>
        <w:tc>
          <w:tcPr>
            <w:tcW w:type="dxa" w:w="1296"/>
          </w:tcPr>
          <w:p>
            <w:pPr>
              <w:spacing w:after="20"/>
            </w:pPr>
            <w:r/>
            <w:r>
              <w:rPr>
                <w:b w:val="0"/>
                <w:i w:val="0"/>
                <w:sz w:val="18"/>
              </w:rPr>
              <w:t>1,275,000</w:t>
            </w:r>
          </w:p>
        </w:tc>
        <w:tc>
          <w:tcPr>
            <w:tcW w:type="dxa" w:w="1008"/>
          </w:tcPr>
          <w:p>
            <w:pPr>
              <w:spacing w:after="20"/>
            </w:pPr>
            <w:r/>
            <w:r>
              <w:rPr>
                <w:b w:val="0"/>
                <w:i w:val="0"/>
                <w:sz w:val="18"/>
              </w:rPr>
              <w:t>15.0%</w:t>
            </w:r>
          </w:p>
        </w:tc>
        <w:tc>
          <w:tcPr>
            <w:tcW w:type="dxa" w:w="2016"/>
          </w:tcPr>
          <w:p>
            <w:pPr>
              <w:spacing w:after="20"/>
            </w:pPr>
            <w:r/>
            <w:r>
              <w:rPr>
                <w:b w:val="0"/>
                <w:i w:val="0"/>
                <w:sz w:val="18"/>
              </w:rPr>
              <w:t>195,000</w:t>
            </w:r>
          </w:p>
        </w:tc>
        <w:tc>
          <w:tcPr>
            <w:tcW w:type="dxa" w:w="1872"/>
          </w:tcPr>
          <w:p>
            <w:pPr>
              <w:spacing w:after="20"/>
            </w:pPr>
            <w:r/>
            <w:r>
              <w:rPr>
                <w:b w:val="0"/>
                <w:i w:val="0"/>
                <w:sz w:val="18"/>
              </w:rPr>
              <w:t>191,250</w:t>
            </w:r>
          </w:p>
        </w:tc>
        <w:tc>
          <w:tcPr>
            <w:tcW w:type="dxa" w:w="1152"/>
          </w:tcPr>
          <w:p>
            <w:pPr>
              <w:spacing w:after="20"/>
            </w:pPr>
            <w:r/>
            <w:r>
              <w:rPr>
                <w:b w:val="0"/>
                <w:i w:val="0"/>
                <w:sz w:val="18"/>
              </w:rPr>
              <w:t>(3,750)</w:t>
            </w:r>
          </w:p>
        </w:tc>
        <w:tc>
          <w:tcPr>
            <w:tcW w:type="dxa" w:w="1728"/>
          </w:tcPr>
          <w:p>
            <w:pPr>
              <w:spacing w:after="20"/>
            </w:pPr>
            <w:r/>
            <w:r>
              <w:rPr>
                <w:b w:val="0"/>
                <w:i w:val="0"/>
                <w:sz w:val="18"/>
              </w:rPr>
              <w:t>1,466,250</w:t>
            </w:r>
          </w:p>
        </w:tc>
      </w:tr>
      <w:tr>
        <w:tc>
          <w:tcPr>
            <w:tcW w:type="dxa" w:w="2736"/>
          </w:tcPr>
          <w:p>
            <w:pPr>
              <w:spacing w:after="20"/>
            </w:pPr>
            <w:r/>
            <w:r>
              <w:rPr>
                <w:b/>
                <w:i w:val="0"/>
                <w:sz w:val="18"/>
              </w:rPr>
              <w:t>Total</w:t>
            </w:r>
          </w:p>
        </w:tc>
        <w:tc>
          <w:tcPr>
            <w:tcW w:type="dxa" w:w="2016"/>
          </w:tcPr>
          <w:p>
            <w:pPr>
              <w:spacing w:after="20"/>
            </w:pPr>
            <w:r/>
          </w:p>
        </w:tc>
        <w:tc>
          <w:tcPr>
            <w:tcW w:type="dxa" w:w="1296"/>
          </w:tcPr>
          <w:p>
            <w:pPr>
              <w:spacing w:after="20"/>
            </w:pPr>
            <w:r/>
            <w:r>
              <w:rPr>
                <w:b/>
                <w:i w:val="0"/>
                <w:sz w:val="18"/>
              </w:rPr>
              <w:t>8,500,000</w:t>
            </w:r>
          </w:p>
        </w:tc>
        <w:tc>
          <w:tcPr>
            <w:tcW w:type="dxa" w:w="1008"/>
          </w:tcPr>
          <w:p>
            <w:pPr>
              <w:spacing w:after="20"/>
            </w:pPr>
            <w:r/>
            <w:r>
              <w:rPr>
                <w:b/>
                <w:i w:val="0"/>
                <w:sz w:val="18"/>
              </w:rPr>
              <w:t>100.0%</w:t>
            </w:r>
          </w:p>
        </w:tc>
        <w:tc>
          <w:tcPr>
            <w:tcW w:type="dxa" w:w="2016"/>
          </w:tcPr>
          <w:p>
            <w:pPr>
              <w:spacing w:after="20"/>
            </w:pPr>
            <w:r/>
            <w:r>
              <w:rPr>
                <w:b/>
                <w:i w:val="0"/>
                <w:sz w:val="18"/>
              </w:rPr>
              <w:t>[blank in UA]</w:t>
            </w:r>
            <w:r>
              <w:rPr>
                <w:b w:val="0"/>
                <w:i w:val="0"/>
                <w:sz w:val="18"/>
              </w:rPr>
              <w:t xml:space="preserve"> — sums to 1,278,750</w:t>
            </w:r>
          </w:p>
        </w:tc>
        <w:tc>
          <w:tcPr>
            <w:tcW w:type="dxa" w:w="1872"/>
          </w:tcPr>
          <w:p>
            <w:pPr>
              <w:spacing w:after="20"/>
            </w:pPr>
            <w:r/>
            <w:r>
              <w:rPr>
                <w:b/>
                <w:i w:val="0"/>
                <w:sz w:val="18"/>
              </w:rPr>
              <w:t>1,275,000</w:t>
            </w:r>
          </w:p>
        </w:tc>
        <w:tc>
          <w:tcPr>
            <w:tcW w:type="dxa" w:w="1152"/>
          </w:tcPr>
          <w:p>
            <w:pPr>
              <w:spacing w:after="20"/>
            </w:pPr>
            <w:r/>
            <w:r>
              <w:rPr>
                <w:b/>
                <w:i w:val="0"/>
                <w:sz w:val="18"/>
              </w:rPr>
              <w:t>(3,750)</w:t>
            </w:r>
          </w:p>
        </w:tc>
        <w:tc>
          <w:tcPr>
            <w:tcW w:type="dxa" w:w="1728"/>
          </w:tcPr>
          <w:p>
            <w:pPr>
              <w:spacing w:after="20"/>
            </w:pPr>
            <w:r/>
            <w:r>
              <w:rPr>
                <w:b/>
                <w:i w:val="0"/>
                <w:sz w:val="18"/>
              </w:rPr>
              <w:t>9,775,000</w:t>
            </w:r>
          </w:p>
        </w:tc>
      </w:tr>
    </w:tbl>
    <w:p>
      <w:pPr>
        <w:spacing w:after="40"/>
      </w:pPr>
    </w:p>
    <w:p>
      <w:pPr>
        <w:spacing w:after="80"/>
      </w:pPr>
      <w:r>
        <w:rPr>
          <w:b w:val="0"/>
          <w:i w:val="0"/>
          <w:sz w:val="18"/>
        </w:rPr>
        <w:t>Corrected Elmsford option economics (full exercise): $3,442,500 gross; $240,975 discount; $3,201,525 net to Company (vs. $3,510,000 / $245,700 / $3,264,300 shown in the Allocation Spreadsheet). The Allocation Spreadsheet option-share percentages (59.88% / 24.95% / 15.27%, totaling 100.10%) cannot be derived from either 1,275,000 or 1,278,750 and should be replaced with 60.0% / 25.0% / 15.0%. All Allocation Spreadsheet figures are hard-coded text rather than formulas, which is how the error went undetected.</w:t>
      </w:r>
    </w:p>
    <w:p>
      <w:pPr>
        <w:pStyle w:val="Heading2"/>
      </w:pPr>
      <w:r>
        <w:t>D. Overallotment Option, Closing and Settlement</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2160"/>
            <w:shd w:val="clear" w:color="auto" w:fill="1F3A5F"/>
          </w:tcPr>
          <w:p>
            <w:r/>
            <w:r>
              <w:rPr>
                <w:b/>
                <w:color w:val="FFFFFF"/>
                <w:sz w:val="18"/>
              </w:rPr>
              <w:t>Term</w:t>
            </w:r>
          </w:p>
        </w:tc>
        <w:tc>
          <w:tcPr>
            <w:tcW w:type="dxa" w:w="5184"/>
            <w:shd w:val="clear" w:color="auto" w:fill="1F3A5F"/>
          </w:tcPr>
          <w:p>
            <w:r/>
            <w:r>
              <w:rPr>
                <w:b/>
                <w:color w:val="FFFFFF"/>
                <w:sz w:val="18"/>
              </w:rPr>
              <w:t>UA Provision</w:t>
            </w:r>
          </w:p>
        </w:tc>
        <w:tc>
          <w:tcPr>
            <w:tcW w:type="dxa" w:w="1152"/>
            <w:shd w:val="clear" w:color="auto" w:fill="1F3A5F"/>
          </w:tcPr>
          <w:p>
            <w:r/>
            <w:r>
              <w:rPr>
                <w:b/>
                <w:color w:val="FFFFFF"/>
                <w:sz w:val="18"/>
              </w:rPr>
              <w:t>UA Ref.</w:t>
            </w:r>
          </w:p>
        </w:tc>
        <w:tc>
          <w:tcPr>
            <w:tcW w:type="dxa" w:w="5328"/>
            <w:shd w:val="clear" w:color="auto" w:fill="1F3A5F"/>
          </w:tcPr>
          <w:p>
            <w:r/>
            <w:r>
              <w:rPr>
                <w:b/>
                <w:color w:val="FFFFFF"/>
                <w:sz w:val="18"/>
              </w:rPr>
              <w:t>Cross-Check / Comment</w:t>
            </w:r>
          </w:p>
        </w:tc>
      </w:tr>
      <w:tr>
        <w:tc>
          <w:tcPr>
            <w:tcW w:type="dxa" w:w="2160"/>
          </w:tcPr>
          <w:p>
            <w:pPr>
              <w:spacing w:after="20"/>
            </w:pPr>
            <w:r/>
            <w:r>
              <w:rPr>
                <w:b w:val="0"/>
                <w:i w:val="0"/>
                <w:sz w:val="18"/>
              </w:rPr>
              <w:t>Grant / purpose</w:t>
            </w:r>
          </w:p>
        </w:tc>
        <w:tc>
          <w:tcPr>
            <w:tcW w:type="dxa" w:w="5184"/>
          </w:tcPr>
          <w:p>
            <w:pPr>
              <w:spacing w:after="20"/>
            </w:pPr>
            <w:r/>
            <w:r>
              <w:rPr>
                <w:b w:val="0"/>
                <w:i w:val="0"/>
                <w:sz w:val="18"/>
              </w:rPr>
              <w:t>Option to purchase, severally and not jointly, up to 1,275,000 Option Shares at the $16.74 Net Price, solely to cover overallotments</w:t>
            </w:r>
          </w:p>
        </w:tc>
        <w:tc>
          <w:tcPr>
            <w:tcW w:type="dxa" w:w="1152"/>
          </w:tcPr>
          <w:p>
            <w:pPr>
              <w:spacing w:after="20"/>
            </w:pPr>
            <w:r/>
            <w:r>
              <w:rPr>
                <w:b w:val="0"/>
                <w:i w:val="0"/>
                <w:sz w:val="18"/>
              </w:rPr>
              <w:t>2(b)</w:t>
            </w:r>
          </w:p>
        </w:tc>
        <w:tc>
          <w:tcPr>
            <w:tcW w:type="dxa" w:w="5328"/>
          </w:tcPr>
          <w:p>
            <w:pPr>
              <w:spacing w:after="20"/>
            </w:pPr>
            <w:r/>
            <w:r>
              <w:rPr>
                <w:b w:val="0"/>
                <w:i w:val="0"/>
                <w:sz w:val="18"/>
              </w:rPr>
              <w:t>Consistent.</w:t>
            </w:r>
          </w:p>
        </w:tc>
      </w:tr>
      <w:tr>
        <w:tc>
          <w:tcPr>
            <w:tcW w:type="dxa" w:w="2160"/>
          </w:tcPr>
          <w:p>
            <w:pPr>
              <w:spacing w:after="20"/>
            </w:pPr>
            <w:r/>
            <w:r>
              <w:rPr>
                <w:b w:val="0"/>
                <w:i w:val="0"/>
                <w:sz w:val="18"/>
              </w:rPr>
              <w:t>Exercise period</w:t>
            </w:r>
          </w:p>
        </w:tc>
        <w:tc>
          <w:tcPr>
            <w:tcW w:type="dxa" w:w="5184"/>
          </w:tcPr>
          <w:p>
            <w:pPr>
              <w:spacing w:after="20"/>
            </w:pPr>
            <w:r/>
            <w:r>
              <w:rPr>
                <w:b w:val="0"/>
                <w:i w:val="0"/>
                <w:sz w:val="18"/>
              </w:rPr>
              <w:t xml:space="preserve">In whole or in part, from time to time, on or before the 30th day after the date of the UA — </w:t>
            </w:r>
            <w:r>
              <w:rPr>
                <w:b/>
                <w:i w:val="0"/>
                <w:sz w:val="18"/>
              </w:rPr>
              <w:t>on or before July 11, 2025</w:t>
            </w:r>
          </w:p>
        </w:tc>
        <w:tc>
          <w:tcPr>
            <w:tcW w:type="dxa" w:w="1152"/>
          </w:tcPr>
          <w:p>
            <w:pPr>
              <w:spacing w:after="20"/>
            </w:pPr>
            <w:r/>
            <w:r>
              <w:rPr>
                <w:b w:val="0"/>
                <w:i w:val="0"/>
                <w:sz w:val="18"/>
              </w:rPr>
              <w:t>2(b)</w:t>
            </w:r>
          </w:p>
        </w:tc>
        <w:tc>
          <w:tcPr>
            <w:tcW w:type="dxa" w:w="5328"/>
          </w:tcPr>
          <w:p>
            <w:pPr>
              <w:spacing w:after="20"/>
            </w:pPr>
            <w:r/>
            <w:r>
              <w:rPr>
                <w:b w:val="0"/>
                <w:i w:val="0"/>
                <w:sz w:val="18"/>
              </w:rPr>
              <w:t>Consistent across all documents (July 11 = June 11 + 30 days). Note: market practice typically runs the 30 days from the Final Prospectus date (here, June 12 → July 12); the parties have chosen the UA date — confirm the Prospectus "Underwriting" section describes the same date.</w:t>
            </w:r>
          </w:p>
        </w:tc>
      </w:tr>
      <w:tr>
        <w:tc>
          <w:tcPr>
            <w:tcW w:type="dxa" w:w="2160"/>
          </w:tcPr>
          <w:p>
            <w:pPr>
              <w:spacing w:after="20"/>
            </w:pPr>
            <w:r/>
            <w:r>
              <w:rPr>
                <w:b w:val="0"/>
                <w:i w:val="0"/>
                <w:sz w:val="18"/>
              </w:rPr>
              <w:t>Exercise mechanics</w:t>
            </w:r>
          </w:p>
        </w:tc>
        <w:tc>
          <w:tcPr>
            <w:tcW w:type="dxa" w:w="5184"/>
          </w:tcPr>
          <w:p>
            <w:pPr>
              <w:spacing w:after="20"/>
            </w:pPr>
            <w:r/>
            <w:r>
              <w:rPr>
                <w:b w:val="0"/>
                <w:i w:val="0"/>
                <w:sz w:val="18"/>
              </w:rPr>
              <w:t xml:space="preserve">Written notice from Representative specifying number of Option Shares and Additional Closing Date, which must be </w:t>
            </w:r>
            <w:r>
              <w:rPr>
                <w:b/>
                <w:i w:val="0"/>
                <w:sz w:val="18"/>
              </w:rPr>
              <w:t>no earlier than 1 and no later than 2 business days</w:t>
            </w:r>
            <w:r>
              <w:rPr>
                <w:b w:val="0"/>
                <w:i w:val="0"/>
                <w:sz w:val="18"/>
              </w:rPr>
              <w:t xml:space="preserve"> after notice</w:t>
            </w:r>
          </w:p>
        </w:tc>
        <w:tc>
          <w:tcPr>
            <w:tcW w:type="dxa" w:w="1152"/>
          </w:tcPr>
          <w:p>
            <w:pPr>
              <w:spacing w:after="20"/>
            </w:pPr>
            <w:r/>
            <w:r>
              <w:rPr>
                <w:b w:val="0"/>
                <w:i w:val="0"/>
                <w:sz w:val="18"/>
              </w:rPr>
              <w:t>2(b); 3</w:t>
            </w:r>
          </w:p>
        </w:tc>
        <w:tc>
          <w:tcPr>
            <w:tcW w:type="dxa" w:w="5328"/>
          </w:tcPr>
          <w:p>
            <w:pPr>
              <w:spacing w:after="20"/>
            </w:pPr>
            <w:r/>
            <w:r>
              <w:rPr>
                <w:b w:val="0"/>
                <w:i w:val="0"/>
                <w:sz w:val="18"/>
              </w:rPr>
              <w:t>Window is unusually narrow. Section 3 repeats only the 2-business-day outside date; Checklist Item 36 omits the 1-business-day minimum. Consider a customary window.</w:t>
            </w:r>
          </w:p>
        </w:tc>
      </w:tr>
      <w:tr>
        <w:tc>
          <w:tcPr>
            <w:tcW w:type="dxa" w:w="2160"/>
          </w:tcPr>
          <w:p>
            <w:pPr>
              <w:spacing w:after="20"/>
            </w:pPr>
            <w:r/>
            <w:r>
              <w:rPr>
                <w:b w:val="0"/>
                <w:i w:val="0"/>
                <w:sz w:val="18"/>
              </w:rPr>
              <w:t>Partial exercise</w:t>
            </w:r>
          </w:p>
        </w:tc>
        <w:tc>
          <w:tcPr>
            <w:tcW w:type="dxa" w:w="5184"/>
          </w:tcPr>
          <w:p>
            <w:pPr>
              <w:spacing w:after="20"/>
            </w:pPr>
            <w:r/>
            <w:r>
              <w:rPr>
                <w:b w:val="0"/>
                <w:i w:val="0"/>
                <w:sz w:val="18"/>
              </w:rPr>
              <w:t>Pro rata per Schedule A, rounded as Representative determines to avoid fractional shares</w:t>
            </w:r>
          </w:p>
        </w:tc>
        <w:tc>
          <w:tcPr>
            <w:tcW w:type="dxa" w:w="1152"/>
          </w:tcPr>
          <w:p>
            <w:pPr>
              <w:spacing w:after="20"/>
            </w:pPr>
            <w:r/>
            <w:r>
              <w:rPr>
                <w:b w:val="0"/>
                <w:i w:val="0"/>
                <w:sz w:val="18"/>
              </w:rPr>
              <w:t>2(b); Sched. A</w:t>
            </w:r>
          </w:p>
        </w:tc>
        <w:tc>
          <w:tcPr>
            <w:tcW w:type="dxa" w:w="5328"/>
          </w:tcPr>
          <w:p>
            <w:pPr>
              <w:spacing w:after="20"/>
            </w:pPr>
            <w:r/>
            <w:r>
              <w:rPr>
                <w:b w:val="0"/>
                <w:i w:val="0"/>
                <w:sz w:val="18"/>
              </w:rPr>
              <w:t>Depends on Schedule A being corrected (Issue 2).</w:t>
            </w:r>
          </w:p>
        </w:tc>
      </w:tr>
      <w:tr>
        <w:tc>
          <w:tcPr>
            <w:tcW w:type="dxa" w:w="2160"/>
          </w:tcPr>
          <w:p>
            <w:pPr>
              <w:spacing w:after="20"/>
            </w:pPr>
            <w:r/>
            <w:r>
              <w:rPr>
                <w:b w:val="0"/>
                <w:i w:val="0"/>
                <w:sz w:val="18"/>
              </w:rPr>
              <w:t>Closing (Firm Shares)</w:t>
            </w:r>
          </w:p>
        </w:tc>
        <w:tc>
          <w:tcPr>
            <w:tcW w:type="dxa" w:w="5184"/>
          </w:tcPr>
          <w:p>
            <w:pPr>
              <w:spacing w:after="20"/>
            </w:pPr>
            <w:r/>
            <w:r>
              <w:rPr>
                <w:b w:val="0"/>
                <w:i w:val="0"/>
                <w:sz w:val="18"/>
              </w:rPr>
              <w:t xml:space="preserve">10:00 a.m. NYC time, </w:t>
            </w:r>
            <w:r>
              <w:rPr>
                <w:b/>
                <w:i w:val="0"/>
                <w:sz w:val="18"/>
              </w:rPr>
              <w:t>Monday, June 16, 2025</w:t>
            </w:r>
            <w:r>
              <w:rPr>
                <w:b w:val="0"/>
                <w:i w:val="0"/>
                <w:sz w:val="18"/>
              </w:rPr>
              <w:t>, at Grayling Hart LLP, 55 West 53rd Street, New York (or as agreed)</w:t>
            </w:r>
          </w:p>
        </w:tc>
        <w:tc>
          <w:tcPr>
            <w:tcW w:type="dxa" w:w="1152"/>
          </w:tcPr>
          <w:p>
            <w:pPr>
              <w:spacing w:after="20"/>
            </w:pPr>
            <w:r/>
            <w:r>
              <w:rPr>
                <w:b w:val="0"/>
                <w:i w:val="0"/>
                <w:sz w:val="18"/>
              </w:rPr>
              <w:t>Defs.; 3</w:t>
            </w:r>
          </w:p>
        </w:tc>
        <w:tc>
          <w:tcPr>
            <w:tcW w:type="dxa" w:w="5328"/>
          </w:tcPr>
          <w:p>
            <w:pPr>
              <w:spacing w:after="20"/>
            </w:pPr>
            <w:r/>
            <w:r>
              <w:rPr>
                <w:b w:val="0"/>
                <w:i w:val="0"/>
                <w:sz w:val="18"/>
              </w:rPr>
              <w:t>Consistent (Checklist, Pricing Email, Allocation Spreadsheet).</w:t>
            </w:r>
          </w:p>
        </w:tc>
      </w:tr>
      <w:tr>
        <w:tc>
          <w:tcPr>
            <w:tcW w:type="dxa" w:w="2160"/>
          </w:tcPr>
          <w:p>
            <w:pPr>
              <w:spacing w:after="20"/>
            </w:pPr>
            <w:r/>
            <w:r>
              <w:rPr>
                <w:b w:val="0"/>
                <w:i w:val="0"/>
                <w:sz w:val="18"/>
              </w:rPr>
              <w:t>Settlement basis</w:t>
            </w:r>
          </w:p>
        </w:tc>
        <w:tc>
          <w:tcPr>
            <w:tcW w:type="dxa" w:w="5184"/>
          </w:tcPr>
          <w:p>
            <w:pPr>
              <w:spacing w:after="20"/>
            </w:pPr>
            <w:r/>
            <w:r>
              <w:rPr>
                <w:b w:val="0"/>
                <w:i w:val="0"/>
                <w:sz w:val="18"/>
              </w:rPr>
              <w:t>Described as T+3 "in accordance with Rule 15c6-1 under the Exchange Act" (June 12, 13, 16)</w:t>
            </w:r>
          </w:p>
        </w:tc>
        <w:tc>
          <w:tcPr>
            <w:tcW w:type="dxa" w:w="1152"/>
          </w:tcPr>
          <w:p>
            <w:pPr>
              <w:spacing w:after="20"/>
            </w:pPr>
            <w:r/>
            <w:r>
              <w:rPr>
                <w:b w:val="0"/>
                <w:i w:val="0"/>
                <w:sz w:val="18"/>
              </w:rPr>
              <w:t>3</w:t>
            </w:r>
          </w:p>
        </w:tc>
        <w:tc>
          <w:tcPr>
            <w:tcW w:type="dxa" w:w="5328"/>
          </w:tcPr>
          <w:p>
            <w:pPr>
              <w:spacing w:after="20"/>
            </w:pPr>
            <w:r/>
            <w:r>
              <w:rPr>
                <w:b/>
                <w:i w:val="0"/>
                <w:sz w:val="18"/>
              </w:rPr>
              <w:t>Rule 15c6-1 standard settlement has been T+1 since May 28, 2024.</w:t>
            </w:r>
            <w:r>
              <w:rPr>
                <w:b w:val="0"/>
                <w:i w:val="0"/>
                <w:sz w:val="18"/>
              </w:rPr>
              <w:t xml:space="preserve"> T+3 is permissible only as an express agreement of the managing underwriter and issuer under Rule 15c6-1(d). Revise to state the parties expressly agree to T+3 settlement (Issue 12).</w:t>
            </w:r>
          </w:p>
        </w:tc>
      </w:tr>
      <w:tr>
        <w:tc>
          <w:tcPr>
            <w:tcW w:type="dxa" w:w="2160"/>
          </w:tcPr>
          <w:p>
            <w:pPr>
              <w:spacing w:after="20"/>
            </w:pPr>
            <w:r/>
            <w:r>
              <w:rPr>
                <w:b w:val="0"/>
                <w:i w:val="0"/>
                <w:sz w:val="18"/>
              </w:rPr>
              <w:t>Payment / delivery</w:t>
            </w:r>
          </w:p>
        </w:tc>
        <w:tc>
          <w:tcPr>
            <w:tcW w:type="dxa" w:w="5184"/>
          </w:tcPr>
          <w:p>
            <w:pPr>
              <w:spacing w:after="20"/>
            </w:pPr>
            <w:r/>
            <w:r>
              <w:rPr>
                <w:b w:val="0"/>
                <w:i w:val="0"/>
                <w:sz w:val="18"/>
              </w:rPr>
              <w:t>Wire of immediately available funds to Company-designated account against delivery through DTC book-entry; DTC account designations at least 1 business day before closing</w:t>
            </w:r>
          </w:p>
        </w:tc>
        <w:tc>
          <w:tcPr>
            <w:tcW w:type="dxa" w:w="1152"/>
          </w:tcPr>
          <w:p>
            <w:pPr>
              <w:spacing w:after="20"/>
            </w:pPr>
            <w:r/>
            <w:r>
              <w:rPr>
                <w:b w:val="0"/>
                <w:i w:val="0"/>
                <w:sz w:val="18"/>
              </w:rPr>
              <w:t>2(c)</w:t>
            </w:r>
          </w:p>
        </w:tc>
        <w:tc>
          <w:tcPr>
            <w:tcW w:type="dxa" w:w="5328"/>
          </w:tcPr>
          <w:p>
            <w:pPr>
              <w:spacing w:after="20"/>
            </w:pPr>
            <w:r/>
            <w:r>
              <w:rPr>
                <w:b w:val="0"/>
                <w:i w:val="0"/>
                <w:sz w:val="18"/>
              </w:rPr>
              <w:t>Checklist Items 19–20, 28. Wire instructions must be verified (Issue 7).</w:t>
            </w:r>
          </w:p>
        </w:tc>
      </w:tr>
      <w:tr>
        <w:tc>
          <w:tcPr>
            <w:tcW w:type="dxa" w:w="2160"/>
          </w:tcPr>
          <w:p>
            <w:pPr>
              <w:spacing w:after="20"/>
            </w:pPr>
            <w:r/>
            <w:r>
              <w:rPr>
                <w:b w:val="0"/>
                <w:i w:val="0"/>
                <w:sz w:val="18"/>
              </w:rPr>
              <w:t>Additional Closing</w:t>
            </w:r>
          </w:p>
        </w:tc>
        <w:tc>
          <w:tcPr>
            <w:tcW w:type="dxa" w:w="5184"/>
          </w:tcPr>
          <w:p>
            <w:pPr>
              <w:spacing w:after="20"/>
            </w:pPr>
            <w:r/>
            <w:r>
              <w:rPr>
                <w:b w:val="0"/>
                <w:i w:val="0"/>
                <w:sz w:val="18"/>
              </w:rPr>
              <w:t>Reps, warranties and conditions apply to each Additional Closing as if the initial Closing</w:t>
            </w:r>
          </w:p>
        </w:tc>
        <w:tc>
          <w:tcPr>
            <w:tcW w:type="dxa" w:w="1152"/>
          </w:tcPr>
          <w:p>
            <w:pPr>
              <w:spacing w:after="20"/>
            </w:pPr>
            <w:r/>
            <w:r>
              <w:rPr>
                <w:b w:val="0"/>
                <w:i w:val="0"/>
                <w:sz w:val="18"/>
              </w:rPr>
              <w:t>3; 7 lead-in</w:t>
            </w:r>
          </w:p>
        </w:tc>
        <w:tc>
          <w:tcPr>
            <w:tcW w:type="dxa" w:w="5328"/>
          </w:tcPr>
          <w:p>
            <w:pPr>
              <w:spacing w:after="20"/>
            </w:pPr>
            <w:r/>
            <w:r>
              <w:rPr>
                <w:b w:val="0"/>
                <w:i w:val="0"/>
                <w:sz w:val="18"/>
              </w:rPr>
              <w:t>Checklist Item 37 (supplemental officers’ certificate, bring-down opinions and comfort letter).</w:t>
            </w:r>
          </w:p>
        </w:tc>
      </w:tr>
    </w:tbl>
    <w:p>
      <w:pPr>
        <w:spacing w:after="40"/>
      </w:pPr>
    </w:p>
    <w:p>
      <w:pPr>
        <w:pStyle w:val="Heading2"/>
      </w:pPr>
      <w:r>
        <w:t>E. Key Dates</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2016"/>
            <w:shd w:val="clear" w:color="auto" w:fill="1F3A5F"/>
          </w:tcPr>
          <w:p>
            <w:r/>
            <w:r>
              <w:rPr>
                <w:b/>
                <w:color w:val="FFFFFF"/>
                <w:sz w:val="18"/>
              </w:rPr>
              <w:t>Date</w:t>
            </w:r>
          </w:p>
        </w:tc>
        <w:tc>
          <w:tcPr>
            <w:tcW w:type="dxa" w:w="4752"/>
            <w:shd w:val="clear" w:color="auto" w:fill="1F3A5F"/>
          </w:tcPr>
          <w:p>
            <w:r/>
            <w:r>
              <w:rPr>
                <w:b/>
                <w:color w:val="FFFFFF"/>
                <w:sz w:val="18"/>
              </w:rPr>
              <w:t>Event</w:t>
            </w:r>
          </w:p>
        </w:tc>
        <w:tc>
          <w:tcPr>
            <w:tcW w:type="dxa" w:w="3456"/>
            <w:shd w:val="clear" w:color="auto" w:fill="1F3A5F"/>
          </w:tcPr>
          <w:p>
            <w:r/>
            <w:r>
              <w:rPr>
                <w:b/>
                <w:color w:val="FFFFFF"/>
                <w:sz w:val="18"/>
              </w:rPr>
              <w:t>Source</w:t>
            </w:r>
          </w:p>
        </w:tc>
        <w:tc>
          <w:tcPr>
            <w:tcW w:type="dxa" w:w="3600"/>
            <w:shd w:val="clear" w:color="auto" w:fill="1F3A5F"/>
          </w:tcPr>
          <w:p>
            <w:r/>
            <w:r>
              <w:rPr>
                <w:b/>
                <w:color w:val="FFFFFF"/>
                <w:sz w:val="18"/>
              </w:rPr>
              <w:t>Comment</w:t>
            </w:r>
          </w:p>
        </w:tc>
      </w:tr>
      <w:tr>
        <w:tc>
          <w:tcPr>
            <w:tcW w:type="dxa" w:w="2016"/>
          </w:tcPr>
          <w:p>
            <w:pPr>
              <w:spacing w:after="20"/>
            </w:pPr>
            <w:r/>
            <w:r>
              <w:rPr>
                <w:b w:val="0"/>
                <w:i w:val="0"/>
                <w:sz w:val="18"/>
              </w:rPr>
              <w:t>March 31, 2025</w:t>
            </w:r>
          </w:p>
        </w:tc>
        <w:tc>
          <w:tcPr>
            <w:tcW w:type="dxa" w:w="4752"/>
          </w:tcPr>
          <w:p>
            <w:pPr>
              <w:spacing w:after="20"/>
            </w:pPr>
            <w:r/>
            <w:r>
              <w:rPr>
                <w:b w:val="0"/>
                <w:i w:val="0"/>
                <w:sz w:val="18"/>
              </w:rPr>
              <w:t>Most recent (unaudited interim) financial statements; MAC reference date</w:t>
            </w:r>
          </w:p>
        </w:tc>
        <w:tc>
          <w:tcPr>
            <w:tcW w:type="dxa" w:w="3456"/>
          </w:tcPr>
          <w:p>
            <w:pPr>
              <w:spacing w:after="20"/>
            </w:pPr>
            <w:r/>
            <w:r>
              <w:rPr>
                <w:b w:val="0"/>
                <w:i w:val="0"/>
                <w:sz w:val="18"/>
              </w:rPr>
              <w:t>UA 1(h), 1(i), 7(a)(iv), 7(j)</w:t>
            </w:r>
          </w:p>
        </w:tc>
        <w:tc>
          <w:tcPr>
            <w:tcW w:type="dxa" w:w="3600"/>
          </w:tcPr>
          <w:p>
            <w:pPr>
              <w:spacing w:after="20"/>
            </w:pPr>
            <w:r/>
            <w:r>
              <w:rPr>
                <w:b w:val="0"/>
                <w:i w:val="0"/>
                <w:sz w:val="18"/>
              </w:rPr>
              <w:t>Consistent with Checklist.</w:t>
            </w:r>
          </w:p>
        </w:tc>
      </w:tr>
      <w:tr>
        <w:tc>
          <w:tcPr>
            <w:tcW w:type="dxa" w:w="2016"/>
          </w:tcPr>
          <w:p>
            <w:pPr>
              <w:spacing w:after="20"/>
            </w:pPr>
            <w:r/>
            <w:r>
              <w:rPr>
                <w:b w:val="0"/>
                <w:i w:val="0"/>
                <w:sz w:val="18"/>
              </w:rPr>
              <w:t>June 10, 2025</w:t>
            </w:r>
          </w:p>
        </w:tc>
        <w:tc>
          <w:tcPr>
            <w:tcW w:type="dxa" w:w="4752"/>
          </w:tcPr>
          <w:p>
            <w:pPr>
              <w:spacing w:after="20"/>
            </w:pPr>
            <w:r/>
            <w:r>
              <w:rPr>
                <w:b w:val="0"/>
                <w:i w:val="0"/>
                <w:sz w:val="18"/>
              </w:rPr>
              <w:t>Pricing committee / Company board approval of final pricing</w:t>
            </w:r>
          </w:p>
        </w:tc>
        <w:tc>
          <w:tcPr>
            <w:tcW w:type="dxa" w:w="3456"/>
          </w:tcPr>
          <w:p>
            <w:pPr>
              <w:spacing w:after="20"/>
            </w:pPr>
            <w:r/>
            <w:r>
              <w:rPr>
                <w:b w:val="0"/>
                <w:i w:val="0"/>
                <w:sz w:val="18"/>
              </w:rPr>
              <w:t>Pricing Email</w:t>
            </w:r>
          </w:p>
        </w:tc>
        <w:tc>
          <w:tcPr>
            <w:tcW w:type="dxa" w:w="3600"/>
          </w:tcPr>
          <w:p>
            <w:pPr>
              <w:spacing w:after="20"/>
            </w:pPr>
            <w:r/>
            <w:r>
              <w:rPr>
                <w:b w:val="0"/>
                <w:i w:val="0"/>
                <w:sz w:val="18"/>
              </w:rPr>
              <w:t>UA dated June 11; confirm "trade date" for settlement purposes.</w:t>
            </w:r>
          </w:p>
        </w:tc>
      </w:tr>
      <w:tr>
        <w:tc>
          <w:tcPr>
            <w:tcW w:type="dxa" w:w="2016"/>
          </w:tcPr>
          <w:p>
            <w:pPr>
              <w:spacing w:after="20"/>
            </w:pPr>
            <w:r/>
            <w:r>
              <w:rPr>
                <w:b w:val="0"/>
                <w:i w:val="0"/>
                <w:sz w:val="18"/>
              </w:rPr>
              <w:t>June 11, 2025</w:t>
            </w:r>
          </w:p>
        </w:tc>
        <w:tc>
          <w:tcPr>
            <w:tcW w:type="dxa" w:w="4752"/>
          </w:tcPr>
          <w:p>
            <w:pPr>
              <w:spacing w:after="20"/>
            </w:pPr>
            <w:r/>
            <w:r>
              <w:rPr>
                <w:b w:val="0"/>
                <w:i w:val="0"/>
                <w:sz w:val="18"/>
              </w:rPr>
              <w:t>UA execution; initial ("cold") comfort letter</w:t>
            </w:r>
          </w:p>
        </w:tc>
        <w:tc>
          <w:tcPr>
            <w:tcW w:type="dxa" w:w="3456"/>
          </w:tcPr>
          <w:p>
            <w:pPr>
              <w:spacing w:after="20"/>
            </w:pPr>
            <w:r/>
            <w:r>
              <w:rPr>
                <w:b w:val="0"/>
                <w:i w:val="0"/>
                <w:sz w:val="18"/>
              </w:rPr>
              <w:t>UA preamble, 7(d)(i); Checklist; Email</w:t>
            </w:r>
          </w:p>
        </w:tc>
        <w:tc>
          <w:tcPr>
            <w:tcW w:type="dxa" w:w="3600"/>
          </w:tcPr>
          <w:p>
            <w:pPr>
              <w:spacing w:after="20"/>
            </w:pPr>
            <w:r/>
            <w:r>
              <w:rPr>
                <w:b w:val="0"/>
                <w:i w:val="0"/>
                <w:sz w:val="18"/>
              </w:rPr>
              <w:t>Consistent.</w:t>
            </w:r>
          </w:p>
        </w:tc>
      </w:tr>
      <w:tr>
        <w:tc>
          <w:tcPr>
            <w:tcW w:type="dxa" w:w="2016"/>
          </w:tcPr>
          <w:p>
            <w:pPr>
              <w:spacing w:after="20"/>
            </w:pPr>
            <w:r/>
            <w:r>
              <w:rPr>
                <w:b w:val="0"/>
                <w:i w:val="0"/>
                <w:sz w:val="18"/>
              </w:rPr>
              <w:t>June 12, 2025</w:t>
            </w:r>
          </w:p>
        </w:tc>
        <w:tc>
          <w:tcPr>
            <w:tcW w:type="dxa" w:w="4752"/>
          </w:tcPr>
          <w:p>
            <w:pPr>
              <w:spacing w:after="20"/>
            </w:pPr>
            <w:r/>
            <w:r>
              <w:rPr>
                <w:b w:val="0"/>
                <w:i w:val="0"/>
                <w:sz w:val="18"/>
              </w:rPr>
              <w:t>Final Prospectus (Rule 424(b)); Lock-Up Period begins</w:t>
            </w:r>
          </w:p>
        </w:tc>
        <w:tc>
          <w:tcPr>
            <w:tcW w:type="dxa" w:w="3456"/>
          </w:tcPr>
          <w:p>
            <w:pPr>
              <w:spacing w:after="20"/>
            </w:pPr>
            <w:r/>
            <w:r>
              <w:rPr>
                <w:b w:val="0"/>
                <w:i w:val="0"/>
                <w:sz w:val="18"/>
              </w:rPr>
              <w:t>UA Defs.; 5(l)</w:t>
            </w:r>
          </w:p>
        </w:tc>
        <w:tc>
          <w:tcPr>
            <w:tcW w:type="dxa" w:w="3600"/>
          </w:tcPr>
          <w:p>
            <w:pPr>
              <w:spacing w:after="20"/>
            </w:pPr>
            <w:r/>
            <w:r>
              <w:rPr>
                <w:b w:val="0"/>
                <w:i w:val="0"/>
                <w:sz w:val="18"/>
              </w:rPr>
              <w:t>Consistent; Schedule B form also dated June 12 (Issue 6).</w:t>
            </w:r>
          </w:p>
        </w:tc>
      </w:tr>
      <w:tr>
        <w:tc>
          <w:tcPr>
            <w:tcW w:type="dxa" w:w="2016"/>
          </w:tcPr>
          <w:p>
            <w:pPr>
              <w:spacing w:after="20"/>
            </w:pPr>
            <w:r/>
            <w:r>
              <w:rPr>
                <w:b w:val="0"/>
                <w:i w:val="0"/>
                <w:sz w:val="18"/>
              </w:rPr>
              <w:t>June 16, 2025</w:t>
            </w:r>
          </w:p>
        </w:tc>
        <w:tc>
          <w:tcPr>
            <w:tcW w:type="dxa" w:w="4752"/>
          </w:tcPr>
          <w:p>
            <w:pPr>
              <w:spacing w:after="20"/>
            </w:pPr>
            <w:r/>
            <w:r>
              <w:rPr>
                <w:b w:val="0"/>
                <w:i w:val="0"/>
                <w:sz w:val="18"/>
              </w:rPr>
              <w:t>Closing (10:00 a.m. NYC); officers’ certificate, opinions, good standings</w:t>
            </w:r>
          </w:p>
        </w:tc>
        <w:tc>
          <w:tcPr>
            <w:tcW w:type="dxa" w:w="3456"/>
          </w:tcPr>
          <w:p>
            <w:pPr>
              <w:spacing w:after="20"/>
            </w:pPr>
            <w:r/>
            <w:r>
              <w:rPr>
                <w:b w:val="0"/>
                <w:i w:val="0"/>
                <w:sz w:val="18"/>
              </w:rPr>
              <w:t>UA Defs.; 3; 7</w:t>
            </w:r>
          </w:p>
        </w:tc>
        <w:tc>
          <w:tcPr>
            <w:tcW w:type="dxa" w:w="3600"/>
          </w:tcPr>
          <w:p>
            <w:pPr>
              <w:spacing w:after="20"/>
            </w:pPr>
            <w:r/>
            <w:r>
              <w:rPr>
                <w:b w:val="0"/>
                <w:i w:val="0"/>
                <w:sz w:val="18"/>
              </w:rPr>
              <w:t>Consistent.</w:t>
            </w:r>
          </w:p>
        </w:tc>
      </w:tr>
      <w:tr>
        <w:tc>
          <w:tcPr>
            <w:tcW w:type="dxa" w:w="2016"/>
          </w:tcPr>
          <w:p>
            <w:pPr>
              <w:spacing w:after="20"/>
            </w:pPr>
            <w:r/>
            <w:r>
              <w:rPr>
                <w:b w:val="0"/>
                <w:i w:val="0"/>
                <w:sz w:val="18"/>
              </w:rPr>
              <w:t xml:space="preserve">June 16 vs. </w:t>
            </w:r>
            <w:r>
              <w:rPr>
                <w:b/>
                <w:i w:val="0"/>
                <w:sz w:val="18"/>
              </w:rPr>
              <w:t>June 17</w:t>
            </w:r>
            <w:r>
              <w:rPr>
                <w:b w:val="0"/>
                <w:i w:val="0"/>
                <w:sz w:val="18"/>
              </w:rPr>
              <w:t>, 2025</w:t>
            </w:r>
          </w:p>
        </w:tc>
        <w:tc>
          <w:tcPr>
            <w:tcW w:type="dxa" w:w="4752"/>
          </w:tcPr>
          <w:p>
            <w:pPr>
              <w:spacing w:after="20"/>
            </w:pPr>
            <w:r/>
            <w:r>
              <w:rPr>
                <w:b w:val="0"/>
                <w:i w:val="0"/>
                <w:sz w:val="18"/>
              </w:rPr>
              <w:t>Bring-down comfort letter</w:t>
            </w:r>
          </w:p>
        </w:tc>
        <w:tc>
          <w:tcPr>
            <w:tcW w:type="dxa" w:w="3456"/>
          </w:tcPr>
          <w:p>
            <w:pPr>
              <w:spacing w:after="20"/>
            </w:pPr>
            <w:r/>
            <w:r>
              <w:rPr>
                <w:b w:val="0"/>
                <w:i w:val="0"/>
                <w:sz w:val="18"/>
              </w:rPr>
              <w:t>UA 7(d)(ii) says June 17; Checklist &amp; Email say June 16</w:t>
            </w:r>
          </w:p>
        </w:tc>
        <w:tc>
          <w:tcPr>
            <w:tcW w:type="dxa" w:w="3600"/>
          </w:tcPr>
          <w:p>
            <w:pPr>
              <w:spacing w:after="20"/>
            </w:pPr>
            <w:r/>
            <w:r>
              <w:rPr>
                <w:b/>
                <w:i w:val="0"/>
                <w:sz w:val="18"/>
              </w:rPr>
              <w:t>Discrepancy (Issue 4).</w:t>
            </w:r>
          </w:p>
        </w:tc>
      </w:tr>
      <w:tr>
        <w:tc>
          <w:tcPr>
            <w:tcW w:type="dxa" w:w="2016"/>
          </w:tcPr>
          <w:p>
            <w:pPr>
              <w:spacing w:after="20"/>
            </w:pPr>
            <w:r/>
            <w:r>
              <w:rPr>
                <w:b w:val="0"/>
                <w:i w:val="0"/>
                <w:sz w:val="18"/>
              </w:rPr>
              <w:t>July 11, 2025</w:t>
            </w:r>
          </w:p>
        </w:tc>
        <w:tc>
          <w:tcPr>
            <w:tcW w:type="dxa" w:w="4752"/>
          </w:tcPr>
          <w:p>
            <w:pPr>
              <w:spacing w:after="20"/>
            </w:pPr>
            <w:r/>
            <w:r>
              <w:rPr>
                <w:b w:val="0"/>
                <w:i w:val="0"/>
                <w:sz w:val="18"/>
              </w:rPr>
              <w:t>Overallotment Option expires</w:t>
            </w:r>
          </w:p>
        </w:tc>
        <w:tc>
          <w:tcPr>
            <w:tcW w:type="dxa" w:w="3456"/>
          </w:tcPr>
          <w:p>
            <w:pPr>
              <w:spacing w:after="20"/>
            </w:pPr>
            <w:r/>
            <w:r>
              <w:rPr>
                <w:b w:val="0"/>
                <w:i w:val="0"/>
                <w:sz w:val="18"/>
              </w:rPr>
              <w:t>UA 2(b); all documents</w:t>
            </w:r>
          </w:p>
        </w:tc>
        <w:tc>
          <w:tcPr>
            <w:tcW w:type="dxa" w:w="3600"/>
          </w:tcPr>
          <w:p>
            <w:pPr>
              <w:spacing w:after="20"/>
            </w:pPr>
            <w:r/>
            <w:r>
              <w:rPr>
                <w:b w:val="0"/>
                <w:i w:val="0"/>
                <w:sz w:val="18"/>
              </w:rPr>
              <w:t>Consistent.</w:t>
            </w:r>
          </w:p>
        </w:tc>
      </w:tr>
      <w:tr>
        <w:tc>
          <w:tcPr>
            <w:tcW w:type="dxa" w:w="2016"/>
          </w:tcPr>
          <w:p>
            <w:pPr>
              <w:spacing w:after="20"/>
            </w:pPr>
            <w:r/>
            <w:r>
              <w:rPr>
                <w:b w:val="0"/>
                <w:i w:val="0"/>
                <w:sz w:val="18"/>
              </w:rPr>
              <w:t>December 9, 2025</w:t>
            </w:r>
          </w:p>
        </w:tc>
        <w:tc>
          <w:tcPr>
            <w:tcW w:type="dxa" w:w="4752"/>
          </w:tcPr>
          <w:p>
            <w:pPr>
              <w:spacing w:after="20"/>
            </w:pPr>
            <w:r/>
            <w:r>
              <w:rPr>
                <w:b w:val="0"/>
                <w:i w:val="0"/>
                <w:sz w:val="18"/>
              </w:rPr>
              <w:t>Lock-Up Period expires (180 days after June 12, 2025, inclusive)</w:t>
            </w:r>
          </w:p>
        </w:tc>
        <w:tc>
          <w:tcPr>
            <w:tcW w:type="dxa" w:w="3456"/>
          </w:tcPr>
          <w:p>
            <w:pPr>
              <w:spacing w:after="20"/>
            </w:pPr>
            <w:r/>
            <w:r>
              <w:rPr>
                <w:b w:val="0"/>
                <w:i w:val="0"/>
                <w:sz w:val="18"/>
              </w:rPr>
              <w:t>UA Defs.; 5(l); Sched. B</w:t>
            </w:r>
          </w:p>
        </w:tc>
        <w:tc>
          <w:tcPr>
            <w:tcW w:type="dxa" w:w="3600"/>
          </w:tcPr>
          <w:p>
            <w:pPr>
              <w:spacing w:after="20"/>
            </w:pPr>
            <w:r/>
            <w:r>
              <w:rPr>
                <w:b w:val="0"/>
                <w:i w:val="0"/>
                <w:sz w:val="18"/>
              </w:rPr>
              <w:t>Arithmetic verified; consistent.</w:t>
            </w:r>
          </w:p>
        </w:tc>
      </w:tr>
      <w:tr>
        <w:tc>
          <w:tcPr>
            <w:tcW w:type="dxa" w:w="2016"/>
          </w:tcPr>
          <w:p>
            <w:pPr>
              <w:spacing w:after="20"/>
            </w:pPr>
            <w:r/>
            <w:r>
              <w:rPr>
                <w:b w:val="0"/>
                <w:i w:val="0"/>
                <w:sz w:val="18"/>
              </w:rPr>
              <w:t>December 16, 2026</w:t>
            </w:r>
          </w:p>
        </w:tc>
        <w:tc>
          <w:tcPr>
            <w:tcW w:type="dxa" w:w="4752"/>
          </w:tcPr>
          <w:p>
            <w:pPr>
              <w:spacing w:after="20"/>
            </w:pPr>
            <w:r/>
            <w:r>
              <w:rPr>
                <w:b w:val="0"/>
                <w:i w:val="0"/>
                <w:sz w:val="18"/>
              </w:rPr>
              <w:t>Indemnification survival period ends (18 months after Closing)</w:t>
            </w:r>
          </w:p>
        </w:tc>
        <w:tc>
          <w:tcPr>
            <w:tcW w:type="dxa" w:w="3456"/>
          </w:tcPr>
          <w:p>
            <w:pPr>
              <w:spacing w:after="20"/>
            </w:pPr>
            <w:r/>
            <w:r>
              <w:rPr>
                <w:b w:val="0"/>
                <w:i w:val="0"/>
                <w:sz w:val="18"/>
              </w:rPr>
              <w:t>UA 9(d); Checklist Item 39</w:t>
            </w:r>
          </w:p>
        </w:tc>
        <w:tc>
          <w:tcPr>
            <w:tcW w:type="dxa" w:w="3600"/>
          </w:tcPr>
          <w:p>
            <w:pPr>
              <w:spacing w:after="20"/>
            </w:pPr>
            <w:r/>
            <w:r>
              <w:rPr>
                <w:b w:val="0"/>
                <w:i w:val="0"/>
                <w:sz w:val="18"/>
              </w:rPr>
              <w:t>Arithmetic verified. Substantive concern (Issue 10).</w:t>
            </w:r>
          </w:p>
        </w:tc>
      </w:tr>
      <w:tr>
        <w:tc>
          <w:tcPr>
            <w:tcW w:type="dxa" w:w="2016"/>
          </w:tcPr>
          <w:p>
            <w:pPr>
              <w:spacing w:after="20"/>
            </w:pPr>
            <w:r/>
            <w:r>
              <w:rPr>
                <w:b w:val="0"/>
                <w:i w:val="0"/>
                <w:sz w:val="18"/>
              </w:rPr>
              <w:t>June 16, 2028</w:t>
            </w:r>
          </w:p>
        </w:tc>
        <w:tc>
          <w:tcPr>
            <w:tcW w:type="dxa" w:w="4752"/>
          </w:tcPr>
          <w:p>
            <w:pPr>
              <w:spacing w:after="20"/>
            </w:pPr>
            <w:r/>
            <w:r>
              <w:rPr>
                <w:b w:val="0"/>
                <w:i w:val="0"/>
                <w:sz w:val="18"/>
              </w:rPr>
              <w:t>Reporting covenant to Representative ends (3 years after Closing)</w:t>
            </w:r>
          </w:p>
        </w:tc>
        <w:tc>
          <w:tcPr>
            <w:tcW w:type="dxa" w:w="3456"/>
          </w:tcPr>
          <w:p>
            <w:pPr>
              <w:spacing w:after="20"/>
            </w:pPr>
            <w:r/>
            <w:r>
              <w:rPr>
                <w:b w:val="0"/>
                <w:i w:val="0"/>
                <w:sz w:val="18"/>
              </w:rPr>
              <w:t>UA 4(h)</w:t>
            </w:r>
          </w:p>
        </w:tc>
        <w:tc>
          <w:tcPr>
            <w:tcW w:type="dxa" w:w="3600"/>
          </w:tcPr>
          <w:p>
            <w:pPr>
              <w:spacing w:after="20"/>
            </w:pPr>
            <w:r/>
            <w:r>
              <w:rPr>
                <w:b w:val="0"/>
                <w:i w:val="0"/>
                <w:sz w:val="18"/>
              </w:rPr>
              <w:t>Not tracked in Checklist.</w:t>
            </w:r>
          </w:p>
        </w:tc>
      </w:tr>
      <w:tr>
        <w:tc>
          <w:tcPr>
            <w:tcW w:type="dxa" w:w="2016"/>
          </w:tcPr>
          <w:p>
            <w:pPr>
              <w:spacing w:after="20"/>
            </w:pPr>
            <w:r/>
            <w:r>
              <w:rPr>
                <w:b w:val="0"/>
                <w:i w:val="0"/>
                <w:sz w:val="18"/>
              </w:rPr>
              <w:t>June 16, 2031</w:t>
            </w:r>
          </w:p>
        </w:tc>
        <w:tc>
          <w:tcPr>
            <w:tcW w:type="dxa" w:w="4752"/>
          </w:tcPr>
          <w:p>
            <w:pPr>
              <w:spacing w:after="20"/>
            </w:pPr>
            <w:r/>
            <w:r>
              <w:rPr>
                <w:b w:val="0"/>
                <w:i w:val="0"/>
                <w:sz w:val="18"/>
              </w:rPr>
              <w:t>D&amp;O insurance maintenance covenant ends (6 years after Closing)</w:t>
            </w:r>
          </w:p>
        </w:tc>
        <w:tc>
          <w:tcPr>
            <w:tcW w:type="dxa" w:w="3456"/>
          </w:tcPr>
          <w:p>
            <w:pPr>
              <w:spacing w:after="20"/>
            </w:pPr>
            <w:r/>
            <w:r>
              <w:rPr>
                <w:b w:val="0"/>
                <w:i w:val="0"/>
                <w:sz w:val="18"/>
              </w:rPr>
              <w:t>UA 5(k)</w:t>
            </w:r>
          </w:p>
        </w:tc>
        <w:tc>
          <w:tcPr>
            <w:tcW w:type="dxa" w:w="3600"/>
          </w:tcPr>
          <w:p>
            <w:pPr>
              <w:spacing w:after="20"/>
            </w:pPr>
            <w:r/>
            <w:r>
              <w:rPr>
                <w:b w:val="0"/>
                <w:i w:val="0"/>
                <w:sz w:val="18"/>
              </w:rPr>
              <w:t>Not tracked in Checklist.</w:t>
            </w:r>
          </w:p>
        </w:tc>
      </w:tr>
      <w:tr>
        <w:tc>
          <w:tcPr>
            <w:tcW w:type="dxa" w:w="2016"/>
          </w:tcPr>
          <w:p>
            <w:pPr>
              <w:spacing w:after="20"/>
            </w:pPr>
            <w:r/>
            <w:r>
              <w:rPr>
                <w:b w:val="0"/>
                <w:i w:val="0"/>
                <w:sz w:val="18"/>
              </w:rPr>
              <w:t>≤16 months after Effective Date</w:t>
            </w:r>
          </w:p>
        </w:tc>
        <w:tc>
          <w:tcPr>
            <w:tcW w:type="dxa" w:w="4752"/>
          </w:tcPr>
          <w:p>
            <w:pPr>
              <w:spacing w:after="20"/>
            </w:pPr>
            <w:r/>
            <w:r>
              <w:rPr>
                <w:b w:val="0"/>
                <w:i w:val="0"/>
                <w:sz w:val="18"/>
              </w:rPr>
              <w:t>Rule 158 earning statement</w:t>
            </w:r>
          </w:p>
        </w:tc>
        <w:tc>
          <w:tcPr>
            <w:tcW w:type="dxa" w:w="3456"/>
          </w:tcPr>
          <w:p>
            <w:pPr>
              <w:spacing w:after="20"/>
            </w:pPr>
            <w:r/>
            <w:r>
              <w:rPr>
                <w:b w:val="0"/>
                <w:i w:val="0"/>
                <w:sz w:val="18"/>
              </w:rPr>
              <w:t>UA 4(e)</w:t>
            </w:r>
          </w:p>
        </w:tc>
        <w:tc>
          <w:tcPr>
            <w:tcW w:type="dxa" w:w="3600"/>
          </w:tcPr>
          <w:p>
            <w:pPr>
              <w:spacing w:after="20"/>
            </w:pPr>
            <w:r/>
            <w:r>
              <w:rPr>
                <w:b w:val="0"/>
                <w:i w:val="0"/>
                <w:sz w:val="18"/>
              </w:rPr>
              <w:t>Effective Date not stated in documents; calendar it.</w:t>
            </w:r>
          </w:p>
        </w:tc>
      </w:tr>
    </w:tbl>
    <w:p>
      <w:pPr>
        <w:spacing w:after="40"/>
      </w:pPr>
    </w:p>
    <w:p>
      <w:pPr>
        <w:pStyle w:val="Heading2"/>
      </w:pPr>
      <w:r>
        <w:t>F. Representations and Warranties</w:t>
      </w:r>
    </w:p>
    <w:p>
      <w:pPr>
        <w:spacing w:after="80"/>
      </w:pPr>
      <w:r>
        <w:rPr>
          <w:b w:val="0"/>
          <w:i w:val="0"/>
          <w:sz w:val="18"/>
        </w:rPr>
        <w:t>Company (Section 1) — 28 representations ((a)–(z), (aa), (bb)), made as of the UA date, the Final Prospectus date, the Closing Date and each Additional Closing Date. Checklist Item 33 correctly counts 28.</w:t>
      </w:r>
    </w:p>
    <w:tbl>
      <w:tblPr>
        <w:tblStyle w:val="TableGrid"/>
        <w:tblW w:type="auto" w:w="0"/>
        <w:jc w:val="center"/>
        <w:tblLayout w:type="fixed"/>
        <w:tblLook w:firstColumn="1" w:firstRow="1" w:lastColumn="0" w:lastRow="0" w:noHBand="0" w:noVBand="1" w:val="04A0"/>
      </w:tblPr>
      <w:tblGrid>
        <w:gridCol w:w="4608"/>
        <w:gridCol w:w="4608"/>
        <w:gridCol w:w="4608"/>
      </w:tblGrid>
      <w:tr>
        <w:trPr>
          <w:tblHeader w:val="true"/>
        </w:trPr>
        <w:tc>
          <w:tcPr>
            <w:tcW w:type="dxa" w:w="1440"/>
            <w:shd w:val="clear" w:color="auto" w:fill="1F3A5F"/>
          </w:tcPr>
          <w:p>
            <w:r/>
            <w:r>
              <w:rPr>
                <w:b/>
                <w:color w:val="FFFFFF"/>
                <w:sz w:val="18"/>
              </w:rPr>
              <w:t>Rep.</w:t>
            </w:r>
          </w:p>
        </w:tc>
        <w:tc>
          <w:tcPr>
            <w:tcW w:type="dxa" w:w="3456"/>
            <w:shd w:val="clear" w:color="auto" w:fill="1F3A5F"/>
          </w:tcPr>
          <w:p>
            <w:r/>
            <w:r>
              <w:rPr>
                <w:b/>
                <w:color w:val="FFFFFF"/>
                <w:sz w:val="18"/>
              </w:rPr>
              <w:t>Subject</w:t>
            </w:r>
          </w:p>
        </w:tc>
        <w:tc>
          <w:tcPr>
            <w:tcW w:type="dxa" w:w="8928"/>
            <w:shd w:val="clear" w:color="auto" w:fill="1F3A5F"/>
          </w:tcPr>
          <w:p>
            <w:r/>
            <w:r>
              <w:rPr>
                <w:b/>
                <w:color w:val="FFFFFF"/>
                <w:sz w:val="18"/>
              </w:rPr>
              <w:t>Key content / items to verify</w:t>
            </w:r>
          </w:p>
        </w:tc>
      </w:tr>
      <w:tr>
        <w:tc>
          <w:tcPr>
            <w:tcW w:type="dxa" w:w="1440"/>
          </w:tcPr>
          <w:p>
            <w:pPr>
              <w:spacing w:after="20"/>
            </w:pPr>
            <w:r/>
            <w:r>
              <w:rPr>
                <w:b w:val="0"/>
                <w:i w:val="0"/>
                <w:sz w:val="18"/>
              </w:rPr>
              <w:t>1(a), 1(g)</w:t>
            </w:r>
          </w:p>
        </w:tc>
        <w:tc>
          <w:tcPr>
            <w:tcW w:type="dxa" w:w="3456"/>
          </w:tcPr>
          <w:p>
            <w:pPr>
              <w:spacing w:after="20"/>
            </w:pPr>
            <w:r/>
            <w:r>
              <w:rPr>
                <w:b w:val="0"/>
                <w:i w:val="0"/>
                <w:sz w:val="18"/>
              </w:rPr>
              <w:t>Registration Statement / no misstatements</w:t>
            </w:r>
          </w:p>
        </w:tc>
        <w:tc>
          <w:tcPr>
            <w:tcW w:type="dxa" w:w="8928"/>
          </w:tcPr>
          <w:p>
            <w:pPr>
              <w:spacing w:after="20"/>
            </w:pPr>
            <w:r/>
            <w:r>
              <w:rPr>
                <w:b w:val="0"/>
                <w:i w:val="0"/>
                <w:sz w:val="18"/>
              </w:rPr>
              <w:t>Effectiveness; no stop order; 10b-5 style accuracy; FWPs limited to Schedule C (</w:t>
            </w:r>
            <w:r>
              <w:rPr>
                <w:b/>
                <w:i w:val="0"/>
                <w:sz w:val="18"/>
              </w:rPr>
              <w:t>Schedule C not attached</w:t>
            </w:r>
            <w:r>
              <w:rPr>
                <w:b w:val="0"/>
                <w:i w:val="0"/>
                <w:sz w:val="18"/>
              </w:rPr>
              <w:t>). 1(a) and 1(g) overlap substantially.</w:t>
            </w:r>
          </w:p>
        </w:tc>
      </w:tr>
      <w:tr>
        <w:tc>
          <w:tcPr>
            <w:tcW w:type="dxa" w:w="1440"/>
          </w:tcPr>
          <w:p>
            <w:pPr>
              <w:spacing w:after="20"/>
            </w:pPr>
            <w:r/>
            <w:r>
              <w:rPr>
                <w:b w:val="0"/>
                <w:i w:val="0"/>
                <w:sz w:val="18"/>
              </w:rPr>
              <w:t>1(b)–(c)</w:t>
            </w:r>
          </w:p>
        </w:tc>
        <w:tc>
          <w:tcPr>
            <w:tcW w:type="dxa" w:w="3456"/>
          </w:tcPr>
          <w:p>
            <w:pPr>
              <w:spacing w:after="20"/>
            </w:pPr>
            <w:r/>
            <w:r>
              <w:rPr>
                <w:b w:val="0"/>
                <w:i w:val="0"/>
                <w:sz w:val="18"/>
              </w:rPr>
              <w:t>Organization; Subsidiary</w:t>
            </w:r>
          </w:p>
        </w:tc>
        <w:tc>
          <w:tcPr>
            <w:tcW w:type="dxa" w:w="8928"/>
          </w:tcPr>
          <w:p>
            <w:pPr>
              <w:spacing w:after="20"/>
            </w:pPr>
            <w:r/>
            <w:r>
              <w:rPr>
                <w:b w:val="0"/>
                <w:i w:val="0"/>
                <w:sz w:val="18"/>
              </w:rPr>
              <w:t>Delaware (incorporated March 14, 2018); qualified in Massachusetts; MAE definition in 1(b).</w:t>
            </w:r>
          </w:p>
        </w:tc>
      </w:tr>
      <w:tr>
        <w:tc>
          <w:tcPr>
            <w:tcW w:type="dxa" w:w="1440"/>
          </w:tcPr>
          <w:p>
            <w:pPr>
              <w:spacing w:after="20"/>
            </w:pPr>
            <w:r/>
            <w:r>
              <w:rPr>
                <w:b w:val="0"/>
                <w:i w:val="0"/>
                <w:sz w:val="18"/>
              </w:rPr>
              <w:t>1(d)</w:t>
            </w:r>
          </w:p>
        </w:tc>
        <w:tc>
          <w:tcPr>
            <w:tcW w:type="dxa" w:w="3456"/>
          </w:tcPr>
          <w:p>
            <w:pPr>
              <w:spacing w:after="20"/>
            </w:pPr>
            <w:r/>
            <w:r>
              <w:rPr>
                <w:b w:val="0"/>
                <w:i w:val="0"/>
                <w:sz w:val="18"/>
              </w:rPr>
              <w:t>Capitalization</w:t>
            </w:r>
          </w:p>
        </w:tc>
        <w:tc>
          <w:tcPr>
            <w:tcW w:type="dxa" w:w="8928"/>
          </w:tcPr>
          <w:p>
            <w:pPr>
              <w:spacing w:after="20"/>
            </w:pPr>
            <w:r/>
            <w:r>
              <w:rPr>
                <w:b w:val="0"/>
                <w:i w:val="0"/>
                <w:sz w:val="18"/>
              </w:rPr>
              <w:t>200,000,000 common / 10,000,000 preferred authorized; 42,000,000 common outstanding; no preferred outstanding.</w:t>
            </w:r>
          </w:p>
        </w:tc>
      </w:tr>
      <w:tr>
        <w:tc>
          <w:tcPr>
            <w:tcW w:type="dxa" w:w="1440"/>
          </w:tcPr>
          <w:p>
            <w:pPr>
              <w:spacing w:after="20"/>
            </w:pPr>
            <w:r/>
            <w:r>
              <w:rPr>
                <w:b w:val="0"/>
                <w:i w:val="0"/>
                <w:sz w:val="18"/>
              </w:rPr>
              <w:t>1(e)–(f)</w:t>
            </w:r>
          </w:p>
        </w:tc>
        <w:tc>
          <w:tcPr>
            <w:tcW w:type="dxa" w:w="3456"/>
          </w:tcPr>
          <w:p>
            <w:pPr>
              <w:spacing w:after="20"/>
            </w:pPr>
            <w:r/>
            <w:r>
              <w:rPr>
                <w:b w:val="0"/>
                <w:i w:val="0"/>
                <w:sz w:val="18"/>
              </w:rPr>
              <w:t>Authorization; consents</w:t>
            </w:r>
          </w:p>
        </w:tc>
        <w:tc>
          <w:tcPr>
            <w:tcW w:type="dxa" w:w="8928"/>
          </w:tcPr>
          <w:p>
            <w:pPr>
              <w:spacing w:after="20"/>
            </w:pPr>
            <w:r/>
            <w:r>
              <w:rPr>
                <w:b w:val="0"/>
                <w:i w:val="0"/>
                <w:sz w:val="18"/>
              </w:rPr>
              <w:t xml:space="preserve">Consents carve-out includes Form 8-A under Exchange Act — </w:t>
            </w:r>
            <w:r>
              <w:rPr>
                <w:b/>
                <w:i w:val="0"/>
                <w:sz w:val="18"/>
              </w:rPr>
              <w:t>no Checklist item tracks the Form 8-A filing/effectiveness</w:t>
            </w:r>
            <w:r>
              <w:rPr>
                <w:b w:val="0"/>
                <w:i w:val="0"/>
                <w:sz w:val="18"/>
              </w:rPr>
              <w:t>.</w:t>
            </w:r>
          </w:p>
        </w:tc>
      </w:tr>
      <w:tr>
        <w:tc>
          <w:tcPr>
            <w:tcW w:type="dxa" w:w="1440"/>
          </w:tcPr>
          <w:p>
            <w:pPr>
              <w:spacing w:after="20"/>
            </w:pPr>
            <w:r/>
            <w:r>
              <w:rPr>
                <w:b w:val="0"/>
                <w:i w:val="0"/>
                <w:sz w:val="18"/>
              </w:rPr>
              <w:t>1(h)–(i)</w:t>
            </w:r>
          </w:p>
        </w:tc>
        <w:tc>
          <w:tcPr>
            <w:tcW w:type="dxa" w:w="3456"/>
          </w:tcPr>
          <w:p>
            <w:pPr>
              <w:spacing w:after="20"/>
            </w:pPr>
            <w:r/>
            <w:r>
              <w:rPr>
                <w:b w:val="0"/>
                <w:i w:val="0"/>
                <w:sz w:val="18"/>
              </w:rPr>
              <w:t>Financial statements; no MAC</w:t>
            </w:r>
          </w:p>
        </w:tc>
        <w:tc>
          <w:tcPr>
            <w:tcW w:type="dxa" w:w="8928"/>
          </w:tcPr>
          <w:p>
            <w:pPr>
              <w:spacing w:after="20"/>
            </w:pPr>
            <w:r/>
            <w:r>
              <w:rPr>
                <w:b w:val="0"/>
                <w:i w:val="0"/>
                <w:sz w:val="18"/>
              </w:rPr>
              <w:t>Audited FY2024; unaudited Q1 2025 (March 31, 2025); Pennworth &amp; Gale independence.</w:t>
            </w:r>
          </w:p>
        </w:tc>
      </w:tr>
      <w:tr>
        <w:tc>
          <w:tcPr>
            <w:tcW w:type="dxa" w:w="1440"/>
          </w:tcPr>
          <w:p>
            <w:pPr>
              <w:spacing w:after="20"/>
            </w:pPr>
            <w:r/>
            <w:r>
              <w:rPr>
                <w:b w:val="0"/>
                <w:i w:val="0"/>
                <w:sz w:val="18"/>
              </w:rPr>
              <w:t>1(j)</w:t>
            </w:r>
          </w:p>
        </w:tc>
        <w:tc>
          <w:tcPr>
            <w:tcW w:type="dxa" w:w="3456"/>
          </w:tcPr>
          <w:p>
            <w:pPr>
              <w:spacing w:after="20"/>
            </w:pPr>
            <w:r/>
            <w:r>
              <w:rPr>
                <w:b w:val="0"/>
                <w:i w:val="0"/>
                <w:sz w:val="18"/>
              </w:rPr>
              <w:t>Intellectual property</w:t>
            </w:r>
          </w:p>
        </w:tc>
        <w:tc>
          <w:tcPr>
            <w:tcW w:type="dxa" w:w="8928"/>
          </w:tcPr>
          <w:p>
            <w:pPr>
              <w:spacing w:after="20"/>
            </w:pPr>
            <w:r/>
            <w:r>
              <w:rPr>
                <w:b w:val="0"/>
                <w:i w:val="0"/>
                <w:sz w:val="18"/>
              </w:rPr>
              <w:t>14 issued U.S. patents; 7 pending U.S. applications; RDG-4710 Phase 2 NSCLC.</w:t>
            </w:r>
          </w:p>
        </w:tc>
      </w:tr>
      <w:tr>
        <w:tc>
          <w:tcPr>
            <w:tcW w:type="dxa" w:w="1440"/>
          </w:tcPr>
          <w:p>
            <w:pPr>
              <w:spacing w:after="20"/>
            </w:pPr>
            <w:r/>
            <w:r>
              <w:rPr>
                <w:b w:val="0"/>
                <w:i w:val="0"/>
                <w:sz w:val="18"/>
              </w:rPr>
              <w:t>1(k)–(l)</w:t>
            </w:r>
          </w:p>
        </w:tc>
        <w:tc>
          <w:tcPr>
            <w:tcW w:type="dxa" w:w="3456"/>
          </w:tcPr>
          <w:p>
            <w:pPr>
              <w:spacing w:after="20"/>
            </w:pPr>
            <w:r/>
            <w:r>
              <w:rPr>
                <w:b w:val="0"/>
                <w:i w:val="0"/>
                <w:sz w:val="18"/>
              </w:rPr>
              <w:t>Litigation; compliance (incl. FDA, clinical trials)</w:t>
            </w:r>
          </w:p>
        </w:tc>
        <w:tc>
          <w:tcPr>
            <w:tcW w:type="dxa" w:w="8928"/>
          </w:tcPr>
          <w:p>
            <w:pPr>
              <w:spacing w:after="20"/>
            </w:pPr>
            <w:r/>
            <w:r>
              <w:rPr>
                <w:b w:val="0"/>
                <w:i w:val="0"/>
                <w:sz w:val="18"/>
              </w:rPr>
              <w:t>Standard.</w:t>
            </w:r>
          </w:p>
        </w:tc>
      </w:tr>
      <w:tr>
        <w:tc>
          <w:tcPr>
            <w:tcW w:type="dxa" w:w="1440"/>
          </w:tcPr>
          <w:p>
            <w:pPr>
              <w:spacing w:after="20"/>
            </w:pPr>
            <w:r/>
            <w:r>
              <w:rPr>
                <w:b w:val="0"/>
                <w:i w:val="0"/>
                <w:sz w:val="18"/>
              </w:rPr>
              <w:t>1(m)</w:t>
            </w:r>
          </w:p>
        </w:tc>
        <w:tc>
          <w:tcPr>
            <w:tcW w:type="dxa" w:w="3456"/>
          </w:tcPr>
          <w:p>
            <w:pPr>
              <w:spacing w:after="20"/>
            </w:pPr>
            <w:r/>
            <w:r>
              <w:rPr>
                <w:b w:val="0"/>
                <w:i w:val="0"/>
                <w:sz w:val="18"/>
              </w:rPr>
              <w:t>Material contracts</w:t>
            </w:r>
          </w:p>
        </w:tc>
        <w:tc>
          <w:tcPr>
            <w:tcW w:type="dxa" w:w="8928"/>
          </w:tcPr>
          <w:p>
            <w:pPr>
              <w:spacing w:after="20"/>
            </w:pPr>
            <w:r/>
            <w:r>
              <w:rPr>
                <w:b w:val="0"/>
                <w:i w:val="0"/>
                <w:sz w:val="18"/>
              </w:rPr>
              <w:t>Cascadia Research Institute license (Sept. 3, 2021); Cambridge lease (Jan. 15, 2020, amended May 1, 2023); Orion CRO Partners clinical trial agreement (Apr. 22, 2024) — matches Checklist Items 25–27.</w:t>
            </w:r>
          </w:p>
        </w:tc>
      </w:tr>
      <w:tr>
        <w:tc>
          <w:tcPr>
            <w:tcW w:type="dxa" w:w="1440"/>
          </w:tcPr>
          <w:p>
            <w:pPr>
              <w:spacing w:after="20"/>
            </w:pPr>
            <w:r/>
            <w:r>
              <w:rPr>
                <w:b w:val="0"/>
                <w:i w:val="0"/>
                <w:sz w:val="18"/>
              </w:rPr>
              <w:t>1(n)–(o)</w:t>
            </w:r>
          </w:p>
        </w:tc>
        <w:tc>
          <w:tcPr>
            <w:tcW w:type="dxa" w:w="3456"/>
          </w:tcPr>
          <w:p>
            <w:pPr>
              <w:spacing w:after="20"/>
            </w:pPr>
            <w:r/>
            <w:r>
              <w:rPr>
                <w:b w:val="0"/>
                <w:i w:val="0"/>
                <w:sz w:val="18"/>
              </w:rPr>
              <w:t>Tax; insurance</w:t>
            </w:r>
          </w:p>
        </w:tc>
        <w:tc>
          <w:tcPr>
            <w:tcW w:type="dxa" w:w="8928"/>
          </w:tcPr>
          <w:p>
            <w:pPr>
              <w:spacing w:after="20"/>
            </w:pPr>
            <w:r/>
            <w:r>
              <w:rPr>
                <w:b w:val="0"/>
                <w:i w:val="0"/>
                <w:sz w:val="18"/>
              </w:rPr>
              <w:t>D&amp;O tail policy obtained (Exhibit B: $425,000).</w:t>
            </w:r>
          </w:p>
        </w:tc>
      </w:tr>
      <w:tr>
        <w:tc>
          <w:tcPr>
            <w:tcW w:type="dxa" w:w="1440"/>
          </w:tcPr>
          <w:p>
            <w:pPr>
              <w:spacing w:after="20"/>
            </w:pPr>
            <w:r/>
            <w:r>
              <w:rPr>
                <w:b w:val="0"/>
                <w:i w:val="0"/>
                <w:sz w:val="18"/>
              </w:rPr>
              <w:t>1(p)</w:t>
            </w:r>
          </w:p>
        </w:tc>
        <w:tc>
          <w:tcPr>
            <w:tcW w:type="dxa" w:w="3456"/>
          </w:tcPr>
          <w:p>
            <w:pPr>
              <w:spacing w:after="20"/>
            </w:pPr>
            <w:r/>
            <w:r>
              <w:rPr>
                <w:b w:val="0"/>
                <w:i w:val="0"/>
                <w:sz w:val="18"/>
              </w:rPr>
              <w:t>Listing</w:t>
            </w:r>
          </w:p>
        </w:tc>
        <w:tc>
          <w:tcPr>
            <w:tcW w:type="dxa" w:w="8928"/>
          </w:tcPr>
          <w:p>
            <w:pPr>
              <w:spacing w:after="20"/>
            </w:pPr>
            <w:r/>
            <w:r>
              <w:rPr>
                <w:b w:val="0"/>
                <w:i w:val="0"/>
                <w:sz w:val="18"/>
              </w:rPr>
              <w:t xml:space="preserve">States approval for listing on Nasdaq Global Market obtained — </w:t>
            </w:r>
            <w:r>
              <w:rPr>
                <w:b/>
                <w:i w:val="0"/>
                <w:sz w:val="18"/>
              </w:rPr>
              <w:t>not yet true per Checklist/Email (Issue 5)</w:t>
            </w:r>
            <w:r>
              <w:rPr>
                <w:b w:val="0"/>
                <w:i w:val="0"/>
                <w:sz w:val="18"/>
              </w:rPr>
              <w:t>.</w:t>
            </w:r>
          </w:p>
        </w:tc>
      </w:tr>
      <w:tr>
        <w:tc>
          <w:tcPr>
            <w:tcW w:type="dxa" w:w="1440"/>
          </w:tcPr>
          <w:p>
            <w:pPr>
              <w:spacing w:after="20"/>
            </w:pPr>
            <w:r/>
            <w:r>
              <w:rPr>
                <w:b w:val="0"/>
                <w:i w:val="0"/>
                <w:sz w:val="18"/>
              </w:rPr>
              <w:t>1(q)–(r)</w:t>
            </w:r>
          </w:p>
        </w:tc>
        <w:tc>
          <w:tcPr>
            <w:tcW w:type="dxa" w:w="3456"/>
          </w:tcPr>
          <w:p>
            <w:pPr>
              <w:spacing w:after="20"/>
            </w:pPr>
            <w:r/>
            <w:r>
              <w:rPr>
                <w:b w:val="0"/>
                <w:i w:val="0"/>
                <w:sz w:val="18"/>
              </w:rPr>
              <w:t>Transfer agent; cash</w:t>
            </w:r>
          </w:p>
        </w:tc>
        <w:tc>
          <w:tcPr>
            <w:tcW w:type="dxa" w:w="8928"/>
          </w:tcPr>
          <w:p>
            <w:pPr>
              <w:spacing w:after="20"/>
            </w:pPr>
            <w:r/>
            <w:r>
              <w:rPr>
                <w:b w:val="0"/>
                <w:i w:val="0"/>
                <w:sz w:val="18"/>
              </w:rPr>
              <w:t>Pinebrook appointed; ~$28.4 million cash at March 31, 2025.</w:t>
            </w:r>
          </w:p>
        </w:tc>
      </w:tr>
      <w:tr>
        <w:tc>
          <w:tcPr>
            <w:tcW w:type="dxa" w:w="1440"/>
          </w:tcPr>
          <w:p>
            <w:pPr>
              <w:spacing w:after="20"/>
            </w:pPr>
            <w:r/>
            <w:r>
              <w:rPr>
                <w:b w:val="0"/>
                <w:i w:val="0"/>
                <w:sz w:val="18"/>
              </w:rPr>
              <w:t>1(s)–(t)</w:t>
            </w:r>
          </w:p>
        </w:tc>
        <w:tc>
          <w:tcPr>
            <w:tcW w:type="dxa" w:w="3456"/>
          </w:tcPr>
          <w:p>
            <w:pPr>
              <w:spacing w:after="20"/>
            </w:pPr>
            <w:r/>
            <w:r>
              <w:rPr>
                <w:b w:val="0"/>
                <w:i w:val="0"/>
                <w:sz w:val="18"/>
              </w:rPr>
              <w:t>Internal controls; SOX; EGC</w:t>
            </w:r>
          </w:p>
        </w:tc>
        <w:tc>
          <w:tcPr>
            <w:tcW w:type="dxa" w:w="8928"/>
          </w:tcPr>
          <w:p>
            <w:pPr>
              <w:spacing w:after="20"/>
            </w:pPr>
            <w:r/>
            <w:r>
              <w:rPr>
                <w:b w:val="0"/>
                <w:i w:val="0"/>
                <w:sz w:val="18"/>
              </w:rPr>
              <w:t>Standard; EGC acknowledgment.</w:t>
            </w:r>
          </w:p>
        </w:tc>
      </w:tr>
      <w:tr>
        <w:tc>
          <w:tcPr>
            <w:tcW w:type="dxa" w:w="1440"/>
          </w:tcPr>
          <w:p>
            <w:pPr>
              <w:spacing w:after="20"/>
            </w:pPr>
            <w:r/>
            <w:r>
              <w:rPr>
                <w:b w:val="0"/>
                <w:i w:val="0"/>
                <w:sz w:val="18"/>
              </w:rPr>
              <w:t>1(u)–(bb)</w:t>
            </w:r>
          </w:p>
        </w:tc>
        <w:tc>
          <w:tcPr>
            <w:tcW w:type="dxa" w:w="3456"/>
          </w:tcPr>
          <w:p>
            <w:pPr>
              <w:spacing w:after="20"/>
            </w:pPr>
            <w:r/>
            <w:r>
              <w:rPr>
                <w:b w:val="0"/>
                <w:i w:val="0"/>
                <w:sz w:val="18"/>
              </w:rPr>
              <w:t>Environmental; labor; ERISA; FCPA; sanctions; cyber/privacy; related parties; no finders</w:t>
            </w:r>
          </w:p>
        </w:tc>
        <w:tc>
          <w:tcPr>
            <w:tcW w:type="dxa" w:w="8928"/>
          </w:tcPr>
          <w:p>
            <w:pPr>
              <w:spacing w:after="20"/>
            </w:pPr>
            <w:r/>
            <w:r>
              <w:rPr>
                <w:b w:val="0"/>
                <w:i w:val="0"/>
                <w:sz w:val="18"/>
              </w:rPr>
              <w:t>Standard. 1(y) refers to "Her Majesty’s Treasury" — update to "His Majesty’s Treasury".</w:t>
            </w:r>
          </w:p>
        </w:tc>
      </w:tr>
    </w:tbl>
    <w:p>
      <w:pPr>
        <w:spacing w:after="40"/>
      </w:pPr>
    </w:p>
    <w:p>
      <w:pPr>
        <w:spacing w:after="80"/>
      </w:pPr>
      <w:r>
        <w:rPr>
          <w:b w:val="0"/>
          <w:i w:val="0"/>
          <w:sz w:val="18"/>
        </w:rPr>
        <w:t>Underwriters (Section 11) — several (not joint) reps: organization; broker-dealer registration and FINRA membership; authority; compliance with registration/blue sky laws in offers and sales; accuracy of Underwriter-furnished information; receipt of Registration Statement and due diligence acknowledgment. Section 6(b) makes their accuracy a condition to the Company’s obligations.</w:t>
      </w:r>
    </w:p>
    <w:p>
      <w:pPr>
        <w:pStyle w:val="Heading2"/>
      </w:pPr>
      <w:r>
        <w:t>G. Covenants and Additional Agreements</w:t>
      </w:r>
    </w:p>
    <w:tbl>
      <w:tblPr>
        <w:tblStyle w:val="TableGrid"/>
        <w:tblW w:type="auto" w:w="0"/>
        <w:jc w:val="center"/>
        <w:tblLayout w:type="fixed"/>
        <w:tblLook w:firstColumn="1" w:firstRow="1" w:lastColumn="0" w:lastRow="0" w:noHBand="0" w:noVBand="1" w:val="04A0"/>
      </w:tblPr>
      <w:tblGrid>
        <w:gridCol w:w="4608"/>
        <w:gridCol w:w="4608"/>
        <w:gridCol w:w="4608"/>
      </w:tblGrid>
      <w:tr>
        <w:trPr>
          <w:tblHeader w:val="true"/>
        </w:trPr>
        <w:tc>
          <w:tcPr>
            <w:tcW w:type="dxa" w:w="2592"/>
            <w:shd w:val="clear" w:color="auto" w:fill="1F3A5F"/>
          </w:tcPr>
          <w:p>
            <w:r/>
            <w:r>
              <w:rPr>
                <w:b/>
                <w:color w:val="FFFFFF"/>
                <w:sz w:val="18"/>
              </w:rPr>
              <w:t>Covenant</w:t>
            </w:r>
          </w:p>
        </w:tc>
        <w:tc>
          <w:tcPr>
            <w:tcW w:type="dxa" w:w="9792"/>
            <w:shd w:val="clear" w:color="auto" w:fill="1F3A5F"/>
          </w:tcPr>
          <w:p>
            <w:r/>
            <w:r>
              <w:rPr>
                <w:b/>
                <w:color w:val="FFFFFF"/>
                <w:sz w:val="18"/>
              </w:rPr>
              <w:t>Summary</w:t>
            </w:r>
          </w:p>
        </w:tc>
        <w:tc>
          <w:tcPr>
            <w:tcW w:type="dxa" w:w="1440"/>
            <w:shd w:val="clear" w:color="auto" w:fill="1F3A5F"/>
          </w:tcPr>
          <w:p>
            <w:r/>
            <w:r>
              <w:rPr>
                <w:b/>
                <w:color w:val="FFFFFF"/>
                <w:sz w:val="18"/>
              </w:rPr>
              <w:t>Ref.</w:t>
            </w:r>
          </w:p>
        </w:tc>
      </w:tr>
      <w:tr>
        <w:tc>
          <w:tcPr>
            <w:tcW w:type="dxa" w:w="2592"/>
          </w:tcPr>
          <w:p>
            <w:pPr>
              <w:spacing w:after="20"/>
            </w:pPr>
            <w:r/>
            <w:r>
              <w:rPr>
                <w:b w:val="0"/>
                <w:i w:val="0"/>
                <w:sz w:val="18"/>
              </w:rPr>
              <w:t>Expenses</w:t>
            </w:r>
          </w:p>
        </w:tc>
        <w:tc>
          <w:tcPr>
            <w:tcW w:type="dxa" w:w="9792"/>
          </w:tcPr>
          <w:p>
            <w:pPr>
              <w:spacing w:after="20"/>
            </w:pPr>
            <w:r/>
            <w:r>
              <w:rPr>
                <w:b w:val="0"/>
                <w:i w:val="0"/>
                <w:sz w:val="18"/>
              </w:rPr>
              <w:t xml:space="preserve">Company pays all offering expenses whether or not the offering closes, including FINRA filing fee ($22,500), Nasdaq listing fees, SEC fee, Company Counsel, auditors, transfer agent, blue sky. Estimated total </w:t>
            </w:r>
            <w:r>
              <w:rPr>
                <w:b/>
                <w:i w:val="0"/>
                <w:sz w:val="18"/>
              </w:rPr>
              <w:t>$3,200,000</w:t>
            </w:r>
            <w:r>
              <w:rPr>
                <w:b w:val="0"/>
                <w:i w:val="0"/>
                <w:sz w:val="18"/>
              </w:rPr>
              <w:t xml:space="preserve"> (Exhibit B), exclusive of discount. Company reimburses Underwriters’ reasonable, documented out-of-pocket expenses (road show travel, blue sky, Underwriters’ Counsel fees) </w:t>
            </w:r>
            <w:r>
              <w:rPr>
                <w:b/>
                <w:i w:val="0"/>
                <w:sz w:val="18"/>
              </w:rPr>
              <w:t>capped at $375,000</w:t>
            </w:r>
            <w:r>
              <w:rPr>
                <w:b w:val="0"/>
                <w:i w:val="0"/>
                <w:sz w:val="18"/>
              </w:rPr>
              <w:t>.</w:t>
            </w:r>
          </w:p>
        </w:tc>
        <w:tc>
          <w:tcPr>
            <w:tcW w:type="dxa" w:w="1440"/>
          </w:tcPr>
          <w:p>
            <w:pPr>
              <w:spacing w:after="20"/>
            </w:pPr>
            <w:r/>
            <w:r>
              <w:rPr>
                <w:b w:val="0"/>
                <w:i w:val="0"/>
                <w:sz w:val="18"/>
              </w:rPr>
              <w:t>4(a); Ex. B</w:t>
            </w:r>
          </w:p>
        </w:tc>
      </w:tr>
      <w:tr>
        <w:tc>
          <w:tcPr>
            <w:tcW w:type="dxa" w:w="2592"/>
          </w:tcPr>
          <w:p>
            <w:pPr>
              <w:spacing w:after="20"/>
            </w:pPr>
            <w:r/>
            <w:r>
              <w:rPr>
                <w:b w:val="0"/>
                <w:i w:val="0"/>
                <w:sz w:val="18"/>
              </w:rPr>
              <w:t>Prospectus delivery / amendments</w:t>
            </w:r>
          </w:p>
        </w:tc>
        <w:tc>
          <w:tcPr>
            <w:tcW w:type="dxa" w:w="9792"/>
          </w:tcPr>
          <w:p>
            <w:pPr>
              <w:spacing w:after="20"/>
            </w:pPr>
            <w:r/>
            <w:r>
              <w:rPr>
                <w:b w:val="0"/>
                <w:i w:val="0"/>
                <w:sz w:val="18"/>
              </w:rPr>
              <w:t>Copies on request; Rule 172; no amendment or supplement without Representative’s consent (not unreasonably withheld) through later of last closing and end of prospectus-delivery period; notice of stop orders</w:t>
            </w:r>
          </w:p>
        </w:tc>
        <w:tc>
          <w:tcPr>
            <w:tcW w:type="dxa" w:w="1440"/>
          </w:tcPr>
          <w:p>
            <w:pPr>
              <w:spacing w:after="20"/>
            </w:pPr>
            <w:r/>
            <w:r>
              <w:rPr>
                <w:b w:val="0"/>
                <w:i w:val="0"/>
                <w:sz w:val="18"/>
              </w:rPr>
              <w:t>4(b)–(c); 5(b)–(c)</w:t>
            </w:r>
          </w:p>
        </w:tc>
      </w:tr>
      <w:tr>
        <w:tc>
          <w:tcPr>
            <w:tcW w:type="dxa" w:w="2592"/>
          </w:tcPr>
          <w:p>
            <w:pPr>
              <w:spacing w:after="20"/>
            </w:pPr>
            <w:r/>
            <w:r>
              <w:rPr>
                <w:b w:val="0"/>
                <w:i w:val="0"/>
                <w:sz w:val="18"/>
              </w:rPr>
              <w:t>Blue sky</w:t>
            </w:r>
          </w:p>
        </w:tc>
        <w:tc>
          <w:tcPr>
            <w:tcW w:type="dxa" w:w="9792"/>
          </w:tcPr>
          <w:p>
            <w:pPr>
              <w:spacing w:after="20"/>
            </w:pPr>
            <w:r/>
            <w:r>
              <w:rPr>
                <w:b w:val="0"/>
                <w:i w:val="0"/>
                <w:sz w:val="18"/>
              </w:rPr>
              <w:t>Best efforts to qualify; no obligation to qualify as foreign corporation, consent to general service, or subject itself to taxation</w:t>
            </w:r>
          </w:p>
        </w:tc>
        <w:tc>
          <w:tcPr>
            <w:tcW w:type="dxa" w:w="1440"/>
          </w:tcPr>
          <w:p>
            <w:pPr>
              <w:spacing w:after="20"/>
            </w:pPr>
            <w:r/>
            <w:r>
              <w:rPr>
                <w:b w:val="0"/>
                <w:i w:val="0"/>
                <w:sz w:val="18"/>
              </w:rPr>
              <w:t>4(d)</w:t>
            </w:r>
          </w:p>
        </w:tc>
      </w:tr>
      <w:tr>
        <w:tc>
          <w:tcPr>
            <w:tcW w:type="dxa" w:w="2592"/>
          </w:tcPr>
          <w:p>
            <w:pPr>
              <w:spacing w:after="20"/>
            </w:pPr>
            <w:r/>
            <w:r>
              <w:rPr>
                <w:b w:val="0"/>
                <w:i w:val="0"/>
                <w:sz w:val="18"/>
              </w:rPr>
              <w:t>Earning statement</w:t>
            </w:r>
          </w:p>
        </w:tc>
        <w:tc>
          <w:tcPr>
            <w:tcW w:type="dxa" w:w="9792"/>
          </w:tcPr>
          <w:p>
            <w:pPr>
              <w:spacing w:after="20"/>
            </w:pPr>
            <w:r/>
            <w:r>
              <w:rPr>
                <w:b w:val="0"/>
                <w:i w:val="0"/>
                <w:sz w:val="18"/>
              </w:rPr>
              <w:t>Rule 158 / Section 11(a) earning statement within 16 months after Effective Date</w:t>
            </w:r>
          </w:p>
        </w:tc>
        <w:tc>
          <w:tcPr>
            <w:tcW w:type="dxa" w:w="1440"/>
          </w:tcPr>
          <w:p>
            <w:pPr>
              <w:spacing w:after="20"/>
            </w:pPr>
            <w:r/>
            <w:r>
              <w:rPr>
                <w:b w:val="0"/>
                <w:i w:val="0"/>
                <w:sz w:val="18"/>
              </w:rPr>
              <w:t>4(e)</w:t>
            </w:r>
          </w:p>
        </w:tc>
      </w:tr>
      <w:tr>
        <w:tc>
          <w:tcPr>
            <w:tcW w:type="dxa" w:w="2592"/>
          </w:tcPr>
          <w:p>
            <w:pPr>
              <w:spacing w:after="20"/>
            </w:pPr>
            <w:r/>
            <w:r>
              <w:rPr>
                <w:b w:val="0"/>
                <w:i w:val="0"/>
                <w:sz w:val="18"/>
              </w:rPr>
              <w:t>Use of proceeds; listing; reporting</w:t>
            </w:r>
          </w:p>
        </w:tc>
        <w:tc>
          <w:tcPr>
            <w:tcW w:type="dxa" w:w="9792"/>
          </w:tcPr>
          <w:p>
            <w:pPr>
              <w:spacing w:after="20"/>
            </w:pPr>
            <w:r/>
            <w:r>
              <w:rPr>
                <w:b w:val="0"/>
                <w:i w:val="0"/>
                <w:sz w:val="18"/>
              </w:rPr>
              <w:t>Per Prospectus; best efforts to maintain Nasdaq Global Market listing; furnish Exchange Act reports to Representative for 3 years (EDGAR suffices)</w:t>
            </w:r>
          </w:p>
        </w:tc>
        <w:tc>
          <w:tcPr>
            <w:tcW w:type="dxa" w:w="1440"/>
          </w:tcPr>
          <w:p>
            <w:pPr>
              <w:spacing w:after="20"/>
            </w:pPr>
            <w:r/>
            <w:r>
              <w:rPr>
                <w:b w:val="0"/>
                <w:i w:val="0"/>
                <w:sz w:val="18"/>
              </w:rPr>
              <w:t>4(f)–(h)</w:t>
            </w:r>
          </w:p>
        </w:tc>
      </w:tr>
      <w:tr>
        <w:tc>
          <w:tcPr>
            <w:tcW w:type="dxa" w:w="2592"/>
          </w:tcPr>
          <w:p>
            <w:pPr>
              <w:spacing w:after="20"/>
            </w:pPr>
            <w:r/>
            <w:r>
              <w:rPr>
                <w:b w:val="0"/>
                <w:i w:val="0"/>
                <w:sz w:val="18"/>
              </w:rPr>
              <w:t>Stabilization</w:t>
            </w:r>
          </w:p>
        </w:tc>
        <w:tc>
          <w:tcPr>
            <w:tcW w:type="dxa" w:w="9792"/>
          </w:tcPr>
          <w:p>
            <w:pPr>
              <w:spacing w:after="20"/>
            </w:pPr>
            <w:r/>
            <w:r>
              <w:rPr>
                <w:b w:val="0"/>
                <w:i w:val="0"/>
                <w:sz w:val="18"/>
              </w:rPr>
              <w:t>Company will not stabilize/manipulate; acknowledges Underwriter stabilization, short sales, covering, penalty bids under Regulation M Rule 104 and passive market making under Rule 103</w:t>
            </w:r>
          </w:p>
        </w:tc>
        <w:tc>
          <w:tcPr>
            <w:tcW w:type="dxa" w:w="1440"/>
          </w:tcPr>
          <w:p>
            <w:pPr>
              <w:spacing w:after="20"/>
            </w:pPr>
            <w:r/>
            <w:r>
              <w:rPr>
                <w:b w:val="0"/>
                <w:i w:val="0"/>
                <w:sz w:val="18"/>
              </w:rPr>
              <w:t>5(a), 5(h)</w:t>
            </w:r>
          </w:p>
        </w:tc>
      </w:tr>
      <w:tr>
        <w:tc>
          <w:tcPr>
            <w:tcW w:type="dxa" w:w="2592"/>
          </w:tcPr>
          <w:p>
            <w:pPr>
              <w:spacing w:after="20"/>
            </w:pPr>
            <w:r/>
            <w:r>
              <w:rPr>
                <w:b w:val="0"/>
                <w:i w:val="0"/>
                <w:sz w:val="18"/>
              </w:rPr>
              <w:t>FWPs; DTC; Investment Company Act; EGC</w:t>
            </w:r>
          </w:p>
        </w:tc>
        <w:tc>
          <w:tcPr>
            <w:tcW w:type="dxa" w:w="9792"/>
          </w:tcPr>
          <w:p>
            <w:pPr>
              <w:spacing w:after="20"/>
            </w:pPr>
            <w:r/>
            <w:r>
              <w:rPr>
                <w:b w:val="0"/>
                <w:i w:val="0"/>
                <w:sz w:val="18"/>
              </w:rPr>
              <w:t>No FWP without consent other than Schedule C; DTC eligibility; not become an investment company; notice of loss of EGC status</w:t>
            </w:r>
          </w:p>
        </w:tc>
        <w:tc>
          <w:tcPr>
            <w:tcW w:type="dxa" w:w="1440"/>
          </w:tcPr>
          <w:p>
            <w:pPr>
              <w:spacing w:after="20"/>
            </w:pPr>
            <w:r/>
            <w:r>
              <w:rPr>
                <w:b w:val="0"/>
                <w:i w:val="0"/>
                <w:sz w:val="18"/>
              </w:rPr>
              <w:t>5(d)–(g)</w:t>
            </w:r>
          </w:p>
        </w:tc>
      </w:tr>
      <w:tr>
        <w:tc>
          <w:tcPr>
            <w:tcW w:type="dxa" w:w="2592"/>
          </w:tcPr>
          <w:p>
            <w:pPr>
              <w:spacing w:after="20"/>
            </w:pPr>
            <w:r/>
            <w:r>
              <w:rPr>
                <w:b w:val="0"/>
                <w:i w:val="0"/>
                <w:sz w:val="18"/>
              </w:rPr>
              <w:t>Research</w:t>
            </w:r>
          </w:p>
        </w:tc>
        <w:tc>
          <w:tcPr>
            <w:tcW w:type="dxa" w:w="9792"/>
          </w:tcPr>
          <w:p>
            <w:pPr>
              <w:spacing w:after="20"/>
            </w:pPr>
            <w:r/>
            <w:r>
              <w:rPr>
                <w:b w:val="0"/>
                <w:i w:val="0"/>
                <w:sz w:val="18"/>
              </w:rPr>
              <w:t>Cooperate on timing of research during FINRA restricted period</w:t>
            </w:r>
          </w:p>
        </w:tc>
        <w:tc>
          <w:tcPr>
            <w:tcW w:type="dxa" w:w="1440"/>
          </w:tcPr>
          <w:p>
            <w:pPr>
              <w:spacing w:after="20"/>
            </w:pPr>
            <w:r/>
            <w:r>
              <w:rPr>
                <w:b w:val="0"/>
                <w:i w:val="0"/>
                <w:sz w:val="18"/>
              </w:rPr>
              <w:t>5(i)</w:t>
            </w:r>
          </w:p>
        </w:tc>
      </w:tr>
      <w:tr>
        <w:tc>
          <w:tcPr>
            <w:tcW w:type="dxa" w:w="2592"/>
          </w:tcPr>
          <w:p>
            <w:pPr>
              <w:spacing w:after="20"/>
            </w:pPr>
            <w:r/>
            <w:r>
              <w:rPr>
                <w:b w:val="0"/>
                <w:i w:val="0"/>
                <w:sz w:val="18"/>
              </w:rPr>
              <w:t>Electronic prospectus; D&amp;O</w:t>
            </w:r>
          </w:p>
        </w:tc>
        <w:tc>
          <w:tcPr>
            <w:tcW w:type="dxa" w:w="9792"/>
          </w:tcPr>
          <w:p>
            <w:pPr>
              <w:spacing w:after="20"/>
            </w:pPr>
            <w:r/>
            <w:r>
              <w:rPr>
                <w:b w:val="0"/>
                <w:i w:val="0"/>
                <w:sz w:val="18"/>
              </w:rPr>
              <w:t>Consent to e-prospectus; maintain customary D&amp;O insurance for at least 6 years after Closing</w:t>
            </w:r>
          </w:p>
        </w:tc>
        <w:tc>
          <w:tcPr>
            <w:tcW w:type="dxa" w:w="1440"/>
          </w:tcPr>
          <w:p>
            <w:pPr>
              <w:spacing w:after="20"/>
            </w:pPr>
            <w:r/>
            <w:r>
              <w:rPr>
                <w:b w:val="0"/>
                <w:i w:val="0"/>
                <w:sz w:val="18"/>
              </w:rPr>
              <w:t>5(j)–(k)</w:t>
            </w:r>
          </w:p>
        </w:tc>
      </w:tr>
      <w:tr>
        <w:tc>
          <w:tcPr>
            <w:tcW w:type="dxa" w:w="2592"/>
          </w:tcPr>
          <w:p>
            <w:pPr>
              <w:spacing w:after="20"/>
            </w:pPr>
            <w:r/>
            <w:r>
              <w:rPr>
                <w:b w:val="0"/>
                <w:i w:val="0"/>
                <w:sz w:val="18"/>
              </w:rPr>
              <w:t>Company lock-up</w:t>
            </w:r>
          </w:p>
        </w:tc>
        <w:tc>
          <w:tcPr>
            <w:tcW w:type="dxa" w:w="9792"/>
          </w:tcPr>
          <w:p>
            <w:pPr>
              <w:spacing w:after="20"/>
            </w:pPr>
            <w:r/>
            <w:r>
              <w:rPr>
                <w:b/>
                <w:i w:val="0"/>
                <w:sz w:val="18"/>
              </w:rPr>
              <w:t>None.</w:t>
            </w:r>
            <w:r>
              <w:rPr>
                <w:b w:val="0"/>
                <w:i w:val="0"/>
                <w:sz w:val="18"/>
              </w:rPr>
              <w:t xml:space="preserve"> The UA contains no covenant by the Company itself not to issue or register Common Stock during the Lock-Up Period (customary in IPO underwriting agreements) — see Issue 14.</w:t>
            </w:r>
          </w:p>
        </w:tc>
        <w:tc>
          <w:tcPr>
            <w:tcW w:type="dxa" w:w="1440"/>
          </w:tcPr>
          <w:p>
            <w:pPr>
              <w:spacing w:after="20"/>
            </w:pPr>
            <w:r/>
            <w:r>
              <w:rPr>
                <w:b w:val="0"/>
                <w:i w:val="0"/>
                <w:sz w:val="18"/>
              </w:rPr>
              <w:t>—</w:t>
            </w:r>
          </w:p>
        </w:tc>
      </w:tr>
    </w:tbl>
    <w:p>
      <w:pPr>
        <w:spacing w:after="40"/>
      </w:pPr>
    </w:p>
    <w:p>
      <w:pPr>
        <w:pStyle w:val="Heading2"/>
      </w:pPr>
      <w:r>
        <w:t>H. Offering Expenses (Exhibit B) — Recomputed</w:t>
      </w:r>
    </w:p>
    <w:tbl>
      <w:tblPr>
        <w:tblStyle w:val="TableGrid"/>
        <w:tblW w:type="auto" w:w="0"/>
        <w:jc w:val="center"/>
        <w:tblLayout w:type="fixed"/>
        <w:tblLook w:firstColumn="1" w:firstRow="1" w:lastColumn="0" w:lastRow="0" w:noHBand="0" w:noVBand="1" w:val="04A0"/>
      </w:tblPr>
      <w:tblGrid>
        <w:gridCol w:w="4608"/>
        <w:gridCol w:w="4608"/>
        <w:gridCol w:w="4608"/>
      </w:tblGrid>
      <w:tr>
        <w:trPr>
          <w:tblHeader w:val="true"/>
        </w:trPr>
        <w:tc>
          <w:tcPr>
            <w:tcW w:type="dxa" w:w="3456"/>
            <w:shd w:val="clear" w:color="auto" w:fill="1F3A5F"/>
          </w:tcPr>
          <w:p>
            <w:r/>
            <w:r>
              <w:rPr>
                <w:b/>
                <w:color w:val="FFFFFF"/>
                <w:sz w:val="18"/>
              </w:rPr>
              <w:t>Expense item</w:t>
            </w:r>
          </w:p>
        </w:tc>
        <w:tc>
          <w:tcPr>
            <w:tcW w:type="dxa" w:w="2016"/>
            <w:shd w:val="clear" w:color="auto" w:fill="1F3A5F"/>
          </w:tcPr>
          <w:p>
            <w:r/>
            <w:r>
              <w:rPr>
                <w:b/>
                <w:color w:val="FFFFFF"/>
                <w:sz w:val="18"/>
              </w:rPr>
              <w:t>Exhibit B amount</w:t>
            </w:r>
          </w:p>
        </w:tc>
        <w:tc>
          <w:tcPr>
            <w:tcW w:type="dxa" w:w="8352"/>
            <w:shd w:val="clear" w:color="auto" w:fill="1F3A5F"/>
          </w:tcPr>
          <w:p>
            <w:r/>
            <w:r>
              <w:rPr>
                <w:b/>
                <w:color w:val="FFFFFF"/>
                <w:sz w:val="18"/>
              </w:rPr>
              <w:t>Comment</w:t>
            </w:r>
          </w:p>
        </w:tc>
      </w:tr>
      <w:tr>
        <w:tc>
          <w:tcPr>
            <w:tcW w:type="dxa" w:w="3456"/>
          </w:tcPr>
          <w:p>
            <w:pPr>
              <w:spacing w:after="20"/>
            </w:pPr>
            <w:r/>
            <w:r>
              <w:rPr>
                <w:b w:val="0"/>
                <w:i w:val="0"/>
                <w:sz w:val="18"/>
              </w:rPr>
              <w:t>Legal (Thornfield &amp; Associates LLP)</w:t>
            </w:r>
          </w:p>
        </w:tc>
        <w:tc>
          <w:tcPr>
            <w:tcW w:type="dxa" w:w="2016"/>
          </w:tcPr>
          <w:p>
            <w:pPr>
              <w:spacing w:after="20"/>
            </w:pPr>
            <w:r/>
            <w:r>
              <w:rPr>
                <w:b w:val="0"/>
                <w:i w:val="0"/>
                <w:sz w:val="18"/>
              </w:rPr>
              <w:t>$1,150,000</w:t>
            </w:r>
          </w:p>
        </w:tc>
        <w:tc>
          <w:tcPr>
            <w:tcW w:type="dxa" w:w="8352"/>
          </w:tcPr>
          <w:p>
            <w:pPr>
              <w:spacing w:after="20"/>
            </w:pPr>
            <w:r/>
          </w:p>
        </w:tc>
      </w:tr>
      <w:tr>
        <w:tc>
          <w:tcPr>
            <w:tcW w:type="dxa" w:w="3456"/>
          </w:tcPr>
          <w:p>
            <w:pPr>
              <w:spacing w:after="20"/>
            </w:pPr>
            <w:r/>
            <w:r>
              <w:rPr>
                <w:b w:val="0"/>
                <w:i w:val="0"/>
                <w:sz w:val="18"/>
              </w:rPr>
              <w:t>Accounting (Pennworth &amp; Gale LLP)</w:t>
            </w:r>
          </w:p>
        </w:tc>
        <w:tc>
          <w:tcPr>
            <w:tcW w:type="dxa" w:w="2016"/>
          </w:tcPr>
          <w:p>
            <w:pPr>
              <w:spacing w:after="20"/>
            </w:pPr>
            <w:r/>
            <w:r>
              <w:rPr>
                <w:b w:val="0"/>
                <w:i w:val="0"/>
                <w:sz w:val="18"/>
              </w:rPr>
              <w:t>$625,000</w:t>
            </w:r>
          </w:p>
        </w:tc>
        <w:tc>
          <w:tcPr>
            <w:tcW w:type="dxa" w:w="8352"/>
          </w:tcPr>
          <w:p>
            <w:pPr>
              <w:spacing w:after="20"/>
            </w:pPr>
            <w:r/>
          </w:p>
        </w:tc>
      </w:tr>
      <w:tr>
        <w:tc>
          <w:tcPr>
            <w:tcW w:type="dxa" w:w="3456"/>
          </w:tcPr>
          <w:p>
            <w:pPr>
              <w:spacing w:after="20"/>
            </w:pPr>
            <w:r/>
            <w:r>
              <w:rPr>
                <w:b w:val="0"/>
                <w:i w:val="0"/>
                <w:sz w:val="18"/>
              </w:rPr>
              <w:t>SEC registration fee</w:t>
            </w:r>
          </w:p>
        </w:tc>
        <w:tc>
          <w:tcPr>
            <w:tcW w:type="dxa" w:w="2016"/>
          </w:tcPr>
          <w:p>
            <w:pPr>
              <w:spacing w:after="20"/>
            </w:pPr>
            <w:r/>
            <w:r>
              <w:rPr>
                <w:b w:val="0"/>
                <w:i w:val="0"/>
                <w:sz w:val="18"/>
              </w:rPr>
              <w:t>$18,756</w:t>
            </w:r>
          </w:p>
        </w:tc>
        <w:tc>
          <w:tcPr>
            <w:tcW w:type="dxa" w:w="8352"/>
          </w:tcPr>
          <w:p>
            <w:pPr>
              <w:spacing w:after="20"/>
            </w:pPr>
            <w:r/>
            <w:r>
              <w:rPr>
                <w:b w:val="0"/>
                <w:i w:val="0"/>
                <w:sz w:val="18"/>
              </w:rPr>
              <w:t>At the FY2025 rate ($153.10 per $1 million) this fee corresponds to ~$122.5 million of registered offering price, well below the $175,950,000 maximum (9,775,000 x $18.00). Confirm against the S-1 filing fee exhibit (Ex. 107) and whether additional fee / a Rule 462(b) registration statement is needed.</w:t>
            </w:r>
          </w:p>
        </w:tc>
      </w:tr>
      <w:tr>
        <w:tc>
          <w:tcPr>
            <w:tcW w:type="dxa" w:w="3456"/>
          </w:tcPr>
          <w:p>
            <w:pPr>
              <w:spacing w:after="20"/>
            </w:pPr>
            <w:r/>
            <w:r>
              <w:rPr>
                <w:b w:val="0"/>
                <w:i w:val="0"/>
                <w:sz w:val="18"/>
              </w:rPr>
              <w:t>FINRA filing fee</w:t>
            </w:r>
          </w:p>
        </w:tc>
        <w:tc>
          <w:tcPr>
            <w:tcW w:type="dxa" w:w="2016"/>
          </w:tcPr>
          <w:p>
            <w:pPr>
              <w:spacing w:after="20"/>
            </w:pPr>
            <w:r/>
            <w:r>
              <w:rPr>
                <w:b/>
                <w:i w:val="0"/>
                <w:sz w:val="18"/>
              </w:rPr>
              <w:t>Not listed</w:t>
            </w:r>
          </w:p>
        </w:tc>
        <w:tc>
          <w:tcPr>
            <w:tcW w:type="dxa" w:w="8352"/>
          </w:tcPr>
          <w:p>
            <w:pPr>
              <w:spacing w:after="20"/>
            </w:pPr>
            <w:r/>
            <w:r>
              <w:rPr>
                <w:b w:val="0"/>
                <w:i w:val="0"/>
                <w:sz w:val="18"/>
              </w:rPr>
              <w:t>Section 4(a)(vi) and Checklist Item 31 both state $22,500 and say it is part of Exhibit B. Verify the fee amount against the FINRA fee schedule for this offering size.</w:t>
            </w:r>
          </w:p>
        </w:tc>
      </w:tr>
      <w:tr>
        <w:tc>
          <w:tcPr>
            <w:tcW w:type="dxa" w:w="3456"/>
          </w:tcPr>
          <w:p>
            <w:pPr>
              <w:spacing w:after="20"/>
            </w:pPr>
            <w:r/>
            <w:r>
              <w:rPr>
                <w:b w:val="0"/>
                <w:i w:val="0"/>
                <w:sz w:val="18"/>
              </w:rPr>
              <w:t>Printing and EDGAR</w:t>
            </w:r>
          </w:p>
        </w:tc>
        <w:tc>
          <w:tcPr>
            <w:tcW w:type="dxa" w:w="2016"/>
          </w:tcPr>
          <w:p>
            <w:pPr>
              <w:spacing w:after="20"/>
            </w:pPr>
            <w:r/>
            <w:r>
              <w:rPr>
                <w:b w:val="0"/>
                <w:i w:val="0"/>
                <w:sz w:val="18"/>
              </w:rPr>
              <w:t>$285,000</w:t>
            </w:r>
          </w:p>
        </w:tc>
        <w:tc>
          <w:tcPr>
            <w:tcW w:type="dxa" w:w="8352"/>
          </w:tcPr>
          <w:p>
            <w:pPr>
              <w:spacing w:after="20"/>
            </w:pPr>
            <w:r/>
          </w:p>
        </w:tc>
      </w:tr>
      <w:tr>
        <w:tc>
          <w:tcPr>
            <w:tcW w:type="dxa" w:w="3456"/>
          </w:tcPr>
          <w:p>
            <w:pPr>
              <w:spacing w:after="20"/>
            </w:pPr>
            <w:r/>
            <w:r>
              <w:rPr>
                <w:b w:val="0"/>
                <w:i w:val="0"/>
                <w:sz w:val="18"/>
              </w:rPr>
              <w:t>Road show and marketing</w:t>
            </w:r>
          </w:p>
        </w:tc>
        <w:tc>
          <w:tcPr>
            <w:tcW w:type="dxa" w:w="2016"/>
          </w:tcPr>
          <w:p>
            <w:pPr>
              <w:spacing w:after="20"/>
            </w:pPr>
            <w:r/>
            <w:r>
              <w:rPr>
                <w:b w:val="0"/>
                <w:i w:val="0"/>
                <w:sz w:val="18"/>
              </w:rPr>
              <w:t>$375,000</w:t>
            </w:r>
          </w:p>
        </w:tc>
        <w:tc>
          <w:tcPr>
            <w:tcW w:type="dxa" w:w="8352"/>
          </w:tcPr>
          <w:p>
            <w:pPr>
              <w:spacing w:after="20"/>
            </w:pPr>
            <w:r/>
            <w:r>
              <w:rPr>
                <w:b w:val="0"/>
                <w:i w:val="0"/>
                <w:sz w:val="18"/>
              </w:rPr>
              <w:t>Equals the $375,000 Underwriter reimbursement cap — confirm this is not the same dollar amount counted twice, and whether Underwriter reimbursements are included in the $3.2 million estimate.</w:t>
            </w:r>
          </w:p>
        </w:tc>
      </w:tr>
      <w:tr>
        <w:tc>
          <w:tcPr>
            <w:tcW w:type="dxa" w:w="3456"/>
          </w:tcPr>
          <w:p>
            <w:pPr>
              <w:spacing w:after="20"/>
            </w:pPr>
            <w:r/>
            <w:r>
              <w:rPr>
                <w:b w:val="0"/>
                <w:i w:val="0"/>
                <w:sz w:val="18"/>
              </w:rPr>
              <w:t>Transfer agent and registrar</w:t>
            </w:r>
          </w:p>
        </w:tc>
        <w:tc>
          <w:tcPr>
            <w:tcW w:type="dxa" w:w="2016"/>
          </w:tcPr>
          <w:p>
            <w:pPr>
              <w:spacing w:after="20"/>
            </w:pPr>
            <w:r/>
            <w:r>
              <w:rPr>
                <w:b w:val="0"/>
                <w:i w:val="0"/>
                <w:sz w:val="18"/>
              </w:rPr>
              <w:t>$45,000</w:t>
            </w:r>
          </w:p>
        </w:tc>
        <w:tc>
          <w:tcPr>
            <w:tcW w:type="dxa" w:w="8352"/>
          </w:tcPr>
          <w:p>
            <w:pPr>
              <w:spacing w:after="20"/>
            </w:pPr>
            <w:r/>
          </w:p>
        </w:tc>
      </w:tr>
      <w:tr>
        <w:tc>
          <w:tcPr>
            <w:tcW w:type="dxa" w:w="3456"/>
          </w:tcPr>
          <w:p>
            <w:pPr>
              <w:spacing w:after="20"/>
            </w:pPr>
            <w:r/>
            <w:r>
              <w:rPr>
                <w:b w:val="0"/>
                <w:i w:val="0"/>
                <w:sz w:val="18"/>
              </w:rPr>
              <w:t>Nasdaq listing fees</w:t>
            </w:r>
          </w:p>
        </w:tc>
        <w:tc>
          <w:tcPr>
            <w:tcW w:type="dxa" w:w="2016"/>
          </w:tcPr>
          <w:p>
            <w:pPr>
              <w:spacing w:after="20"/>
            </w:pPr>
            <w:r/>
            <w:r>
              <w:rPr>
                <w:b w:val="0"/>
                <w:i w:val="0"/>
                <w:sz w:val="18"/>
              </w:rPr>
              <w:t>$175,000</w:t>
            </w:r>
          </w:p>
        </w:tc>
        <w:tc>
          <w:tcPr>
            <w:tcW w:type="dxa" w:w="8352"/>
          </w:tcPr>
          <w:p>
            <w:pPr>
              <w:spacing w:after="20"/>
            </w:pPr>
            <w:r/>
          </w:p>
        </w:tc>
      </w:tr>
      <w:tr>
        <w:tc>
          <w:tcPr>
            <w:tcW w:type="dxa" w:w="3456"/>
          </w:tcPr>
          <w:p>
            <w:pPr>
              <w:spacing w:after="20"/>
            </w:pPr>
            <w:r/>
            <w:r>
              <w:rPr>
                <w:b w:val="0"/>
                <w:i w:val="0"/>
                <w:sz w:val="18"/>
              </w:rPr>
              <w:t>D&amp;O insurance tail</w:t>
            </w:r>
          </w:p>
        </w:tc>
        <w:tc>
          <w:tcPr>
            <w:tcW w:type="dxa" w:w="2016"/>
          </w:tcPr>
          <w:p>
            <w:pPr>
              <w:spacing w:after="20"/>
            </w:pPr>
            <w:r/>
            <w:r>
              <w:rPr>
                <w:b w:val="0"/>
                <w:i w:val="0"/>
                <w:sz w:val="18"/>
              </w:rPr>
              <w:t>$425,000</w:t>
            </w:r>
          </w:p>
        </w:tc>
        <w:tc>
          <w:tcPr>
            <w:tcW w:type="dxa" w:w="8352"/>
          </w:tcPr>
          <w:p>
            <w:pPr>
              <w:spacing w:after="20"/>
            </w:pPr>
            <w:r/>
            <w:r>
              <w:rPr>
                <w:b w:val="0"/>
                <w:i w:val="0"/>
                <w:sz w:val="18"/>
              </w:rPr>
              <w:t>Checklist Item 35.</w:t>
            </w:r>
          </w:p>
        </w:tc>
      </w:tr>
      <w:tr>
        <w:tc>
          <w:tcPr>
            <w:tcW w:type="dxa" w:w="3456"/>
          </w:tcPr>
          <w:p>
            <w:pPr>
              <w:spacing w:after="20"/>
            </w:pPr>
            <w:r/>
            <w:r>
              <w:rPr>
                <w:b w:val="0"/>
                <w:i w:val="0"/>
                <w:sz w:val="18"/>
              </w:rPr>
              <w:t>Miscellaneous</w:t>
            </w:r>
          </w:p>
        </w:tc>
        <w:tc>
          <w:tcPr>
            <w:tcW w:type="dxa" w:w="2016"/>
          </w:tcPr>
          <w:p>
            <w:pPr>
              <w:spacing w:after="20"/>
            </w:pPr>
            <w:r/>
            <w:r>
              <w:rPr>
                <w:b w:val="0"/>
                <w:i w:val="0"/>
                <w:sz w:val="18"/>
              </w:rPr>
              <w:t>$78,744</w:t>
            </w:r>
          </w:p>
        </w:tc>
        <w:tc>
          <w:tcPr>
            <w:tcW w:type="dxa" w:w="8352"/>
          </w:tcPr>
          <w:p>
            <w:pPr>
              <w:spacing w:after="20"/>
            </w:pPr>
            <w:r/>
          </w:p>
        </w:tc>
      </w:tr>
      <w:tr>
        <w:tc>
          <w:tcPr>
            <w:tcW w:type="dxa" w:w="3456"/>
          </w:tcPr>
          <w:p>
            <w:pPr>
              <w:spacing w:after="20"/>
            </w:pPr>
            <w:r/>
            <w:r>
              <w:rPr>
                <w:b/>
                <w:i w:val="0"/>
                <w:sz w:val="18"/>
              </w:rPr>
              <w:t>Sum of line items</w:t>
            </w:r>
          </w:p>
        </w:tc>
        <w:tc>
          <w:tcPr>
            <w:tcW w:type="dxa" w:w="2016"/>
          </w:tcPr>
          <w:p>
            <w:pPr>
              <w:spacing w:after="20"/>
            </w:pPr>
            <w:r/>
            <w:r>
              <w:rPr>
                <w:b/>
                <w:i w:val="0"/>
                <w:sz w:val="18"/>
              </w:rPr>
              <w:t>$3,177,500</w:t>
            </w:r>
          </w:p>
        </w:tc>
        <w:tc>
          <w:tcPr>
            <w:tcW w:type="dxa" w:w="8352"/>
          </w:tcPr>
          <w:p>
            <w:pPr>
              <w:spacing w:after="20"/>
            </w:pPr>
            <w:r/>
            <w:r>
              <w:rPr>
                <w:b w:val="0"/>
                <w:i w:val="0"/>
                <w:sz w:val="18"/>
              </w:rPr>
              <w:t xml:space="preserve">Stated total is </w:t>
            </w:r>
            <w:r>
              <w:rPr>
                <w:b/>
                <w:i w:val="0"/>
                <w:sz w:val="18"/>
              </w:rPr>
              <w:t>$3,200,000</w:t>
            </w:r>
            <w:r>
              <w:rPr>
                <w:b w:val="0"/>
                <w:i w:val="0"/>
                <w:sz w:val="18"/>
              </w:rPr>
              <w:t xml:space="preserve"> — a </w:t>
            </w:r>
            <w:r>
              <w:rPr>
                <w:b/>
                <w:i w:val="0"/>
                <w:sz w:val="18"/>
              </w:rPr>
              <w:t>$22,500 shortfall</w:t>
            </w:r>
            <w:r>
              <w:rPr>
                <w:b w:val="0"/>
                <w:i w:val="0"/>
                <w:sz w:val="18"/>
              </w:rPr>
              <w:t>, exactly the omitted FINRA fee. Add the FINRA line item (Issue 9).</w:t>
            </w:r>
          </w:p>
        </w:tc>
      </w:tr>
    </w:tbl>
    <w:p>
      <w:pPr>
        <w:spacing w:after="40"/>
      </w:pPr>
    </w:p>
    <w:p>
      <w:pPr>
        <w:pStyle w:val="Heading2"/>
      </w:pPr>
      <w:r>
        <w:t>I. Lock-Up Agreements</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1872"/>
            <w:shd w:val="clear" w:color="auto" w:fill="1F3A5F"/>
          </w:tcPr>
          <w:p>
            <w:r/>
            <w:r>
              <w:rPr>
                <w:b/>
                <w:color w:val="FFFFFF"/>
                <w:sz w:val="18"/>
              </w:rPr>
              <w:t>Term</w:t>
            </w:r>
          </w:p>
        </w:tc>
        <w:tc>
          <w:tcPr>
            <w:tcW w:type="dxa" w:w="6192"/>
            <w:shd w:val="clear" w:color="auto" w:fill="1F3A5F"/>
          </w:tcPr>
          <w:p>
            <w:r/>
            <w:r>
              <w:rPr>
                <w:b/>
                <w:color w:val="FFFFFF"/>
                <w:sz w:val="18"/>
              </w:rPr>
              <w:t>Provision</w:t>
            </w:r>
          </w:p>
        </w:tc>
        <w:tc>
          <w:tcPr>
            <w:tcW w:type="dxa" w:w="1728"/>
            <w:shd w:val="clear" w:color="auto" w:fill="1F3A5F"/>
          </w:tcPr>
          <w:p>
            <w:r/>
            <w:r>
              <w:rPr>
                <w:b/>
                <w:color w:val="FFFFFF"/>
                <w:sz w:val="18"/>
              </w:rPr>
              <w:t>Ref.</w:t>
            </w:r>
          </w:p>
        </w:tc>
        <w:tc>
          <w:tcPr>
            <w:tcW w:type="dxa" w:w="4032"/>
            <w:shd w:val="clear" w:color="auto" w:fill="1F3A5F"/>
          </w:tcPr>
          <w:p>
            <w:r/>
            <w:r>
              <w:rPr>
                <w:b/>
                <w:color w:val="FFFFFF"/>
                <w:sz w:val="18"/>
              </w:rPr>
              <w:t>Cross-Check</w:t>
            </w:r>
          </w:p>
        </w:tc>
      </w:tr>
      <w:tr>
        <w:tc>
          <w:tcPr>
            <w:tcW w:type="dxa" w:w="1872"/>
          </w:tcPr>
          <w:p>
            <w:pPr>
              <w:spacing w:after="20"/>
            </w:pPr>
            <w:r/>
            <w:r>
              <w:rPr>
                <w:b w:val="0"/>
                <w:i w:val="0"/>
                <w:sz w:val="18"/>
              </w:rPr>
              <w:t>Parties</w:t>
            </w:r>
          </w:p>
        </w:tc>
        <w:tc>
          <w:tcPr>
            <w:tcW w:type="dxa" w:w="6192"/>
          </w:tcPr>
          <w:p>
            <w:pPr>
              <w:spacing w:after="20"/>
            </w:pPr>
            <w:r/>
            <w:r>
              <w:rPr>
                <w:b w:val="0"/>
                <w:i w:val="0"/>
                <w:sz w:val="18"/>
              </w:rPr>
              <w:t>All directors, executive officers and holders of &gt;5% of outstanding Common Stock, in favor of the Representative</w:t>
            </w:r>
          </w:p>
        </w:tc>
        <w:tc>
          <w:tcPr>
            <w:tcW w:type="dxa" w:w="1728"/>
          </w:tcPr>
          <w:p>
            <w:pPr>
              <w:spacing w:after="20"/>
            </w:pPr>
            <w:r/>
            <w:r>
              <w:rPr>
                <w:b w:val="0"/>
                <w:i w:val="0"/>
                <w:sz w:val="18"/>
              </w:rPr>
              <w:t>5(l); 7(g); Sched. B</w:t>
            </w:r>
          </w:p>
        </w:tc>
        <w:tc>
          <w:tcPr>
            <w:tcW w:type="dxa" w:w="4032"/>
          </w:tcPr>
          <w:p>
            <w:pPr>
              <w:spacing w:after="20"/>
            </w:pPr>
            <w:r/>
            <w:r>
              <w:rPr>
                <w:b w:val="0"/>
                <w:i w:val="0"/>
                <w:sz w:val="18"/>
              </w:rPr>
              <w:t>Email: Whitmore says all collected; Delgado says Yun-Hsieh confirmed all executed; Checklist Item 16 says collection in progress (Issue 6).</w:t>
            </w:r>
          </w:p>
        </w:tc>
      </w:tr>
      <w:tr>
        <w:tc>
          <w:tcPr>
            <w:tcW w:type="dxa" w:w="1872"/>
          </w:tcPr>
          <w:p>
            <w:pPr>
              <w:spacing w:after="20"/>
            </w:pPr>
            <w:r/>
            <w:r>
              <w:rPr>
                <w:b w:val="0"/>
                <w:i w:val="0"/>
                <w:sz w:val="18"/>
              </w:rPr>
              <w:t>Period</w:t>
            </w:r>
          </w:p>
        </w:tc>
        <w:tc>
          <w:tcPr>
            <w:tcW w:type="dxa" w:w="6192"/>
          </w:tcPr>
          <w:p>
            <w:pPr>
              <w:spacing w:after="20"/>
            </w:pPr>
            <w:r/>
            <w:r>
              <w:rPr>
                <w:b w:val="0"/>
                <w:i w:val="0"/>
                <w:sz w:val="18"/>
              </w:rPr>
              <w:t>June 12, 2025 (Final Prospectus date) through and including December 9, 2025 (180 days)</w:t>
            </w:r>
          </w:p>
        </w:tc>
        <w:tc>
          <w:tcPr>
            <w:tcW w:type="dxa" w:w="1728"/>
          </w:tcPr>
          <w:p>
            <w:pPr>
              <w:spacing w:after="20"/>
            </w:pPr>
            <w:r/>
            <w:r>
              <w:rPr>
                <w:b w:val="0"/>
                <w:i w:val="0"/>
                <w:sz w:val="18"/>
              </w:rPr>
              <w:t>Defs.; 5(l); Sched. B</w:t>
            </w:r>
          </w:p>
        </w:tc>
        <w:tc>
          <w:tcPr>
            <w:tcW w:type="dxa" w:w="4032"/>
          </w:tcPr>
          <w:p>
            <w:pPr>
              <w:spacing w:after="20"/>
            </w:pPr>
            <w:r/>
            <w:r>
              <w:rPr>
                <w:b w:val="0"/>
                <w:i w:val="0"/>
                <w:sz w:val="18"/>
              </w:rPr>
              <w:t>Consistent across all documents.</w:t>
            </w:r>
          </w:p>
        </w:tc>
      </w:tr>
      <w:tr>
        <w:tc>
          <w:tcPr>
            <w:tcW w:type="dxa" w:w="1872"/>
          </w:tcPr>
          <w:p>
            <w:pPr>
              <w:spacing w:after="20"/>
            </w:pPr>
            <w:r/>
            <w:r>
              <w:rPr>
                <w:b w:val="0"/>
                <w:i w:val="0"/>
                <w:sz w:val="18"/>
              </w:rPr>
              <w:t>Restrictions</w:t>
            </w:r>
          </w:p>
        </w:tc>
        <w:tc>
          <w:tcPr>
            <w:tcW w:type="dxa" w:w="6192"/>
          </w:tcPr>
          <w:p>
            <w:pPr>
              <w:spacing w:after="20"/>
            </w:pPr>
            <w:r/>
            <w:r>
              <w:rPr>
                <w:b w:val="0"/>
                <w:i w:val="0"/>
                <w:sz w:val="18"/>
              </w:rPr>
              <w:t>No offer, sale, pledge, option, short sale, transfer; no swaps/hedges; no registration demands; no public disclosure of intent</w:t>
            </w:r>
          </w:p>
        </w:tc>
        <w:tc>
          <w:tcPr>
            <w:tcW w:type="dxa" w:w="1728"/>
          </w:tcPr>
          <w:p>
            <w:pPr>
              <w:spacing w:after="20"/>
            </w:pPr>
            <w:r/>
            <w:r>
              <w:rPr>
                <w:b w:val="0"/>
                <w:i w:val="0"/>
                <w:sz w:val="18"/>
              </w:rPr>
              <w:t>5(l); Sched. B (a)–(d)</w:t>
            </w:r>
          </w:p>
        </w:tc>
        <w:tc>
          <w:tcPr>
            <w:tcW w:type="dxa" w:w="4032"/>
          </w:tcPr>
          <w:p>
            <w:pPr>
              <w:spacing w:after="20"/>
            </w:pPr>
            <w:r/>
            <w:r>
              <w:rPr>
                <w:b w:val="0"/>
                <w:i w:val="0"/>
                <w:sz w:val="18"/>
              </w:rPr>
              <w:t>Consistent.</w:t>
            </w:r>
          </w:p>
        </w:tc>
      </w:tr>
      <w:tr>
        <w:tc>
          <w:tcPr>
            <w:tcW w:type="dxa" w:w="1872"/>
          </w:tcPr>
          <w:p>
            <w:pPr>
              <w:spacing w:after="20"/>
            </w:pPr>
            <w:r/>
            <w:r>
              <w:rPr>
                <w:b w:val="0"/>
                <w:i w:val="0"/>
                <w:sz w:val="18"/>
              </w:rPr>
              <w:t>Exceptions</w:t>
            </w:r>
          </w:p>
        </w:tc>
        <w:tc>
          <w:tcPr>
            <w:tcW w:type="dxa" w:w="6192"/>
          </w:tcPr>
          <w:p>
            <w:pPr>
              <w:spacing w:after="20"/>
            </w:pPr>
            <w:r/>
            <w:r>
              <w:rPr>
                <w:b w:val="0"/>
                <w:i w:val="0"/>
                <w:sz w:val="18"/>
              </w:rPr>
              <w:t>(i) bona fide gifts; (ii) trusts for holder/immediate family (no disposition for value); (iii) by operation of law, domestic orders, divorce; (iv) post-IPO open-market purchases (no Section 16(a) filing); (v) establishment (not use) of Rule 10b5-1 plans with no public filing</w:t>
            </w:r>
          </w:p>
        </w:tc>
        <w:tc>
          <w:tcPr>
            <w:tcW w:type="dxa" w:w="1728"/>
          </w:tcPr>
          <w:p>
            <w:pPr>
              <w:spacing w:after="20"/>
            </w:pPr>
            <w:r/>
            <w:r>
              <w:rPr>
                <w:b w:val="0"/>
                <w:i w:val="0"/>
                <w:sz w:val="18"/>
              </w:rPr>
              <w:t>Sched. B</w:t>
            </w:r>
          </w:p>
        </w:tc>
        <w:tc>
          <w:tcPr>
            <w:tcW w:type="dxa" w:w="4032"/>
          </w:tcPr>
          <w:p>
            <w:pPr>
              <w:spacing w:after="20"/>
            </w:pPr>
            <w:r/>
            <w:r>
              <w:rPr>
                <w:b w:val="0"/>
                <w:i w:val="0"/>
                <w:sz w:val="18"/>
              </w:rPr>
              <w:t>Each transferee must agree to be bound. No exception for option exercises/net settlement, tax withholding, or existing 10b5-1 plans — confirm acceptable to holders.</w:t>
            </w:r>
          </w:p>
        </w:tc>
      </w:tr>
      <w:tr>
        <w:tc>
          <w:tcPr>
            <w:tcW w:type="dxa" w:w="1872"/>
          </w:tcPr>
          <w:p>
            <w:pPr>
              <w:spacing w:after="20"/>
            </w:pPr>
            <w:r/>
            <w:r>
              <w:rPr>
                <w:b w:val="0"/>
                <w:i w:val="0"/>
                <w:sz w:val="18"/>
              </w:rPr>
              <w:t>Waiver / release</w:t>
            </w:r>
          </w:p>
        </w:tc>
        <w:tc>
          <w:tcPr>
            <w:tcW w:type="dxa" w:w="6192"/>
          </w:tcPr>
          <w:p>
            <w:pPr>
              <w:spacing w:after="20"/>
            </w:pPr>
            <w:r/>
            <w:r>
              <w:rPr>
                <w:b w:val="0"/>
                <w:i w:val="0"/>
                <w:sz w:val="18"/>
              </w:rPr>
              <w:t>5(l): Representative may release "at any time, with or without notice to any party"; 12(b): release effective only on 3 business days’ prior written notice to Company, and Company announces by press release at least 2 business days before effectiveness</w:t>
            </w:r>
          </w:p>
        </w:tc>
        <w:tc>
          <w:tcPr>
            <w:tcW w:type="dxa" w:w="1728"/>
          </w:tcPr>
          <w:p>
            <w:pPr>
              <w:spacing w:after="20"/>
            </w:pPr>
            <w:r/>
            <w:r>
              <w:rPr>
                <w:b w:val="0"/>
                <w:i w:val="0"/>
                <w:sz w:val="18"/>
              </w:rPr>
              <w:t>5(l); 12(b)</w:t>
            </w:r>
          </w:p>
        </w:tc>
        <w:tc>
          <w:tcPr>
            <w:tcW w:type="dxa" w:w="4032"/>
          </w:tcPr>
          <w:p>
            <w:pPr>
              <w:spacing w:after="20"/>
            </w:pPr>
            <w:r/>
            <w:r>
              <w:rPr>
                <w:b/>
                <w:i w:val="0"/>
                <w:sz w:val="18"/>
              </w:rPr>
              <w:t>Internal inconsistency</w:t>
            </w:r>
            <w:r>
              <w:rPr>
                <w:b w:val="0"/>
                <w:i w:val="0"/>
                <w:sz w:val="18"/>
              </w:rPr>
              <w:t xml:space="preserve"> (Issue 13); 12(b) controls by its "notwithstanding" lead-in — conform 5(l).</w:t>
            </w:r>
          </w:p>
        </w:tc>
      </w:tr>
      <w:tr>
        <w:tc>
          <w:tcPr>
            <w:tcW w:type="dxa" w:w="1872"/>
          </w:tcPr>
          <w:p>
            <w:pPr>
              <w:spacing w:after="20"/>
            </w:pPr>
            <w:r/>
            <w:r>
              <w:rPr>
                <w:b w:val="0"/>
                <w:i w:val="0"/>
                <w:sz w:val="18"/>
              </w:rPr>
              <w:t>Termination</w:t>
            </w:r>
          </w:p>
        </w:tc>
        <w:tc>
          <w:tcPr>
            <w:tcW w:type="dxa" w:w="6192"/>
          </w:tcPr>
          <w:p>
            <w:pPr>
              <w:spacing w:after="20"/>
            </w:pPr>
            <w:r/>
            <w:r>
              <w:rPr>
                <w:b w:val="0"/>
                <w:i w:val="0"/>
                <w:sz w:val="18"/>
              </w:rPr>
              <w:t>Lock-up terminates if UA is terminated prior to closing</w:t>
            </w:r>
          </w:p>
        </w:tc>
        <w:tc>
          <w:tcPr>
            <w:tcW w:type="dxa" w:w="1728"/>
          </w:tcPr>
          <w:p>
            <w:pPr>
              <w:spacing w:after="20"/>
            </w:pPr>
            <w:r/>
            <w:r>
              <w:rPr>
                <w:b w:val="0"/>
                <w:i w:val="0"/>
                <w:sz w:val="18"/>
              </w:rPr>
              <w:t>Sched. B</w:t>
            </w:r>
          </w:p>
        </w:tc>
        <w:tc>
          <w:tcPr>
            <w:tcW w:type="dxa" w:w="4032"/>
          </w:tcPr>
          <w:p>
            <w:pPr>
              <w:spacing w:after="20"/>
            </w:pPr>
            <w:r/>
            <w:r>
              <w:rPr>
                <w:b w:val="0"/>
                <w:i w:val="0"/>
                <w:sz w:val="18"/>
              </w:rPr>
              <w:t>No outside date if the UA is never signed — consider adding.</w:t>
            </w:r>
          </w:p>
        </w:tc>
      </w:tr>
    </w:tbl>
    <w:p>
      <w:pPr>
        <w:spacing w:after="40"/>
      </w:pPr>
    </w:p>
    <w:p>
      <w:pPr>
        <w:pStyle w:val="Heading2"/>
      </w:pPr>
      <w:r>
        <w:t>J. Conditions Precedent</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2592"/>
            <w:shd w:val="clear" w:color="auto" w:fill="1F3A5F"/>
          </w:tcPr>
          <w:p>
            <w:r/>
            <w:r>
              <w:rPr>
                <w:b/>
                <w:color w:val="FFFFFF"/>
                <w:sz w:val="18"/>
              </w:rPr>
              <w:t>Condition</w:t>
            </w:r>
          </w:p>
        </w:tc>
        <w:tc>
          <w:tcPr>
            <w:tcW w:type="dxa" w:w="5616"/>
            <w:shd w:val="clear" w:color="auto" w:fill="1F3A5F"/>
          </w:tcPr>
          <w:p>
            <w:r/>
            <w:r>
              <w:rPr>
                <w:b/>
                <w:color w:val="FFFFFF"/>
                <w:sz w:val="18"/>
              </w:rPr>
              <w:t>Provision</w:t>
            </w:r>
          </w:p>
        </w:tc>
        <w:tc>
          <w:tcPr>
            <w:tcW w:type="dxa" w:w="1008"/>
            <w:shd w:val="clear" w:color="auto" w:fill="1F3A5F"/>
          </w:tcPr>
          <w:p>
            <w:r/>
            <w:r>
              <w:rPr>
                <w:b/>
                <w:color w:val="FFFFFF"/>
                <w:sz w:val="18"/>
              </w:rPr>
              <w:t>Ref.</w:t>
            </w:r>
          </w:p>
        </w:tc>
        <w:tc>
          <w:tcPr>
            <w:tcW w:type="dxa" w:w="4608"/>
            <w:shd w:val="clear" w:color="auto" w:fill="1F3A5F"/>
          </w:tcPr>
          <w:p>
            <w:r/>
            <w:r>
              <w:rPr>
                <w:b/>
                <w:color w:val="FFFFFF"/>
                <w:sz w:val="18"/>
              </w:rPr>
              <w:t>Checklist / Status</w:t>
            </w:r>
          </w:p>
        </w:tc>
      </w:tr>
      <w:tr>
        <w:tc>
          <w:tcPr>
            <w:tcW w:type="dxa" w:w="2592"/>
          </w:tcPr>
          <w:p>
            <w:pPr>
              <w:spacing w:after="20"/>
            </w:pPr>
            <w:r/>
            <w:r>
              <w:rPr>
                <w:b w:val="0"/>
                <w:i w:val="0"/>
                <w:sz w:val="18"/>
              </w:rPr>
              <w:t>To Company’s obligations</w:t>
            </w:r>
          </w:p>
        </w:tc>
        <w:tc>
          <w:tcPr>
            <w:tcW w:type="dxa" w:w="5616"/>
          </w:tcPr>
          <w:p>
            <w:pPr>
              <w:spacing w:after="20"/>
            </w:pPr>
            <w:r/>
            <w:r>
              <w:rPr>
                <w:b w:val="0"/>
                <w:i w:val="0"/>
                <w:sz w:val="18"/>
              </w:rPr>
              <w:t>Registration Statement effective, no stop order; Underwriter reps true in all material respects; FINRA filings made and no objection; no Section 8(a) termination event</w:t>
            </w:r>
          </w:p>
        </w:tc>
        <w:tc>
          <w:tcPr>
            <w:tcW w:type="dxa" w:w="1008"/>
          </w:tcPr>
          <w:p>
            <w:pPr>
              <w:spacing w:after="20"/>
            </w:pPr>
            <w:r/>
            <w:r>
              <w:rPr>
                <w:b w:val="0"/>
                <w:i w:val="0"/>
                <w:sz w:val="18"/>
              </w:rPr>
              <w:t>6(a)–(d)</w:t>
            </w:r>
          </w:p>
        </w:tc>
        <w:tc>
          <w:tcPr>
            <w:tcW w:type="dxa" w:w="4608"/>
          </w:tcPr>
          <w:p>
            <w:pPr>
              <w:spacing w:after="20"/>
            </w:pPr>
            <w:r/>
            <w:r>
              <w:rPr>
                <w:b w:val="0"/>
                <w:i w:val="0"/>
                <w:sz w:val="18"/>
              </w:rPr>
              <w:t>FINRA "awaiting clearance" (Item 18).</w:t>
            </w:r>
          </w:p>
        </w:tc>
      </w:tr>
      <w:tr>
        <w:tc>
          <w:tcPr>
            <w:tcW w:type="dxa" w:w="2592"/>
          </w:tcPr>
          <w:p>
            <w:pPr>
              <w:spacing w:after="20"/>
            </w:pPr>
            <w:r/>
            <w:r>
              <w:rPr>
                <w:b w:val="0"/>
                <w:i w:val="0"/>
                <w:sz w:val="18"/>
              </w:rPr>
              <w:t>Officers’ certificate</w:t>
            </w:r>
          </w:p>
        </w:tc>
        <w:tc>
          <w:tcPr>
            <w:tcW w:type="dxa" w:w="5616"/>
          </w:tcPr>
          <w:p>
            <w:pPr>
              <w:spacing w:after="20"/>
            </w:pPr>
            <w:r/>
            <w:r>
              <w:rPr>
                <w:b w:val="0"/>
                <w:i w:val="0"/>
                <w:sz w:val="18"/>
              </w:rPr>
              <w:t>Signed by Dr. Annika Johanssen (CEO) and Marcus Delgado (CFO): (i) reps true; (ii) covenants performed; (iii) no stop order; (iv) no MAE since March 31, 2025; plus disclosure certification</w:t>
            </w:r>
          </w:p>
        </w:tc>
        <w:tc>
          <w:tcPr>
            <w:tcW w:type="dxa" w:w="1008"/>
          </w:tcPr>
          <w:p>
            <w:pPr>
              <w:spacing w:after="20"/>
            </w:pPr>
            <w:r/>
            <w:r>
              <w:rPr>
                <w:b w:val="0"/>
                <w:i w:val="0"/>
                <w:sz w:val="18"/>
              </w:rPr>
              <w:t>7(a)</w:t>
            </w:r>
          </w:p>
        </w:tc>
        <w:tc>
          <w:tcPr>
            <w:tcW w:type="dxa" w:w="4608"/>
          </w:tcPr>
          <w:p>
            <w:pPr>
              <w:spacing w:after="20"/>
            </w:pPr>
            <w:r/>
            <w:r>
              <w:rPr>
                <w:b w:val="0"/>
                <w:i w:val="0"/>
                <w:sz w:val="18"/>
              </w:rPr>
              <w:t>Checklist Item 8 lists only (i) and (ii) — add (iii), (iv) and the disclosure certification.</w:t>
            </w:r>
          </w:p>
        </w:tc>
      </w:tr>
      <w:tr>
        <w:tc>
          <w:tcPr>
            <w:tcW w:type="dxa" w:w="2592"/>
          </w:tcPr>
          <w:p>
            <w:pPr>
              <w:spacing w:after="20"/>
            </w:pPr>
            <w:r/>
            <w:r>
              <w:rPr>
                <w:b w:val="0"/>
                <w:i w:val="0"/>
                <w:sz w:val="18"/>
              </w:rPr>
              <w:t>Company Counsel opinion and negative assurance letter</w:t>
            </w:r>
          </w:p>
        </w:tc>
        <w:tc>
          <w:tcPr>
            <w:tcW w:type="dxa" w:w="5616"/>
          </w:tcPr>
          <w:p>
            <w:pPr>
              <w:spacing w:after="20"/>
            </w:pPr>
            <w:r/>
            <w:r>
              <w:rPr>
                <w:b w:val="0"/>
                <w:i w:val="0"/>
                <w:sz w:val="18"/>
              </w:rPr>
              <w:t>Thornfield; customary IPO opinion (organization, authorization, valid issuance, no conflicts, effectiveness, negative assurance)</w:t>
            </w:r>
          </w:p>
        </w:tc>
        <w:tc>
          <w:tcPr>
            <w:tcW w:type="dxa" w:w="1008"/>
          </w:tcPr>
          <w:p>
            <w:pPr>
              <w:spacing w:after="20"/>
            </w:pPr>
            <w:r/>
            <w:r>
              <w:rPr>
                <w:b w:val="0"/>
                <w:i w:val="0"/>
                <w:sz w:val="18"/>
              </w:rPr>
              <w:t>7(b)</w:t>
            </w:r>
          </w:p>
        </w:tc>
        <w:tc>
          <w:tcPr>
            <w:tcW w:type="dxa" w:w="4608"/>
          </w:tcPr>
          <w:p>
            <w:pPr>
              <w:spacing w:after="20"/>
            </w:pPr>
            <w:r/>
            <w:r>
              <w:rPr>
                <w:b w:val="0"/>
                <w:i w:val="0"/>
                <w:sz w:val="18"/>
              </w:rPr>
              <w:t>Item 9: draft in progress. Checklist adds "intellectual property matters" — not within 7(b); confirm whether separate IP counsel opinion (customary for biotech) is expected.</w:t>
            </w:r>
          </w:p>
        </w:tc>
      </w:tr>
      <w:tr>
        <w:tc>
          <w:tcPr>
            <w:tcW w:type="dxa" w:w="2592"/>
          </w:tcPr>
          <w:p>
            <w:pPr>
              <w:spacing w:after="20"/>
            </w:pPr>
            <w:r/>
            <w:r>
              <w:rPr>
                <w:b w:val="0"/>
                <w:i w:val="0"/>
                <w:sz w:val="18"/>
              </w:rPr>
              <w:t>Underwriters’ Counsel opinion and negative assurance letter</w:t>
            </w:r>
          </w:p>
        </w:tc>
        <w:tc>
          <w:tcPr>
            <w:tcW w:type="dxa" w:w="5616"/>
          </w:tcPr>
          <w:p>
            <w:pPr>
              <w:spacing w:after="20"/>
            </w:pPr>
            <w:r/>
            <w:r>
              <w:rPr>
                <w:b w:val="0"/>
                <w:i w:val="0"/>
                <w:sz w:val="18"/>
              </w:rPr>
              <w:t>Grayling Hart</w:t>
            </w:r>
          </w:p>
        </w:tc>
        <w:tc>
          <w:tcPr>
            <w:tcW w:type="dxa" w:w="1008"/>
          </w:tcPr>
          <w:p>
            <w:pPr>
              <w:spacing w:after="20"/>
            </w:pPr>
            <w:r/>
            <w:r>
              <w:rPr>
                <w:b w:val="0"/>
                <w:i w:val="0"/>
                <w:sz w:val="18"/>
              </w:rPr>
              <w:t>7(c)</w:t>
            </w:r>
          </w:p>
        </w:tc>
        <w:tc>
          <w:tcPr>
            <w:tcW w:type="dxa" w:w="4608"/>
          </w:tcPr>
          <w:p>
            <w:pPr>
              <w:spacing w:after="20"/>
            </w:pPr>
            <w:r/>
            <w:r>
              <w:rPr>
                <w:b w:val="0"/>
                <w:i w:val="0"/>
                <w:sz w:val="18"/>
              </w:rPr>
              <w:t>Item 10: draft in progress.</w:t>
            </w:r>
          </w:p>
        </w:tc>
      </w:tr>
      <w:tr>
        <w:tc>
          <w:tcPr>
            <w:tcW w:type="dxa" w:w="2592"/>
          </w:tcPr>
          <w:p>
            <w:pPr>
              <w:spacing w:after="20"/>
            </w:pPr>
            <w:r/>
            <w:r>
              <w:rPr>
                <w:b w:val="0"/>
                <w:i w:val="0"/>
                <w:sz w:val="18"/>
              </w:rPr>
              <w:t>Comfort letters</w:t>
            </w:r>
          </w:p>
        </w:tc>
        <w:tc>
          <w:tcPr>
            <w:tcW w:type="dxa" w:w="5616"/>
          </w:tcPr>
          <w:p>
            <w:pPr>
              <w:spacing w:after="20"/>
            </w:pPr>
            <w:r/>
            <w:r>
              <w:rPr>
                <w:b w:val="0"/>
                <w:i w:val="0"/>
                <w:sz w:val="18"/>
              </w:rPr>
              <w:t xml:space="preserve">(i) cold comfort dated June 11, 2025; (ii) bring-down dated "the Closing Date, </w:t>
            </w:r>
            <w:r>
              <w:rPr>
                <w:b/>
                <w:i w:val="0"/>
                <w:sz w:val="18"/>
              </w:rPr>
              <w:t>June 17, 2025</w:t>
            </w:r>
            <w:r>
              <w:rPr>
                <w:b w:val="0"/>
                <w:i w:val="0"/>
                <w:sz w:val="18"/>
              </w:rPr>
              <w:t>" — both addressed to the Underwriters</w:t>
            </w:r>
          </w:p>
        </w:tc>
        <w:tc>
          <w:tcPr>
            <w:tcW w:type="dxa" w:w="1008"/>
          </w:tcPr>
          <w:p>
            <w:pPr>
              <w:spacing w:after="20"/>
            </w:pPr>
            <w:r/>
            <w:r>
              <w:rPr>
                <w:b w:val="0"/>
                <w:i w:val="0"/>
                <w:sz w:val="18"/>
              </w:rPr>
              <w:t>7(d)</w:t>
            </w:r>
          </w:p>
        </w:tc>
        <w:tc>
          <w:tcPr>
            <w:tcW w:type="dxa" w:w="4608"/>
          </w:tcPr>
          <w:p>
            <w:pPr>
              <w:spacing w:after="20"/>
            </w:pPr>
            <w:r/>
            <w:r>
              <w:rPr>
                <w:b w:val="0"/>
                <w:i w:val="0"/>
                <w:sz w:val="18"/>
              </w:rPr>
              <w:t xml:space="preserve">Items 11–12 say June 16 and addressed to Underwriters </w:t>
            </w:r>
            <w:r>
              <w:rPr>
                <w:b/>
                <w:i w:val="0"/>
                <w:sz w:val="18"/>
              </w:rPr>
              <w:t>and the Company</w:t>
            </w:r>
            <w:r>
              <w:rPr>
                <w:b w:val="0"/>
                <w:i w:val="0"/>
                <w:sz w:val="18"/>
              </w:rPr>
              <w:t xml:space="preserve"> (Issue 4).</w:t>
            </w:r>
          </w:p>
        </w:tc>
      </w:tr>
      <w:tr>
        <w:tc>
          <w:tcPr>
            <w:tcW w:type="dxa" w:w="2592"/>
          </w:tcPr>
          <w:p>
            <w:pPr>
              <w:spacing w:after="20"/>
            </w:pPr>
            <w:r/>
            <w:r>
              <w:rPr>
                <w:b w:val="0"/>
                <w:i w:val="0"/>
                <w:sz w:val="18"/>
              </w:rPr>
              <w:t>No stop order</w:t>
            </w:r>
          </w:p>
        </w:tc>
        <w:tc>
          <w:tcPr>
            <w:tcW w:type="dxa" w:w="5616"/>
          </w:tcPr>
          <w:p>
            <w:pPr>
              <w:spacing w:after="20"/>
            </w:pPr>
            <w:r/>
            <w:r>
              <w:rPr>
                <w:b w:val="0"/>
                <w:i w:val="0"/>
                <w:sz w:val="18"/>
              </w:rPr>
              <w:t>No stop order; SEC information requests complied with</w:t>
            </w:r>
          </w:p>
        </w:tc>
        <w:tc>
          <w:tcPr>
            <w:tcW w:type="dxa" w:w="1008"/>
          </w:tcPr>
          <w:p>
            <w:pPr>
              <w:spacing w:after="20"/>
            </w:pPr>
            <w:r/>
            <w:r>
              <w:rPr>
                <w:b w:val="0"/>
                <w:i w:val="0"/>
                <w:sz w:val="18"/>
              </w:rPr>
              <w:t>7(e)</w:t>
            </w:r>
          </w:p>
        </w:tc>
        <w:tc>
          <w:tcPr>
            <w:tcW w:type="dxa" w:w="4608"/>
          </w:tcPr>
          <w:p>
            <w:pPr>
              <w:spacing w:after="20"/>
            </w:pPr>
            <w:r/>
            <w:r>
              <w:rPr>
                <w:b w:val="0"/>
                <w:i w:val="0"/>
                <w:sz w:val="18"/>
              </w:rPr>
              <w:t>Item 4.</w:t>
            </w:r>
          </w:p>
        </w:tc>
      </w:tr>
      <w:tr>
        <w:tc>
          <w:tcPr>
            <w:tcW w:type="dxa" w:w="2592"/>
          </w:tcPr>
          <w:p>
            <w:pPr>
              <w:spacing w:after="20"/>
            </w:pPr>
            <w:r/>
            <w:r>
              <w:rPr>
                <w:b w:val="0"/>
                <w:i w:val="0"/>
                <w:sz w:val="18"/>
              </w:rPr>
              <w:t>Good standing</w:t>
            </w:r>
          </w:p>
        </w:tc>
        <w:tc>
          <w:tcPr>
            <w:tcW w:type="dxa" w:w="5616"/>
          </w:tcPr>
          <w:p>
            <w:pPr>
              <w:spacing w:after="20"/>
            </w:pPr>
            <w:r/>
            <w:r>
              <w:rPr>
                <w:b w:val="0"/>
                <w:i w:val="0"/>
                <w:sz w:val="18"/>
              </w:rPr>
              <w:t>Delaware and Massachusetts certificates for the Company, dated not more than 5 business days before Closing</w:t>
            </w:r>
          </w:p>
        </w:tc>
        <w:tc>
          <w:tcPr>
            <w:tcW w:type="dxa" w:w="1008"/>
          </w:tcPr>
          <w:p>
            <w:pPr>
              <w:spacing w:after="20"/>
            </w:pPr>
            <w:r/>
            <w:r>
              <w:rPr>
                <w:b w:val="0"/>
                <w:i w:val="0"/>
                <w:sz w:val="18"/>
              </w:rPr>
              <w:t>7(f)</w:t>
            </w:r>
          </w:p>
        </w:tc>
        <w:tc>
          <w:tcPr>
            <w:tcW w:type="dxa" w:w="4608"/>
          </w:tcPr>
          <w:p>
            <w:pPr>
              <w:spacing w:after="20"/>
            </w:pPr>
            <w:r/>
            <w:r>
              <w:rPr>
                <w:b w:val="0"/>
                <w:i w:val="0"/>
                <w:sz w:val="18"/>
              </w:rPr>
              <w:t>Items 13–14 requested; Item 15 (subsidiary) open.</w:t>
            </w:r>
          </w:p>
        </w:tc>
      </w:tr>
      <w:tr>
        <w:tc>
          <w:tcPr>
            <w:tcW w:type="dxa" w:w="2592"/>
          </w:tcPr>
          <w:p>
            <w:pPr>
              <w:spacing w:after="20"/>
            </w:pPr>
            <w:r/>
            <w:r>
              <w:rPr>
                <w:b w:val="0"/>
                <w:i w:val="0"/>
                <w:sz w:val="18"/>
              </w:rPr>
              <w:t>Lock-ups</w:t>
            </w:r>
          </w:p>
        </w:tc>
        <w:tc>
          <w:tcPr>
            <w:tcW w:type="dxa" w:w="5616"/>
          </w:tcPr>
          <w:p>
            <w:pPr>
              <w:spacing w:after="20"/>
            </w:pPr>
            <w:r/>
            <w:r>
              <w:rPr>
                <w:b w:val="0"/>
                <w:i w:val="0"/>
                <w:sz w:val="18"/>
              </w:rPr>
              <w:t>Executed lock-ups from all directors, officers and 5%+ holders; none waived/amended</w:t>
            </w:r>
          </w:p>
        </w:tc>
        <w:tc>
          <w:tcPr>
            <w:tcW w:type="dxa" w:w="1008"/>
          </w:tcPr>
          <w:p>
            <w:pPr>
              <w:spacing w:after="20"/>
            </w:pPr>
            <w:r/>
            <w:r>
              <w:rPr>
                <w:b w:val="0"/>
                <w:i w:val="0"/>
                <w:sz w:val="18"/>
              </w:rPr>
              <w:t>7(g)</w:t>
            </w:r>
          </w:p>
        </w:tc>
        <w:tc>
          <w:tcPr>
            <w:tcW w:type="dxa" w:w="4608"/>
          </w:tcPr>
          <w:p>
            <w:pPr>
              <w:spacing w:after="20"/>
            </w:pPr>
            <w:r/>
            <w:r>
              <w:rPr>
                <w:b w:val="0"/>
                <w:i w:val="0"/>
                <w:sz w:val="18"/>
              </w:rPr>
              <w:t>Item 16: collection in progress.</w:t>
            </w:r>
          </w:p>
        </w:tc>
      </w:tr>
      <w:tr>
        <w:tc>
          <w:tcPr>
            <w:tcW w:type="dxa" w:w="2592"/>
          </w:tcPr>
          <w:p>
            <w:pPr>
              <w:spacing w:after="20"/>
            </w:pPr>
            <w:r/>
            <w:r>
              <w:rPr>
                <w:b w:val="0"/>
                <w:i w:val="0"/>
                <w:sz w:val="18"/>
              </w:rPr>
              <w:t>Listing</w:t>
            </w:r>
          </w:p>
        </w:tc>
        <w:tc>
          <w:tcPr>
            <w:tcW w:type="dxa" w:w="5616"/>
          </w:tcPr>
          <w:p>
            <w:pPr>
              <w:spacing w:after="20"/>
            </w:pPr>
            <w:r/>
            <w:r>
              <w:rPr>
                <w:b w:val="0"/>
                <w:i w:val="0"/>
                <w:sz w:val="18"/>
              </w:rPr>
              <w:t xml:space="preserve">Approved for listing on </w:t>
            </w:r>
            <w:r>
              <w:rPr>
                <w:b/>
                <w:i w:val="0"/>
                <w:sz w:val="18"/>
              </w:rPr>
              <w:t>The Nasdaq Capital Market</w:t>
            </w:r>
            <w:r>
              <w:rPr>
                <w:b w:val="0"/>
                <w:i w:val="0"/>
                <w:sz w:val="18"/>
              </w:rPr>
              <w:t>, subject to official notice of issuance</w:t>
            </w:r>
          </w:p>
        </w:tc>
        <w:tc>
          <w:tcPr>
            <w:tcW w:type="dxa" w:w="1008"/>
          </w:tcPr>
          <w:p>
            <w:pPr>
              <w:spacing w:after="20"/>
            </w:pPr>
            <w:r/>
            <w:r>
              <w:rPr>
                <w:b w:val="0"/>
                <w:i w:val="0"/>
                <w:sz w:val="18"/>
              </w:rPr>
              <w:t>7(h)</w:t>
            </w:r>
          </w:p>
        </w:tc>
        <w:tc>
          <w:tcPr>
            <w:tcW w:type="dxa" w:w="4608"/>
          </w:tcPr>
          <w:p>
            <w:pPr>
              <w:spacing w:after="20"/>
            </w:pPr>
            <w:r/>
            <w:r>
              <w:rPr>
                <w:b/>
                <w:i w:val="0"/>
                <w:sz w:val="18"/>
              </w:rPr>
              <w:t>Wrong market tier (Issue 3)</w:t>
            </w:r>
            <w:r>
              <w:rPr>
                <w:b w:val="0"/>
                <w:i w:val="0"/>
                <w:sz w:val="18"/>
              </w:rPr>
              <w:t>; Item 17: approval pending.</w:t>
            </w:r>
          </w:p>
        </w:tc>
      </w:tr>
      <w:tr>
        <w:tc>
          <w:tcPr>
            <w:tcW w:type="dxa" w:w="2592"/>
          </w:tcPr>
          <w:p>
            <w:pPr>
              <w:spacing w:after="20"/>
            </w:pPr>
            <w:r/>
            <w:r>
              <w:rPr>
                <w:b w:val="0"/>
                <w:i w:val="0"/>
                <w:sz w:val="18"/>
              </w:rPr>
              <w:t>FINRA</w:t>
            </w:r>
          </w:p>
        </w:tc>
        <w:tc>
          <w:tcPr>
            <w:tcW w:type="dxa" w:w="5616"/>
          </w:tcPr>
          <w:p>
            <w:pPr>
              <w:spacing w:after="20"/>
            </w:pPr>
            <w:r/>
            <w:r>
              <w:rPr>
                <w:b w:val="0"/>
                <w:i w:val="0"/>
                <w:sz w:val="18"/>
              </w:rPr>
              <w:t>No objection to underwriting terms</w:t>
            </w:r>
          </w:p>
        </w:tc>
        <w:tc>
          <w:tcPr>
            <w:tcW w:type="dxa" w:w="1008"/>
          </w:tcPr>
          <w:p>
            <w:pPr>
              <w:spacing w:after="20"/>
            </w:pPr>
            <w:r/>
            <w:r>
              <w:rPr>
                <w:b w:val="0"/>
                <w:i w:val="0"/>
                <w:sz w:val="18"/>
              </w:rPr>
              <w:t>7(i)</w:t>
            </w:r>
          </w:p>
        </w:tc>
        <w:tc>
          <w:tcPr>
            <w:tcW w:type="dxa" w:w="4608"/>
          </w:tcPr>
          <w:p>
            <w:pPr>
              <w:spacing w:after="20"/>
            </w:pPr>
            <w:r/>
            <w:r>
              <w:rPr>
                <w:b w:val="0"/>
                <w:i w:val="0"/>
                <w:sz w:val="18"/>
              </w:rPr>
              <w:t>Item 18: awaiting clearance.</w:t>
            </w:r>
          </w:p>
        </w:tc>
      </w:tr>
      <w:tr>
        <w:tc>
          <w:tcPr>
            <w:tcW w:type="dxa" w:w="2592"/>
          </w:tcPr>
          <w:p>
            <w:pPr>
              <w:spacing w:after="20"/>
            </w:pPr>
            <w:r/>
            <w:r>
              <w:rPr>
                <w:b w:val="0"/>
                <w:i w:val="0"/>
                <w:sz w:val="18"/>
              </w:rPr>
              <w:t>No MAC</w:t>
            </w:r>
          </w:p>
        </w:tc>
        <w:tc>
          <w:tcPr>
            <w:tcW w:type="dxa" w:w="5616"/>
          </w:tcPr>
          <w:p>
            <w:pPr>
              <w:spacing w:after="20"/>
            </w:pPr>
            <w:r/>
            <w:r>
              <w:rPr>
                <w:b w:val="0"/>
                <w:i w:val="0"/>
                <w:sz w:val="18"/>
              </w:rPr>
              <w:t>No material adverse change since March 31, 2025</w:t>
            </w:r>
          </w:p>
        </w:tc>
        <w:tc>
          <w:tcPr>
            <w:tcW w:type="dxa" w:w="1008"/>
          </w:tcPr>
          <w:p>
            <w:pPr>
              <w:spacing w:after="20"/>
            </w:pPr>
            <w:r/>
            <w:r>
              <w:rPr>
                <w:b w:val="0"/>
                <w:i w:val="0"/>
                <w:sz w:val="18"/>
              </w:rPr>
              <w:t>7(j)</w:t>
            </w:r>
          </w:p>
        </w:tc>
        <w:tc>
          <w:tcPr>
            <w:tcW w:type="dxa" w:w="4608"/>
          </w:tcPr>
          <w:p>
            <w:pPr>
              <w:spacing w:after="20"/>
            </w:pPr>
            <w:r/>
            <w:r>
              <w:rPr>
                <w:b w:val="0"/>
                <w:i w:val="0"/>
                <w:sz w:val="18"/>
              </w:rPr>
              <w:t>Item 32 cites 7(e) — should cite 7(j).</w:t>
            </w:r>
          </w:p>
        </w:tc>
      </w:tr>
      <w:tr>
        <w:tc>
          <w:tcPr>
            <w:tcW w:type="dxa" w:w="2592"/>
          </w:tcPr>
          <w:p>
            <w:pPr>
              <w:spacing w:after="20"/>
            </w:pPr>
            <w:r/>
            <w:r>
              <w:rPr>
                <w:b w:val="0"/>
                <w:i w:val="0"/>
                <w:sz w:val="18"/>
              </w:rPr>
              <w:t>Other</w:t>
            </w:r>
          </w:p>
        </w:tc>
        <w:tc>
          <w:tcPr>
            <w:tcW w:type="dxa" w:w="5616"/>
          </w:tcPr>
          <w:p>
            <w:pPr>
              <w:spacing w:after="20"/>
            </w:pPr>
            <w:r/>
            <w:r>
              <w:rPr>
                <w:b w:val="0"/>
                <w:i w:val="0"/>
                <w:sz w:val="18"/>
              </w:rPr>
              <w:t>Other documents reasonably requested, including evidence of governmental approvals</w:t>
            </w:r>
          </w:p>
        </w:tc>
        <w:tc>
          <w:tcPr>
            <w:tcW w:type="dxa" w:w="1008"/>
          </w:tcPr>
          <w:p>
            <w:pPr>
              <w:spacing w:after="20"/>
            </w:pPr>
            <w:r/>
            <w:r>
              <w:rPr>
                <w:b w:val="0"/>
                <w:i w:val="0"/>
                <w:sz w:val="18"/>
              </w:rPr>
              <w:t>7(k)</w:t>
            </w:r>
          </w:p>
        </w:tc>
        <w:tc>
          <w:tcPr>
            <w:tcW w:type="dxa" w:w="4608"/>
          </w:tcPr>
          <w:p>
            <w:pPr>
              <w:spacing w:after="20"/>
            </w:pPr>
            <w:r/>
            <w:r>
              <w:rPr>
                <w:b w:val="0"/>
                <w:i w:val="0"/>
                <w:sz w:val="18"/>
              </w:rPr>
              <w:t>Secretary’s certificate, charter, bylaws, resolutions (Items 21–24).</w:t>
            </w:r>
          </w:p>
        </w:tc>
      </w:tr>
    </w:tbl>
    <w:p>
      <w:pPr>
        <w:spacing w:after="40"/>
      </w:pPr>
    </w:p>
    <w:p>
      <w:pPr>
        <w:pStyle w:val="Heading2"/>
      </w:pPr>
      <w:r>
        <w:t>K. Termination</w:t>
      </w:r>
    </w:p>
    <w:p>
      <w:pPr>
        <w:spacing w:after="80"/>
      </w:pPr>
      <w:r>
        <w:rPr>
          <w:b w:val="0"/>
          <w:i w:val="0"/>
          <w:sz w:val="18"/>
        </w:rPr>
        <w:t xml:space="preserve">Representative may terminate by written notice before the Closing Date (or Additional Closing Date for Option Shares) upon: (i) suspension/material limitation of trading on NYSE, Nasdaq Global Market or another national exchange, or price limits; (ii) banking moratorium (NYC or U.S.); (iii) hostilities, war, terrorism or other calamity making the offering impracticable or inadvisable in the Representative’s reasonable judgment; (iv) any material adverse change in the Company (no materiality-to-offering qualifier); (v) suspension or delisting of the Common Stock from Nasdaq Global Market; (vi) settlement or wire system disruption or adverse change in financial/political/economic conditions or currency controls making the offering impracticable or inadvisable (Section 8(a)). On termination there is no liability except: Company reimburses Underwriter expenses up to the $375,000 cap (payable on invoice), and Sections 9 and 10 survive (Section 8(b)). The UA contains </w:t>
      </w:r>
      <w:r>
        <w:rPr>
          <w:b/>
          <w:i w:val="0"/>
          <w:sz w:val="18"/>
        </w:rPr>
        <w:t>no defaulting-underwriter (step-up) provision</w:t>
      </w:r>
      <w:r>
        <w:rPr>
          <w:b w:val="0"/>
          <w:i w:val="0"/>
          <w:sz w:val="18"/>
        </w:rPr>
        <w:t>, although Section 2(a) cross-refers to one in Section 8 (Issue 11).</w:t>
      </w:r>
    </w:p>
    <w:p>
      <w:pPr>
        <w:pStyle w:val="Heading2"/>
      </w:pPr>
      <w:r>
        <w:t>L. Indemnification and Contribution</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2016"/>
            <w:shd w:val="clear" w:color="auto" w:fill="1F3A5F"/>
          </w:tcPr>
          <w:p>
            <w:r/>
            <w:r>
              <w:rPr>
                <w:b/>
                <w:color w:val="FFFFFF"/>
                <w:sz w:val="18"/>
              </w:rPr>
              <w:t>Term</w:t>
            </w:r>
          </w:p>
        </w:tc>
        <w:tc>
          <w:tcPr>
            <w:tcW w:type="dxa" w:w="5760"/>
            <w:shd w:val="clear" w:color="auto" w:fill="1F3A5F"/>
          </w:tcPr>
          <w:p>
            <w:r/>
            <w:r>
              <w:rPr>
                <w:b/>
                <w:color w:val="FFFFFF"/>
                <w:sz w:val="18"/>
              </w:rPr>
              <w:t>Provision</w:t>
            </w:r>
          </w:p>
        </w:tc>
        <w:tc>
          <w:tcPr>
            <w:tcW w:type="dxa" w:w="1152"/>
            <w:shd w:val="clear" w:color="auto" w:fill="1F3A5F"/>
          </w:tcPr>
          <w:p>
            <w:r/>
            <w:r>
              <w:rPr>
                <w:b/>
                <w:color w:val="FFFFFF"/>
                <w:sz w:val="18"/>
              </w:rPr>
              <w:t>Ref.</w:t>
            </w:r>
          </w:p>
        </w:tc>
        <w:tc>
          <w:tcPr>
            <w:tcW w:type="dxa" w:w="4896"/>
            <w:shd w:val="clear" w:color="auto" w:fill="1F3A5F"/>
          </w:tcPr>
          <w:p>
            <w:r/>
            <w:r>
              <w:rPr>
                <w:b/>
                <w:color w:val="FFFFFF"/>
                <w:sz w:val="18"/>
              </w:rPr>
              <w:t>Comment</w:t>
            </w:r>
          </w:p>
        </w:tc>
      </w:tr>
      <w:tr>
        <w:tc>
          <w:tcPr>
            <w:tcW w:type="dxa" w:w="2016"/>
          </w:tcPr>
          <w:p>
            <w:pPr>
              <w:spacing w:after="20"/>
            </w:pPr>
            <w:r/>
            <w:r>
              <w:rPr>
                <w:b w:val="0"/>
                <w:i w:val="0"/>
                <w:sz w:val="18"/>
              </w:rPr>
              <w:t>Company indemnity</w:t>
            </w:r>
          </w:p>
        </w:tc>
        <w:tc>
          <w:tcPr>
            <w:tcW w:type="dxa" w:w="5760"/>
          </w:tcPr>
          <w:p>
            <w:pPr>
              <w:spacing w:after="20"/>
            </w:pPr>
            <w:r/>
            <w:r>
              <w:rPr>
                <w:b w:val="0"/>
                <w:i w:val="0"/>
                <w:sz w:val="18"/>
              </w:rPr>
              <w:t>Each Underwriter, its affiliates, directors, officers, employees, agents and Section 15 / Section 20 control persons, against Losses (incl. reasonable legal fees, as incurred) from misstatements/omissions in the Registration Statement, any Preliminary Prospectus, Final Prospectus, any FWP or Rule 433(d) issuer information; carve-out for Underwriter-furnished information</w:t>
            </w:r>
          </w:p>
        </w:tc>
        <w:tc>
          <w:tcPr>
            <w:tcW w:type="dxa" w:w="1152"/>
          </w:tcPr>
          <w:p>
            <w:pPr>
              <w:spacing w:after="20"/>
            </w:pPr>
            <w:r/>
            <w:r>
              <w:rPr>
                <w:b w:val="0"/>
                <w:i w:val="0"/>
                <w:sz w:val="18"/>
              </w:rPr>
              <w:t>9(a)</w:t>
            </w:r>
          </w:p>
        </w:tc>
        <w:tc>
          <w:tcPr>
            <w:tcW w:type="dxa" w:w="4896"/>
          </w:tcPr>
          <w:p>
            <w:pPr>
              <w:spacing w:after="20"/>
            </w:pPr>
            <w:r/>
            <w:r>
              <w:rPr>
                <w:b w:val="0"/>
                <w:i w:val="0"/>
                <w:sz w:val="18"/>
              </w:rPr>
              <w:t>Customary scope.</w:t>
            </w:r>
          </w:p>
        </w:tc>
      </w:tr>
      <w:tr>
        <w:tc>
          <w:tcPr>
            <w:tcW w:type="dxa" w:w="2016"/>
          </w:tcPr>
          <w:p>
            <w:pPr>
              <w:spacing w:after="20"/>
            </w:pPr>
            <w:r/>
            <w:r>
              <w:rPr>
                <w:b w:val="0"/>
                <w:i w:val="0"/>
                <w:sz w:val="18"/>
              </w:rPr>
              <w:t>Underwriter indemnity</w:t>
            </w:r>
          </w:p>
        </w:tc>
        <w:tc>
          <w:tcPr>
            <w:tcW w:type="dxa" w:w="5760"/>
          </w:tcPr>
          <w:p>
            <w:pPr>
              <w:spacing w:after="20"/>
            </w:pPr>
            <w:r/>
            <w:r>
              <w:rPr>
                <w:b w:val="0"/>
                <w:i w:val="0"/>
                <w:sz w:val="18"/>
              </w:rPr>
              <w:t xml:space="preserve">Several, not joint, in favor of Company, directors, signing officers and control persons, limited to Underwriter-furnished information; </w:t>
            </w:r>
            <w:r>
              <w:rPr>
                <w:b/>
                <w:i w:val="0"/>
                <w:sz w:val="18"/>
              </w:rPr>
              <w:t>capped at the underwriting discount received by such Underwriter</w:t>
            </w:r>
          </w:p>
        </w:tc>
        <w:tc>
          <w:tcPr>
            <w:tcW w:type="dxa" w:w="1152"/>
          </w:tcPr>
          <w:p>
            <w:pPr>
              <w:spacing w:after="20"/>
            </w:pPr>
            <w:r/>
            <w:r>
              <w:rPr>
                <w:b w:val="0"/>
                <w:i w:val="0"/>
                <w:sz w:val="18"/>
              </w:rPr>
              <w:t>9(b)</w:t>
            </w:r>
          </w:p>
        </w:tc>
        <w:tc>
          <w:tcPr>
            <w:tcW w:type="dxa" w:w="4896"/>
          </w:tcPr>
          <w:p>
            <w:pPr>
              <w:spacing w:after="20"/>
            </w:pPr>
            <w:r/>
            <w:r>
              <w:rPr>
                <w:b w:val="0"/>
                <w:i w:val="0"/>
                <w:sz w:val="18"/>
              </w:rPr>
              <w:t>Underwriter information limited to: "Underwriting — Commissions and Discounts" (3rd and 4th paragraphs), "Underwriting — Stabilization" (1st paragraph) and "Underwriting — Electronic Distribution" (2nd paragraph). A cap on the indemnity itself (rather than only contribution) is Underwriter-favorable.</w:t>
            </w:r>
          </w:p>
        </w:tc>
      </w:tr>
      <w:tr>
        <w:tc>
          <w:tcPr>
            <w:tcW w:type="dxa" w:w="2016"/>
          </w:tcPr>
          <w:p>
            <w:pPr>
              <w:spacing w:after="20"/>
            </w:pPr>
            <w:r/>
            <w:r>
              <w:rPr>
                <w:b w:val="0"/>
                <w:i w:val="0"/>
                <w:sz w:val="18"/>
              </w:rPr>
              <w:t>Procedures</w:t>
            </w:r>
          </w:p>
        </w:tc>
        <w:tc>
          <w:tcPr>
            <w:tcW w:type="dxa" w:w="5760"/>
          </w:tcPr>
          <w:p>
            <w:pPr>
              <w:spacing w:after="20"/>
            </w:pPr>
            <w:r/>
            <w:r>
              <w:rPr>
                <w:b w:val="0"/>
                <w:i w:val="0"/>
                <w:sz w:val="18"/>
              </w:rPr>
              <w:t>Prompt notice (failure excuses only to extent of material prejudice); right to assume defense; separate counsel at indemnitor’s expense in conflict situations; no settlement without consent unless unconditional release and no admission</w:t>
            </w:r>
          </w:p>
        </w:tc>
        <w:tc>
          <w:tcPr>
            <w:tcW w:type="dxa" w:w="1152"/>
          </w:tcPr>
          <w:p>
            <w:pPr>
              <w:spacing w:after="20"/>
            </w:pPr>
            <w:r/>
            <w:r>
              <w:rPr>
                <w:b w:val="0"/>
                <w:i w:val="0"/>
                <w:sz w:val="18"/>
              </w:rPr>
              <w:t>9(c)</w:t>
            </w:r>
          </w:p>
        </w:tc>
        <w:tc>
          <w:tcPr>
            <w:tcW w:type="dxa" w:w="4896"/>
          </w:tcPr>
          <w:p>
            <w:pPr>
              <w:spacing w:after="20"/>
            </w:pPr>
            <w:r/>
            <w:r>
              <w:rPr>
                <w:b w:val="0"/>
                <w:i w:val="0"/>
                <w:sz w:val="18"/>
              </w:rPr>
              <w:t>No customary limit to one separate firm (plus local counsel) for all indemnified parties — exposure point for the Company.</w:t>
            </w:r>
          </w:p>
        </w:tc>
      </w:tr>
      <w:tr>
        <w:tc>
          <w:tcPr>
            <w:tcW w:type="dxa" w:w="2016"/>
          </w:tcPr>
          <w:p>
            <w:pPr>
              <w:spacing w:after="20"/>
            </w:pPr>
            <w:r/>
            <w:r>
              <w:rPr>
                <w:b w:val="0"/>
                <w:i w:val="0"/>
                <w:sz w:val="18"/>
              </w:rPr>
              <w:t>Survival</w:t>
            </w:r>
          </w:p>
        </w:tc>
        <w:tc>
          <w:tcPr>
            <w:tcW w:type="dxa" w:w="5760"/>
          </w:tcPr>
          <w:p>
            <w:pPr>
              <w:spacing w:after="20"/>
            </w:pPr>
            <w:r/>
            <w:r>
              <w:rPr>
                <w:b w:val="0"/>
                <w:i w:val="0"/>
                <w:sz w:val="18"/>
              </w:rPr>
              <w:t xml:space="preserve">Company and Underwriter indemnities survive </w:t>
            </w:r>
            <w:r>
              <w:rPr>
                <w:b/>
                <w:i w:val="0"/>
                <w:sz w:val="18"/>
              </w:rPr>
              <w:t>18 months after Closing (to December 16, 2026)</w:t>
            </w:r>
            <w:r>
              <w:rPr>
                <w:b w:val="0"/>
                <w:i w:val="0"/>
                <w:sz w:val="18"/>
              </w:rPr>
              <w:t>; timely asserted claims preserved</w:t>
            </w:r>
          </w:p>
        </w:tc>
        <w:tc>
          <w:tcPr>
            <w:tcW w:type="dxa" w:w="1152"/>
          </w:tcPr>
          <w:p>
            <w:pPr>
              <w:spacing w:after="20"/>
            </w:pPr>
            <w:r/>
            <w:r>
              <w:rPr>
                <w:b w:val="0"/>
                <w:i w:val="0"/>
                <w:sz w:val="18"/>
              </w:rPr>
              <w:t>9(d); 8(b)</w:t>
            </w:r>
          </w:p>
        </w:tc>
        <w:tc>
          <w:tcPr>
            <w:tcW w:type="dxa" w:w="4896"/>
          </w:tcPr>
          <w:p>
            <w:pPr>
              <w:spacing w:after="20"/>
            </w:pPr>
            <w:r/>
            <w:r>
              <w:rPr>
                <w:b w:val="0"/>
                <w:i w:val="0"/>
                <w:sz w:val="18"/>
              </w:rPr>
              <w:t>Highly unusual (Issue 10). Checklist Item 39 refers only to the Company’s indemnity.</w:t>
            </w:r>
          </w:p>
        </w:tc>
      </w:tr>
      <w:tr>
        <w:tc>
          <w:tcPr>
            <w:tcW w:type="dxa" w:w="2016"/>
          </w:tcPr>
          <w:p>
            <w:pPr>
              <w:spacing w:after="20"/>
            </w:pPr>
            <w:r/>
            <w:r>
              <w:rPr>
                <w:b w:val="0"/>
                <w:i w:val="0"/>
                <w:sz w:val="18"/>
              </w:rPr>
              <w:t>Contribution</w:t>
            </w:r>
          </w:p>
        </w:tc>
        <w:tc>
          <w:tcPr>
            <w:tcW w:type="dxa" w:w="5760"/>
          </w:tcPr>
          <w:p>
            <w:pPr>
              <w:spacing w:after="20"/>
            </w:pPr>
            <w:r/>
            <w:r>
              <w:rPr>
                <w:b w:val="0"/>
                <w:i w:val="0"/>
                <w:sz w:val="18"/>
              </w:rPr>
              <w:t>Relative benefits (net proceeds $142,290,000 / up to $163,633,500 vs. discount $10,710,000 / up to $12,316,500) or, if not permitted, relative benefits and fault; no pro rata allocation; Underwriter contribution capped at its discount; Section 11(f) fraud bar; several obligations</w:t>
            </w:r>
          </w:p>
        </w:tc>
        <w:tc>
          <w:tcPr>
            <w:tcW w:type="dxa" w:w="1152"/>
          </w:tcPr>
          <w:p>
            <w:pPr>
              <w:spacing w:after="20"/>
            </w:pPr>
            <w:r/>
            <w:r>
              <w:rPr>
                <w:b w:val="0"/>
                <w:i w:val="0"/>
                <w:sz w:val="18"/>
              </w:rPr>
              <w:t>10</w:t>
            </w:r>
          </w:p>
        </w:tc>
        <w:tc>
          <w:tcPr>
            <w:tcW w:type="dxa" w:w="4896"/>
          </w:tcPr>
          <w:p>
            <w:pPr>
              <w:spacing w:after="20"/>
            </w:pPr>
            <w:r/>
            <w:r>
              <w:rPr>
                <w:b w:val="0"/>
                <w:i w:val="0"/>
                <w:sz w:val="18"/>
              </w:rPr>
              <w:t>Figures verified.</w:t>
            </w:r>
          </w:p>
        </w:tc>
      </w:tr>
    </w:tbl>
    <w:p>
      <w:pPr>
        <w:spacing w:after="40"/>
      </w:pPr>
    </w:p>
    <w:p>
      <w:pPr>
        <w:pStyle w:val="Heading2"/>
      </w:pPr>
      <w:r>
        <w:t>M. Miscellaneous</w:t>
      </w:r>
    </w:p>
    <w:tbl>
      <w:tblPr>
        <w:tblStyle w:val="TableGrid"/>
        <w:tblW w:type="auto" w:w="0"/>
        <w:jc w:val="center"/>
        <w:tblLayout w:type="fixed"/>
        <w:tblLook w:firstColumn="1" w:firstRow="1" w:lastColumn="0" w:lastRow="0" w:noHBand="0" w:noVBand="1" w:val="04A0"/>
      </w:tblPr>
      <w:tblGrid>
        <w:gridCol w:w="4608"/>
        <w:gridCol w:w="4608"/>
        <w:gridCol w:w="4608"/>
      </w:tblGrid>
      <w:tr>
        <w:trPr>
          <w:tblHeader w:val="true"/>
        </w:trPr>
        <w:tc>
          <w:tcPr>
            <w:tcW w:type="dxa" w:w="2880"/>
            <w:shd w:val="clear" w:color="auto" w:fill="1F3A5F"/>
          </w:tcPr>
          <w:p>
            <w:r/>
            <w:r>
              <w:rPr>
                <w:b/>
                <w:color w:val="FFFFFF"/>
                <w:sz w:val="18"/>
              </w:rPr>
              <w:t>Term</w:t>
            </w:r>
          </w:p>
        </w:tc>
        <w:tc>
          <w:tcPr>
            <w:tcW w:type="dxa" w:w="9504"/>
            <w:shd w:val="clear" w:color="auto" w:fill="1F3A5F"/>
          </w:tcPr>
          <w:p>
            <w:r/>
            <w:r>
              <w:rPr>
                <w:b/>
                <w:color w:val="FFFFFF"/>
                <w:sz w:val="18"/>
              </w:rPr>
              <w:t>Provision</w:t>
            </w:r>
          </w:p>
        </w:tc>
        <w:tc>
          <w:tcPr>
            <w:tcW w:type="dxa" w:w="1440"/>
            <w:shd w:val="clear" w:color="auto" w:fill="1F3A5F"/>
          </w:tcPr>
          <w:p>
            <w:r/>
            <w:r>
              <w:rPr>
                <w:b/>
                <w:color w:val="FFFFFF"/>
                <w:sz w:val="18"/>
              </w:rPr>
              <w:t>Ref.</w:t>
            </w:r>
          </w:p>
        </w:tc>
      </w:tr>
      <w:tr>
        <w:tc>
          <w:tcPr>
            <w:tcW w:type="dxa" w:w="2880"/>
          </w:tcPr>
          <w:p>
            <w:pPr>
              <w:spacing w:after="20"/>
            </w:pPr>
            <w:r/>
            <w:r>
              <w:rPr>
                <w:b w:val="0"/>
                <w:i w:val="0"/>
                <w:sz w:val="18"/>
              </w:rPr>
              <w:t>Notices</w:t>
            </w:r>
          </w:p>
        </w:tc>
        <w:tc>
          <w:tcPr>
            <w:tcW w:type="dxa" w:w="9504"/>
          </w:tcPr>
          <w:p>
            <w:pPr>
              <w:spacing w:after="20"/>
            </w:pPr>
            <w:r/>
            <w:r>
              <w:rPr>
                <w:b w:val="0"/>
                <w:i w:val="0"/>
                <w:sz w:val="18"/>
              </w:rPr>
              <w:t>Personal delivery; next business day by overnight courier; email with confirmation. Company: Patricia Yun-Hsieh, GC (pyunhsieh@ridgelinetx.com), copy Thornfield. Representative: Jonathan R. Whitmore (jwhitmore@crestviewcm.com), copy Grayling Hart.</w:t>
            </w:r>
          </w:p>
        </w:tc>
        <w:tc>
          <w:tcPr>
            <w:tcW w:type="dxa" w:w="1440"/>
          </w:tcPr>
          <w:p>
            <w:pPr>
              <w:spacing w:after="20"/>
            </w:pPr>
            <w:r/>
            <w:r>
              <w:rPr>
                <w:b w:val="0"/>
                <w:i w:val="0"/>
                <w:sz w:val="18"/>
              </w:rPr>
              <w:t>12(a)</w:t>
            </w:r>
          </w:p>
        </w:tc>
      </w:tr>
      <w:tr>
        <w:tc>
          <w:tcPr>
            <w:tcW w:type="dxa" w:w="2880"/>
          </w:tcPr>
          <w:p>
            <w:pPr>
              <w:spacing w:after="20"/>
            </w:pPr>
            <w:r/>
            <w:r>
              <w:rPr>
                <w:b w:val="0"/>
                <w:i w:val="0"/>
                <w:sz w:val="18"/>
              </w:rPr>
              <w:t>Assignment / third parties</w:t>
            </w:r>
          </w:p>
        </w:tc>
        <w:tc>
          <w:tcPr>
            <w:tcW w:type="dxa" w:w="9504"/>
          </w:tcPr>
          <w:p>
            <w:pPr>
              <w:spacing w:after="20"/>
            </w:pPr>
            <w:r/>
            <w:r>
              <w:rPr>
                <w:b w:val="0"/>
                <w:i w:val="0"/>
                <w:sz w:val="18"/>
              </w:rPr>
              <w:t>No assignment without consent, except Underwriters to affiliates; third-party beneficiaries limited to Section 9 indemnified parties</w:t>
            </w:r>
          </w:p>
        </w:tc>
        <w:tc>
          <w:tcPr>
            <w:tcW w:type="dxa" w:w="1440"/>
          </w:tcPr>
          <w:p>
            <w:pPr>
              <w:spacing w:after="20"/>
            </w:pPr>
            <w:r/>
            <w:r>
              <w:rPr>
                <w:b w:val="0"/>
                <w:i w:val="0"/>
                <w:sz w:val="18"/>
              </w:rPr>
              <w:t>12(c)</w:t>
            </w:r>
          </w:p>
        </w:tc>
      </w:tr>
      <w:tr>
        <w:tc>
          <w:tcPr>
            <w:tcW w:type="dxa" w:w="2880"/>
          </w:tcPr>
          <w:p>
            <w:pPr>
              <w:spacing w:after="20"/>
            </w:pPr>
            <w:r/>
            <w:r>
              <w:rPr>
                <w:b w:val="0"/>
                <w:i w:val="0"/>
                <w:sz w:val="18"/>
              </w:rPr>
              <w:t>Governing law; forum</w:t>
            </w:r>
          </w:p>
        </w:tc>
        <w:tc>
          <w:tcPr>
            <w:tcW w:type="dxa" w:w="9504"/>
          </w:tcPr>
          <w:p>
            <w:pPr>
              <w:spacing w:after="20"/>
            </w:pPr>
            <w:r/>
            <w:r>
              <w:rPr>
                <w:b w:val="0"/>
                <w:i w:val="0"/>
                <w:sz w:val="18"/>
              </w:rPr>
              <w:t>New York law; exclusive jurisdiction of federal and state courts in Manhattan; service by certified mail to notice addresses</w:t>
            </w:r>
          </w:p>
        </w:tc>
        <w:tc>
          <w:tcPr>
            <w:tcW w:type="dxa" w:w="1440"/>
          </w:tcPr>
          <w:p>
            <w:pPr>
              <w:spacing w:after="20"/>
            </w:pPr>
            <w:r/>
            <w:r>
              <w:rPr>
                <w:b w:val="0"/>
                <w:i w:val="0"/>
                <w:sz w:val="18"/>
              </w:rPr>
              <w:t>13</w:t>
            </w:r>
          </w:p>
        </w:tc>
      </w:tr>
      <w:tr>
        <w:tc>
          <w:tcPr>
            <w:tcW w:type="dxa" w:w="2880"/>
          </w:tcPr>
          <w:p>
            <w:pPr>
              <w:spacing w:after="20"/>
            </w:pPr>
            <w:r/>
            <w:r>
              <w:rPr>
                <w:b w:val="0"/>
                <w:i w:val="0"/>
                <w:sz w:val="18"/>
              </w:rPr>
              <w:t>Jury waiver; counterparts; entire agreement</w:t>
            </w:r>
          </w:p>
        </w:tc>
        <w:tc>
          <w:tcPr>
            <w:tcW w:type="dxa" w:w="9504"/>
          </w:tcPr>
          <w:p>
            <w:pPr>
              <w:spacing w:after="20"/>
            </w:pPr>
            <w:r/>
            <w:r>
              <w:rPr>
                <w:b w:val="0"/>
                <w:i w:val="0"/>
                <w:sz w:val="18"/>
              </w:rPr>
              <w:t>Mutual jury waiver; counterparts and e-signatures (ESIGN / NY ESRA); integration; written amendments only</w:t>
            </w:r>
          </w:p>
        </w:tc>
        <w:tc>
          <w:tcPr>
            <w:tcW w:type="dxa" w:w="1440"/>
          </w:tcPr>
          <w:p>
            <w:pPr>
              <w:spacing w:after="20"/>
            </w:pPr>
            <w:r/>
            <w:r>
              <w:rPr>
                <w:b w:val="0"/>
                <w:i w:val="0"/>
                <w:sz w:val="18"/>
              </w:rPr>
              <w:t>14–16</w:t>
            </w:r>
          </w:p>
        </w:tc>
      </w:tr>
      <w:tr>
        <w:tc>
          <w:tcPr>
            <w:tcW w:type="dxa" w:w="2880"/>
          </w:tcPr>
          <w:p>
            <w:pPr>
              <w:spacing w:after="20"/>
            </w:pPr>
            <w:r/>
            <w:r>
              <w:rPr>
                <w:b w:val="0"/>
                <w:i w:val="0"/>
                <w:sz w:val="18"/>
              </w:rPr>
              <w:t>Signatories</w:t>
            </w:r>
          </w:p>
        </w:tc>
        <w:tc>
          <w:tcPr>
            <w:tcW w:type="dxa" w:w="9504"/>
          </w:tcPr>
          <w:p>
            <w:pPr>
              <w:spacing w:after="20"/>
            </w:pPr>
            <w:r/>
            <w:r>
              <w:rPr>
                <w:b w:val="0"/>
                <w:i w:val="0"/>
                <w:sz w:val="18"/>
              </w:rPr>
              <w:t>Company: Dr. Annika Johanssen, CEO; Aldersgate (as Representative): Jonathan R. Whitmore, MD; Haldane: David A. Kestner, MD; Elmsford: Margaret Chen-Watanabe, Partner — all dated June 11, 2025</w:t>
            </w:r>
          </w:p>
        </w:tc>
        <w:tc>
          <w:tcPr>
            <w:tcW w:type="dxa" w:w="1440"/>
          </w:tcPr>
          <w:p>
            <w:pPr>
              <w:spacing w:after="20"/>
            </w:pPr>
            <w:r/>
            <w:r>
              <w:rPr>
                <w:b w:val="0"/>
                <w:i w:val="0"/>
                <w:sz w:val="18"/>
              </w:rPr>
              <w:t>Sig. pages</w:t>
            </w:r>
          </w:p>
        </w:tc>
      </w:tr>
    </w:tbl>
    <w:p>
      <w:pPr>
        <w:spacing w:after="40"/>
      </w:pPr>
    </w:p>
    <w:p>
      <w:pPr>
        <w:pStyle w:val="Heading1"/>
      </w:pPr>
      <w:r>
        <w:t>Part III — Discrepancy and Issues Log</w:t>
      </w:r>
    </w:p>
    <w:tbl>
      <w:tblPr>
        <w:tblStyle w:val="TableGrid"/>
        <w:tblW w:type="auto" w:w="0"/>
        <w:jc w:val="center"/>
        <w:tblLayout w:type="fixed"/>
        <w:tblLook w:firstColumn="1" w:firstRow="1" w:lastColumn="0" w:lastRow="0" w:noHBand="0" w:noVBand="1" w:val="04A0"/>
      </w:tblPr>
      <w:tblGrid>
        <w:gridCol w:w="2304"/>
        <w:gridCol w:w="2304"/>
        <w:gridCol w:w="2304"/>
        <w:gridCol w:w="2304"/>
        <w:gridCol w:w="2304"/>
        <w:gridCol w:w="2304"/>
      </w:tblGrid>
      <w:tr>
        <w:trPr>
          <w:tblHeader w:val="true"/>
        </w:trPr>
        <w:tc>
          <w:tcPr>
            <w:tcW w:type="dxa" w:w="432"/>
            <w:shd w:val="clear" w:color="auto" w:fill="1F3A5F"/>
          </w:tcPr>
          <w:p>
            <w:r/>
            <w:r>
              <w:rPr>
                <w:b/>
                <w:color w:val="FFFFFF"/>
                <w:sz w:val="17"/>
              </w:rPr>
              <w:t>#</w:t>
            </w:r>
          </w:p>
        </w:tc>
        <w:tc>
          <w:tcPr>
            <w:tcW w:type="dxa" w:w="1008"/>
            <w:shd w:val="clear" w:color="auto" w:fill="1F3A5F"/>
          </w:tcPr>
          <w:p>
            <w:r/>
            <w:r>
              <w:rPr>
                <w:b/>
                <w:color w:val="FFFFFF"/>
                <w:sz w:val="17"/>
              </w:rPr>
              <w:t>Severity</w:t>
            </w:r>
          </w:p>
        </w:tc>
        <w:tc>
          <w:tcPr>
            <w:tcW w:type="dxa" w:w="1872"/>
            <w:shd w:val="clear" w:color="auto" w:fill="1F3A5F"/>
          </w:tcPr>
          <w:p>
            <w:r/>
            <w:r>
              <w:rPr>
                <w:b/>
                <w:color w:val="FFFFFF"/>
                <w:sz w:val="17"/>
              </w:rPr>
              <w:t>Issue</w:t>
            </w:r>
          </w:p>
        </w:tc>
        <w:tc>
          <w:tcPr>
            <w:tcW w:type="dxa" w:w="2448"/>
            <w:shd w:val="clear" w:color="auto" w:fill="1F3A5F"/>
          </w:tcPr>
          <w:p>
            <w:r/>
            <w:r>
              <w:rPr>
                <w:b/>
                <w:color w:val="FFFFFF"/>
                <w:sz w:val="17"/>
              </w:rPr>
              <w:t>Sources compared</w:t>
            </w:r>
          </w:p>
        </w:tc>
        <w:tc>
          <w:tcPr>
            <w:tcW w:type="dxa" w:w="5184"/>
            <w:shd w:val="clear" w:color="auto" w:fill="1F3A5F"/>
          </w:tcPr>
          <w:p>
            <w:r/>
            <w:r>
              <w:rPr>
                <w:b/>
                <w:color w:val="FFFFFF"/>
                <w:sz w:val="17"/>
              </w:rPr>
              <w:t>Discrepancy / analysis</w:t>
            </w:r>
          </w:p>
        </w:tc>
        <w:tc>
          <w:tcPr>
            <w:tcW w:type="dxa" w:w="2880"/>
            <w:shd w:val="clear" w:color="auto" w:fill="1F3A5F"/>
          </w:tcPr>
          <w:p>
            <w:r/>
            <w:r>
              <w:rPr>
                <w:b/>
                <w:color w:val="FFFFFF"/>
                <w:sz w:val="17"/>
              </w:rPr>
              <w:t>Recommended action</w:t>
            </w:r>
          </w:p>
        </w:tc>
      </w:tr>
      <w:tr>
        <w:tc>
          <w:tcPr>
            <w:tcW w:type="dxa" w:w="432"/>
          </w:tcPr>
          <w:p>
            <w:pPr>
              <w:spacing w:after="20"/>
            </w:pPr>
            <w:r/>
            <w:r>
              <w:rPr>
                <w:b w:val="0"/>
                <w:i w:val="0"/>
                <w:sz w:val="17"/>
              </w:rPr>
              <w:t>1</w:t>
            </w:r>
          </w:p>
        </w:tc>
        <w:tc>
          <w:tcPr>
            <w:tcW w:type="dxa" w:w="1008"/>
            <w:shd w:val="clear" w:color="auto" w:fill="F4B6B6"/>
          </w:tcPr>
          <w:p>
            <w:pPr>
              <w:spacing w:after="20"/>
            </w:pPr>
            <w:r/>
            <w:r>
              <w:rPr>
                <w:b w:val="0"/>
                <w:i w:val="0"/>
                <w:sz w:val="17"/>
              </w:rPr>
              <w:t>Critical</w:t>
            </w:r>
          </w:p>
        </w:tc>
        <w:tc>
          <w:tcPr>
            <w:tcW w:type="dxa" w:w="1872"/>
          </w:tcPr>
          <w:p>
            <w:pPr>
              <w:spacing w:after="20"/>
            </w:pPr>
            <w:r/>
            <w:r>
              <w:rPr>
                <w:b w:val="0"/>
                <w:i w:val="0"/>
                <w:sz w:val="17"/>
              </w:rPr>
              <w:t>Underwriting discount percentage</w:t>
            </w:r>
          </w:p>
        </w:tc>
        <w:tc>
          <w:tcPr>
            <w:tcW w:type="dxa" w:w="2448"/>
          </w:tcPr>
          <w:p>
            <w:pPr>
              <w:spacing w:after="20"/>
            </w:pPr>
            <w:r/>
            <w:r>
              <w:rPr>
                <w:b w:val="0"/>
                <w:i w:val="0"/>
                <w:sz w:val="17"/>
              </w:rPr>
              <w:t>UA Recital 5 vs. UA 2(a); Email; Checklist; Spreadsheet</w:t>
            </w:r>
          </w:p>
        </w:tc>
        <w:tc>
          <w:tcPr>
            <w:tcW w:type="dxa" w:w="5184"/>
          </w:tcPr>
          <w:p>
            <w:pPr>
              <w:spacing w:after="20"/>
            </w:pPr>
            <w:r/>
            <w:r>
              <w:rPr>
                <w:b w:val="0"/>
                <w:i w:val="0"/>
                <w:sz w:val="17"/>
              </w:rPr>
              <w:t>Recital 5 states $1.26 is "7.5%" of the offering price. $1.26 / $18.00 = 7.0%, as stated everywhere else (including UA 2(a)). An executed agreement with internally inconsistent compensation terms invites dispute and creates a FINRA Rule 5110 / Prospectus disclosure mismatch.</w:t>
            </w:r>
          </w:p>
        </w:tc>
        <w:tc>
          <w:tcPr>
            <w:tcW w:type="dxa" w:w="2880"/>
          </w:tcPr>
          <w:p>
            <w:pPr>
              <w:spacing w:after="20"/>
            </w:pPr>
            <w:r/>
            <w:r>
              <w:rPr>
                <w:b w:val="0"/>
                <w:i w:val="0"/>
                <w:sz w:val="17"/>
              </w:rPr>
              <w:t>Change "7.5%" to "7.0%" in Recital 5 before execution.</w:t>
            </w:r>
          </w:p>
        </w:tc>
      </w:tr>
      <w:tr>
        <w:tc>
          <w:tcPr>
            <w:tcW w:type="dxa" w:w="432"/>
          </w:tcPr>
          <w:p>
            <w:pPr>
              <w:spacing w:after="20"/>
            </w:pPr>
            <w:r/>
            <w:r>
              <w:rPr>
                <w:b w:val="0"/>
                <w:i w:val="0"/>
                <w:sz w:val="17"/>
              </w:rPr>
              <w:t>2</w:t>
            </w:r>
          </w:p>
        </w:tc>
        <w:tc>
          <w:tcPr>
            <w:tcW w:type="dxa" w:w="1008"/>
            <w:shd w:val="clear" w:color="auto" w:fill="F4B6B6"/>
          </w:tcPr>
          <w:p>
            <w:pPr>
              <w:spacing w:after="20"/>
            </w:pPr>
            <w:r/>
            <w:r>
              <w:rPr>
                <w:b w:val="0"/>
                <w:i w:val="0"/>
                <w:sz w:val="17"/>
              </w:rPr>
              <w:t>Critical</w:t>
            </w:r>
          </w:p>
        </w:tc>
        <w:tc>
          <w:tcPr>
            <w:tcW w:type="dxa" w:w="1872"/>
          </w:tcPr>
          <w:p>
            <w:pPr>
              <w:spacing w:after="20"/>
            </w:pPr>
            <w:r/>
            <w:r>
              <w:rPr>
                <w:b w:val="0"/>
                <w:i w:val="0"/>
                <w:sz w:val="17"/>
              </w:rPr>
              <w:t>Option Share allocation exceeds the Option</w:t>
            </w:r>
          </w:p>
        </w:tc>
        <w:tc>
          <w:tcPr>
            <w:tcW w:type="dxa" w:w="2448"/>
          </w:tcPr>
          <w:p>
            <w:pPr>
              <w:spacing w:after="20"/>
            </w:pPr>
            <w:r/>
            <w:r>
              <w:rPr>
                <w:b w:val="0"/>
                <w:i w:val="0"/>
                <w:sz w:val="17"/>
              </w:rPr>
              <w:t>UA Sched. A vs. UA 2(b); Spreadsheet Allocation tab</w:t>
            </w:r>
          </w:p>
        </w:tc>
        <w:tc>
          <w:tcPr>
            <w:tcW w:type="dxa" w:w="5184"/>
          </w:tcPr>
          <w:p>
            <w:pPr>
              <w:spacing w:after="20"/>
            </w:pPr>
            <w:r/>
            <w:r>
              <w:rPr>
                <w:b w:val="0"/>
                <w:i w:val="0"/>
                <w:sz w:val="17"/>
              </w:rPr>
              <w:t>Schedule A allocates 195,000 Option Shares to Elmsford (15.3% of 1,275,000) rather than 191,250 (15.0%). Column sums to 1,278,750 — 3,750 more Option Shares than granted — and the total cell is blank. Schedule A also conflicts with the pro rata rule in 2(b). The Spreadsheet (sourced from Schedule A) carries the error: totals 1,278,750 option shares, 9,778,750 max shares, $21,406,275 option net proceeds, $163,696,275 max net proceeds, $12,321,225 max discount, and option percentages summing to 100.10%.</w:t>
            </w:r>
          </w:p>
        </w:tc>
        <w:tc>
          <w:tcPr>
            <w:tcW w:type="dxa" w:w="2880"/>
          </w:tcPr>
          <w:p>
            <w:pPr>
              <w:spacing w:after="20"/>
            </w:pPr>
            <w:r/>
            <w:r>
              <w:rPr>
                <w:b w:val="0"/>
                <w:i w:val="0"/>
                <w:sz w:val="17"/>
              </w:rPr>
              <w:t>Correct Elmsford to 191,250 and insert 1,275,000 total in Schedule A; re-issue the Spreadsheet using formulas and corrected totals (9,775,000; $163,633,500; $12,316,500).</w:t>
            </w:r>
          </w:p>
        </w:tc>
      </w:tr>
      <w:tr>
        <w:tc>
          <w:tcPr>
            <w:tcW w:type="dxa" w:w="432"/>
          </w:tcPr>
          <w:p>
            <w:pPr>
              <w:spacing w:after="20"/>
            </w:pPr>
            <w:r/>
            <w:r>
              <w:rPr>
                <w:b w:val="0"/>
                <w:i w:val="0"/>
                <w:sz w:val="17"/>
              </w:rPr>
              <w:t>3</w:t>
            </w:r>
          </w:p>
        </w:tc>
        <w:tc>
          <w:tcPr>
            <w:tcW w:type="dxa" w:w="1008"/>
            <w:shd w:val="clear" w:color="auto" w:fill="F4B6B6"/>
          </w:tcPr>
          <w:p>
            <w:pPr>
              <w:spacing w:after="20"/>
            </w:pPr>
            <w:r/>
            <w:r>
              <w:rPr>
                <w:b w:val="0"/>
                <w:i w:val="0"/>
                <w:sz w:val="17"/>
              </w:rPr>
              <w:t>Critical</w:t>
            </w:r>
          </w:p>
        </w:tc>
        <w:tc>
          <w:tcPr>
            <w:tcW w:type="dxa" w:w="1872"/>
          </w:tcPr>
          <w:p>
            <w:pPr>
              <w:spacing w:after="20"/>
            </w:pPr>
            <w:r/>
            <w:r>
              <w:rPr>
                <w:b w:val="0"/>
                <w:i w:val="0"/>
                <w:sz w:val="17"/>
              </w:rPr>
              <w:t>Listing condition names wrong market tier</w:t>
            </w:r>
          </w:p>
        </w:tc>
        <w:tc>
          <w:tcPr>
            <w:tcW w:type="dxa" w:w="2448"/>
          </w:tcPr>
          <w:p>
            <w:pPr>
              <w:spacing w:after="20"/>
            </w:pPr>
            <w:r/>
            <w:r>
              <w:rPr>
                <w:b w:val="0"/>
                <w:i w:val="0"/>
                <w:sz w:val="17"/>
              </w:rPr>
              <w:t>UA 7(h) vs. UA Recitals, 1(p), 4(g), 5(h), 8(a)(v); Checklist Item 17; Email</w:t>
            </w:r>
          </w:p>
        </w:tc>
        <w:tc>
          <w:tcPr>
            <w:tcW w:type="dxa" w:w="5184"/>
          </w:tcPr>
          <w:p>
            <w:pPr>
              <w:spacing w:after="20"/>
            </w:pPr>
            <w:r/>
            <w:r>
              <w:rPr>
                <w:b w:val="0"/>
                <w:i w:val="0"/>
                <w:sz w:val="17"/>
              </w:rPr>
              <w:t>7(h) requires approval for listing on "The Nasdaq Capital Market"; the application and every other reference is to The Nasdaq Global Market. As drafted the condition could technically fail (or be waivable only by the Representative) even with Global Market approval.</w:t>
            </w:r>
          </w:p>
        </w:tc>
        <w:tc>
          <w:tcPr>
            <w:tcW w:type="dxa" w:w="2880"/>
          </w:tcPr>
          <w:p>
            <w:pPr>
              <w:spacing w:after="20"/>
            </w:pPr>
            <w:r/>
            <w:r>
              <w:rPr>
                <w:b w:val="0"/>
                <w:i w:val="0"/>
                <w:sz w:val="17"/>
              </w:rPr>
              <w:t>Conform 7(h) to "The Nasdaq Global Market."</w:t>
            </w:r>
          </w:p>
        </w:tc>
      </w:tr>
      <w:tr>
        <w:tc>
          <w:tcPr>
            <w:tcW w:type="dxa" w:w="432"/>
          </w:tcPr>
          <w:p>
            <w:pPr>
              <w:spacing w:after="20"/>
            </w:pPr>
            <w:r/>
            <w:r>
              <w:rPr>
                <w:b w:val="0"/>
                <w:i w:val="0"/>
                <w:sz w:val="17"/>
              </w:rPr>
              <w:t>4</w:t>
            </w:r>
          </w:p>
        </w:tc>
        <w:tc>
          <w:tcPr>
            <w:tcW w:type="dxa" w:w="1008"/>
            <w:shd w:val="clear" w:color="auto" w:fill="F4B6B6"/>
          </w:tcPr>
          <w:p>
            <w:pPr>
              <w:spacing w:after="20"/>
            </w:pPr>
            <w:r/>
            <w:r>
              <w:rPr>
                <w:b w:val="0"/>
                <w:i w:val="0"/>
                <w:sz w:val="17"/>
              </w:rPr>
              <w:t>Critical</w:t>
            </w:r>
          </w:p>
        </w:tc>
        <w:tc>
          <w:tcPr>
            <w:tcW w:type="dxa" w:w="1872"/>
          </w:tcPr>
          <w:p>
            <w:pPr>
              <w:spacing w:after="20"/>
            </w:pPr>
            <w:r/>
            <w:r>
              <w:rPr>
                <w:b w:val="0"/>
                <w:i w:val="0"/>
                <w:sz w:val="17"/>
              </w:rPr>
              <w:t>Bring-down comfort letter dated after Closing</w:t>
            </w:r>
          </w:p>
        </w:tc>
        <w:tc>
          <w:tcPr>
            <w:tcW w:type="dxa" w:w="2448"/>
          </w:tcPr>
          <w:p>
            <w:pPr>
              <w:spacing w:after="20"/>
            </w:pPr>
            <w:r/>
            <w:r>
              <w:rPr>
                <w:b w:val="0"/>
                <w:i w:val="0"/>
                <w:sz w:val="17"/>
              </w:rPr>
              <w:t>UA 7(d)(ii) vs. UA Defs./Section 3; Checklist Item 12; Email</w:t>
            </w:r>
          </w:p>
        </w:tc>
        <w:tc>
          <w:tcPr>
            <w:tcW w:type="dxa" w:w="5184"/>
          </w:tcPr>
          <w:p>
            <w:pPr>
              <w:spacing w:after="20"/>
            </w:pPr>
            <w:r/>
            <w:r>
              <w:rPr>
                <w:b w:val="0"/>
                <w:i w:val="0"/>
                <w:sz w:val="17"/>
              </w:rPr>
              <w:t>7(d)(ii) requires a bring-down letter "dated the Closing Date, June 17, 2025"; the Closing Date is June 16, 2025. A June 17 letter cannot be delivered as a closing condition on June 16. Checklist Item 12 notes the point but cites Section 3 rather than flagging the 7(d)(ii) error; comfort letter addressees also differ (UA: Underwriters; Checklist: Underwriters and Company).</w:t>
            </w:r>
          </w:p>
        </w:tc>
        <w:tc>
          <w:tcPr>
            <w:tcW w:type="dxa" w:w="2880"/>
          </w:tcPr>
          <w:p>
            <w:pPr>
              <w:spacing w:after="20"/>
            </w:pPr>
            <w:r/>
            <w:r>
              <w:rPr>
                <w:b w:val="0"/>
                <w:i w:val="0"/>
                <w:sz w:val="17"/>
              </w:rPr>
              <w:t>Change to June 16, 2025 (or simply "the Closing Date"); align Checklist addressee description with Pennworth &amp; Gale’s draft letters.</w:t>
            </w:r>
          </w:p>
        </w:tc>
      </w:tr>
      <w:tr>
        <w:tc>
          <w:tcPr>
            <w:tcW w:type="dxa" w:w="432"/>
          </w:tcPr>
          <w:p>
            <w:pPr>
              <w:spacing w:after="20"/>
            </w:pPr>
            <w:r/>
            <w:r>
              <w:rPr>
                <w:b w:val="0"/>
                <w:i w:val="0"/>
                <w:sz w:val="17"/>
              </w:rPr>
              <w:t>5</w:t>
            </w:r>
          </w:p>
        </w:tc>
        <w:tc>
          <w:tcPr>
            <w:tcW w:type="dxa" w:w="1008"/>
            <w:shd w:val="clear" w:color="auto" w:fill="F4B6B6"/>
          </w:tcPr>
          <w:p>
            <w:pPr>
              <w:spacing w:after="20"/>
            </w:pPr>
            <w:r/>
            <w:r>
              <w:rPr>
                <w:b w:val="0"/>
                <w:i w:val="0"/>
                <w:sz w:val="17"/>
              </w:rPr>
              <w:t>Critical</w:t>
            </w:r>
          </w:p>
        </w:tc>
        <w:tc>
          <w:tcPr>
            <w:tcW w:type="dxa" w:w="1872"/>
          </w:tcPr>
          <w:p>
            <w:pPr>
              <w:spacing w:after="20"/>
            </w:pPr>
            <w:r/>
            <w:r>
              <w:rPr>
                <w:b w:val="0"/>
                <w:i w:val="0"/>
                <w:sz w:val="17"/>
              </w:rPr>
              <w:t>Nasdaq approval represented but still pending</w:t>
            </w:r>
          </w:p>
        </w:tc>
        <w:tc>
          <w:tcPr>
            <w:tcW w:type="dxa" w:w="2448"/>
          </w:tcPr>
          <w:p>
            <w:pPr>
              <w:spacing w:after="20"/>
            </w:pPr>
            <w:r/>
            <w:r>
              <w:rPr>
                <w:b w:val="0"/>
                <w:i w:val="0"/>
                <w:sz w:val="17"/>
              </w:rPr>
              <w:t>UA Recital 7, 1(p) vs. Checklist Item 17; Thornfield email (June 11)</w:t>
            </w:r>
          </w:p>
        </w:tc>
        <w:tc>
          <w:tcPr>
            <w:tcW w:type="dxa" w:w="5184"/>
          </w:tcPr>
          <w:p>
            <w:pPr>
              <w:spacing w:after="20"/>
            </w:pPr>
            <w:r/>
            <w:r>
              <w:rPr>
                <w:b w:val="0"/>
                <w:i w:val="0"/>
                <w:sz w:val="17"/>
              </w:rPr>
              <w:t>The UA recites and represents that the Common Stock "has been approved for listing" (subject only to official notice of issuance) as of signing. Checklist and Company Counsel’s email state approval is pending. The rep would be inaccurate when made and repeated at the Prospectus date and Closing; Form 8-A effectiveness (1(f)(iii)) is also untracked.</w:t>
            </w:r>
          </w:p>
        </w:tc>
        <w:tc>
          <w:tcPr>
            <w:tcW w:type="dxa" w:w="2880"/>
          </w:tcPr>
          <w:p>
            <w:pPr>
              <w:spacing w:after="20"/>
            </w:pPr>
            <w:r/>
            <w:r>
              <w:rPr>
                <w:b w:val="0"/>
                <w:i w:val="0"/>
                <w:sz w:val="17"/>
              </w:rPr>
              <w:t>Obtain Nasdaq approval letter before execution or revise the recital/rep to "application has been made"; add Form 8-A filing/effectiveness to the Checklist.</w:t>
            </w:r>
          </w:p>
        </w:tc>
      </w:tr>
      <w:tr>
        <w:tc>
          <w:tcPr>
            <w:tcW w:type="dxa" w:w="432"/>
          </w:tcPr>
          <w:p>
            <w:pPr>
              <w:spacing w:after="20"/>
            </w:pPr>
            <w:r/>
            <w:r>
              <w:rPr>
                <w:b w:val="0"/>
                <w:i w:val="0"/>
                <w:sz w:val="17"/>
              </w:rPr>
              <w:t>6</w:t>
            </w:r>
          </w:p>
        </w:tc>
        <w:tc>
          <w:tcPr>
            <w:tcW w:type="dxa" w:w="1008"/>
            <w:shd w:val="clear" w:color="auto" w:fill="F4B6B6"/>
          </w:tcPr>
          <w:p>
            <w:pPr>
              <w:spacing w:after="20"/>
            </w:pPr>
            <w:r/>
            <w:r>
              <w:rPr>
                <w:b w:val="0"/>
                <w:i w:val="0"/>
                <w:sz w:val="17"/>
              </w:rPr>
              <w:t>Critical</w:t>
            </w:r>
          </w:p>
        </w:tc>
        <w:tc>
          <w:tcPr>
            <w:tcW w:type="dxa" w:w="1872"/>
          </w:tcPr>
          <w:p>
            <w:pPr>
              <w:spacing w:after="20"/>
            </w:pPr>
            <w:r/>
            <w:r>
              <w:rPr>
                <w:b w:val="0"/>
                <w:i w:val="0"/>
                <w:sz w:val="17"/>
              </w:rPr>
              <w:t>Lock-up delivery status inconsistent</w:t>
            </w:r>
          </w:p>
        </w:tc>
        <w:tc>
          <w:tcPr>
            <w:tcW w:type="dxa" w:w="2448"/>
          </w:tcPr>
          <w:p>
            <w:pPr>
              <w:spacing w:after="20"/>
            </w:pPr>
            <w:r/>
            <w:r>
              <w:rPr>
                <w:b w:val="0"/>
                <w:i w:val="0"/>
                <w:sz w:val="17"/>
              </w:rPr>
              <w:t>UA 5(l), 7(g), Sched. B vs. Checklist Item 16; Email chain</w:t>
            </w:r>
          </w:p>
        </w:tc>
        <w:tc>
          <w:tcPr>
            <w:tcW w:type="dxa" w:w="5184"/>
          </w:tcPr>
          <w:p>
            <w:pPr>
              <w:spacing w:after="20"/>
            </w:pPr>
            <w:r/>
            <w:r>
              <w:rPr>
                <w:b w:val="0"/>
                <w:i w:val="0"/>
                <w:sz w:val="17"/>
              </w:rPr>
              <w:t>5(l) represents the Company has received executed lock-ups from all directors, officers and 5%+ holders. Whitmore and Delgado state all are in; Thornfield asks Aldersgate to independently confirm; the Checklist (same date) shows "Collection in progress." The Schedule B form is dated June 12, 2025 — after the June 11 UA date — although lock-ups are to be delivered prior to or concurrently with UA execution.</w:t>
            </w:r>
          </w:p>
        </w:tc>
        <w:tc>
          <w:tcPr>
            <w:tcW w:type="dxa" w:w="2880"/>
          </w:tcPr>
          <w:p>
            <w:pPr>
              <w:spacing w:after="20"/>
            </w:pPr>
            <w:r/>
            <w:r>
              <w:rPr>
                <w:b w:val="0"/>
                <w:i w:val="0"/>
                <w:sz w:val="17"/>
              </w:rPr>
              <w:t>Reconcile signed lock-ups against the D&amp;O and 5%+ holder list; obtain Representative confirmation; date lock-ups on or before June 11; update Checklist status.</w:t>
            </w:r>
          </w:p>
        </w:tc>
      </w:tr>
      <w:tr>
        <w:tc>
          <w:tcPr>
            <w:tcW w:type="dxa" w:w="432"/>
          </w:tcPr>
          <w:p>
            <w:pPr>
              <w:spacing w:after="20"/>
            </w:pPr>
            <w:r/>
            <w:r>
              <w:rPr>
                <w:b w:val="0"/>
                <w:i w:val="0"/>
                <w:sz w:val="17"/>
              </w:rPr>
              <w:t>7</w:t>
            </w:r>
          </w:p>
        </w:tc>
        <w:tc>
          <w:tcPr>
            <w:tcW w:type="dxa" w:w="1008"/>
            <w:shd w:val="clear" w:color="auto" w:fill="F9D9A8"/>
          </w:tcPr>
          <w:p>
            <w:pPr>
              <w:spacing w:after="20"/>
            </w:pPr>
            <w:r/>
            <w:r>
              <w:rPr>
                <w:b w:val="0"/>
                <w:i w:val="0"/>
                <w:sz w:val="17"/>
              </w:rPr>
              <w:t>High</w:t>
            </w:r>
          </w:p>
        </w:tc>
        <w:tc>
          <w:tcPr>
            <w:tcW w:type="dxa" w:w="1872"/>
          </w:tcPr>
          <w:p>
            <w:pPr>
              <w:spacing w:after="20"/>
            </w:pPr>
            <w:r/>
            <w:r>
              <w:rPr>
                <w:b w:val="0"/>
                <w:i w:val="0"/>
                <w:sz w:val="17"/>
              </w:rPr>
              <w:t>Representative email domain / wire fraud risk</w:t>
            </w:r>
          </w:p>
        </w:tc>
        <w:tc>
          <w:tcPr>
            <w:tcW w:type="dxa" w:w="2448"/>
          </w:tcPr>
          <w:p>
            <w:pPr>
              <w:spacing w:after="20"/>
            </w:pPr>
            <w:r/>
            <w:r>
              <w:rPr>
                <w:b w:val="0"/>
                <w:i w:val="0"/>
                <w:sz w:val="17"/>
              </w:rPr>
              <w:t>Email header (jwhitmore@crestviewcapital.com) vs. UA 12(a) and Checklist contacts (jwhitmore@crestviewcm.com)</w:t>
            </w:r>
          </w:p>
        </w:tc>
        <w:tc>
          <w:tcPr>
            <w:tcW w:type="dxa" w:w="5184"/>
          </w:tcPr>
          <w:p>
            <w:pPr>
              <w:spacing w:after="20"/>
            </w:pPr>
            <w:r/>
            <w:r>
              <w:rPr>
                <w:b w:val="0"/>
                <w:i w:val="0"/>
                <w:sz w:val="17"/>
              </w:rPr>
              <w:t>Two different domains for the same person, neither matching "Aldersgate." The notice address in an executed agreement may be ineffective, and the inconsistency is a red flag for spoofing in a deal where $142,290,000 will be wired (Checklist Item 28).</w:t>
            </w:r>
          </w:p>
        </w:tc>
        <w:tc>
          <w:tcPr>
            <w:tcW w:type="dxa" w:w="2880"/>
          </w:tcPr>
          <w:p>
            <w:pPr>
              <w:spacing w:after="20"/>
            </w:pPr>
            <w:r/>
            <w:r>
              <w:rPr>
                <w:b w:val="0"/>
                <w:i w:val="0"/>
                <w:sz w:val="17"/>
              </w:rPr>
              <w:t>Confirm Mr. Whitmore’s correct email by phone at a known number; correct 12(a) and Checklist; implement call-back verification of wire instructions.</w:t>
            </w:r>
          </w:p>
        </w:tc>
      </w:tr>
      <w:tr>
        <w:tc>
          <w:tcPr>
            <w:tcW w:type="dxa" w:w="432"/>
          </w:tcPr>
          <w:p>
            <w:pPr>
              <w:spacing w:after="20"/>
            </w:pPr>
            <w:r/>
            <w:r>
              <w:rPr>
                <w:b w:val="0"/>
                <w:i w:val="0"/>
                <w:sz w:val="17"/>
              </w:rPr>
              <w:t>8</w:t>
            </w:r>
          </w:p>
        </w:tc>
        <w:tc>
          <w:tcPr>
            <w:tcW w:type="dxa" w:w="1008"/>
            <w:shd w:val="clear" w:color="auto" w:fill="F9D9A8"/>
          </w:tcPr>
          <w:p>
            <w:pPr>
              <w:spacing w:after="20"/>
            </w:pPr>
            <w:r/>
            <w:r>
              <w:rPr>
                <w:b w:val="0"/>
                <w:i w:val="0"/>
                <w:sz w:val="17"/>
              </w:rPr>
              <w:t>High</w:t>
            </w:r>
          </w:p>
        </w:tc>
        <w:tc>
          <w:tcPr>
            <w:tcW w:type="dxa" w:w="1872"/>
          </w:tcPr>
          <w:p>
            <w:pPr>
              <w:spacing w:after="20"/>
            </w:pPr>
            <w:r/>
            <w:r>
              <w:rPr>
                <w:b w:val="0"/>
                <w:i w:val="0"/>
                <w:sz w:val="17"/>
              </w:rPr>
              <w:t>FINRA no-objection outstanding</w:t>
            </w:r>
          </w:p>
        </w:tc>
        <w:tc>
          <w:tcPr>
            <w:tcW w:type="dxa" w:w="2448"/>
          </w:tcPr>
          <w:p>
            <w:pPr>
              <w:spacing w:after="20"/>
            </w:pPr>
            <w:r/>
            <w:r>
              <w:rPr>
                <w:b w:val="0"/>
                <w:i w:val="0"/>
                <w:sz w:val="17"/>
              </w:rPr>
              <w:t>Checklist Item 18 vs. Item 1; UA 6(c), 7(i)</w:t>
            </w:r>
          </w:p>
        </w:tc>
        <w:tc>
          <w:tcPr>
            <w:tcW w:type="dxa" w:w="5184"/>
          </w:tcPr>
          <w:p>
            <w:pPr>
              <w:spacing w:after="20"/>
            </w:pPr>
            <w:r/>
            <w:r>
              <w:rPr>
                <w:b w:val="0"/>
                <w:i w:val="0"/>
                <w:sz w:val="17"/>
              </w:rPr>
              <w:t>FINRA clearance shown as "awaiting clearance" with a due date of "prior to effectiveness," yet the Registration Statement is already effective. FINRA no-objection is ordinarily obtained before the SEC declares the registration statement effective and before pricing; it is a condition to both sides’ obligations here.</w:t>
            </w:r>
          </w:p>
        </w:tc>
        <w:tc>
          <w:tcPr>
            <w:tcW w:type="dxa" w:w="2880"/>
          </w:tcPr>
          <w:p>
            <w:pPr>
              <w:spacing w:after="20"/>
            </w:pPr>
            <w:r/>
            <w:r>
              <w:rPr>
                <w:b w:val="0"/>
                <w:i w:val="0"/>
                <w:sz w:val="17"/>
              </w:rPr>
              <w:t>Confirm receipt of the FINRA no-objections letter (or status) before signing; update Checklist.</w:t>
            </w:r>
          </w:p>
        </w:tc>
      </w:tr>
      <w:tr>
        <w:tc>
          <w:tcPr>
            <w:tcW w:type="dxa" w:w="432"/>
          </w:tcPr>
          <w:p>
            <w:pPr>
              <w:spacing w:after="20"/>
            </w:pPr>
            <w:r/>
            <w:r>
              <w:rPr>
                <w:b w:val="0"/>
                <w:i w:val="0"/>
                <w:sz w:val="17"/>
              </w:rPr>
              <w:t>9</w:t>
            </w:r>
          </w:p>
        </w:tc>
        <w:tc>
          <w:tcPr>
            <w:tcW w:type="dxa" w:w="1008"/>
            <w:shd w:val="clear" w:color="auto" w:fill="F9D9A8"/>
          </w:tcPr>
          <w:p>
            <w:pPr>
              <w:spacing w:after="20"/>
            </w:pPr>
            <w:r/>
            <w:r>
              <w:rPr>
                <w:b w:val="0"/>
                <w:i w:val="0"/>
                <w:sz w:val="17"/>
              </w:rPr>
              <w:t>High</w:t>
            </w:r>
          </w:p>
        </w:tc>
        <w:tc>
          <w:tcPr>
            <w:tcW w:type="dxa" w:w="1872"/>
          </w:tcPr>
          <w:p>
            <w:pPr>
              <w:spacing w:after="20"/>
            </w:pPr>
            <w:r/>
            <w:r>
              <w:rPr>
                <w:b w:val="0"/>
                <w:i w:val="0"/>
                <w:sz w:val="17"/>
              </w:rPr>
              <w:t>Exhibit B does not foot</w:t>
            </w:r>
          </w:p>
        </w:tc>
        <w:tc>
          <w:tcPr>
            <w:tcW w:type="dxa" w:w="2448"/>
          </w:tcPr>
          <w:p>
            <w:pPr>
              <w:spacing w:after="20"/>
            </w:pPr>
            <w:r/>
            <w:r>
              <w:rPr>
                <w:b w:val="0"/>
                <w:i w:val="0"/>
                <w:sz w:val="17"/>
              </w:rPr>
              <w:t>UA Ex. B vs. UA 4(a)(vi); Checklist Item 31</w:t>
            </w:r>
          </w:p>
        </w:tc>
        <w:tc>
          <w:tcPr>
            <w:tcW w:type="dxa" w:w="5184"/>
          </w:tcPr>
          <w:p>
            <w:pPr>
              <w:spacing w:after="20"/>
            </w:pPr>
            <w:r/>
            <w:r>
              <w:rPr>
                <w:b w:val="0"/>
                <w:i w:val="0"/>
                <w:sz w:val="17"/>
              </w:rPr>
              <w:t>Exhibit B line items total $3,177,500, not the stated $3,200,000; the $22,500 difference equals the FINRA filing fee, which Section 4(a)(vi) and Checklist Item 31 say is included in Exhibit B but which does not appear. Separately, the $18,756 SEC fee implies ~$122.5 million registered (at $153.10/$1 million) versus a $175.95 million maximum offering, and the $375,000 road show line equals the Underwriter reimbursement cap.</w:t>
            </w:r>
          </w:p>
        </w:tc>
        <w:tc>
          <w:tcPr>
            <w:tcW w:type="dxa" w:w="2880"/>
          </w:tcPr>
          <w:p>
            <w:pPr>
              <w:spacing w:after="20"/>
            </w:pPr>
            <w:r/>
            <w:r>
              <w:rPr>
                <w:b w:val="0"/>
                <w:i w:val="0"/>
                <w:sz w:val="17"/>
              </w:rPr>
              <w:t>Add FINRA fee line; verify SEC and FINRA fees against the S-1 fee exhibit and FINRA fee schedule (and whether additional registration fee/Rule 462(b) is needed); confirm road-show/reimbursement treatment and Prospectus "Other Expenses" table.</w:t>
            </w:r>
          </w:p>
        </w:tc>
      </w:tr>
      <w:tr>
        <w:tc>
          <w:tcPr>
            <w:tcW w:type="dxa" w:w="432"/>
          </w:tcPr>
          <w:p>
            <w:pPr>
              <w:spacing w:after="20"/>
            </w:pPr>
            <w:r/>
            <w:r>
              <w:rPr>
                <w:b w:val="0"/>
                <w:i w:val="0"/>
                <w:sz w:val="17"/>
              </w:rPr>
              <w:t>10</w:t>
            </w:r>
          </w:p>
        </w:tc>
        <w:tc>
          <w:tcPr>
            <w:tcW w:type="dxa" w:w="1008"/>
            <w:shd w:val="clear" w:color="auto" w:fill="F9D9A8"/>
          </w:tcPr>
          <w:p>
            <w:pPr>
              <w:spacing w:after="20"/>
            </w:pPr>
            <w:r/>
            <w:r>
              <w:rPr>
                <w:b w:val="0"/>
                <w:i w:val="0"/>
                <w:sz w:val="17"/>
              </w:rPr>
              <w:t>High</w:t>
            </w:r>
          </w:p>
        </w:tc>
        <w:tc>
          <w:tcPr>
            <w:tcW w:type="dxa" w:w="1872"/>
          </w:tcPr>
          <w:p>
            <w:pPr>
              <w:spacing w:after="20"/>
            </w:pPr>
            <w:r/>
            <w:r>
              <w:rPr>
                <w:b w:val="0"/>
                <w:i w:val="0"/>
                <w:sz w:val="17"/>
              </w:rPr>
              <w:t>18-month indemnification sunset</w:t>
            </w:r>
          </w:p>
        </w:tc>
        <w:tc>
          <w:tcPr>
            <w:tcW w:type="dxa" w:w="2448"/>
          </w:tcPr>
          <w:p>
            <w:pPr>
              <w:spacing w:after="20"/>
            </w:pPr>
            <w:r/>
            <w:r>
              <w:rPr>
                <w:b w:val="0"/>
                <w:i w:val="0"/>
                <w:sz w:val="17"/>
              </w:rPr>
              <w:t>UA 9(d); Checklist Items II, 39</w:t>
            </w:r>
          </w:p>
        </w:tc>
        <w:tc>
          <w:tcPr>
            <w:tcW w:type="dxa" w:w="5184"/>
          </w:tcPr>
          <w:p>
            <w:pPr>
              <w:spacing w:after="20"/>
            </w:pPr>
            <w:r/>
            <w:r>
              <w:rPr>
                <w:b w:val="0"/>
                <w:i w:val="0"/>
                <w:sz w:val="17"/>
              </w:rPr>
              <w:t>Indemnities (both directions) expire 18 months after Closing (December 16, 2026). IPO indemnities customarily survive without time limit; Securities Act claims can be brought up to one year after discovery and three years after the offering (Section 13), so the sunset could leave Underwriters (and Company indemnitees) unprotected for later-filed Section 11/12 claims. Contribution (Section 10) has no sunset, producing an inconsistent structure. Checklist Item 39 mentions only the Company’s obligation.</w:t>
            </w:r>
          </w:p>
        </w:tc>
        <w:tc>
          <w:tcPr>
            <w:tcW w:type="dxa" w:w="2880"/>
          </w:tcPr>
          <w:p>
            <w:pPr>
              <w:spacing w:after="20"/>
            </w:pPr>
            <w:r/>
            <w:r>
              <w:rPr>
                <w:b w:val="0"/>
                <w:i w:val="0"/>
                <w:sz w:val="17"/>
              </w:rPr>
              <w:t>Flag to deal team; Underwriters’ Counsel will likely require deletion. Conform Checklist to describe both obligations.</w:t>
            </w:r>
          </w:p>
        </w:tc>
      </w:tr>
      <w:tr>
        <w:tc>
          <w:tcPr>
            <w:tcW w:type="dxa" w:w="432"/>
          </w:tcPr>
          <w:p>
            <w:pPr>
              <w:spacing w:after="20"/>
            </w:pPr>
            <w:r/>
            <w:r>
              <w:rPr>
                <w:b w:val="0"/>
                <w:i w:val="0"/>
                <w:sz w:val="17"/>
              </w:rPr>
              <w:t>11</w:t>
            </w:r>
          </w:p>
        </w:tc>
        <w:tc>
          <w:tcPr>
            <w:tcW w:type="dxa" w:w="1008"/>
            <w:shd w:val="clear" w:color="auto" w:fill="F9D9A8"/>
          </w:tcPr>
          <w:p>
            <w:pPr>
              <w:spacing w:after="20"/>
            </w:pPr>
            <w:r/>
            <w:r>
              <w:rPr>
                <w:b w:val="0"/>
                <w:i w:val="0"/>
                <w:sz w:val="17"/>
              </w:rPr>
              <w:t>High</w:t>
            </w:r>
          </w:p>
        </w:tc>
        <w:tc>
          <w:tcPr>
            <w:tcW w:type="dxa" w:w="1872"/>
          </w:tcPr>
          <w:p>
            <w:pPr>
              <w:spacing w:after="20"/>
            </w:pPr>
            <w:r/>
            <w:r>
              <w:rPr>
                <w:b w:val="0"/>
                <w:i w:val="0"/>
                <w:sz w:val="17"/>
              </w:rPr>
              <w:t>Missing defaulting-underwriter provision; broken cross-reference</w:t>
            </w:r>
          </w:p>
        </w:tc>
        <w:tc>
          <w:tcPr>
            <w:tcW w:type="dxa" w:w="2448"/>
          </w:tcPr>
          <w:p>
            <w:pPr>
              <w:spacing w:after="20"/>
            </w:pPr>
            <w:r/>
            <w:r>
              <w:rPr>
                <w:b w:val="0"/>
                <w:i w:val="0"/>
                <w:sz w:val="17"/>
              </w:rPr>
              <w:t>UA 2(a) ("except as provided in Section 8")</w:t>
            </w:r>
          </w:p>
        </w:tc>
        <w:tc>
          <w:tcPr>
            <w:tcW w:type="dxa" w:w="5184"/>
          </w:tcPr>
          <w:p>
            <w:pPr>
              <w:spacing w:after="20"/>
            </w:pPr>
            <w:r/>
            <w:r>
              <w:rPr>
                <w:b w:val="0"/>
                <w:i w:val="0"/>
                <w:sz w:val="17"/>
              </w:rPr>
              <w:t>Section 8 contains only termination rights; there is no step-up / substitution mechanism if an Underwriter defaults. In a three-bank syndicate a single default (e.g., Aldersgate 60%) would leave the Company with no contractual remedy beyond damages and no right to postpone Closing.</w:t>
            </w:r>
          </w:p>
        </w:tc>
        <w:tc>
          <w:tcPr>
            <w:tcW w:type="dxa" w:w="2880"/>
          </w:tcPr>
          <w:p>
            <w:pPr>
              <w:spacing w:after="20"/>
            </w:pPr>
            <w:r/>
            <w:r>
              <w:rPr>
                <w:b w:val="0"/>
                <w:i w:val="0"/>
                <w:sz w:val="17"/>
              </w:rPr>
              <w:t>Insert a customary defaulting-underwriter clause (e.g., non-defaulting Underwriters take up to 1/11th excess; substitution period; Company right to postpone Closing up to 7 days) or delete the cross-reference.</w:t>
            </w:r>
          </w:p>
        </w:tc>
      </w:tr>
      <w:tr>
        <w:tc>
          <w:tcPr>
            <w:tcW w:type="dxa" w:w="432"/>
          </w:tcPr>
          <w:p>
            <w:pPr>
              <w:spacing w:after="20"/>
            </w:pPr>
            <w:r/>
            <w:r>
              <w:rPr>
                <w:b w:val="0"/>
                <w:i w:val="0"/>
                <w:sz w:val="17"/>
              </w:rPr>
              <w:t>12</w:t>
            </w:r>
          </w:p>
        </w:tc>
        <w:tc>
          <w:tcPr>
            <w:tcW w:type="dxa" w:w="1008"/>
            <w:shd w:val="clear" w:color="auto" w:fill="F9D9A8"/>
          </w:tcPr>
          <w:p>
            <w:pPr>
              <w:spacing w:after="20"/>
            </w:pPr>
            <w:r/>
            <w:r>
              <w:rPr>
                <w:b w:val="0"/>
                <w:i w:val="0"/>
                <w:sz w:val="17"/>
              </w:rPr>
              <w:t>High</w:t>
            </w:r>
          </w:p>
        </w:tc>
        <w:tc>
          <w:tcPr>
            <w:tcW w:type="dxa" w:w="1872"/>
          </w:tcPr>
          <w:p>
            <w:pPr>
              <w:spacing w:after="20"/>
            </w:pPr>
            <w:r/>
            <w:r>
              <w:rPr>
                <w:b w:val="0"/>
                <w:i w:val="0"/>
                <w:sz w:val="17"/>
              </w:rPr>
              <w:t>Settlement cycle description inaccurate</w:t>
            </w:r>
          </w:p>
        </w:tc>
        <w:tc>
          <w:tcPr>
            <w:tcW w:type="dxa" w:w="2448"/>
          </w:tcPr>
          <w:p>
            <w:pPr>
              <w:spacing w:after="20"/>
            </w:pPr>
            <w:r/>
            <w:r>
              <w:rPr>
                <w:b w:val="0"/>
                <w:i w:val="0"/>
                <w:sz w:val="17"/>
              </w:rPr>
              <w:t>UA 3</w:t>
            </w:r>
          </w:p>
        </w:tc>
        <w:tc>
          <w:tcPr>
            <w:tcW w:type="dxa" w:w="5184"/>
          </w:tcPr>
          <w:p>
            <w:pPr>
              <w:spacing w:after="20"/>
            </w:pPr>
            <w:r/>
            <w:r>
              <w:rPr>
                <w:b w:val="0"/>
                <w:i w:val="0"/>
                <w:sz w:val="17"/>
              </w:rPr>
              <w:t>The UA states T+3 settlement is "in accordance with Rule 15c6-1." Since May 28, 2024 Rule 15c6-1(a) prescribes T+1 (T+2 for firm commitment offerings priced after 4:30 p.m. under 15c6-1(c)); a longer cycle requires express agreement of the managing underwriter and issuer (15c6-1(d)). The Pricing Email also refers to T+3. Pricing occurred June 10, so the trade date should be confirmed.</w:t>
            </w:r>
          </w:p>
        </w:tc>
        <w:tc>
          <w:tcPr>
            <w:tcW w:type="dxa" w:w="2880"/>
          </w:tcPr>
          <w:p>
            <w:pPr>
              <w:spacing w:after="20"/>
            </w:pPr>
            <w:r/>
            <w:r>
              <w:rPr>
                <w:b w:val="0"/>
                <w:i w:val="0"/>
                <w:sz w:val="17"/>
              </w:rPr>
              <w:t>Revise to: "the parties hereby expressly agree, for purposes of Rule 15c6-1(d), that settlement shall occur on June 16, 2025"; confirm Prospectus cover/Underwriting section discloses the extended settlement and its effect on secondary trading.</w:t>
            </w:r>
          </w:p>
        </w:tc>
      </w:tr>
      <w:tr>
        <w:tc>
          <w:tcPr>
            <w:tcW w:type="dxa" w:w="432"/>
          </w:tcPr>
          <w:p>
            <w:pPr>
              <w:spacing w:after="20"/>
            </w:pPr>
            <w:r/>
            <w:r>
              <w:rPr>
                <w:b w:val="0"/>
                <w:i w:val="0"/>
                <w:sz w:val="17"/>
              </w:rPr>
              <w:t>13</w:t>
            </w:r>
          </w:p>
        </w:tc>
        <w:tc>
          <w:tcPr>
            <w:tcW w:type="dxa" w:w="1008"/>
            <w:shd w:val="clear" w:color="auto" w:fill="FFF2B3"/>
          </w:tcPr>
          <w:p>
            <w:pPr>
              <w:spacing w:after="20"/>
            </w:pPr>
            <w:r/>
            <w:r>
              <w:rPr>
                <w:b w:val="0"/>
                <w:i w:val="0"/>
                <w:sz w:val="17"/>
              </w:rPr>
              <w:t>Medium</w:t>
            </w:r>
          </w:p>
        </w:tc>
        <w:tc>
          <w:tcPr>
            <w:tcW w:type="dxa" w:w="1872"/>
          </w:tcPr>
          <w:p>
            <w:pPr>
              <w:spacing w:after="20"/>
            </w:pPr>
            <w:r/>
            <w:r>
              <w:rPr>
                <w:b w:val="0"/>
                <w:i w:val="0"/>
                <w:sz w:val="17"/>
              </w:rPr>
              <w:t>Lock-up waiver provisions conflict</w:t>
            </w:r>
          </w:p>
        </w:tc>
        <w:tc>
          <w:tcPr>
            <w:tcW w:type="dxa" w:w="2448"/>
          </w:tcPr>
          <w:p>
            <w:pPr>
              <w:spacing w:after="20"/>
            </w:pPr>
            <w:r/>
            <w:r>
              <w:rPr>
                <w:b w:val="0"/>
                <w:i w:val="0"/>
                <w:sz w:val="17"/>
              </w:rPr>
              <w:t>UA 5(l) vs. 12(b); Checklist Item 38</w:t>
            </w:r>
          </w:p>
        </w:tc>
        <w:tc>
          <w:tcPr>
            <w:tcW w:type="dxa" w:w="5184"/>
          </w:tcPr>
          <w:p>
            <w:pPr>
              <w:spacing w:after="20"/>
            </w:pPr>
            <w:r/>
            <w:r>
              <w:rPr>
                <w:b w:val="0"/>
                <w:i w:val="0"/>
                <w:sz w:val="17"/>
              </w:rPr>
              <w:t>5(l) allows release "at any time, with or without notice to any party"; 12(b) requires 3 business days’ prior notice to the Company and a Company press release 2 business days before effectiveness (consistent with FINRA Rule 5131(d)(2) for officers and directors).</w:t>
            </w:r>
          </w:p>
        </w:tc>
        <w:tc>
          <w:tcPr>
            <w:tcW w:type="dxa" w:w="2880"/>
          </w:tcPr>
          <w:p>
            <w:pPr>
              <w:spacing w:after="20"/>
            </w:pPr>
            <w:r/>
            <w:r>
              <w:rPr>
                <w:b w:val="0"/>
                <w:i w:val="0"/>
                <w:sz w:val="17"/>
              </w:rPr>
              <w:t>Delete "with or without notice to any party" from 5(l) and cross-refer to 12(b).</w:t>
            </w:r>
          </w:p>
        </w:tc>
      </w:tr>
      <w:tr>
        <w:tc>
          <w:tcPr>
            <w:tcW w:type="dxa" w:w="432"/>
          </w:tcPr>
          <w:p>
            <w:pPr>
              <w:spacing w:after="20"/>
            </w:pPr>
            <w:r/>
            <w:r>
              <w:rPr>
                <w:b w:val="0"/>
                <w:i w:val="0"/>
                <w:sz w:val="17"/>
              </w:rPr>
              <w:t>14</w:t>
            </w:r>
          </w:p>
        </w:tc>
        <w:tc>
          <w:tcPr>
            <w:tcW w:type="dxa" w:w="1008"/>
            <w:shd w:val="clear" w:color="auto" w:fill="FFF2B3"/>
          </w:tcPr>
          <w:p>
            <w:pPr>
              <w:spacing w:after="20"/>
            </w:pPr>
            <w:r/>
            <w:r>
              <w:rPr>
                <w:b w:val="0"/>
                <w:i w:val="0"/>
                <w:sz w:val="17"/>
              </w:rPr>
              <w:t>Medium</w:t>
            </w:r>
          </w:p>
        </w:tc>
        <w:tc>
          <w:tcPr>
            <w:tcW w:type="dxa" w:w="1872"/>
          </w:tcPr>
          <w:p>
            <w:pPr>
              <w:spacing w:after="20"/>
            </w:pPr>
            <w:r/>
            <w:r>
              <w:rPr>
                <w:b w:val="0"/>
                <w:i w:val="0"/>
                <w:sz w:val="17"/>
              </w:rPr>
              <w:t>No Company lock-up covenant</w:t>
            </w:r>
          </w:p>
        </w:tc>
        <w:tc>
          <w:tcPr>
            <w:tcW w:type="dxa" w:w="2448"/>
          </w:tcPr>
          <w:p>
            <w:pPr>
              <w:spacing w:after="20"/>
            </w:pPr>
            <w:r/>
            <w:r>
              <w:rPr>
                <w:b w:val="0"/>
                <w:i w:val="0"/>
                <w:sz w:val="17"/>
              </w:rPr>
              <w:t>UA Sections 4–5</w:t>
            </w:r>
          </w:p>
        </w:tc>
        <w:tc>
          <w:tcPr>
            <w:tcW w:type="dxa" w:w="5184"/>
          </w:tcPr>
          <w:p>
            <w:pPr>
              <w:spacing w:after="20"/>
            </w:pPr>
            <w:r/>
            <w:r>
              <w:rPr>
                <w:b w:val="0"/>
                <w:i w:val="0"/>
                <w:sz w:val="17"/>
              </w:rPr>
              <w:t>No covenant restricts the Company from issuing, selling or registering Common Stock during the 180-day period (customary, with carve-outs for equity plans, Form S-8 and the offering itself). Underwriters’ Counsel will expect one; Prospectus lock-up disclosure must match.</w:t>
            </w:r>
          </w:p>
        </w:tc>
        <w:tc>
          <w:tcPr>
            <w:tcW w:type="dxa" w:w="2880"/>
          </w:tcPr>
          <w:p>
            <w:pPr>
              <w:spacing w:after="20"/>
            </w:pPr>
            <w:r/>
            <w:r>
              <w:rPr>
                <w:b w:val="0"/>
                <w:i w:val="0"/>
                <w:sz w:val="17"/>
              </w:rPr>
              <w:t>Confirm intended deal; add Company lock-up with customary exceptions if agreed.</w:t>
            </w:r>
          </w:p>
        </w:tc>
      </w:tr>
      <w:tr>
        <w:tc>
          <w:tcPr>
            <w:tcW w:type="dxa" w:w="432"/>
          </w:tcPr>
          <w:p>
            <w:pPr>
              <w:spacing w:after="20"/>
            </w:pPr>
            <w:r/>
            <w:r>
              <w:rPr>
                <w:b w:val="0"/>
                <w:i w:val="0"/>
                <w:sz w:val="17"/>
              </w:rPr>
              <w:t>15</w:t>
            </w:r>
          </w:p>
        </w:tc>
        <w:tc>
          <w:tcPr>
            <w:tcW w:type="dxa" w:w="1008"/>
            <w:shd w:val="clear" w:color="auto" w:fill="FFF2B3"/>
          </w:tcPr>
          <w:p>
            <w:pPr>
              <w:spacing w:after="20"/>
            </w:pPr>
            <w:r/>
            <w:r>
              <w:rPr>
                <w:b w:val="0"/>
                <w:i w:val="0"/>
                <w:sz w:val="17"/>
              </w:rPr>
              <w:t>Medium</w:t>
            </w:r>
          </w:p>
        </w:tc>
        <w:tc>
          <w:tcPr>
            <w:tcW w:type="dxa" w:w="1872"/>
          </w:tcPr>
          <w:p>
            <w:pPr>
              <w:spacing w:after="20"/>
            </w:pPr>
            <w:r/>
            <w:r>
              <w:rPr>
                <w:b w:val="0"/>
                <w:i w:val="0"/>
                <w:sz w:val="17"/>
              </w:rPr>
              <w:t>Research analyst involved in distribution</w:t>
            </w:r>
          </w:p>
        </w:tc>
        <w:tc>
          <w:tcPr>
            <w:tcW w:type="dxa" w:w="2448"/>
          </w:tcPr>
          <w:p>
            <w:pPr>
              <w:spacing w:after="20"/>
            </w:pPr>
            <w:r/>
            <w:r>
              <w:rPr>
                <w:b w:val="0"/>
                <w:i w:val="0"/>
                <w:sz w:val="17"/>
              </w:rPr>
              <w:t>Pricing Email (Dr. Priya Nair "particularly helpful in placing shares"); Checklist contacts ("Coverage Analyst")</w:t>
            </w:r>
          </w:p>
        </w:tc>
        <w:tc>
          <w:tcPr>
            <w:tcW w:type="dxa" w:w="5184"/>
          </w:tcPr>
          <w:p>
            <w:pPr>
              <w:spacing w:after="20"/>
            </w:pPr>
            <w:r/>
            <w:r>
              <w:rPr>
                <w:b w:val="0"/>
                <w:i w:val="0"/>
                <w:sz w:val="17"/>
              </w:rPr>
              <w:t>If Dr. Nair is a research analyst, participation in placing IPO shares with investors raises FINRA Rule 2241 / Global Research Analyst Settlement concerns (analysts may not solicit or market investment banking transactions), relevant also to the 5(i) research quiet period.</w:t>
            </w:r>
          </w:p>
        </w:tc>
        <w:tc>
          <w:tcPr>
            <w:tcW w:type="dxa" w:w="2880"/>
          </w:tcPr>
          <w:p>
            <w:pPr>
              <w:spacing w:after="20"/>
            </w:pPr>
            <w:r/>
            <w:r>
              <w:rPr>
                <w:b w:val="0"/>
                <w:i w:val="0"/>
                <w:sz w:val="17"/>
              </w:rPr>
              <w:t>Ask Haldane compliance to confirm Dr. Nair’s role and that no prohibited analyst communications occurred; avoid repeating the characterization in written deal communications.</w:t>
            </w:r>
          </w:p>
        </w:tc>
      </w:tr>
      <w:tr>
        <w:tc>
          <w:tcPr>
            <w:tcW w:type="dxa" w:w="432"/>
          </w:tcPr>
          <w:p>
            <w:pPr>
              <w:spacing w:after="20"/>
            </w:pPr>
            <w:r/>
            <w:r>
              <w:rPr>
                <w:b w:val="0"/>
                <w:i w:val="0"/>
                <w:sz w:val="17"/>
              </w:rPr>
              <w:t>16</w:t>
            </w:r>
          </w:p>
        </w:tc>
        <w:tc>
          <w:tcPr>
            <w:tcW w:type="dxa" w:w="1008"/>
            <w:shd w:val="clear" w:color="auto" w:fill="FFF2B3"/>
          </w:tcPr>
          <w:p>
            <w:pPr>
              <w:spacing w:after="20"/>
            </w:pPr>
            <w:r/>
            <w:r>
              <w:rPr>
                <w:b w:val="0"/>
                <w:i w:val="0"/>
                <w:sz w:val="17"/>
              </w:rPr>
              <w:t>Medium</w:t>
            </w:r>
          </w:p>
        </w:tc>
        <w:tc>
          <w:tcPr>
            <w:tcW w:type="dxa" w:w="1872"/>
          </w:tcPr>
          <w:p>
            <w:pPr>
              <w:spacing w:after="20"/>
            </w:pPr>
            <w:r/>
            <w:r>
              <w:rPr>
                <w:b w:val="0"/>
                <w:i w:val="0"/>
                <w:sz w:val="17"/>
              </w:rPr>
              <w:t>Missing / placeholder components</w:t>
            </w:r>
          </w:p>
        </w:tc>
        <w:tc>
          <w:tcPr>
            <w:tcW w:type="dxa" w:w="2448"/>
          </w:tcPr>
          <w:p>
            <w:pPr>
              <w:spacing w:after="20"/>
            </w:pPr>
            <w:r/>
            <w:r>
              <w:rPr>
                <w:b w:val="0"/>
                <w:i w:val="0"/>
                <w:sz w:val="17"/>
              </w:rPr>
              <w:t>UA Recitals, 1(a), 5(d); Checklist Item 1</w:t>
            </w:r>
          </w:p>
        </w:tc>
        <w:tc>
          <w:tcPr>
            <w:tcW w:type="dxa" w:w="5184"/>
          </w:tcPr>
          <w:p>
            <w:pPr>
              <w:spacing w:after="20"/>
            </w:pPr>
            <w:r/>
            <w:r>
              <w:rPr>
                <w:b w:val="0"/>
                <w:i w:val="0"/>
                <w:sz w:val="17"/>
              </w:rPr>
              <w:t>S-1 file number is a placeholder (333-XXXXXX in UA; 333-XXXXX in Checklist). Schedule C (FWPs) is referenced but not attached; the UA has an Exhibit B but no Exhibit A; Company signature block omits the CFO although the email chain contemplates signatures by both Dr. Johanssen and Mr. Delgado; a "Right-click to update Table of Contents" field artifact remains; Recital 7 ends with a dangling "; and".</w:t>
            </w:r>
          </w:p>
        </w:tc>
        <w:tc>
          <w:tcPr>
            <w:tcW w:type="dxa" w:w="2880"/>
          </w:tcPr>
          <w:p>
            <w:pPr>
              <w:spacing w:after="20"/>
            </w:pPr>
            <w:r/>
            <w:r>
              <w:rPr>
                <w:b w:val="0"/>
                <w:i w:val="0"/>
                <w:sz w:val="17"/>
              </w:rPr>
              <w:t>Insert file number; attach Schedule C (or state "None"); re-letter exhibits; confirm signatories; clean up drafting artifacts before circulation.</w:t>
            </w:r>
          </w:p>
        </w:tc>
      </w:tr>
      <w:tr>
        <w:tc>
          <w:tcPr>
            <w:tcW w:type="dxa" w:w="432"/>
          </w:tcPr>
          <w:p>
            <w:pPr>
              <w:spacing w:after="20"/>
            </w:pPr>
            <w:r/>
            <w:r>
              <w:rPr>
                <w:b w:val="0"/>
                <w:i w:val="0"/>
                <w:sz w:val="17"/>
              </w:rPr>
              <w:t>17</w:t>
            </w:r>
          </w:p>
        </w:tc>
        <w:tc>
          <w:tcPr>
            <w:tcW w:type="dxa" w:w="1008"/>
            <w:shd w:val="clear" w:color="auto" w:fill="FFF2B3"/>
          </w:tcPr>
          <w:p>
            <w:pPr>
              <w:spacing w:after="20"/>
            </w:pPr>
            <w:r/>
            <w:r>
              <w:rPr>
                <w:b w:val="0"/>
                <w:i w:val="0"/>
                <w:sz w:val="17"/>
              </w:rPr>
              <w:t>Medium</w:t>
            </w:r>
          </w:p>
        </w:tc>
        <w:tc>
          <w:tcPr>
            <w:tcW w:type="dxa" w:w="1872"/>
          </w:tcPr>
          <w:p>
            <w:pPr>
              <w:spacing w:after="20"/>
            </w:pPr>
            <w:r/>
            <w:r>
              <w:rPr>
                <w:b w:val="0"/>
                <w:i w:val="0"/>
                <w:sz w:val="17"/>
              </w:rPr>
              <w:t>Overallotment closing window</w:t>
            </w:r>
          </w:p>
        </w:tc>
        <w:tc>
          <w:tcPr>
            <w:tcW w:type="dxa" w:w="2448"/>
          </w:tcPr>
          <w:p>
            <w:pPr>
              <w:spacing w:after="20"/>
            </w:pPr>
            <w:r/>
            <w:r>
              <w:rPr>
                <w:b w:val="0"/>
                <w:i w:val="0"/>
                <w:sz w:val="17"/>
              </w:rPr>
              <w:t>UA 2(b), 3; Checklist Item 36</w:t>
            </w:r>
          </w:p>
        </w:tc>
        <w:tc>
          <w:tcPr>
            <w:tcW w:type="dxa" w:w="5184"/>
          </w:tcPr>
          <w:p>
            <w:pPr>
              <w:spacing w:after="20"/>
            </w:pPr>
            <w:r/>
            <w:r>
              <w:rPr>
                <w:b w:val="0"/>
                <w:i w:val="0"/>
                <w:sz w:val="17"/>
              </w:rPr>
              <w:t>Additional Closing must be no earlier than 1 and no later than 2 business days after notice. 2(b) and 3 are consistent on the outside date, but the 1-day minimum is omitted in Checklist Item 36, and the window gives little time to deliver bring-down opinions, officers’ certificate and comfort letter (Checklist Item 37).</w:t>
            </w:r>
          </w:p>
        </w:tc>
        <w:tc>
          <w:tcPr>
            <w:tcW w:type="dxa" w:w="2880"/>
          </w:tcPr>
          <w:p>
            <w:pPr>
              <w:spacing w:after="20"/>
            </w:pPr>
            <w:r/>
            <w:r>
              <w:rPr>
                <w:b w:val="0"/>
                <w:i w:val="0"/>
                <w:sz w:val="17"/>
              </w:rPr>
              <w:t>Confirm acceptable to Company/auditors; consider customary 1–10 business day window; conform Checklist.</w:t>
            </w:r>
          </w:p>
        </w:tc>
      </w:tr>
      <w:tr>
        <w:tc>
          <w:tcPr>
            <w:tcW w:type="dxa" w:w="432"/>
          </w:tcPr>
          <w:p>
            <w:pPr>
              <w:spacing w:after="20"/>
            </w:pPr>
            <w:r/>
            <w:r>
              <w:rPr>
                <w:b w:val="0"/>
                <w:i w:val="0"/>
                <w:sz w:val="17"/>
              </w:rPr>
              <w:t>18</w:t>
            </w:r>
          </w:p>
        </w:tc>
        <w:tc>
          <w:tcPr>
            <w:tcW w:type="dxa" w:w="1008"/>
            <w:shd w:val="clear" w:color="auto" w:fill="DDEBD6"/>
          </w:tcPr>
          <w:p>
            <w:pPr>
              <w:spacing w:after="20"/>
            </w:pPr>
            <w:r/>
            <w:r>
              <w:rPr>
                <w:b w:val="0"/>
                <w:i w:val="0"/>
                <w:sz w:val="17"/>
              </w:rPr>
              <w:t>Low</w:t>
            </w:r>
          </w:p>
        </w:tc>
        <w:tc>
          <w:tcPr>
            <w:tcW w:type="dxa" w:w="1872"/>
          </w:tcPr>
          <w:p>
            <w:pPr>
              <w:spacing w:after="20"/>
            </w:pPr>
            <w:r/>
            <w:r>
              <w:rPr>
                <w:b w:val="0"/>
                <w:i w:val="0"/>
                <w:sz w:val="17"/>
              </w:rPr>
              <w:t>Regulation M citation</w:t>
            </w:r>
          </w:p>
        </w:tc>
        <w:tc>
          <w:tcPr>
            <w:tcW w:type="dxa" w:w="2448"/>
          </w:tcPr>
          <w:p>
            <w:pPr>
              <w:spacing w:after="20"/>
            </w:pPr>
            <w:r/>
            <w:r>
              <w:rPr>
                <w:b w:val="0"/>
                <w:i w:val="0"/>
                <w:sz w:val="17"/>
              </w:rPr>
              <w:t>UA 5(h)</w:t>
            </w:r>
          </w:p>
        </w:tc>
        <w:tc>
          <w:tcPr>
            <w:tcW w:type="dxa" w:w="5184"/>
          </w:tcPr>
          <w:p>
            <w:pPr>
              <w:spacing w:after="20"/>
            </w:pPr>
            <w:r/>
            <w:r>
              <w:rPr>
                <w:b w:val="0"/>
                <w:i w:val="0"/>
                <w:sz w:val="17"/>
              </w:rPr>
              <w:t>Rule 104 of Regulation M is cited as "under the Securities Act of 1933"; Regulation M is promulgated under the Exchange Act (17 C.F.R. Part 242).</w:t>
            </w:r>
          </w:p>
        </w:tc>
        <w:tc>
          <w:tcPr>
            <w:tcW w:type="dxa" w:w="2880"/>
          </w:tcPr>
          <w:p>
            <w:pPr>
              <w:spacing w:after="20"/>
            </w:pPr>
            <w:r/>
            <w:r>
              <w:rPr>
                <w:b w:val="0"/>
                <w:i w:val="0"/>
                <w:sz w:val="17"/>
              </w:rPr>
              <w:t>Correct citation.</w:t>
            </w:r>
          </w:p>
        </w:tc>
      </w:tr>
      <w:tr>
        <w:tc>
          <w:tcPr>
            <w:tcW w:type="dxa" w:w="432"/>
          </w:tcPr>
          <w:p>
            <w:pPr>
              <w:spacing w:after="20"/>
            </w:pPr>
            <w:r/>
            <w:r>
              <w:rPr>
                <w:b w:val="0"/>
                <w:i w:val="0"/>
                <w:sz w:val="17"/>
              </w:rPr>
              <w:t>19</w:t>
            </w:r>
          </w:p>
        </w:tc>
        <w:tc>
          <w:tcPr>
            <w:tcW w:type="dxa" w:w="1008"/>
            <w:shd w:val="clear" w:color="auto" w:fill="DDEBD6"/>
          </w:tcPr>
          <w:p>
            <w:pPr>
              <w:spacing w:after="20"/>
            </w:pPr>
            <w:r/>
            <w:r>
              <w:rPr>
                <w:b w:val="0"/>
                <w:i w:val="0"/>
                <w:sz w:val="17"/>
              </w:rPr>
              <w:t>Low</w:t>
            </w:r>
          </w:p>
        </w:tc>
        <w:tc>
          <w:tcPr>
            <w:tcW w:type="dxa" w:w="1872"/>
          </w:tcPr>
          <w:p>
            <w:pPr>
              <w:spacing w:after="20"/>
            </w:pPr>
            <w:r/>
            <w:r>
              <w:rPr>
                <w:b w:val="0"/>
                <w:i w:val="0"/>
                <w:sz w:val="17"/>
              </w:rPr>
              <w:t>Checklist cross-reference errors</w:t>
            </w:r>
          </w:p>
        </w:tc>
        <w:tc>
          <w:tcPr>
            <w:tcW w:type="dxa" w:w="2448"/>
          </w:tcPr>
          <w:p>
            <w:pPr>
              <w:spacing w:after="20"/>
            </w:pPr>
            <w:r/>
            <w:r>
              <w:rPr>
                <w:b w:val="0"/>
                <w:i w:val="0"/>
                <w:sz w:val="17"/>
              </w:rPr>
              <w:t>Checklist Items 30, 32, 12, 8, 9</w:t>
            </w:r>
          </w:p>
        </w:tc>
        <w:tc>
          <w:tcPr>
            <w:tcW w:type="dxa" w:w="5184"/>
          </w:tcPr>
          <w:p>
            <w:pPr>
              <w:spacing w:after="20"/>
            </w:pPr>
            <w:r/>
            <w:r>
              <w:rPr>
                <w:b w:val="0"/>
                <w:i w:val="0"/>
                <w:sz w:val="17"/>
              </w:rPr>
              <w:t>Item 30 cites Section 4(b) for the $375,000 cap (should be 4(a)) and omits Underwriters’ Counsel fees from the covered categories; Item 32 cites Section 7(e) for no-MAC (should be 7(j)); Item 12 cites Section 3 rather than 7(d)(ii); Item 8 omits officers’ certificate items (iii)–(iv); Item 9 adds IP matters not in 7(b).</w:t>
            </w:r>
          </w:p>
        </w:tc>
        <w:tc>
          <w:tcPr>
            <w:tcW w:type="dxa" w:w="2880"/>
          </w:tcPr>
          <w:p>
            <w:pPr>
              <w:spacing w:after="20"/>
            </w:pPr>
            <w:r/>
            <w:r>
              <w:rPr>
                <w:b w:val="0"/>
                <w:i w:val="0"/>
                <w:sz w:val="17"/>
              </w:rPr>
              <w:t>Conform Checklist.</w:t>
            </w:r>
          </w:p>
        </w:tc>
      </w:tr>
      <w:tr>
        <w:tc>
          <w:tcPr>
            <w:tcW w:type="dxa" w:w="432"/>
          </w:tcPr>
          <w:p>
            <w:pPr>
              <w:spacing w:after="20"/>
            </w:pPr>
            <w:r/>
            <w:r>
              <w:rPr>
                <w:b w:val="0"/>
                <w:i w:val="0"/>
                <w:sz w:val="17"/>
              </w:rPr>
              <w:t>20</w:t>
            </w:r>
          </w:p>
        </w:tc>
        <w:tc>
          <w:tcPr>
            <w:tcW w:type="dxa" w:w="1008"/>
            <w:shd w:val="clear" w:color="auto" w:fill="DDEBD6"/>
          </w:tcPr>
          <w:p>
            <w:pPr>
              <w:spacing w:after="20"/>
            </w:pPr>
            <w:r/>
            <w:r>
              <w:rPr>
                <w:b w:val="0"/>
                <w:i w:val="0"/>
                <w:sz w:val="17"/>
              </w:rPr>
              <w:t>Low</w:t>
            </w:r>
          </w:p>
        </w:tc>
        <w:tc>
          <w:tcPr>
            <w:tcW w:type="dxa" w:w="1872"/>
          </w:tcPr>
          <w:p>
            <w:pPr>
              <w:spacing w:after="20"/>
            </w:pPr>
            <w:r/>
            <w:r>
              <w:rPr>
                <w:b w:val="0"/>
                <w:i w:val="0"/>
                <w:sz w:val="17"/>
              </w:rPr>
              <w:t>Spreadsheet cross-reference and construction</w:t>
            </w:r>
          </w:p>
        </w:tc>
        <w:tc>
          <w:tcPr>
            <w:tcW w:type="dxa" w:w="2448"/>
          </w:tcPr>
          <w:p>
            <w:pPr>
              <w:spacing w:after="20"/>
            </w:pPr>
            <w:r/>
            <w:r>
              <w:rPr>
                <w:b w:val="0"/>
                <w:i w:val="0"/>
                <w:sz w:val="17"/>
              </w:rPr>
              <w:t>Allocation Spreadsheet Notes tab, Note 5</w:t>
            </w:r>
          </w:p>
        </w:tc>
        <w:tc>
          <w:tcPr>
            <w:tcW w:type="dxa" w:w="5184"/>
          </w:tcPr>
          <w:p>
            <w:pPr>
              <w:spacing w:after="20"/>
            </w:pPr>
            <w:r/>
            <w:r>
              <w:rPr>
                <w:b w:val="0"/>
                <w:i w:val="0"/>
                <w:sz w:val="17"/>
              </w:rPr>
              <w:t>Note 5 cites Section 10 (contribution) for several-not-joint underwriting obligations; the relevant provisions are Sections 2(a), 2(b) and Schedule A. All amounts are hard-coded text strings, not formulas.</w:t>
            </w:r>
          </w:p>
        </w:tc>
        <w:tc>
          <w:tcPr>
            <w:tcW w:type="dxa" w:w="2880"/>
          </w:tcPr>
          <w:p>
            <w:pPr>
              <w:spacing w:after="20"/>
            </w:pPr>
            <w:r/>
            <w:r>
              <w:rPr>
                <w:b w:val="0"/>
                <w:i w:val="0"/>
                <w:sz w:val="17"/>
              </w:rPr>
              <w:t>Correct reference; rebuild with formulas.</w:t>
            </w:r>
          </w:p>
        </w:tc>
      </w:tr>
      <w:tr>
        <w:tc>
          <w:tcPr>
            <w:tcW w:type="dxa" w:w="432"/>
          </w:tcPr>
          <w:p>
            <w:pPr>
              <w:spacing w:after="20"/>
            </w:pPr>
            <w:r/>
            <w:r>
              <w:rPr>
                <w:b w:val="0"/>
                <w:i w:val="0"/>
                <w:sz w:val="17"/>
              </w:rPr>
              <w:t>21</w:t>
            </w:r>
          </w:p>
        </w:tc>
        <w:tc>
          <w:tcPr>
            <w:tcW w:type="dxa" w:w="1008"/>
            <w:shd w:val="clear" w:color="auto" w:fill="DDEBD6"/>
          </w:tcPr>
          <w:p>
            <w:pPr>
              <w:spacing w:after="20"/>
            </w:pPr>
            <w:r/>
            <w:r>
              <w:rPr>
                <w:b w:val="0"/>
                <w:i w:val="0"/>
                <w:sz w:val="17"/>
              </w:rPr>
              <w:t>Low</w:t>
            </w:r>
          </w:p>
        </w:tc>
        <w:tc>
          <w:tcPr>
            <w:tcW w:type="dxa" w:w="1872"/>
          </w:tcPr>
          <w:p>
            <w:pPr>
              <w:spacing w:after="20"/>
            </w:pPr>
            <w:r/>
            <w:r>
              <w:rPr>
                <w:b w:val="0"/>
                <w:i w:val="0"/>
                <w:sz w:val="17"/>
              </w:rPr>
              <w:t>Status of UA execution</w:t>
            </w:r>
          </w:p>
        </w:tc>
        <w:tc>
          <w:tcPr>
            <w:tcW w:type="dxa" w:w="2448"/>
          </w:tcPr>
          <w:p>
            <w:pPr>
              <w:spacing w:after="20"/>
            </w:pPr>
            <w:r/>
            <w:r>
              <w:rPr>
                <w:b w:val="0"/>
                <w:i w:val="0"/>
                <w:sz w:val="17"/>
              </w:rPr>
              <w:t>Checklist Item 5</w:t>
            </w:r>
          </w:p>
        </w:tc>
        <w:tc>
          <w:tcPr>
            <w:tcW w:type="dxa" w:w="5184"/>
          </w:tcPr>
          <w:p>
            <w:pPr>
              <w:spacing w:after="20"/>
            </w:pPr>
            <w:r/>
            <w:r>
              <w:rPr>
                <w:b w:val="0"/>
                <w:i w:val="0"/>
                <w:sz w:val="17"/>
              </w:rPr>
              <w:t>Item 5 shows the UA as "Executed" on a checklist dated the morning of June 11, when the email chain shows signature pages only being circulated and the UA signature blocks are blank.</w:t>
            </w:r>
          </w:p>
        </w:tc>
        <w:tc>
          <w:tcPr>
            <w:tcW w:type="dxa" w:w="2880"/>
          </w:tcPr>
          <w:p>
            <w:pPr>
              <w:spacing w:after="20"/>
            </w:pPr>
            <w:r/>
            <w:r>
              <w:rPr>
                <w:b w:val="0"/>
                <w:i w:val="0"/>
                <w:sz w:val="17"/>
              </w:rPr>
              <w:t>Update status upon actual execution.</w:t>
            </w:r>
          </w:p>
        </w:tc>
      </w:tr>
    </w:tbl>
    <w:p>
      <w:pPr>
        <w:spacing w:after="40"/>
      </w:pPr>
    </w:p>
    <w:p>
      <w:pPr>
        <w:pStyle w:val="Heading1"/>
      </w:pPr>
      <w:r>
        <w:t>Part IV — Arithmetic Verification</w:t>
      </w:r>
    </w:p>
    <w:tbl>
      <w:tblPr>
        <w:tblStyle w:val="TableGrid"/>
        <w:tblW w:type="auto" w:w="0"/>
        <w:jc w:val="center"/>
        <w:tblLayout w:type="fixed"/>
        <w:tblLook w:firstColumn="1" w:firstRow="1" w:lastColumn="0" w:lastRow="0" w:noHBand="0" w:noVBand="1" w:val="04A0"/>
      </w:tblPr>
      <w:tblGrid>
        <w:gridCol w:w="3456"/>
        <w:gridCol w:w="3456"/>
        <w:gridCol w:w="3456"/>
        <w:gridCol w:w="3456"/>
      </w:tblGrid>
      <w:tr>
        <w:trPr>
          <w:tblHeader w:val="true"/>
        </w:trPr>
        <w:tc>
          <w:tcPr>
            <w:tcW w:type="dxa" w:w="4320"/>
            <w:shd w:val="clear" w:color="auto" w:fill="1F3A5F"/>
          </w:tcPr>
          <w:p>
            <w:r/>
            <w:r>
              <w:rPr>
                <w:b/>
                <w:color w:val="FFFFFF"/>
                <w:sz w:val="18"/>
              </w:rPr>
              <w:t>Calculation</w:t>
            </w:r>
          </w:p>
        </w:tc>
        <w:tc>
          <w:tcPr>
            <w:tcW w:type="dxa" w:w="3168"/>
            <w:shd w:val="clear" w:color="auto" w:fill="1F3A5F"/>
          </w:tcPr>
          <w:p>
            <w:r/>
            <w:r>
              <w:rPr>
                <w:b/>
                <w:color w:val="FFFFFF"/>
                <w:sz w:val="18"/>
              </w:rPr>
              <w:t>Result</w:t>
            </w:r>
          </w:p>
        </w:tc>
        <w:tc>
          <w:tcPr>
            <w:tcW w:type="dxa" w:w="4032"/>
            <w:shd w:val="clear" w:color="auto" w:fill="1F3A5F"/>
          </w:tcPr>
          <w:p>
            <w:r/>
            <w:r>
              <w:rPr>
                <w:b/>
                <w:color w:val="FFFFFF"/>
                <w:sz w:val="18"/>
              </w:rPr>
              <w:t>Document figure</w:t>
            </w:r>
          </w:p>
        </w:tc>
        <w:tc>
          <w:tcPr>
            <w:tcW w:type="dxa" w:w="2304"/>
            <w:shd w:val="clear" w:color="auto" w:fill="1F3A5F"/>
          </w:tcPr>
          <w:p>
            <w:r/>
            <w:r>
              <w:rPr>
                <w:b/>
                <w:color w:val="FFFFFF"/>
                <w:sz w:val="18"/>
              </w:rPr>
              <w:t>Status</w:t>
            </w:r>
          </w:p>
        </w:tc>
      </w:tr>
      <w:tr>
        <w:tc>
          <w:tcPr>
            <w:tcW w:type="dxa" w:w="4320"/>
          </w:tcPr>
          <w:p>
            <w:pPr>
              <w:spacing w:after="20"/>
            </w:pPr>
            <w:r/>
            <w:r>
              <w:rPr>
                <w:b w:val="0"/>
                <w:i w:val="0"/>
                <w:sz w:val="18"/>
              </w:rPr>
              <w:t>$18.00 − $1.26</w:t>
            </w:r>
          </w:p>
        </w:tc>
        <w:tc>
          <w:tcPr>
            <w:tcW w:type="dxa" w:w="3168"/>
          </w:tcPr>
          <w:p>
            <w:pPr>
              <w:spacing w:after="20"/>
            </w:pPr>
            <w:r/>
            <w:r>
              <w:rPr>
                <w:b w:val="0"/>
                <w:i w:val="0"/>
                <w:sz w:val="18"/>
              </w:rPr>
              <w:t>$16.74</w:t>
            </w:r>
          </w:p>
        </w:tc>
        <w:tc>
          <w:tcPr>
            <w:tcW w:type="dxa" w:w="4032"/>
          </w:tcPr>
          <w:p>
            <w:pPr>
              <w:spacing w:after="20"/>
            </w:pPr>
            <w:r/>
            <w:r>
              <w:rPr>
                <w:b w:val="0"/>
                <w:i w:val="0"/>
                <w:sz w:val="18"/>
              </w:rPr>
              <w:t>$16.74 (all)</w:t>
            </w:r>
          </w:p>
        </w:tc>
        <w:tc>
          <w:tcPr>
            <w:tcW w:type="dxa" w:w="2304"/>
          </w:tcPr>
          <w:p>
            <w:pPr>
              <w:spacing w:after="20"/>
            </w:pPr>
            <w:r/>
            <w:r>
              <w:rPr>
                <w:b w:val="0"/>
                <w:i w:val="0"/>
                <w:sz w:val="18"/>
              </w:rPr>
              <w:t>Verified</w:t>
            </w:r>
          </w:p>
        </w:tc>
      </w:tr>
      <w:tr>
        <w:tc>
          <w:tcPr>
            <w:tcW w:type="dxa" w:w="4320"/>
          </w:tcPr>
          <w:p>
            <w:pPr>
              <w:spacing w:after="20"/>
            </w:pPr>
            <w:r/>
            <w:r>
              <w:rPr>
                <w:b w:val="0"/>
                <w:i w:val="0"/>
                <w:sz w:val="18"/>
              </w:rPr>
              <w:t>$1.26 / $18.00</w:t>
            </w:r>
          </w:p>
        </w:tc>
        <w:tc>
          <w:tcPr>
            <w:tcW w:type="dxa" w:w="3168"/>
          </w:tcPr>
          <w:p>
            <w:pPr>
              <w:spacing w:after="20"/>
            </w:pPr>
            <w:r/>
            <w:r>
              <w:rPr>
                <w:b w:val="0"/>
                <w:i w:val="0"/>
                <w:sz w:val="18"/>
              </w:rPr>
              <w:t>7.0%</w:t>
            </w:r>
          </w:p>
        </w:tc>
        <w:tc>
          <w:tcPr>
            <w:tcW w:type="dxa" w:w="4032"/>
          </w:tcPr>
          <w:p>
            <w:pPr>
              <w:spacing w:after="20"/>
            </w:pPr>
            <w:r/>
            <w:r>
              <w:rPr>
                <w:b w:val="0"/>
                <w:i w:val="0"/>
                <w:sz w:val="18"/>
              </w:rPr>
              <w:t>7.0% (2(a), all others); 7.5% (Recital 5)</w:t>
            </w:r>
          </w:p>
        </w:tc>
        <w:tc>
          <w:tcPr>
            <w:tcW w:type="dxa" w:w="2304"/>
          </w:tcPr>
          <w:p>
            <w:pPr>
              <w:spacing w:after="20"/>
            </w:pPr>
            <w:r/>
            <w:r>
              <w:rPr>
                <w:b w:val="0"/>
                <w:i w:val="0"/>
                <w:sz w:val="18"/>
              </w:rPr>
              <w:t>Recital 5 incorrect</w:t>
            </w:r>
          </w:p>
        </w:tc>
      </w:tr>
      <w:tr>
        <w:tc>
          <w:tcPr>
            <w:tcW w:type="dxa" w:w="4320"/>
          </w:tcPr>
          <w:p>
            <w:pPr>
              <w:spacing w:after="20"/>
            </w:pPr>
            <w:r/>
            <w:r>
              <w:rPr>
                <w:b w:val="0"/>
                <w:i w:val="0"/>
                <w:sz w:val="18"/>
              </w:rPr>
              <w:t>8,500,000 x $18.00 / x $1.26 / x $16.74</w:t>
            </w:r>
          </w:p>
        </w:tc>
        <w:tc>
          <w:tcPr>
            <w:tcW w:type="dxa" w:w="3168"/>
          </w:tcPr>
          <w:p>
            <w:pPr>
              <w:spacing w:after="20"/>
            </w:pPr>
            <w:r/>
            <w:r>
              <w:rPr>
                <w:b w:val="0"/>
                <w:i w:val="0"/>
                <w:sz w:val="18"/>
              </w:rPr>
              <w:t>$153,000,000 / $10,710,000 / $142,290,000</w:t>
            </w:r>
          </w:p>
        </w:tc>
        <w:tc>
          <w:tcPr>
            <w:tcW w:type="dxa" w:w="4032"/>
          </w:tcPr>
          <w:p>
            <w:pPr>
              <w:spacing w:after="20"/>
            </w:pPr>
            <w:r/>
            <w:r>
              <w:rPr>
                <w:b w:val="0"/>
                <w:i w:val="0"/>
                <w:sz w:val="18"/>
              </w:rPr>
              <w:t>Same (UA, Email, Checklist, Spreadsheet)</w:t>
            </w:r>
          </w:p>
        </w:tc>
        <w:tc>
          <w:tcPr>
            <w:tcW w:type="dxa" w:w="2304"/>
          </w:tcPr>
          <w:p>
            <w:pPr>
              <w:spacing w:after="20"/>
            </w:pPr>
            <w:r/>
            <w:r>
              <w:rPr>
                <w:b w:val="0"/>
                <w:i w:val="0"/>
                <w:sz w:val="18"/>
              </w:rPr>
              <w:t>Verified</w:t>
            </w:r>
          </w:p>
        </w:tc>
      </w:tr>
      <w:tr>
        <w:tc>
          <w:tcPr>
            <w:tcW w:type="dxa" w:w="4320"/>
          </w:tcPr>
          <w:p>
            <w:pPr>
              <w:spacing w:after="20"/>
            </w:pPr>
            <w:r/>
            <w:r>
              <w:rPr>
                <w:b w:val="0"/>
                <w:i w:val="0"/>
                <w:sz w:val="18"/>
              </w:rPr>
              <w:t>15% x 8,500,000</w:t>
            </w:r>
          </w:p>
        </w:tc>
        <w:tc>
          <w:tcPr>
            <w:tcW w:type="dxa" w:w="3168"/>
          </w:tcPr>
          <w:p>
            <w:pPr>
              <w:spacing w:after="20"/>
            </w:pPr>
            <w:r/>
            <w:r>
              <w:rPr>
                <w:b w:val="0"/>
                <w:i w:val="0"/>
                <w:sz w:val="18"/>
              </w:rPr>
              <w:t>1,275,000</w:t>
            </w:r>
          </w:p>
        </w:tc>
        <w:tc>
          <w:tcPr>
            <w:tcW w:type="dxa" w:w="4032"/>
          </w:tcPr>
          <w:p>
            <w:pPr>
              <w:spacing w:after="20"/>
            </w:pPr>
            <w:r/>
            <w:r>
              <w:rPr>
                <w:b w:val="0"/>
                <w:i w:val="0"/>
                <w:sz w:val="18"/>
              </w:rPr>
              <w:t>1,275,000</w:t>
            </w:r>
          </w:p>
        </w:tc>
        <w:tc>
          <w:tcPr>
            <w:tcW w:type="dxa" w:w="2304"/>
          </w:tcPr>
          <w:p>
            <w:pPr>
              <w:spacing w:after="20"/>
            </w:pPr>
            <w:r/>
            <w:r>
              <w:rPr>
                <w:b w:val="0"/>
                <w:i w:val="0"/>
                <w:sz w:val="18"/>
              </w:rPr>
              <w:t>Verified</w:t>
            </w:r>
          </w:p>
        </w:tc>
      </w:tr>
      <w:tr>
        <w:tc>
          <w:tcPr>
            <w:tcW w:type="dxa" w:w="4320"/>
          </w:tcPr>
          <w:p>
            <w:pPr>
              <w:spacing w:after="20"/>
            </w:pPr>
            <w:r/>
            <w:r>
              <w:rPr>
                <w:b w:val="0"/>
                <w:i w:val="0"/>
                <w:sz w:val="18"/>
              </w:rPr>
              <w:t>1,275,000 x $16.74</w:t>
            </w:r>
          </w:p>
        </w:tc>
        <w:tc>
          <w:tcPr>
            <w:tcW w:type="dxa" w:w="3168"/>
          </w:tcPr>
          <w:p>
            <w:pPr>
              <w:spacing w:after="20"/>
            </w:pPr>
            <w:r/>
            <w:r>
              <w:rPr>
                <w:b w:val="0"/>
                <w:i w:val="0"/>
                <w:sz w:val="18"/>
              </w:rPr>
              <w:t>$21,343,500</w:t>
            </w:r>
          </w:p>
        </w:tc>
        <w:tc>
          <w:tcPr>
            <w:tcW w:type="dxa" w:w="4032"/>
          </w:tcPr>
          <w:p>
            <w:pPr>
              <w:spacing w:after="20"/>
            </w:pPr>
            <w:r/>
            <w:r>
              <w:rPr>
                <w:b w:val="0"/>
                <w:i w:val="0"/>
                <w:sz w:val="18"/>
              </w:rPr>
              <w:t>UA, Checklist: $21,343,500; Spreadsheet: $21,406,275</w:t>
            </w:r>
          </w:p>
        </w:tc>
        <w:tc>
          <w:tcPr>
            <w:tcW w:type="dxa" w:w="2304"/>
          </w:tcPr>
          <w:p>
            <w:pPr>
              <w:spacing w:after="20"/>
            </w:pPr>
            <w:r/>
            <w:r>
              <w:rPr>
                <w:b w:val="0"/>
                <w:i w:val="0"/>
                <w:sz w:val="18"/>
              </w:rPr>
              <w:t>Spreadsheet incorrect</w:t>
            </w:r>
          </w:p>
        </w:tc>
      </w:tr>
      <w:tr>
        <w:tc>
          <w:tcPr>
            <w:tcW w:type="dxa" w:w="4320"/>
          </w:tcPr>
          <w:p>
            <w:pPr>
              <w:spacing w:after="20"/>
            </w:pPr>
            <w:r/>
            <w:r>
              <w:rPr>
                <w:b w:val="0"/>
                <w:i w:val="0"/>
                <w:sz w:val="18"/>
              </w:rPr>
              <w:t>$142,290,000 + $21,343,500</w:t>
            </w:r>
          </w:p>
        </w:tc>
        <w:tc>
          <w:tcPr>
            <w:tcW w:type="dxa" w:w="3168"/>
          </w:tcPr>
          <w:p>
            <w:pPr>
              <w:spacing w:after="20"/>
            </w:pPr>
            <w:r/>
            <w:r>
              <w:rPr>
                <w:b w:val="0"/>
                <w:i w:val="0"/>
                <w:sz w:val="18"/>
              </w:rPr>
              <w:t>$163,633,500</w:t>
            </w:r>
          </w:p>
        </w:tc>
        <w:tc>
          <w:tcPr>
            <w:tcW w:type="dxa" w:w="4032"/>
          </w:tcPr>
          <w:p>
            <w:pPr>
              <w:spacing w:after="20"/>
            </w:pPr>
            <w:r/>
            <w:r>
              <w:rPr>
                <w:b w:val="0"/>
                <w:i w:val="0"/>
                <w:sz w:val="18"/>
              </w:rPr>
              <w:t>UA, Email, Checklist; Spreadsheet $163,696,275</w:t>
            </w:r>
          </w:p>
        </w:tc>
        <w:tc>
          <w:tcPr>
            <w:tcW w:type="dxa" w:w="2304"/>
          </w:tcPr>
          <w:p>
            <w:pPr>
              <w:spacing w:after="20"/>
            </w:pPr>
            <w:r/>
            <w:r>
              <w:rPr>
                <w:b w:val="0"/>
                <w:i w:val="0"/>
                <w:sz w:val="18"/>
              </w:rPr>
              <w:t>Spreadsheet incorrect</w:t>
            </w:r>
          </w:p>
        </w:tc>
      </w:tr>
      <w:tr>
        <w:tc>
          <w:tcPr>
            <w:tcW w:type="dxa" w:w="4320"/>
          </w:tcPr>
          <w:p>
            <w:pPr>
              <w:spacing w:after="20"/>
            </w:pPr>
            <w:r/>
            <w:r>
              <w:rPr>
                <w:b w:val="0"/>
                <w:i w:val="0"/>
                <w:sz w:val="18"/>
              </w:rPr>
              <w:t>9,775,000 x $1.26</w:t>
            </w:r>
          </w:p>
        </w:tc>
        <w:tc>
          <w:tcPr>
            <w:tcW w:type="dxa" w:w="3168"/>
          </w:tcPr>
          <w:p>
            <w:pPr>
              <w:spacing w:after="20"/>
            </w:pPr>
            <w:r/>
            <w:r>
              <w:rPr>
                <w:b w:val="0"/>
                <w:i w:val="0"/>
                <w:sz w:val="18"/>
              </w:rPr>
              <w:t>$12,316,500</w:t>
            </w:r>
          </w:p>
        </w:tc>
        <w:tc>
          <w:tcPr>
            <w:tcW w:type="dxa" w:w="4032"/>
          </w:tcPr>
          <w:p>
            <w:pPr>
              <w:spacing w:after="20"/>
            </w:pPr>
            <w:r/>
            <w:r>
              <w:rPr>
                <w:b w:val="0"/>
                <w:i w:val="0"/>
                <w:sz w:val="18"/>
              </w:rPr>
              <w:t>UA §10; Spreadsheet $12,321,225</w:t>
            </w:r>
          </w:p>
        </w:tc>
        <w:tc>
          <w:tcPr>
            <w:tcW w:type="dxa" w:w="2304"/>
          </w:tcPr>
          <w:p>
            <w:pPr>
              <w:spacing w:after="20"/>
            </w:pPr>
            <w:r/>
            <w:r>
              <w:rPr>
                <w:b w:val="0"/>
                <w:i w:val="0"/>
                <w:sz w:val="18"/>
              </w:rPr>
              <w:t>Spreadsheet incorrect</w:t>
            </w:r>
          </w:p>
        </w:tc>
      </w:tr>
      <w:tr>
        <w:tc>
          <w:tcPr>
            <w:tcW w:type="dxa" w:w="4320"/>
          </w:tcPr>
          <w:p>
            <w:pPr>
              <w:spacing w:after="20"/>
            </w:pPr>
            <w:r/>
            <w:r>
              <w:rPr>
                <w:b w:val="0"/>
                <w:i w:val="0"/>
                <w:sz w:val="18"/>
              </w:rPr>
              <w:t>Schedule A firm shares: 5,100,000 + 2,125,000 + 1,275,000</w:t>
            </w:r>
          </w:p>
        </w:tc>
        <w:tc>
          <w:tcPr>
            <w:tcW w:type="dxa" w:w="3168"/>
          </w:tcPr>
          <w:p>
            <w:pPr>
              <w:spacing w:after="20"/>
            </w:pPr>
            <w:r/>
            <w:r>
              <w:rPr>
                <w:b w:val="0"/>
                <w:i w:val="0"/>
                <w:sz w:val="18"/>
              </w:rPr>
              <w:t>8,500,000 (60% / 25% / 15%)</w:t>
            </w:r>
          </w:p>
        </w:tc>
        <w:tc>
          <w:tcPr>
            <w:tcW w:type="dxa" w:w="4032"/>
          </w:tcPr>
          <w:p>
            <w:pPr>
              <w:spacing w:after="20"/>
            </w:pPr>
            <w:r/>
            <w:r>
              <w:rPr>
                <w:b w:val="0"/>
                <w:i w:val="0"/>
                <w:sz w:val="18"/>
              </w:rPr>
              <w:t>8,500,000</w:t>
            </w:r>
          </w:p>
        </w:tc>
        <w:tc>
          <w:tcPr>
            <w:tcW w:type="dxa" w:w="2304"/>
          </w:tcPr>
          <w:p>
            <w:pPr>
              <w:spacing w:after="20"/>
            </w:pPr>
            <w:r/>
            <w:r>
              <w:rPr>
                <w:b w:val="0"/>
                <w:i w:val="0"/>
                <w:sz w:val="18"/>
              </w:rPr>
              <w:t>Verified</w:t>
            </w:r>
          </w:p>
        </w:tc>
      </w:tr>
      <w:tr>
        <w:tc>
          <w:tcPr>
            <w:tcW w:type="dxa" w:w="4320"/>
          </w:tcPr>
          <w:p>
            <w:pPr>
              <w:spacing w:after="20"/>
            </w:pPr>
            <w:r/>
            <w:r>
              <w:rPr>
                <w:b w:val="0"/>
                <w:i w:val="0"/>
                <w:sz w:val="18"/>
              </w:rPr>
              <w:t>Schedule A option shares: 765,000 + 318,750 + 195,000</w:t>
            </w:r>
          </w:p>
        </w:tc>
        <w:tc>
          <w:tcPr>
            <w:tcW w:type="dxa" w:w="3168"/>
          </w:tcPr>
          <w:p>
            <w:pPr>
              <w:spacing w:after="20"/>
            </w:pPr>
            <w:r/>
            <w:r>
              <w:rPr>
                <w:b w:val="0"/>
                <w:i w:val="0"/>
                <w:sz w:val="18"/>
              </w:rPr>
              <w:t>1,278,750</w:t>
            </w:r>
          </w:p>
        </w:tc>
        <w:tc>
          <w:tcPr>
            <w:tcW w:type="dxa" w:w="4032"/>
          </w:tcPr>
          <w:p>
            <w:pPr>
              <w:spacing w:after="20"/>
            </w:pPr>
            <w:r/>
            <w:r>
              <w:rPr>
                <w:b w:val="0"/>
                <w:i w:val="0"/>
                <w:sz w:val="18"/>
              </w:rPr>
              <w:t>Should be 1,275,000</w:t>
            </w:r>
          </w:p>
        </w:tc>
        <w:tc>
          <w:tcPr>
            <w:tcW w:type="dxa" w:w="2304"/>
          </w:tcPr>
          <w:p>
            <w:pPr>
              <w:spacing w:after="20"/>
            </w:pPr>
            <w:r/>
            <w:r>
              <w:rPr>
                <w:b w:val="0"/>
                <w:i w:val="0"/>
                <w:sz w:val="18"/>
              </w:rPr>
              <w:t>Schedule A incorrect</w:t>
            </w:r>
          </w:p>
        </w:tc>
      </w:tr>
      <w:tr>
        <w:tc>
          <w:tcPr>
            <w:tcW w:type="dxa" w:w="4320"/>
          </w:tcPr>
          <w:p>
            <w:pPr>
              <w:spacing w:after="20"/>
            </w:pPr>
            <w:r/>
            <w:r>
              <w:rPr>
                <w:b w:val="0"/>
                <w:i w:val="0"/>
                <w:sz w:val="18"/>
              </w:rPr>
              <w:t>42,000,000 + 8,500,000 / + 1,275,000</w:t>
            </w:r>
          </w:p>
        </w:tc>
        <w:tc>
          <w:tcPr>
            <w:tcW w:type="dxa" w:w="3168"/>
          </w:tcPr>
          <w:p>
            <w:pPr>
              <w:spacing w:after="20"/>
            </w:pPr>
            <w:r/>
            <w:r>
              <w:rPr>
                <w:b w:val="0"/>
                <w:i w:val="0"/>
                <w:sz w:val="18"/>
              </w:rPr>
              <w:t>50,500,000 / 51,775,000</w:t>
            </w:r>
          </w:p>
        </w:tc>
        <w:tc>
          <w:tcPr>
            <w:tcW w:type="dxa" w:w="4032"/>
          </w:tcPr>
          <w:p>
            <w:pPr>
              <w:spacing w:after="20"/>
            </w:pPr>
            <w:r/>
            <w:r>
              <w:rPr>
                <w:b w:val="0"/>
                <w:i w:val="0"/>
                <w:sz w:val="18"/>
              </w:rPr>
              <w:t>Email; Spreadsheet</w:t>
            </w:r>
          </w:p>
        </w:tc>
        <w:tc>
          <w:tcPr>
            <w:tcW w:type="dxa" w:w="2304"/>
          </w:tcPr>
          <w:p>
            <w:pPr>
              <w:spacing w:after="20"/>
            </w:pPr>
            <w:r/>
            <w:r>
              <w:rPr>
                <w:b w:val="0"/>
                <w:i w:val="0"/>
                <w:sz w:val="18"/>
              </w:rPr>
              <w:t>Verified</w:t>
            </w:r>
          </w:p>
        </w:tc>
      </w:tr>
      <w:tr>
        <w:tc>
          <w:tcPr>
            <w:tcW w:type="dxa" w:w="4320"/>
          </w:tcPr>
          <w:p>
            <w:pPr>
              <w:spacing w:after="20"/>
            </w:pPr>
            <w:r/>
            <w:r>
              <w:rPr>
                <w:b w:val="0"/>
                <w:i w:val="0"/>
                <w:sz w:val="18"/>
              </w:rPr>
              <w:t>June 11, 2025 + 30 days</w:t>
            </w:r>
          </w:p>
        </w:tc>
        <w:tc>
          <w:tcPr>
            <w:tcW w:type="dxa" w:w="3168"/>
          </w:tcPr>
          <w:p>
            <w:pPr>
              <w:spacing w:after="20"/>
            </w:pPr>
            <w:r/>
            <w:r>
              <w:rPr>
                <w:b w:val="0"/>
                <w:i w:val="0"/>
                <w:sz w:val="18"/>
              </w:rPr>
              <w:t>July 11, 2025</w:t>
            </w:r>
          </w:p>
        </w:tc>
        <w:tc>
          <w:tcPr>
            <w:tcW w:type="dxa" w:w="4032"/>
          </w:tcPr>
          <w:p>
            <w:pPr>
              <w:spacing w:after="20"/>
            </w:pPr>
            <w:r/>
            <w:r>
              <w:rPr>
                <w:b w:val="0"/>
                <w:i w:val="0"/>
                <w:sz w:val="18"/>
              </w:rPr>
              <w:t>All documents</w:t>
            </w:r>
          </w:p>
        </w:tc>
        <w:tc>
          <w:tcPr>
            <w:tcW w:type="dxa" w:w="2304"/>
          </w:tcPr>
          <w:p>
            <w:pPr>
              <w:spacing w:after="20"/>
            </w:pPr>
            <w:r/>
            <w:r>
              <w:rPr>
                <w:b w:val="0"/>
                <w:i w:val="0"/>
                <w:sz w:val="18"/>
              </w:rPr>
              <w:t>Verified</w:t>
            </w:r>
          </w:p>
        </w:tc>
      </w:tr>
      <w:tr>
        <w:tc>
          <w:tcPr>
            <w:tcW w:type="dxa" w:w="4320"/>
          </w:tcPr>
          <w:p>
            <w:pPr>
              <w:spacing w:after="20"/>
            </w:pPr>
            <w:r/>
            <w:r>
              <w:rPr>
                <w:b w:val="0"/>
                <w:i w:val="0"/>
                <w:sz w:val="18"/>
              </w:rPr>
              <w:t>June 12, 2025 + 180 days</w:t>
            </w:r>
          </w:p>
        </w:tc>
        <w:tc>
          <w:tcPr>
            <w:tcW w:type="dxa" w:w="3168"/>
          </w:tcPr>
          <w:p>
            <w:pPr>
              <w:spacing w:after="20"/>
            </w:pPr>
            <w:r/>
            <w:r>
              <w:rPr>
                <w:b w:val="0"/>
                <w:i w:val="0"/>
                <w:sz w:val="18"/>
              </w:rPr>
              <w:t>December 9, 2025</w:t>
            </w:r>
          </w:p>
        </w:tc>
        <w:tc>
          <w:tcPr>
            <w:tcW w:type="dxa" w:w="4032"/>
          </w:tcPr>
          <w:p>
            <w:pPr>
              <w:spacing w:after="20"/>
            </w:pPr>
            <w:r/>
            <w:r>
              <w:rPr>
                <w:b w:val="0"/>
                <w:i w:val="0"/>
                <w:sz w:val="18"/>
              </w:rPr>
              <w:t>All documents</w:t>
            </w:r>
          </w:p>
        </w:tc>
        <w:tc>
          <w:tcPr>
            <w:tcW w:type="dxa" w:w="2304"/>
          </w:tcPr>
          <w:p>
            <w:pPr>
              <w:spacing w:after="20"/>
            </w:pPr>
            <w:r/>
            <w:r>
              <w:rPr>
                <w:b w:val="0"/>
                <w:i w:val="0"/>
                <w:sz w:val="18"/>
              </w:rPr>
              <w:t>Verified</w:t>
            </w:r>
          </w:p>
        </w:tc>
      </w:tr>
      <w:tr>
        <w:tc>
          <w:tcPr>
            <w:tcW w:type="dxa" w:w="4320"/>
          </w:tcPr>
          <w:p>
            <w:pPr>
              <w:spacing w:after="20"/>
            </w:pPr>
            <w:r/>
            <w:r>
              <w:rPr>
                <w:b w:val="0"/>
                <w:i w:val="0"/>
                <w:sz w:val="18"/>
              </w:rPr>
              <w:t>June 11 + 3 business days</w:t>
            </w:r>
          </w:p>
        </w:tc>
        <w:tc>
          <w:tcPr>
            <w:tcW w:type="dxa" w:w="3168"/>
          </w:tcPr>
          <w:p>
            <w:pPr>
              <w:spacing w:after="20"/>
            </w:pPr>
            <w:r/>
            <w:r>
              <w:rPr>
                <w:b w:val="0"/>
                <w:i w:val="0"/>
                <w:sz w:val="18"/>
              </w:rPr>
              <w:t>June 16, 2025 (Mon.)</w:t>
            </w:r>
          </w:p>
        </w:tc>
        <w:tc>
          <w:tcPr>
            <w:tcW w:type="dxa" w:w="4032"/>
          </w:tcPr>
          <w:p>
            <w:pPr>
              <w:spacing w:after="20"/>
            </w:pPr>
            <w:r/>
            <w:r>
              <w:rPr>
                <w:b w:val="0"/>
                <w:i w:val="0"/>
                <w:sz w:val="18"/>
              </w:rPr>
              <w:t>All documents</w:t>
            </w:r>
          </w:p>
        </w:tc>
        <w:tc>
          <w:tcPr>
            <w:tcW w:type="dxa" w:w="2304"/>
          </w:tcPr>
          <w:p>
            <w:pPr>
              <w:spacing w:after="20"/>
            </w:pPr>
            <w:r/>
            <w:r>
              <w:rPr>
                <w:b w:val="0"/>
                <w:i w:val="0"/>
                <w:sz w:val="18"/>
              </w:rPr>
              <w:t>Verified (but see Issue 12)</w:t>
            </w:r>
          </w:p>
        </w:tc>
      </w:tr>
      <w:tr>
        <w:tc>
          <w:tcPr>
            <w:tcW w:type="dxa" w:w="4320"/>
          </w:tcPr>
          <w:p>
            <w:pPr>
              <w:spacing w:after="20"/>
            </w:pPr>
            <w:r/>
            <w:r>
              <w:rPr>
                <w:b w:val="0"/>
                <w:i w:val="0"/>
                <w:sz w:val="18"/>
              </w:rPr>
              <w:t>June 16, 2025 + 18 months</w:t>
            </w:r>
          </w:p>
        </w:tc>
        <w:tc>
          <w:tcPr>
            <w:tcW w:type="dxa" w:w="3168"/>
          </w:tcPr>
          <w:p>
            <w:pPr>
              <w:spacing w:after="20"/>
            </w:pPr>
            <w:r/>
            <w:r>
              <w:rPr>
                <w:b w:val="0"/>
                <w:i w:val="0"/>
                <w:sz w:val="18"/>
              </w:rPr>
              <w:t>December 16, 2026</w:t>
            </w:r>
          </w:p>
        </w:tc>
        <w:tc>
          <w:tcPr>
            <w:tcW w:type="dxa" w:w="4032"/>
          </w:tcPr>
          <w:p>
            <w:pPr>
              <w:spacing w:after="20"/>
            </w:pPr>
            <w:r/>
            <w:r>
              <w:rPr>
                <w:b w:val="0"/>
                <w:i w:val="0"/>
                <w:sz w:val="18"/>
              </w:rPr>
              <w:t>Checklist</w:t>
            </w:r>
          </w:p>
        </w:tc>
        <w:tc>
          <w:tcPr>
            <w:tcW w:type="dxa" w:w="2304"/>
          </w:tcPr>
          <w:p>
            <w:pPr>
              <w:spacing w:after="20"/>
            </w:pPr>
            <w:r/>
            <w:r>
              <w:rPr>
                <w:b w:val="0"/>
                <w:i w:val="0"/>
                <w:sz w:val="18"/>
              </w:rPr>
              <w:t>Verified</w:t>
            </w:r>
          </w:p>
        </w:tc>
      </w:tr>
      <w:tr>
        <w:tc>
          <w:tcPr>
            <w:tcW w:type="dxa" w:w="4320"/>
          </w:tcPr>
          <w:p>
            <w:pPr>
              <w:spacing w:after="20"/>
            </w:pPr>
            <w:r/>
            <w:r>
              <w:rPr>
                <w:b w:val="0"/>
                <w:i w:val="0"/>
                <w:sz w:val="18"/>
              </w:rPr>
              <w:t>Exhibit B line items</w:t>
            </w:r>
          </w:p>
        </w:tc>
        <w:tc>
          <w:tcPr>
            <w:tcW w:type="dxa" w:w="3168"/>
          </w:tcPr>
          <w:p>
            <w:pPr>
              <w:spacing w:after="20"/>
            </w:pPr>
            <w:r/>
            <w:r>
              <w:rPr>
                <w:b w:val="0"/>
                <w:i w:val="0"/>
                <w:sz w:val="18"/>
              </w:rPr>
              <w:t>$3,177,500</w:t>
            </w:r>
          </w:p>
        </w:tc>
        <w:tc>
          <w:tcPr>
            <w:tcW w:type="dxa" w:w="4032"/>
          </w:tcPr>
          <w:p>
            <w:pPr>
              <w:spacing w:after="20"/>
            </w:pPr>
            <w:r/>
            <w:r>
              <w:rPr>
                <w:b w:val="0"/>
                <w:i w:val="0"/>
                <w:sz w:val="18"/>
              </w:rPr>
              <w:t>$3,200,000</w:t>
            </w:r>
          </w:p>
        </w:tc>
        <w:tc>
          <w:tcPr>
            <w:tcW w:type="dxa" w:w="2304"/>
          </w:tcPr>
          <w:p>
            <w:pPr>
              <w:spacing w:after="20"/>
            </w:pPr>
            <w:r/>
            <w:r>
              <w:rPr>
                <w:b w:val="0"/>
                <w:i w:val="0"/>
                <w:sz w:val="18"/>
              </w:rPr>
              <w:t>Does not foot ($22,500 short)</w:t>
            </w:r>
          </w:p>
        </w:tc>
      </w:tr>
      <w:tr>
        <w:tc>
          <w:tcPr>
            <w:tcW w:type="dxa" w:w="4320"/>
          </w:tcPr>
          <w:p>
            <w:pPr>
              <w:spacing w:after="20"/>
            </w:pPr>
            <w:r/>
            <w:r>
              <w:rPr>
                <w:b w:val="0"/>
                <w:i w:val="0"/>
                <w:sz w:val="18"/>
              </w:rPr>
              <w:t>Section 1 representation count</w:t>
            </w:r>
          </w:p>
        </w:tc>
        <w:tc>
          <w:tcPr>
            <w:tcW w:type="dxa" w:w="3168"/>
          </w:tcPr>
          <w:p>
            <w:pPr>
              <w:spacing w:after="20"/>
            </w:pPr>
            <w:r/>
            <w:r>
              <w:rPr>
                <w:b w:val="0"/>
                <w:i w:val="0"/>
                <w:sz w:val="18"/>
              </w:rPr>
              <w:t>28 ((a)–(z), (aa), (bb))</w:t>
            </w:r>
          </w:p>
        </w:tc>
        <w:tc>
          <w:tcPr>
            <w:tcW w:type="dxa" w:w="4032"/>
          </w:tcPr>
          <w:p>
            <w:pPr>
              <w:spacing w:after="20"/>
            </w:pPr>
            <w:r/>
            <w:r>
              <w:rPr>
                <w:b w:val="0"/>
                <w:i w:val="0"/>
                <w:sz w:val="18"/>
              </w:rPr>
              <w:t>Checklist Item 33: 28</w:t>
            </w:r>
          </w:p>
        </w:tc>
        <w:tc>
          <w:tcPr>
            <w:tcW w:type="dxa" w:w="2304"/>
          </w:tcPr>
          <w:p>
            <w:pPr>
              <w:spacing w:after="20"/>
            </w:pPr>
            <w:r/>
            <w:r>
              <w:rPr>
                <w:b w:val="0"/>
                <w:i w:val="0"/>
                <w:sz w:val="18"/>
              </w:rPr>
              <w:t>Verified</w:t>
            </w:r>
          </w:p>
        </w:tc>
      </w:tr>
    </w:tbl>
    <w:p>
      <w:pPr>
        <w:spacing w:after="40"/>
      </w:pPr>
    </w:p>
    <w:p>
      <w:pPr>
        <w:pStyle w:val="Heading1"/>
      </w:pPr>
      <w:r>
        <w:t>Part V — Recommended Additions to the Closing Checklist</w:t>
      </w:r>
    </w:p>
    <w:p>
      <w:pPr>
        <w:pStyle w:val="ListBullet"/>
        <w:spacing w:after="40"/>
      </w:pPr>
      <w:r>
        <w:rPr>
          <w:b w:val="0"/>
          <w:i w:val="0"/>
        </w:rPr>
        <w:t>Form 8-A registration under Exchange Act Section 12(b) — filing and effectiveness (UA 1(f)(iii)); Nasdaq approval letter copy.</w:t>
      </w:r>
    </w:p>
    <w:p>
      <w:pPr>
        <w:pStyle w:val="ListBullet"/>
        <w:spacing w:after="40"/>
      </w:pPr>
      <w:r>
        <w:rPr>
          <w:b w:val="0"/>
          <w:i w:val="0"/>
        </w:rPr>
        <w:t>FINRA no-objections letter copy (Item 18) and confirmation that underwriting compensation disclosed in the Prospectus matches the 7.0% discount and $375,000 reimbursement cap.</w:t>
      </w:r>
    </w:p>
    <w:p>
      <w:pPr>
        <w:pStyle w:val="ListBullet"/>
        <w:spacing w:after="40"/>
      </w:pPr>
      <w:r>
        <w:rPr>
          <w:b w:val="0"/>
          <w:i w:val="0"/>
        </w:rPr>
        <w:t>Executed lock-up schedule (name, capacity, shares subject) reconciled to the stockholder ledger; Representative confirmation of receipt.</w:t>
      </w:r>
    </w:p>
    <w:p>
      <w:pPr>
        <w:pStyle w:val="ListBullet"/>
        <w:spacing w:after="40"/>
      </w:pPr>
      <w:r>
        <w:rPr>
          <w:b w:val="0"/>
          <w:i w:val="0"/>
        </w:rPr>
        <w:t>Verification log for wire instructions (call-back to known number) and corrected Representative notice email.</w:t>
      </w:r>
    </w:p>
    <w:p>
      <w:pPr>
        <w:pStyle w:val="ListBullet"/>
        <w:spacing w:after="40"/>
      </w:pPr>
      <w:r>
        <w:rPr>
          <w:b w:val="0"/>
          <w:i w:val="0"/>
        </w:rPr>
        <w:t>Corrected Schedule A and re-issued Allocation Spreadsheet; DTC delivery instructions per Underwriter at least 1 business day before Closing (UA 2(c)).</w:t>
      </w:r>
    </w:p>
    <w:p>
      <w:pPr>
        <w:pStyle w:val="ListBullet"/>
        <w:spacing w:after="40"/>
      </w:pPr>
      <w:r>
        <w:rPr>
          <w:b w:val="0"/>
          <w:i w:val="0"/>
        </w:rPr>
        <w:t>Underwriters’ expense invoices against the $375,000 cap; final Exhibit B / Prospectus "Other Expenses of Issuance" tie-out.</w:t>
      </w:r>
    </w:p>
    <w:p>
      <w:pPr>
        <w:pStyle w:val="ListBullet"/>
        <w:spacing w:after="40"/>
      </w:pPr>
      <w:r>
        <w:rPr>
          <w:b w:val="0"/>
          <w:i w:val="0"/>
        </w:rPr>
        <w:t>Post-closing calendar: Option expiry July 11, 2025; lock-up expiry December 9, 2025 (and 12(b) notice/press-release mechanics for early releases); indemnity survival December 16, 2026; Rule 158 earning statement; 3-year reporting covenant (June 16, 2028); 6-year D&amp;O covenant (June 16, 2031).</w:t>
      </w:r>
    </w:p>
    <w:p>
      <w:pPr>
        <w:pStyle w:val="ListBullet"/>
        <w:spacing w:after="40"/>
      </w:pPr>
      <w:r>
        <w:rPr>
          <w:b w:val="0"/>
          <w:i w:val="0"/>
        </w:rPr>
        <w:t>Subsidiary good standing certificate (Item 15) — resolve with Representative; any separate IP or FDA regulatory counsel opinion if requested.</w:t>
      </w:r>
    </w:p>
    <w:p>
      <w:pPr>
        <w:pStyle w:val="Heading2"/>
      </w:pPr>
      <w:r>
        <w:t>Assumptions and Limitations</w:t>
      </w:r>
    </w:p>
    <w:p>
      <w:pPr>
        <w:spacing w:after="80"/>
      </w:pPr>
      <w:r>
        <w:rPr>
          <w:b w:val="0"/>
          <w:i w:val="0"/>
          <w:sz w:val="18"/>
        </w:rPr>
        <w:t>This summary is based solely on the four documents listed above. We have not reviewed the Registration Statement, Preliminary or Final Prospectus, the Nasdaq or FINRA correspondence, the executed lock-ups, or the auditors’ draft comfort letters, and the UA reviewed is an unsigned execution draft. Regulatory fee observations (SEC and FINRA) are flagged for verification against the actual filing fee exhibit and FINRA fee schedule rather than as conclusions. Where documents conflict, the UA governs by its terms and the Checklist’s own disclaimer, but the UA itself should be corrected where noted.</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