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&amp; CONFIDENTIAL — ATTORNEY-CLIENT COMMUNICATION / ATTORNEY WORK PRODUCT</w:t>
      </w:r>
    </w:p>
    <w:p>
      <w:pPr>
        <w:spacing w:after="0"/>
        <w:jc w:val="center"/>
      </w:pPr>
      <w:r>
        <w:rPr>
          <w:b/>
          <w:i w:val="0"/>
          <w:sz w:val="28"/>
        </w:rPr>
        <w:t>ASHWORTH &amp; BELLAMY LLP</w:t>
      </w:r>
    </w:p>
    <w:p>
      <w:pPr>
        <w:jc w:val="center"/>
      </w:pPr>
      <w:r>
        <w:rPr>
          <w:b w:val="0"/>
          <w:i w:val="0"/>
          <w:sz w:val="20"/>
        </w:rPr>
        <w:t>101 Federal Street, 28th Floor, Boston, MA 02110</w:t>
      </w:r>
    </w:p>
    <w:p>
      <w:pPr>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Marcus Whitfield, Partner</w:t>
            </w:r>
          </w:p>
        </w:tc>
      </w:tr>
      <w:tr>
        <w:tc>
          <w:tcPr>
            <w:tcW w:type="dxa" w:w="1296"/>
          </w:tcPr>
          <w:p>
            <w:r/>
            <w:r>
              <w:rPr>
                <w:b/>
              </w:rPr>
              <w:t>FROM:</w:t>
            </w:r>
          </w:p>
        </w:tc>
        <w:tc>
          <w:tcPr>
            <w:tcW w:type="dxa" w:w="8064"/>
          </w:tcPr>
          <w:p>
            <w:r/>
            <w:r>
              <w:t>Jordan Tsao, Associate</w:t>
            </w:r>
          </w:p>
        </w:tc>
      </w:tr>
      <w:tr>
        <w:tc>
          <w:tcPr>
            <w:tcW w:type="dxa" w:w="1296"/>
          </w:tcPr>
          <w:p>
            <w:r/>
            <w:r>
              <w:rPr>
                <w:b/>
              </w:rPr>
              <w:t>CC:</w:t>
            </w:r>
          </w:p>
        </w:tc>
        <w:tc>
          <w:tcPr>
            <w:tcW w:type="dxa" w:w="8064"/>
          </w:tcPr>
          <w:p>
            <w:r/>
            <w:r>
              <w:t>A&amp;B Greenfield IPO Working Group (internal)</w:t>
            </w:r>
          </w:p>
        </w:tc>
      </w:tr>
      <w:tr>
        <w:tc>
          <w:tcPr>
            <w:tcW w:type="dxa" w:w="1296"/>
          </w:tcPr>
          <w:p>
            <w:r/>
            <w:r>
              <w:rPr>
                <w:b/>
              </w:rPr>
              <w:t>DATE:</w:t>
            </w:r>
          </w:p>
        </w:tc>
        <w:tc>
          <w:tcPr>
            <w:tcW w:type="dxa" w:w="8064"/>
          </w:tcPr>
          <w:p>
            <w:r/>
            <w:r>
              <w:t>February 4, 2025</w:t>
            </w:r>
          </w:p>
        </w:tc>
      </w:tr>
      <w:tr>
        <w:tc>
          <w:tcPr>
            <w:tcW w:type="dxa" w:w="1296"/>
          </w:tcPr>
          <w:p>
            <w:r/>
            <w:r>
              <w:rPr>
                <w:b/>
              </w:rPr>
              <w:t>RE:</w:t>
            </w:r>
          </w:p>
        </w:tc>
        <w:tc>
          <w:tcPr>
            <w:tcW w:type="dxa" w:w="8064"/>
          </w:tcPr>
          <w:p>
            <w:r/>
            <w:r>
              <w:t>Greenfield Therapeutics, Inc. — Proposed IPO — Gap Analysis of Hargrove, Stein &amp; Locke LLP Due Diligence Request List (dated February 3, 2025) and Recommended Additions (A&amp;B Matter No. 2024-08817)</w:t>
            </w:r>
          </w:p>
        </w:tc>
      </w:tr>
    </w:tbl>
    <w:p>
      <w:pPr>
        <w:spacing w:after="0"/>
        <w:pBdr>
          <w:bottom w:val="single" w:sz="8" w:space="1" w:color="1F2A44"/>
        </w:pBdr>
      </w:pPr>
    </w:p>
    <w:p>
      <w:pPr>
        <w:pStyle w:val="Heading1"/>
      </w:pPr>
      <w:r>
        <w:t>I. Executive Summary</w:t>
      </w:r>
    </w:p>
    <w:p>
      <w:r>
        <w:rPr>
          <w:b w:val="0"/>
          <w:i w:val="0"/>
        </w:rPr>
        <w:t>You asked me to review the due diligence request list (the “Request List”) that Hargrove, Stein &amp; Locke LLP (“HSL”), as counsel to Oakvale Securities LLC (“Oakvale”), circulated for the Greenfield Therapeutics, Inc. (the “Company”) IPO against the Company profile memorandum, the cap table summary, the IPO timeline and workstream summary, and the January 10-27, 2025 Form 483 email chain, and to identify material gaps and recommended additions. This memo is the issue-identification memo contemplated by Item 1 of the timeline (due February 7, 2025).</w:t>
      </w:r>
    </w:p>
    <w:p>
      <w:r>
        <w:rPr>
          <w:b w:val="0"/>
          <w:i w:val="0"/>
        </w:rPr>
        <w:t>Bottom line. The Request List is a serviceable generic IPO list, but it was not tailored to this Company. Read literally, it would not capture several of the most disclosure-sensitive items in the deal: the Valcourt Form 483, the 2023 partial clinical hold file, the $15 million convertible notes, the Harwell University license as a stand-alone diligence item, the Cytos Pharma infringement letter and Bristow opinion, the Rule 10b5-1 plans, the OmniLabel joint venture, related-party transactions, and all insurance other than D&amp;O. Our review also surfaced two issues that neither the Request List nor our own working documents address and that should go to you immediately:</w:t>
      </w:r>
    </w:p>
    <w:p>
      <w:pPr>
        <w:pStyle w:val="ListBullet"/>
        <w:spacing w:after="60"/>
      </w:pPr>
      <w:r>
        <w:rPr>
          <w:b/>
        </w:rPr>
        <w:t>Down-round conversion risk.</w:t>
      </w:r>
      <w:r>
        <w:t xml:space="preserve"> The IPO price range ($16-$19) is below the original issue price of the Series C ($20), Series D ($32) and Series E ($44) Preferred. We should confirm before February 10 that the Offering satisfies any “Qualified IPO” condition to automatic conversion and that no anti-dilution adjustment has been triggered (for example, by the note conversion at $14.00 or option grants at $12.00-$14.80). If not, a preferred stockholder consent will be required and the 1:1 conversion assumption in every capitalization table is at risk.</w:t>
      </w:r>
    </w:p>
    <w:p>
      <w:pPr>
        <w:pStyle w:val="ListBullet"/>
        <w:spacing w:after="60"/>
      </w:pPr>
      <w:r>
        <w:rPr>
          <w:b/>
        </w:rPr>
        <w:t>NDA vs. BLA terminology.</w:t>
      </w:r>
      <w:r>
        <w:t xml:space="preserve"> GT-4100 is described as a small molecule, but every document (and Request 6.6) refers to a “BLA.” Small-molecule drugs are ordinarily approved under an NDA (FD&amp;C Act section 505(b)), not a BLA (PHS Act section 351). This needs to be confirmed with the Company’s regulatory team before S-1 drafting, because it affects the business section, risk factors, Use of Proceeds and potentially the Harwell $5 million filing milestone trigger.</w:t>
      </w:r>
    </w:p>
    <w:p>
      <w:r>
        <w:rPr>
          <w:b w:val="0"/>
          <w:i w:val="0"/>
        </w:rPr>
        <w:t>I recommend that we (1) send HSL the supplemental request rider in Appendix A, with a short cover note, before the working group call this week (as Rebecca Tran asked you to do in her January 27 email); (2) upload the Form 483 and clinical hold packages the Company has already assembled, after a privilege screen, without waiting for HSL’s revised list; and (3) fix the inconsistencies in our own cap table and memoranda identified in Part V before they are produced to HSL or used in the S-1. Twenty-one issues are ranked in Part III; nine are Critical (resolve before the February 15 confidential submission), eight High (resolve before public filing in March and the late-February management diligence sessions) and four Medium.</w:t>
      </w:r>
    </w:p>
    <w:p>
      <w:pPr>
        <w:pStyle w:val="Heading1"/>
      </w:pPr>
      <w:r>
        <w:t>II. Scope, Documents Reviewed and Approach</w:t>
      </w:r>
    </w:p>
    <w:p>
      <w:r>
        <w:rPr>
          <w:b w:val="0"/>
          <w:i w:val="0"/>
        </w:rPr>
        <w:t>Documents reviewed:</w:t>
      </w:r>
    </w:p>
    <w:p>
      <w:pPr>
        <w:pStyle w:val="ListBullet"/>
        <w:spacing w:after="60"/>
      </w:pPr>
      <w:r>
        <w:t>HSL Due Diligence Document Request List, dated February 3, 2025 (Sections I-XIV, 83 numbered requests);</w:t>
      </w:r>
    </w:p>
    <w:p>
      <w:pPr>
        <w:pStyle w:val="ListBullet"/>
        <w:spacing w:after="60"/>
      </w:pPr>
      <w:r>
        <w:t>A&amp;B Corporate Profile Summary memorandum, dated February 3, 2025;</w:t>
      </w:r>
    </w:p>
    <w:p>
      <w:pPr>
        <w:pStyle w:val="ListBullet"/>
        <w:spacing w:after="60"/>
      </w:pPr>
      <w:r>
        <w:t>Cap table summary workbook (Cap Table Summary, Option Detail and Convertible Note Detail tabs);</w:t>
      </w:r>
    </w:p>
    <w:p>
      <w:pPr>
        <w:pStyle w:val="ListBullet"/>
        <w:spacing w:after="60"/>
      </w:pPr>
      <w:r>
        <w:t>A&amp;B IPO Timeline and Workstream Summary, dated February 3, 2025; and</w:t>
      </w:r>
    </w:p>
    <w:p>
      <w:pPr>
        <w:pStyle w:val="ListBullet"/>
        <w:spacing w:after="60"/>
      </w:pPr>
      <w:r>
        <w:t>Email chain among Rebecca Tran, Marcus Whitfield and Jordan Tsao regarding the Valcourt Form 483 (January 10-27, 2025).</w:t>
      </w:r>
    </w:p>
    <w:p>
      <w:r>
        <w:rPr>
          <w:b w:val="0"/>
          <w:i w:val="0"/>
        </w:rPr>
        <w:t>For each known fact about the Company I asked whether a literal, good-faith response to the Request List would put the relevant documents in front of HSL. Where it would not, or where coverage depends on a strained reading, I treated the item as a gap and drafted proposed request language (Appendix A), numbered to slot into HSL’s existing sections. Priorities reflect (i) significance to S-1 disclosure and underwriter due diligence defense, (ii) likelihood of SEC staff or underwriter focus, and (iii) timing against the February 15 confidential submission. I have not reviewed the underlying agreements (including the Restated Certificate, the note documents or the Harwell license); several conclusions below are framed as items to confirm for that reason. As Company counsel, our interest is in complete, early and orderly production; over-inclusive requests are preferable to a later suggestion that material documents were not produced.</w:t>
      </w:r>
    </w:p>
    <w:p>
      <w:pPr>
        <w:pStyle w:val="Heading1"/>
      </w:pPr>
      <w:r>
        <w:t>III. Prioritized Summary of Gaps and Recommendations</w:t>
      </w:r>
    </w:p>
    <w:p>
      <w:r>
        <w:rPr>
          <w:b w:val="0"/>
          <w:i/>
          <w:sz w:val="18"/>
        </w:rPr>
        <w:t>Priority key: Critical = raise with HSL and resolve before the February 15, 2025 confidential submission; High = resolve before the March 2025 public filing and the late-February management diligence sessions; Medium = address in the supplemental rider and ordinary course.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2A44"/>
          </w:tcPr>
          <w:p>
            <w:r/>
            <w:r>
              <w:rPr>
                <w:b/>
                <w:color w:val="FFFFFF"/>
                <w:sz w:val="17"/>
              </w:rPr>
              <w:t>#</w:t>
            </w:r>
          </w:p>
        </w:tc>
        <w:tc>
          <w:tcPr>
            <w:tcW w:type="dxa" w:w="4320"/>
            <w:shd w:val="clear" w:color="auto" w:fill="1F2A44"/>
          </w:tcPr>
          <w:p>
            <w:r/>
            <w:r>
              <w:rPr>
                <w:b/>
                <w:color w:val="FFFFFF"/>
                <w:sz w:val="17"/>
              </w:rPr>
              <w:t>Issue</w:t>
            </w:r>
          </w:p>
        </w:tc>
        <w:tc>
          <w:tcPr>
            <w:tcW w:type="dxa" w:w="1296"/>
            <w:shd w:val="clear" w:color="auto" w:fill="1F2A44"/>
          </w:tcPr>
          <w:p>
            <w:r/>
            <w:r>
              <w:rPr>
                <w:b/>
                <w:color w:val="FFFFFF"/>
                <w:sz w:val="17"/>
              </w:rPr>
              <w:t>Request List items</w:t>
            </w:r>
          </w:p>
        </w:tc>
        <w:tc>
          <w:tcPr>
            <w:tcW w:type="dxa" w:w="1008"/>
            <w:shd w:val="clear" w:color="auto" w:fill="1F2A44"/>
          </w:tcPr>
          <w:p>
            <w:r/>
            <w:r>
              <w:rPr>
                <w:b/>
                <w:color w:val="FFFFFF"/>
                <w:sz w:val="17"/>
              </w:rPr>
              <w:t>Priority</w:t>
            </w:r>
          </w:p>
        </w:tc>
        <w:tc>
          <w:tcPr>
            <w:tcW w:type="dxa" w:w="2304"/>
            <w:shd w:val="clear" w:color="auto" w:fill="1F2A44"/>
          </w:tcPr>
          <w:p>
            <w:r/>
            <w:r>
              <w:rPr>
                <w:b/>
                <w:color w:val="FFFFFF"/>
                <w:sz w:val="17"/>
              </w:rPr>
              <w:t>Recommended action</w:t>
            </w:r>
          </w:p>
        </w:tc>
      </w:tr>
      <w:tr>
        <w:tc>
          <w:tcPr>
            <w:tcW w:type="dxa" w:w="432"/>
          </w:tcPr>
          <w:p>
            <w:r/>
            <w:r>
              <w:rPr>
                <w:sz w:val="17"/>
              </w:rPr>
              <w:t>1</w:t>
            </w:r>
          </w:p>
        </w:tc>
        <w:tc>
          <w:tcPr>
            <w:tcW w:type="dxa" w:w="4320"/>
          </w:tcPr>
          <w:p>
            <w:r/>
            <w:r>
              <w:rPr>
                <w:sz w:val="17"/>
              </w:rPr>
              <w:t>Preferred stock conversion: IPO range ($16-$19) is below Series D ($32) and Series E ($44) original issue prices; no request tests whether the IPO is a "Qualified IPO" or whether anti-dilution adjustments apply</w:t>
            </w:r>
          </w:p>
        </w:tc>
        <w:tc>
          <w:tcPr>
            <w:tcW w:type="dxa" w:w="1296"/>
          </w:tcPr>
          <w:p>
            <w:r/>
            <w:r>
              <w:rPr>
                <w:sz w:val="17"/>
              </w:rPr>
              <w:t>1.1, 2.1-2.3</w:t>
            </w:r>
          </w:p>
        </w:tc>
        <w:tc>
          <w:tcPr>
            <w:tcW w:type="dxa" w:w="1008"/>
            <w:shd w:val="clear" w:color="auto" w:fill="F4CCCC"/>
          </w:tcPr>
          <w:p>
            <w:r/>
            <w:r>
              <w:rPr>
                <w:b/>
                <w:sz w:val="17"/>
              </w:rPr>
              <w:t>Critical</w:t>
            </w:r>
          </w:p>
        </w:tc>
        <w:tc>
          <w:tcPr>
            <w:tcW w:type="dxa" w:w="2304"/>
          </w:tcPr>
          <w:p>
            <w:r/>
            <w:r>
              <w:rPr>
                <w:sz w:val="17"/>
              </w:rPr>
              <w:t>Add 2.12 (conversion mechanics, Qualified IPO, anti-dilution, waivers)</w:t>
            </w:r>
          </w:p>
        </w:tc>
      </w:tr>
      <w:tr>
        <w:tc>
          <w:tcPr>
            <w:tcW w:type="dxa" w:w="432"/>
          </w:tcPr>
          <w:p>
            <w:r/>
            <w:r>
              <w:rPr>
                <w:sz w:val="17"/>
              </w:rPr>
              <w:t>2</w:t>
            </w:r>
          </w:p>
        </w:tc>
        <w:tc>
          <w:tcPr>
            <w:tcW w:type="dxa" w:w="4320"/>
          </w:tcPr>
          <w:p>
            <w:r/>
            <w:r>
              <w:rPr>
                <w:sz w:val="17"/>
              </w:rPr>
              <w:t>FDA Form 483 at Valcourt (Jan. 8, 2025); EIRs; CMO inspection history not requested</w:t>
            </w:r>
          </w:p>
        </w:tc>
        <w:tc>
          <w:tcPr>
            <w:tcW w:type="dxa" w:w="1296"/>
          </w:tcPr>
          <w:p>
            <w:r/>
            <w:r>
              <w:rPr>
                <w:sz w:val="17"/>
              </w:rPr>
              <w:t>6.4, 6.5</w:t>
            </w:r>
          </w:p>
        </w:tc>
        <w:tc>
          <w:tcPr>
            <w:tcW w:type="dxa" w:w="1008"/>
            <w:shd w:val="clear" w:color="auto" w:fill="F4CCCC"/>
          </w:tcPr>
          <w:p>
            <w:r/>
            <w:r>
              <w:rPr>
                <w:b/>
                <w:sz w:val="17"/>
              </w:rPr>
              <w:t>Critical</w:t>
            </w:r>
          </w:p>
        </w:tc>
        <w:tc>
          <w:tcPr>
            <w:tcW w:type="dxa" w:w="2304"/>
          </w:tcPr>
          <w:p>
            <w:r/>
            <w:r>
              <w:rPr>
                <w:sz w:val="17"/>
              </w:rPr>
              <w:t>Add 6.9 (Form 483s, EIRs, responses, Company and CMOs)</w:t>
            </w:r>
          </w:p>
        </w:tc>
      </w:tr>
      <w:tr>
        <w:tc>
          <w:tcPr>
            <w:tcW w:type="dxa" w:w="432"/>
          </w:tcPr>
          <w:p>
            <w:r/>
            <w:r>
              <w:rPr>
                <w:sz w:val="17"/>
              </w:rPr>
              <w:t>3</w:t>
            </w:r>
          </w:p>
        </w:tc>
        <w:tc>
          <w:tcPr>
            <w:tcW w:type="dxa" w:w="4320"/>
          </w:tcPr>
          <w:p>
            <w:r/>
            <w:r>
              <w:rPr>
                <w:sz w:val="17"/>
              </w:rPr>
              <w:t>March-June 2023 partial clinical hold: no dedicated request</w:t>
            </w:r>
          </w:p>
        </w:tc>
        <w:tc>
          <w:tcPr>
            <w:tcW w:type="dxa" w:w="1296"/>
          </w:tcPr>
          <w:p>
            <w:r/>
            <w:r>
              <w:rPr>
                <w:sz w:val="17"/>
              </w:rPr>
              <w:t>6.1, 6.3, 6.4</w:t>
            </w:r>
          </w:p>
        </w:tc>
        <w:tc>
          <w:tcPr>
            <w:tcW w:type="dxa" w:w="1008"/>
            <w:shd w:val="clear" w:color="auto" w:fill="F4CCCC"/>
          </w:tcPr>
          <w:p>
            <w:r/>
            <w:r>
              <w:rPr>
                <w:b/>
                <w:sz w:val="17"/>
              </w:rPr>
              <w:t>Critical</w:t>
            </w:r>
          </w:p>
        </w:tc>
        <w:tc>
          <w:tcPr>
            <w:tcW w:type="dxa" w:w="2304"/>
          </w:tcPr>
          <w:p>
            <w:r/>
            <w:r>
              <w:rPr>
                <w:sz w:val="17"/>
              </w:rPr>
              <w:t>Add 6.10 (clinical hold file)</w:t>
            </w:r>
          </w:p>
        </w:tc>
      </w:tr>
      <w:tr>
        <w:tc>
          <w:tcPr>
            <w:tcW w:type="dxa" w:w="432"/>
          </w:tcPr>
          <w:p>
            <w:r/>
            <w:r>
              <w:rPr>
                <w:sz w:val="17"/>
              </w:rPr>
              <w:t>4</w:t>
            </w:r>
          </w:p>
        </w:tc>
        <w:tc>
          <w:tcPr>
            <w:tcW w:type="dxa" w:w="4320"/>
          </w:tcPr>
          <w:p>
            <w:r/>
            <w:r>
              <w:rPr>
                <w:sz w:val="17"/>
              </w:rPr>
              <w:t>$15M convertible notes are debt; 2.1 limited to "equity securities, warrants, and options"; 3.4 asks only for a schedule</w:t>
            </w:r>
          </w:p>
        </w:tc>
        <w:tc>
          <w:tcPr>
            <w:tcW w:type="dxa" w:w="1296"/>
          </w:tcPr>
          <w:p>
            <w:r/>
            <w:r>
              <w:rPr>
                <w:sz w:val="17"/>
              </w:rPr>
              <w:t>2.1, 3.4</w:t>
            </w:r>
          </w:p>
        </w:tc>
        <w:tc>
          <w:tcPr>
            <w:tcW w:type="dxa" w:w="1008"/>
            <w:shd w:val="clear" w:color="auto" w:fill="F4CCCC"/>
          </w:tcPr>
          <w:p>
            <w:r/>
            <w:r>
              <w:rPr>
                <w:b/>
                <w:sz w:val="17"/>
              </w:rPr>
              <w:t>Critical</w:t>
            </w:r>
          </w:p>
        </w:tc>
        <w:tc>
          <w:tcPr>
            <w:tcW w:type="dxa" w:w="2304"/>
          </w:tcPr>
          <w:p>
            <w:r/>
            <w:r>
              <w:rPr>
                <w:sz w:val="17"/>
              </w:rPr>
              <w:t>Add 2.11 (note documents, conversion mechanics, holders)</w:t>
            </w:r>
          </w:p>
        </w:tc>
      </w:tr>
      <w:tr>
        <w:tc>
          <w:tcPr>
            <w:tcW w:type="dxa" w:w="432"/>
          </w:tcPr>
          <w:p>
            <w:r/>
            <w:r>
              <w:rPr>
                <w:sz w:val="17"/>
              </w:rPr>
              <w:t>5</w:t>
            </w:r>
          </w:p>
        </w:tc>
        <w:tc>
          <w:tcPr>
            <w:tcW w:type="dxa" w:w="4320"/>
          </w:tcPr>
          <w:p>
            <w:r/>
            <w:r>
              <w:rPr>
                <w:sz w:val="17"/>
              </w:rPr>
              <w:t>No related-party transactions category (Item 404); no D&amp;O/5% holder questionnaires</w:t>
            </w:r>
          </w:p>
        </w:tc>
        <w:tc>
          <w:tcPr>
            <w:tcW w:type="dxa" w:w="1296"/>
          </w:tcPr>
          <w:p>
            <w:r/>
            <w:r>
              <w:rPr>
                <w:sz w:val="17"/>
              </w:rPr>
              <w:t>None</w:t>
            </w:r>
          </w:p>
        </w:tc>
        <w:tc>
          <w:tcPr>
            <w:tcW w:type="dxa" w:w="1008"/>
            <w:shd w:val="clear" w:color="auto" w:fill="F4CCCC"/>
          </w:tcPr>
          <w:p>
            <w:r/>
            <w:r>
              <w:rPr>
                <w:b/>
                <w:sz w:val="17"/>
              </w:rPr>
              <w:t>Critical</w:t>
            </w:r>
          </w:p>
        </w:tc>
        <w:tc>
          <w:tcPr>
            <w:tcW w:type="dxa" w:w="2304"/>
          </w:tcPr>
          <w:p>
            <w:r/>
            <w:r>
              <w:rPr>
                <w:sz w:val="17"/>
              </w:rPr>
              <w:t>Add new Section XV</w:t>
            </w:r>
          </w:p>
        </w:tc>
      </w:tr>
      <w:tr>
        <w:tc>
          <w:tcPr>
            <w:tcW w:type="dxa" w:w="432"/>
          </w:tcPr>
          <w:p>
            <w:r/>
            <w:r>
              <w:rPr>
                <w:sz w:val="17"/>
              </w:rPr>
              <w:t>6</w:t>
            </w:r>
          </w:p>
        </w:tc>
        <w:tc>
          <w:tcPr>
            <w:tcW w:type="dxa" w:w="4320"/>
          </w:tcPr>
          <w:p>
            <w:r/>
            <w:r>
              <w:rPr>
                <w:sz w:val="17"/>
              </w:rPr>
              <w:t>Oakvale: Nov. 2023 warrants and advisory engagement; FINRA Rule 5110/5121 analysis; underlying Nov. 2023 advisory agreement not requested</w:t>
            </w:r>
          </w:p>
        </w:tc>
        <w:tc>
          <w:tcPr>
            <w:tcW w:type="dxa" w:w="1296"/>
          </w:tcPr>
          <w:p>
            <w:r/>
            <w:r>
              <w:rPr>
                <w:sz w:val="17"/>
              </w:rPr>
              <w:t>2.7, 8.2</w:t>
            </w:r>
          </w:p>
        </w:tc>
        <w:tc>
          <w:tcPr>
            <w:tcW w:type="dxa" w:w="1008"/>
            <w:shd w:val="clear" w:color="auto" w:fill="F4CCCC"/>
          </w:tcPr>
          <w:p>
            <w:r/>
            <w:r>
              <w:rPr>
                <w:b/>
                <w:sz w:val="17"/>
              </w:rPr>
              <w:t>Critical</w:t>
            </w:r>
          </w:p>
        </w:tc>
        <w:tc>
          <w:tcPr>
            <w:tcW w:type="dxa" w:w="2304"/>
          </w:tcPr>
          <w:p>
            <w:r/>
            <w:r>
              <w:rPr>
                <w:sz w:val="17"/>
              </w:rPr>
              <w:t>Expand 8.2; add 8.9</w:t>
            </w:r>
          </w:p>
        </w:tc>
      </w:tr>
      <w:tr>
        <w:tc>
          <w:tcPr>
            <w:tcW w:type="dxa" w:w="432"/>
          </w:tcPr>
          <w:p>
            <w:r/>
            <w:r>
              <w:rPr>
                <w:sz w:val="17"/>
              </w:rPr>
              <w:t>7</w:t>
            </w:r>
          </w:p>
        </w:tc>
        <w:tc>
          <w:tcPr>
            <w:tcW w:type="dxa" w:w="4320"/>
          </w:tcPr>
          <w:p>
            <w:r/>
            <w:r>
              <w:rPr>
                <w:sz w:val="17"/>
              </w:rPr>
              <w:t>Harwell University exclusive license (foundational GT-4100 IP) captured only by catch-all 5.1 schedule</w:t>
            </w:r>
          </w:p>
        </w:tc>
        <w:tc>
          <w:tcPr>
            <w:tcW w:type="dxa" w:w="1296"/>
          </w:tcPr>
          <w:p>
            <w:r/>
            <w:r>
              <w:rPr>
                <w:sz w:val="17"/>
              </w:rPr>
              <w:t>5.1, 8.1, 8.5</w:t>
            </w:r>
          </w:p>
        </w:tc>
        <w:tc>
          <w:tcPr>
            <w:tcW w:type="dxa" w:w="1008"/>
            <w:shd w:val="clear" w:color="auto" w:fill="F4CCCC"/>
          </w:tcPr>
          <w:p>
            <w:r/>
            <w:r>
              <w:rPr>
                <w:b/>
                <w:sz w:val="17"/>
              </w:rPr>
              <w:t>Critical</w:t>
            </w:r>
          </w:p>
        </w:tc>
        <w:tc>
          <w:tcPr>
            <w:tcW w:type="dxa" w:w="2304"/>
          </w:tcPr>
          <w:p>
            <w:r/>
            <w:r>
              <w:rPr>
                <w:sz w:val="17"/>
              </w:rPr>
              <w:t>Add 5.6</w:t>
            </w:r>
          </w:p>
        </w:tc>
      </w:tr>
      <w:tr>
        <w:tc>
          <w:tcPr>
            <w:tcW w:type="dxa" w:w="432"/>
          </w:tcPr>
          <w:p>
            <w:r/>
            <w:r>
              <w:rPr>
                <w:sz w:val="17"/>
              </w:rPr>
              <w:t>8</w:t>
            </w:r>
          </w:p>
        </w:tc>
        <w:tc>
          <w:tcPr>
            <w:tcW w:type="dxa" w:w="4320"/>
          </w:tcPr>
          <w:p>
            <w:r/>
            <w:r>
              <w:rPr>
                <w:sz w:val="17"/>
              </w:rPr>
              <w:t>Cytos Pharma AG infringement letter (Aug. 3, 2024) and Bristow non-infringement / FTO opinion are not litigation</w:t>
            </w:r>
          </w:p>
        </w:tc>
        <w:tc>
          <w:tcPr>
            <w:tcW w:type="dxa" w:w="1296"/>
          </w:tcPr>
          <w:p>
            <w:r/>
            <w:r>
              <w:rPr>
                <w:sz w:val="17"/>
              </w:rPr>
              <w:t>5.x, 7.1</w:t>
            </w:r>
          </w:p>
        </w:tc>
        <w:tc>
          <w:tcPr>
            <w:tcW w:type="dxa" w:w="1008"/>
            <w:shd w:val="clear" w:color="auto" w:fill="F4CCCC"/>
          </w:tcPr>
          <w:p>
            <w:r/>
            <w:r>
              <w:rPr>
                <w:b/>
                <w:sz w:val="17"/>
              </w:rPr>
              <w:t>Critical</w:t>
            </w:r>
          </w:p>
        </w:tc>
        <w:tc>
          <w:tcPr>
            <w:tcW w:type="dxa" w:w="2304"/>
          </w:tcPr>
          <w:p>
            <w:r/>
            <w:r>
              <w:rPr>
                <w:sz w:val="17"/>
              </w:rPr>
              <w:t>Add 5.7 (with privilege protocol)</w:t>
            </w:r>
          </w:p>
        </w:tc>
      </w:tr>
      <w:tr>
        <w:tc>
          <w:tcPr>
            <w:tcW w:type="dxa" w:w="432"/>
          </w:tcPr>
          <w:p>
            <w:r/>
            <w:r>
              <w:rPr>
                <w:sz w:val="17"/>
              </w:rPr>
              <w:t>9</w:t>
            </w:r>
          </w:p>
        </w:tc>
        <w:tc>
          <w:tcPr>
            <w:tcW w:type="dxa" w:w="4320"/>
          </w:tcPr>
          <w:p>
            <w:r/>
            <w:r>
              <w:rPr>
                <w:sz w:val="17"/>
              </w:rPr>
              <w:t>Rule 10b5-1 plans adopted Dec. 2024 by CEO, CSO, CFO not requested</w:t>
            </w:r>
          </w:p>
        </w:tc>
        <w:tc>
          <w:tcPr>
            <w:tcW w:type="dxa" w:w="1296"/>
          </w:tcPr>
          <w:p>
            <w:r/>
            <w:r>
              <w:rPr>
                <w:sz w:val="17"/>
              </w:rPr>
              <w:t>13.3</w:t>
            </w:r>
          </w:p>
        </w:tc>
        <w:tc>
          <w:tcPr>
            <w:tcW w:type="dxa" w:w="1008"/>
            <w:shd w:val="clear" w:color="auto" w:fill="F4CCCC"/>
          </w:tcPr>
          <w:p>
            <w:r/>
            <w:r>
              <w:rPr>
                <w:b/>
                <w:sz w:val="17"/>
              </w:rPr>
              <w:t>Critical</w:t>
            </w:r>
          </w:p>
        </w:tc>
        <w:tc>
          <w:tcPr>
            <w:tcW w:type="dxa" w:w="2304"/>
          </w:tcPr>
          <w:p>
            <w:r/>
            <w:r>
              <w:rPr>
                <w:sz w:val="17"/>
              </w:rPr>
              <w:t>Add 13.4</w:t>
            </w:r>
          </w:p>
        </w:tc>
      </w:tr>
      <w:tr>
        <w:tc>
          <w:tcPr>
            <w:tcW w:type="dxa" w:w="432"/>
          </w:tcPr>
          <w:p>
            <w:r/>
            <w:r>
              <w:rPr>
                <w:sz w:val="17"/>
              </w:rPr>
              <w:t>10</w:t>
            </w:r>
          </w:p>
        </w:tc>
        <w:tc>
          <w:tcPr>
            <w:tcW w:type="dxa" w:w="4320"/>
          </w:tcPr>
          <w:p>
            <w:r/>
            <w:r>
              <w:rPr>
                <w:sz w:val="17"/>
              </w:rPr>
              <w:t>Regulatory pathway: GT-4100 is a small molecule but all documents (and 6.6) refer to a "BLA"; companion diagnostic (CDRH) not covered</w:t>
            </w:r>
          </w:p>
        </w:tc>
        <w:tc>
          <w:tcPr>
            <w:tcW w:type="dxa" w:w="1296"/>
          </w:tcPr>
          <w:p>
            <w:r/>
            <w:r>
              <w:rPr>
                <w:sz w:val="17"/>
              </w:rPr>
              <w:t>6.6</w:t>
            </w:r>
          </w:p>
        </w:tc>
        <w:tc>
          <w:tcPr>
            <w:tcW w:type="dxa" w:w="1008"/>
            <w:shd w:val="clear" w:color="auto" w:fill="FCE5CD"/>
          </w:tcPr>
          <w:p>
            <w:r/>
            <w:r>
              <w:rPr>
                <w:b/>
                <w:sz w:val="17"/>
              </w:rPr>
              <w:t>High</w:t>
            </w:r>
          </w:p>
        </w:tc>
        <w:tc>
          <w:tcPr>
            <w:tcW w:type="dxa" w:w="2304"/>
          </w:tcPr>
          <w:p>
            <w:r/>
            <w:r>
              <w:rPr>
                <w:sz w:val="17"/>
              </w:rPr>
              <w:t>Confirm NDA vs. BLA; add 6.11-6.12</w:t>
            </w:r>
          </w:p>
        </w:tc>
      </w:tr>
      <w:tr>
        <w:tc>
          <w:tcPr>
            <w:tcW w:type="dxa" w:w="432"/>
          </w:tcPr>
          <w:p>
            <w:r/>
            <w:r>
              <w:rPr>
                <w:sz w:val="17"/>
              </w:rPr>
              <w:t>11</w:t>
            </w:r>
          </w:p>
        </w:tc>
        <w:tc>
          <w:tcPr>
            <w:tcW w:type="dxa" w:w="4320"/>
          </w:tcPr>
          <w:p>
            <w:r/>
            <w:r>
              <w:rPr>
                <w:sz w:val="17"/>
              </w:rPr>
              <w:t>Insurance request limited to D&amp;O; EPLI (Hartwell), clinical trial/product liability, cyber and other policies omitted</w:t>
            </w:r>
          </w:p>
        </w:tc>
        <w:tc>
          <w:tcPr>
            <w:tcW w:type="dxa" w:w="1296"/>
          </w:tcPr>
          <w:p>
            <w:r/>
            <w:r>
              <w:rPr>
                <w:sz w:val="17"/>
              </w:rPr>
              <w:t>9.1, 9.2</w:t>
            </w:r>
          </w:p>
        </w:tc>
        <w:tc>
          <w:tcPr>
            <w:tcW w:type="dxa" w:w="1008"/>
            <w:shd w:val="clear" w:color="auto" w:fill="FCE5CD"/>
          </w:tcPr>
          <w:p>
            <w:r/>
            <w:r>
              <w:rPr>
                <w:b/>
                <w:sz w:val="17"/>
              </w:rPr>
              <w:t>High</w:t>
            </w:r>
          </w:p>
        </w:tc>
        <w:tc>
          <w:tcPr>
            <w:tcW w:type="dxa" w:w="2304"/>
          </w:tcPr>
          <w:p>
            <w:r/>
            <w:r>
              <w:rPr>
                <w:sz w:val="17"/>
              </w:rPr>
              <w:t>Replace Section IX</w:t>
            </w:r>
          </w:p>
        </w:tc>
      </w:tr>
      <w:tr>
        <w:tc>
          <w:tcPr>
            <w:tcW w:type="dxa" w:w="432"/>
          </w:tcPr>
          <w:p>
            <w:r/>
            <w:r>
              <w:rPr>
                <w:sz w:val="17"/>
              </w:rPr>
              <w:t>12</w:t>
            </w:r>
          </w:p>
        </w:tc>
        <w:tc>
          <w:tcPr>
            <w:tcW w:type="dxa" w:w="4320"/>
          </w:tcPr>
          <w:p>
            <w:r/>
            <w:r>
              <w:rPr>
                <w:sz w:val="17"/>
              </w:rPr>
              <w:t>OmniLabel Diagnostics LLC (35%, unconsolidated JV; $30M option) missed by subsidiary-based requests</w:t>
            </w:r>
          </w:p>
        </w:tc>
        <w:tc>
          <w:tcPr>
            <w:tcW w:type="dxa" w:w="1296"/>
          </w:tcPr>
          <w:p>
            <w:r/>
            <w:r>
              <w:rPr>
                <w:sz w:val="17"/>
              </w:rPr>
              <w:t>1.3, 1.4, 8.4</w:t>
            </w:r>
          </w:p>
        </w:tc>
        <w:tc>
          <w:tcPr>
            <w:tcW w:type="dxa" w:w="1008"/>
            <w:shd w:val="clear" w:color="auto" w:fill="FCE5CD"/>
          </w:tcPr>
          <w:p>
            <w:r/>
            <w:r>
              <w:rPr>
                <w:b/>
                <w:sz w:val="17"/>
              </w:rPr>
              <w:t>High</w:t>
            </w:r>
          </w:p>
        </w:tc>
        <w:tc>
          <w:tcPr>
            <w:tcW w:type="dxa" w:w="2304"/>
          </w:tcPr>
          <w:p>
            <w:r/>
            <w:r>
              <w:rPr>
                <w:sz w:val="17"/>
              </w:rPr>
              <w:t>Add 1.11</w:t>
            </w:r>
          </w:p>
        </w:tc>
      </w:tr>
      <w:tr>
        <w:tc>
          <w:tcPr>
            <w:tcW w:type="dxa" w:w="432"/>
          </w:tcPr>
          <w:p>
            <w:r/>
            <w:r>
              <w:rPr>
                <w:sz w:val="17"/>
              </w:rPr>
              <w:t>13</w:t>
            </w:r>
          </w:p>
        </w:tc>
        <w:tc>
          <w:tcPr>
            <w:tcW w:type="dxa" w:w="4320"/>
          </w:tcPr>
          <w:p>
            <w:r/>
            <w:r>
              <w:rPr>
                <w:sz w:val="17"/>
              </w:rPr>
              <w:t>Section 382 study and workpapers; risk of second ownership change at IPO</w:t>
            </w:r>
          </w:p>
        </w:tc>
        <w:tc>
          <w:tcPr>
            <w:tcW w:type="dxa" w:w="1296"/>
          </w:tcPr>
          <w:p>
            <w:r/>
            <w:r>
              <w:rPr>
                <w:sz w:val="17"/>
              </w:rPr>
              <w:t>4.2</w:t>
            </w:r>
          </w:p>
        </w:tc>
        <w:tc>
          <w:tcPr>
            <w:tcW w:type="dxa" w:w="1008"/>
            <w:shd w:val="clear" w:color="auto" w:fill="FCE5CD"/>
          </w:tcPr>
          <w:p>
            <w:r/>
            <w:r>
              <w:rPr>
                <w:b/>
                <w:sz w:val="17"/>
              </w:rPr>
              <w:t>High</w:t>
            </w:r>
          </w:p>
        </w:tc>
        <w:tc>
          <w:tcPr>
            <w:tcW w:type="dxa" w:w="2304"/>
          </w:tcPr>
          <w:p>
            <w:r/>
            <w:r>
              <w:rPr>
                <w:sz w:val="17"/>
              </w:rPr>
              <w:t>Add 4.6</w:t>
            </w:r>
          </w:p>
        </w:tc>
      </w:tr>
      <w:tr>
        <w:tc>
          <w:tcPr>
            <w:tcW w:type="dxa" w:w="432"/>
          </w:tcPr>
          <w:p>
            <w:r/>
            <w:r>
              <w:rPr>
                <w:sz w:val="17"/>
              </w:rPr>
              <w:t>14</w:t>
            </w:r>
          </w:p>
        </w:tc>
        <w:tc>
          <w:tcPr>
            <w:tcW w:type="dxa" w:w="4320"/>
          </w:tcPr>
          <w:p>
            <w:r/>
            <w:r>
              <w:rPr>
                <w:sz w:val="17"/>
              </w:rPr>
              <w:t>No data privacy (HIPAA/GDPR), cybersecurity, FCPA/anti-corruption or healthcare compliance category</w:t>
            </w:r>
          </w:p>
        </w:tc>
        <w:tc>
          <w:tcPr>
            <w:tcW w:type="dxa" w:w="1296"/>
          </w:tcPr>
          <w:p>
            <w:r/>
            <w:r>
              <w:rPr>
                <w:sz w:val="17"/>
              </w:rPr>
              <w:t>13.1, 13.3</w:t>
            </w:r>
          </w:p>
        </w:tc>
        <w:tc>
          <w:tcPr>
            <w:tcW w:type="dxa" w:w="1008"/>
            <w:shd w:val="clear" w:color="auto" w:fill="FCE5CD"/>
          </w:tcPr>
          <w:p>
            <w:r/>
            <w:r>
              <w:rPr>
                <w:b/>
                <w:sz w:val="17"/>
              </w:rPr>
              <w:t>High</w:t>
            </w:r>
          </w:p>
        </w:tc>
        <w:tc>
          <w:tcPr>
            <w:tcW w:type="dxa" w:w="2304"/>
          </w:tcPr>
          <w:p>
            <w:r/>
            <w:r>
              <w:rPr>
                <w:sz w:val="17"/>
              </w:rPr>
              <w:t>Add new Section XVI</w:t>
            </w:r>
          </w:p>
        </w:tc>
      </w:tr>
      <w:tr>
        <w:tc>
          <w:tcPr>
            <w:tcW w:type="dxa" w:w="432"/>
          </w:tcPr>
          <w:p>
            <w:r/>
            <w:r>
              <w:rPr>
                <w:sz w:val="17"/>
              </w:rPr>
              <w:t>15</w:t>
            </w:r>
          </w:p>
        </w:tc>
        <w:tc>
          <w:tcPr>
            <w:tcW w:type="dxa" w:w="4320"/>
          </w:tcPr>
          <w:p>
            <w:r/>
            <w:r>
              <w:rPr>
                <w:sz w:val="17"/>
              </w:rPr>
              <w:t>Liquidity/going concern (approx. 12 months runway), cheap stock, ICFR, audit timetable and staleness</w:t>
            </w:r>
          </w:p>
        </w:tc>
        <w:tc>
          <w:tcPr>
            <w:tcW w:type="dxa" w:w="1296"/>
          </w:tcPr>
          <w:p>
            <w:r/>
            <w:r>
              <w:rPr>
                <w:sz w:val="17"/>
              </w:rPr>
              <w:t>3.1-3.3, 2.8</w:t>
            </w:r>
          </w:p>
        </w:tc>
        <w:tc>
          <w:tcPr>
            <w:tcW w:type="dxa" w:w="1008"/>
            <w:shd w:val="clear" w:color="auto" w:fill="FCE5CD"/>
          </w:tcPr>
          <w:p>
            <w:r/>
            <w:r>
              <w:rPr>
                <w:b/>
                <w:sz w:val="17"/>
              </w:rPr>
              <w:t>High</w:t>
            </w:r>
          </w:p>
        </w:tc>
        <w:tc>
          <w:tcPr>
            <w:tcW w:type="dxa" w:w="2304"/>
          </w:tcPr>
          <w:p>
            <w:r/>
            <w:r>
              <w:rPr>
                <w:sz w:val="17"/>
              </w:rPr>
              <w:t>Add 3.9-3.12</w:t>
            </w:r>
          </w:p>
        </w:tc>
      </w:tr>
      <w:tr>
        <w:tc>
          <w:tcPr>
            <w:tcW w:type="dxa" w:w="432"/>
          </w:tcPr>
          <w:p>
            <w:r/>
            <w:r>
              <w:rPr>
                <w:sz w:val="17"/>
              </w:rPr>
              <w:t>16</w:t>
            </w:r>
          </w:p>
        </w:tc>
        <w:tc>
          <w:tcPr>
            <w:tcW w:type="dxa" w:w="4320"/>
          </w:tcPr>
          <w:p>
            <w:r/>
            <w:r>
              <w:rPr>
                <w:sz w:val="17"/>
              </w:rPr>
              <w:t>"Material contracts" undefined; Valcourt quality agreement and supply continuity not specifically requested</w:t>
            </w:r>
          </w:p>
        </w:tc>
        <w:tc>
          <w:tcPr>
            <w:tcW w:type="dxa" w:w="1296"/>
          </w:tcPr>
          <w:p>
            <w:r/>
            <w:r>
              <w:rPr>
                <w:sz w:val="17"/>
              </w:rPr>
              <w:t>8.1</w:t>
            </w:r>
          </w:p>
        </w:tc>
        <w:tc>
          <w:tcPr>
            <w:tcW w:type="dxa" w:w="1008"/>
            <w:shd w:val="clear" w:color="auto" w:fill="FCE5CD"/>
          </w:tcPr>
          <w:p>
            <w:r/>
            <w:r>
              <w:rPr>
                <w:b/>
                <w:sz w:val="17"/>
              </w:rPr>
              <w:t>High</w:t>
            </w:r>
          </w:p>
        </w:tc>
        <w:tc>
          <w:tcPr>
            <w:tcW w:type="dxa" w:w="2304"/>
          </w:tcPr>
          <w:p>
            <w:r/>
            <w:r>
              <w:rPr>
                <w:sz w:val="17"/>
              </w:rPr>
              <w:t>Define threshold; add 8.10</w:t>
            </w:r>
          </w:p>
        </w:tc>
      </w:tr>
      <w:tr>
        <w:tc>
          <w:tcPr>
            <w:tcW w:type="dxa" w:w="432"/>
          </w:tcPr>
          <w:p>
            <w:r/>
            <w:r>
              <w:rPr>
                <w:sz w:val="17"/>
              </w:rPr>
              <w:t>17</w:t>
            </w:r>
          </w:p>
        </w:tc>
        <w:tc>
          <w:tcPr>
            <w:tcW w:type="dxa" w:w="4320"/>
          </w:tcPr>
          <w:p>
            <w:r/>
            <w:r>
              <w:rPr>
                <w:sz w:val="17"/>
              </w:rPr>
              <w:t>Litigation-adjacent items: Hartwell reserves/coverage; CEO 2022 academic misconduct inquiry; Xu/Arclion settlement and IP chain of title</w:t>
            </w:r>
          </w:p>
        </w:tc>
        <w:tc>
          <w:tcPr>
            <w:tcW w:type="dxa" w:w="1296"/>
          </w:tcPr>
          <w:p>
            <w:r/>
            <w:r>
              <w:rPr>
                <w:sz w:val="17"/>
              </w:rPr>
              <w:t>7.1-7.4, 10.6</w:t>
            </w:r>
          </w:p>
        </w:tc>
        <w:tc>
          <w:tcPr>
            <w:tcW w:type="dxa" w:w="1008"/>
            <w:shd w:val="clear" w:color="auto" w:fill="FCE5CD"/>
          </w:tcPr>
          <w:p>
            <w:r/>
            <w:r>
              <w:rPr>
                <w:b/>
                <w:sz w:val="17"/>
              </w:rPr>
              <w:t>High</w:t>
            </w:r>
          </w:p>
        </w:tc>
        <w:tc>
          <w:tcPr>
            <w:tcW w:type="dxa" w:w="2304"/>
          </w:tcPr>
          <w:p>
            <w:r/>
            <w:r>
              <w:rPr>
                <w:sz w:val="17"/>
              </w:rPr>
              <w:t>Add 7.5-7.7</w:t>
            </w:r>
          </w:p>
        </w:tc>
      </w:tr>
      <w:tr>
        <w:tc>
          <w:tcPr>
            <w:tcW w:type="dxa" w:w="432"/>
          </w:tcPr>
          <w:p>
            <w:r/>
            <w:r>
              <w:rPr>
                <w:sz w:val="17"/>
              </w:rPr>
              <w:t>18</w:t>
            </w:r>
          </w:p>
        </w:tc>
        <w:tc>
          <w:tcPr>
            <w:tcW w:type="dxa" w:w="4320"/>
          </w:tcPr>
          <w:p>
            <w:r/>
            <w:r>
              <w:rPr>
                <w:sz w:val="17"/>
              </w:rPr>
              <w:t>Dissolved GT West Coast Labs (CA) and Massachusetts securities corporation status</w:t>
            </w:r>
          </w:p>
        </w:tc>
        <w:tc>
          <w:tcPr>
            <w:tcW w:type="dxa" w:w="1296"/>
          </w:tcPr>
          <w:p>
            <w:r/>
            <w:r>
              <w:rPr>
                <w:sz w:val="17"/>
              </w:rPr>
              <w:t>1.3-1.5</w:t>
            </w:r>
          </w:p>
        </w:tc>
        <w:tc>
          <w:tcPr>
            <w:tcW w:type="dxa" w:w="1008"/>
            <w:shd w:val="clear" w:color="auto" w:fill="FFF2CC"/>
          </w:tcPr>
          <w:p>
            <w:r/>
            <w:r>
              <w:rPr>
                <w:b/>
                <w:sz w:val="17"/>
              </w:rPr>
              <w:t>Medium</w:t>
            </w:r>
          </w:p>
        </w:tc>
        <w:tc>
          <w:tcPr>
            <w:tcW w:type="dxa" w:w="2304"/>
          </w:tcPr>
          <w:p>
            <w:r/>
            <w:r>
              <w:rPr>
                <w:sz w:val="17"/>
              </w:rPr>
              <w:t>Add 1.12-1.13</w:t>
            </w:r>
          </w:p>
        </w:tc>
      </w:tr>
      <w:tr>
        <w:tc>
          <w:tcPr>
            <w:tcW w:type="dxa" w:w="432"/>
          </w:tcPr>
          <w:p>
            <w:r/>
            <w:r>
              <w:rPr>
                <w:sz w:val="17"/>
              </w:rPr>
              <w:t>19</w:t>
            </w:r>
          </w:p>
        </w:tc>
        <w:tc>
          <w:tcPr>
            <w:tcW w:type="dxa" w:w="4320"/>
          </w:tcPr>
          <w:p>
            <w:r/>
            <w:r>
              <w:rPr>
                <w:sz w:val="17"/>
              </w:rPr>
              <w:t>Trade secret protection (no audit); invention assignment for Irish staff; Valcourt tech transfer</w:t>
            </w:r>
          </w:p>
        </w:tc>
        <w:tc>
          <w:tcPr>
            <w:tcW w:type="dxa" w:w="1296"/>
          </w:tcPr>
          <w:p>
            <w:r/>
            <w:r>
              <w:rPr>
                <w:sz w:val="17"/>
              </w:rPr>
              <w:t>5.3, 5.4</w:t>
            </w:r>
          </w:p>
        </w:tc>
        <w:tc>
          <w:tcPr>
            <w:tcW w:type="dxa" w:w="1008"/>
            <w:shd w:val="clear" w:color="auto" w:fill="FFF2CC"/>
          </w:tcPr>
          <w:p>
            <w:r/>
            <w:r>
              <w:rPr>
                <w:b/>
                <w:sz w:val="17"/>
              </w:rPr>
              <w:t>Medium</w:t>
            </w:r>
          </w:p>
        </w:tc>
        <w:tc>
          <w:tcPr>
            <w:tcW w:type="dxa" w:w="2304"/>
          </w:tcPr>
          <w:p>
            <w:r/>
            <w:r>
              <w:rPr>
                <w:sz w:val="17"/>
              </w:rPr>
              <w:t>Expand 5.3-5.4</w:t>
            </w:r>
          </w:p>
        </w:tc>
      </w:tr>
      <w:tr>
        <w:tc>
          <w:tcPr>
            <w:tcW w:type="dxa" w:w="432"/>
          </w:tcPr>
          <w:p>
            <w:r/>
            <w:r>
              <w:rPr>
                <w:sz w:val="17"/>
              </w:rPr>
              <w:t>20</w:t>
            </w:r>
          </w:p>
        </w:tc>
        <w:tc>
          <w:tcPr>
            <w:tcW w:type="dxa" w:w="4320"/>
          </w:tcPr>
          <w:p>
            <w:r/>
            <w:r>
              <w:rPr>
                <w:sz w:val="17"/>
              </w:rPr>
              <w:t>Lock-up population, IRA market stand-off and registration rights reconciliation</w:t>
            </w:r>
          </w:p>
        </w:tc>
        <w:tc>
          <w:tcPr>
            <w:tcW w:type="dxa" w:w="1296"/>
          </w:tcPr>
          <w:p>
            <w:r/>
            <w:r>
              <w:rPr>
                <w:sz w:val="17"/>
              </w:rPr>
              <w:t>2.3, 2.9, 2.10</w:t>
            </w:r>
          </w:p>
        </w:tc>
        <w:tc>
          <w:tcPr>
            <w:tcW w:type="dxa" w:w="1008"/>
            <w:shd w:val="clear" w:color="auto" w:fill="FFF2CC"/>
          </w:tcPr>
          <w:p>
            <w:r/>
            <w:r>
              <w:rPr>
                <w:b/>
                <w:sz w:val="17"/>
              </w:rPr>
              <w:t>Medium</w:t>
            </w:r>
          </w:p>
        </w:tc>
        <w:tc>
          <w:tcPr>
            <w:tcW w:type="dxa" w:w="2304"/>
          </w:tcPr>
          <w:p>
            <w:r/>
            <w:r>
              <w:rPr>
                <w:sz w:val="17"/>
              </w:rPr>
              <w:t>Expand 2.9</w:t>
            </w:r>
          </w:p>
        </w:tc>
      </w:tr>
      <w:tr>
        <w:tc>
          <w:tcPr>
            <w:tcW w:type="dxa" w:w="432"/>
          </w:tcPr>
          <w:p>
            <w:r/>
            <w:r>
              <w:rPr>
                <w:sz w:val="17"/>
              </w:rPr>
              <w:t>21</w:t>
            </w:r>
          </w:p>
        </w:tc>
        <w:tc>
          <w:tcPr>
            <w:tcW w:type="dxa" w:w="4320"/>
          </w:tcPr>
          <w:p>
            <w:r/>
            <w:r>
              <w:rPr>
                <w:sz w:val="17"/>
              </w:rPr>
              <w:t>Drafting/technical: exec comp scope (10.7), 409A look-back (2.8), privilege protocol, duplicative items, date conventions</w:t>
            </w:r>
          </w:p>
        </w:tc>
        <w:tc>
          <w:tcPr>
            <w:tcW w:type="dxa" w:w="1296"/>
          </w:tcPr>
          <w:p>
            <w:r/>
            <w:r>
              <w:rPr>
                <w:sz w:val="17"/>
              </w:rPr>
              <w:t>Various</w:t>
            </w:r>
          </w:p>
        </w:tc>
        <w:tc>
          <w:tcPr>
            <w:tcW w:type="dxa" w:w="1008"/>
            <w:shd w:val="clear" w:color="auto" w:fill="FFF2CC"/>
          </w:tcPr>
          <w:p>
            <w:r/>
            <w:r>
              <w:rPr>
                <w:b/>
                <w:sz w:val="17"/>
              </w:rPr>
              <w:t>Medium</w:t>
            </w:r>
          </w:p>
        </w:tc>
        <w:tc>
          <w:tcPr>
            <w:tcW w:type="dxa" w:w="2304"/>
          </w:tcPr>
          <w:p>
            <w:r/>
            <w:r>
              <w:rPr>
                <w:sz w:val="17"/>
              </w:rPr>
              <w:t>Conforming comments</w:t>
            </w:r>
          </w:p>
        </w:tc>
      </w:tr>
    </w:tbl>
    <w:p>
      <w:pPr>
        <w:spacing w:after="40"/>
      </w:pPr>
    </w:p>
    <w:p>
      <w:pPr>
        <w:pStyle w:val="Heading1"/>
      </w:pPr>
      <w:r>
        <w:t>IV. Discussion of Issues</w:t>
      </w:r>
    </w:p>
    <w:p>
      <w:pPr>
        <w:pStyle w:val="Heading2"/>
      </w:pPr>
      <w:r>
        <w:t>A. Critical Priority</w:t>
      </w:r>
    </w:p>
    <w:p>
      <w:pPr>
        <w:pStyle w:val="Heading3"/>
      </w:pPr>
      <w:r>
        <w:t>Issue 1. Preferred Stock Conversion Mechanics in a Down-Round IPO</w:t>
      </w:r>
    </w:p>
    <w:p>
      <w:r>
        <w:rPr>
          <w:b/>
        </w:rPr>
        <w:t xml:space="preserve">Request List coverage. </w:t>
      </w:r>
      <w:r>
        <w:t>Requests 1.1 (charter) and 2.1-2.3 (cap table, financing documents, investor agreements) will produce the governing documents, but nothing asks the Company to demonstrate that the Offering actually triggers automatic conversion, or to identify any anti-dilution adjustment, IPO ratchet or required waiver. The cap table assumes every series converts 1:1.</w:t>
      </w:r>
    </w:p>
    <w:p>
      <w:pPr>
        <w:spacing w:after="40"/>
      </w:pPr>
      <w:r>
        <w:rPr>
          <w:b/>
        </w:rPr>
        <w:t>Why it matters.</w:t>
      </w:r>
    </w:p>
    <w:p>
      <w:pPr>
        <w:pStyle w:val="ListBullet"/>
        <w:spacing w:after="60"/>
      </w:pPr>
      <w:r>
        <w:t>The expected range of $16.00-$19.00 (midpoint $17.50) is below the original issue prices (OIPs) of the Series C ($20.00, January 2020), Series D ($32.00, August 2021) and Series E ($44.00, April 2024) Preferred across the entire range. Venture charters commonly condition automatic conversion on a “Qualified IPO” with a minimum per-share price (often equal to or a multiple of the latest OIP) and minimum gross proceeds. If the Offering does not qualify, conversion requires a separate vote or written consent of the requisite preferred holders (often with series votes), and failure to convert would defeat the single-class post-IPO structure the S-1 will describe.</w:t>
      </w:r>
    </w:p>
    <w:p>
      <w:pPr>
        <w:pStyle w:val="ListBullet"/>
        <w:spacing w:after="60"/>
      </w:pPr>
      <w:r>
        <w:t>The convertible notes will convert at $14.00 (at the midpoint), and option grants have been made at $12.00-$14.80; each is below the Series C, D and E OIPs. If the Restated Certificate contains broad-based weighted-average (or full ratchet) anti-dilution protection without a carve-out for note conversions, the conversion ratios may already have adjusted, and the 1:1 assumption in the capitalization, dilution and principal stockholders tables would be wrong.</w:t>
      </w:r>
    </w:p>
    <w:p>
      <w:pPr>
        <w:pStyle w:val="ListBullet"/>
        <w:spacing w:after="60"/>
      </w:pPr>
      <w:r>
        <w:t>Series E investors who paid $44.00 ten months ago may seek IPO ratchets, make-whole share issuances or side letters as the price of consenting to conversion; any such arrangement is a Description of Capital Stock and dilution item and potentially an Item 404 item (Hollcroft led the Series E and holds two board seats).</w:t>
      </w:r>
    </w:p>
    <w:p>
      <w:pPr>
        <w:pStyle w:val="ListBullet"/>
        <w:spacing w:after="60"/>
      </w:pPr>
      <w:r>
        <w:t>The share counts and pre-money valuations in the financing history do not reconcile with the stated OIPs (see Part V), which suggests an unrecorded stock split or recapitalization, or a data error. Either way, the underwriters need the documents that explain it.</w:t>
      </w:r>
    </w:p>
    <w:p>
      <w:r>
        <w:rPr>
          <w:b/>
        </w:rPr>
        <w:t xml:space="preserve">Recommendation. </w:t>
      </w:r>
      <w:r>
        <w:t>Add new Item 2.12 (Appendix A). Internally, Marcus Whitfield should review the Restated Certificate conversion and anti-dilution provisions before the February 10 Description of Capital Stock draft; if a preferred consent is needed, it should be solicited together with the lock-ups and the charter amendment approvals.</w:t>
      </w:r>
    </w:p>
    <w:p>
      <w:pPr>
        <w:pStyle w:val="Heading3"/>
      </w:pPr>
      <w:r>
        <w:t>Issue 2. FDA Form 483, Establishment Inspection Reports and CMO Inspection History</w:t>
      </w:r>
    </w:p>
    <w:p>
      <w:r>
        <w:rPr>
          <w:b/>
        </w:rPr>
        <w:t xml:space="preserve">Request List coverage. </w:t>
      </w:r>
      <w:r>
        <w:t>Request 6.4 asks only for “FDA correspondence, including any warning letters and complete response letters issued to the Company.” It does not mention Form 483 observations, establishment inspection reports (EIRs), responses or close-out correspondence, and is limited to documents issued to the Company. Request 6.5 covers authorizations and registrations, not inspections. The January 8, 2025 Form 483 was issued to Valcourt Manufacturing Solutions, not the Company, so a literal reading of the list does not reach it.</w:t>
      </w:r>
    </w:p>
    <w:p>
      <w:pPr>
        <w:spacing w:after="40"/>
      </w:pPr>
      <w:r>
        <w:rPr>
          <w:b/>
        </w:rPr>
        <w:t>Why it matters.</w:t>
      </w:r>
    </w:p>
    <w:p>
      <w:pPr>
        <w:pStyle w:val="ListBullet"/>
        <w:spacing w:after="60"/>
      </w:pPr>
      <w:r>
        <w:t>Valcourt is the sole CMO for GT-4100 (January 2022 Manufacturing and Supply Agreement, approximately $75 million). The two observations (inadequate documentation of cleaning validation protocols for shared equipment used in GT-4100 API production; absence of verified hold-time studies for cleaned equipment) arose in a pre-approval inspection tied to the marketing application. An unresolved pre-approval inspection finding can delay or prevent approval, which goes to the core of the investment thesis and the Use of Proceeds.</w:t>
      </w:r>
    </w:p>
    <w:p>
      <w:pPr>
        <w:pStyle w:val="ListBullet"/>
        <w:spacing w:after="60"/>
      </w:pPr>
      <w:r>
        <w:t>Valcourt responded on January 22, 2025 and committed to a full revalidation within 60 days (roughly late March 2025, around the target public filing). FDA has not yet classified the inspection (NAI/VAI/OAI) or released the EIR, and Valcourt’s expectation that no Warning Letter will issue is not evidence. The S-1 will need updating as events occur, so the request should be continuing.</w:t>
      </w:r>
    </w:p>
    <w:p>
      <w:pPr>
        <w:pStyle w:val="ListBullet"/>
        <w:spacing w:after="60"/>
      </w:pPr>
      <w:r>
        <w:t>Mr. Whitfield’s January 10 recommendation that the Company review Valcourt’s response before submission was overtaken (the Company received the response the day it was filed). A consistency review of Valcourt’s characterization against the draft risk factor is still required.</w:t>
      </w:r>
    </w:p>
    <w:p>
      <w:pPr>
        <w:pStyle w:val="ListBullet"/>
        <w:spacing w:after="60"/>
      </w:pPr>
      <w:r>
        <w:t>The Company has already assembled the Form 483 package (Form 483, Valcourt response and internal communications) per Rebecca Tran’s January 27 email, so adding the item costs nothing and pre-empts a later non-production concern. Internal communications should be screened for privilege before upload.</w:t>
      </w:r>
    </w:p>
    <w:p>
      <w:r>
        <w:rPr>
          <w:b/>
        </w:rPr>
        <w:t xml:space="preserve">Recommendation. </w:t>
      </w:r>
      <w:r>
        <w:t>Add new Item 6.9 (Appendix A) covering the Company and all CMOs, CROs, testing laboratories and API/drug product suppliers, on a continuing basis; conform 6.4 to cover all FDA and foreign regulator correspondence, not only warning letters and CRLs.</w:t>
      </w:r>
    </w:p>
    <w:p>
      <w:pPr>
        <w:pStyle w:val="Heading3"/>
      </w:pPr>
      <w:r>
        <w:t>Issue 3. 2023 Partial Clinical Hold File</w:t>
      </w:r>
    </w:p>
    <w:p>
      <w:r>
        <w:rPr>
          <w:b/>
        </w:rPr>
        <w:t xml:space="preserve">Request List coverage. </w:t>
      </w:r>
      <w:r>
        <w:t>Requests 6.1 (IND and amendments), 6.3 (FDA meeting minutes) and 6.4 (correspondence limited to warning letters and CRLs) do not specifically call for clinical hold correspondence. A clinical hold letter is neither a warning letter nor a complete response letter.</w:t>
      </w:r>
    </w:p>
    <w:p>
      <w:pPr>
        <w:spacing w:after="40"/>
      </w:pPr>
      <w:r>
        <w:rPr>
          <w:b/>
        </w:rPr>
        <w:t>Why it matters.</w:t>
      </w:r>
    </w:p>
    <w:p>
      <w:pPr>
        <w:pStyle w:val="ListBullet"/>
        <w:spacing w:after="60"/>
      </w:pPr>
      <w:r>
        <w:t>The March-June 2023 partial clinical hold (hepatotoxicity signal in four patients) is a material event in the GT-4100 development history and will be a risk factor, a business-section narrative point and a likely SEC comment area; liver safety will also be scrutinized in FDA review and labeling.</w:t>
      </w:r>
    </w:p>
    <w:p>
      <w:pPr>
        <w:pStyle w:val="ListBullet"/>
        <w:spacing w:after="60"/>
      </w:pPr>
      <w:r>
        <w:t>The Company’s own descriptions are not yet consistent: the profile memo says the Company “submitted a complete response”; the timeline says the hold was lifted “following submission of supplemental safety data”; the email chain says it was lifted after enhanced liver function monitoring was implemented and places the signal at the “Phase 2/3 transition,” although Phase 2 completed in August 2022 and the hold began in March 2023, during Phase 3. The underlying file is needed to fix the narrative.</w:t>
      </w:r>
    </w:p>
    <w:p>
      <w:pPr>
        <w:pStyle w:val="ListBullet"/>
        <w:spacing w:after="60"/>
      </w:pPr>
      <w:r>
        <w:t>The Company has already assembled the hold file (March 2023 hold letter, response and remediation plan, enhanced monitoring protocol, June 2023 release letter).</w:t>
      </w:r>
    </w:p>
    <w:p>
      <w:r>
        <w:rPr>
          <w:b/>
        </w:rPr>
        <w:t xml:space="preserve">Recommendation. </w:t>
      </w:r>
      <w:r>
        <w:t>Add new Item 6.10 (Appendix A), including DSMB/safety committee minutes, case narratives and causality assessments, related IND safety reports, protocol and informed consent amendments, and any later FDA communications referencing the hold (including at the September 18, 2024 Type B meeting).</w:t>
      </w:r>
    </w:p>
    <w:p>
      <w:pPr>
        <w:pStyle w:val="Heading3"/>
      </w:pPr>
      <w:r>
        <w:t>Issue 4. Convertible Promissory Notes ($15 Million)</w:t>
      </w:r>
    </w:p>
    <w:p>
      <w:r>
        <w:rPr>
          <w:b/>
        </w:rPr>
        <w:t xml:space="preserve">Request List coverage. </w:t>
      </w:r>
      <w:r>
        <w:t>Request 2.1 asks for a cap table of “outstanding equity securities, warrants, and options” and 3.4 asks only for a schedule of indebtedness. Neither calls for the note purchase agreement, the notes, consents or conversion mechanics. The Company’s own cap table flags that the notes are debt and are not captured by 2.1.</w:t>
      </w:r>
    </w:p>
    <w:p>
      <w:pPr>
        <w:spacing w:after="40"/>
      </w:pPr>
      <w:r>
        <w:rPr>
          <w:b/>
        </w:rPr>
        <w:t>Why it matters.</w:t>
      </w:r>
    </w:p>
    <w:p>
      <w:pPr>
        <w:pStyle w:val="ListBullet"/>
        <w:spacing w:after="60"/>
      </w:pPr>
      <w:r>
        <w:t>The notes (CN-001 to CN-003, issued November 15, 2023, 4.5% interest, maturing November 15, 2025) auto-convert on a “Qualified IPO” at a 20% discount. Estimated conversion shares at the midpoint are approximately 1.13 million (principal plus interest accrued to January 31, 2025), ranging from approximately 1.04 million to 1.24 million across the range; these feed the capitalization, dilution and beneficial ownership tables and the lock-up population.</w:t>
      </w:r>
    </w:p>
    <w:p>
      <w:pPr>
        <w:pStyle w:val="ListBullet"/>
        <w:spacing w:after="60"/>
      </w:pPr>
      <w:r>
        <w:t>The “Qualified IPO” definition, treatment of accrued interest through closing, any cap or floor, fractional shares, maturity and default provisions (if the IPO slips past November 15, 2025 the notes come due, and runway is approximately 12 months), subordination and any noteholder consent rights over the IPO must be verified against the instruments.</w:t>
      </w:r>
    </w:p>
    <w:p>
      <w:pPr>
        <w:pStyle w:val="ListBullet"/>
        <w:spacing w:after="60"/>
      </w:pPr>
      <w:r>
        <w:t>Noteholders are identified only as “three existing investors (names on file).” If any is a 5% holder or an affiliate of a director (e.g., Hollcroft), the November 2023 issuance and the discounted conversion are Item 404 related-person transactions.</w:t>
      </w:r>
    </w:p>
    <w:p>
      <w:pPr>
        <w:pStyle w:val="ListBullet"/>
        <w:spacing w:after="60"/>
      </w:pPr>
      <w:r>
        <w:t>Accounting: the 20% conversion discount is likely a bifurcated embedded derivative or fair-value-option item; the auditors’ treatment should be produced.</w:t>
      </w:r>
    </w:p>
    <w:p>
      <w:r>
        <w:rPr>
          <w:b/>
        </w:rPr>
        <w:t xml:space="preserve">Recommendation. </w:t>
      </w:r>
      <w:r>
        <w:t>Add new Item 2.11 (Appendix A); conform 2.1 to read “all outstanding equity securities, convertible debt securities, warrants, options and other rights to acquire equity.”</w:t>
      </w:r>
    </w:p>
    <w:p>
      <w:pPr>
        <w:pStyle w:val="Heading3"/>
      </w:pPr>
      <w:r>
        <w:t>Issue 5. Related-Party Transactions and Questionnaires (Regulation S-K Item 404)</w:t>
      </w:r>
    </w:p>
    <w:p>
      <w:r>
        <w:rPr>
          <w:b/>
        </w:rPr>
        <w:t xml:space="preserve">Request List coverage. </w:t>
      </w:r>
      <w:r>
        <w:t>The request list has no related-party category, no request for D&amp;O or 5% stockholder questionnaires and no request for a related-person transaction policy. The gap is noted in both the profile memo (Part IX) and the timeline (Sections 3.4 and 4, Item 10).</w:t>
      </w:r>
    </w:p>
    <w:p>
      <w:pPr>
        <w:spacing w:after="40"/>
      </w:pPr>
      <w:r>
        <w:rPr>
          <w:b/>
        </w:rPr>
        <w:t>Why it matters.</w:t>
      </w:r>
    </w:p>
    <w:p>
      <w:pPr>
        <w:pStyle w:val="ListBullet"/>
        <w:spacing w:after="60"/>
      </w:pPr>
      <w:r>
        <w:t>Known items requiring analysis: Hollcroft Capital Partners (approximately 18.2% holder; two board seats, including Managing Partner Henrik Voss; led the $165 million Series E in April 2024, within the Item 404 look-back for an S-1 filed in 2025, which under Instruction 1 to Item 404 reaches back to January 1, 2022); board observer and information rights under the April 15, 2024 Investor Rights Agreement; any side letters, management rights letters or fees; the convertible notes if held by related persons; founder compensation and arrangements (Dr. Ramanathan 6.8% and Dr. Xu 5.1% of basic common); and indemnification agreements.</w:t>
      </w:r>
    </w:p>
    <w:p>
      <w:pPr>
        <w:pStyle w:val="ListBullet"/>
        <w:spacing w:after="60"/>
      </w:pPr>
      <w:r>
        <w:t>Questionnaires also support Item 401 (biographies, family relationships, Item 401(f) legal proceedings), Item 403 (beneficial ownership), Nasdaq independence and audit committee financial expert determinations, and FINRA affiliation questions.</w:t>
      </w:r>
    </w:p>
    <w:p>
      <w:pPr>
        <w:pStyle w:val="ListBullet"/>
        <w:spacing w:after="60"/>
      </w:pPr>
      <w:r>
        <w:t>Without a request item, HSL has no defined basis to rely on Company-prepared questionnaires. The timeline’s February 7 circulation / February 12 response dates (Item 3) should be coordinated with HSL so underwriters’ counsel can review the form and the responses.</w:t>
      </w:r>
    </w:p>
    <w:p>
      <w:r>
        <w:rPr>
          <w:b/>
        </w:rPr>
        <w:t xml:space="preserve">Recommendation. </w:t>
      </w:r>
      <w:r>
        <w:t>Add new Section XV (Appendix A).</w:t>
      </w:r>
    </w:p>
    <w:p>
      <w:pPr>
        <w:pStyle w:val="Heading3"/>
      </w:pPr>
      <w:r>
        <w:t>Issue 6. Oakvale Securities: Warrants, Prior Advisory Engagement and FINRA Review</w:t>
      </w:r>
    </w:p>
    <w:p>
      <w:r>
        <w:rPr>
          <w:b/>
        </w:rPr>
        <w:t xml:space="preserve">Request List coverage. </w:t>
      </w:r>
      <w:r>
        <w:t>Request 2.7 asks generally for outstanding warrants and 8.2 for the October 1, 2024 Oakvale engagement letter. Neither asks for the November 2023 advisory engagement under which the 1,200,000 warrants (exercise price $11.50, expiring November 2028) were issued, or for the materials needed for the FINRA Rule 5110 filing.</w:t>
      </w:r>
    </w:p>
    <w:p>
      <w:pPr>
        <w:spacing w:after="40"/>
      </w:pPr>
      <w:r>
        <w:rPr>
          <w:b/>
        </w:rPr>
        <w:t>Why it matters.</w:t>
      </w:r>
    </w:p>
    <w:p>
      <w:pPr>
        <w:pStyle w:val="ListBullet"/>
        <w:spacing w:after="60"/>
      </w:pPr>
      <w:r>
        <w:t>The record shows two distinct Oakvale arrangements: a November 2023 advisory engagement (when the warrants were issued, the same month as the convertible notes) and the October 1, 2024 IPO engagement letter (6.5% discount, $500,000 advisory fee). The 2023 agreement is not identified in any document reviewed and must be produced.</w:t>
      </w:r>
    </w:p>
    <w:p>
      <w:pPr>
        <w:pStyle w:val="ListBullet"/>
        <w:spacing w:after="60"/>
      </w:pPr>
      <w:r>
        <w:t>FINRA Rule 5110: underwriting compensation includes items of value received during the review period, which begins 180 days before the required filing date. On current dates the November 2023 warrants appear to fall outside that window, but the analysis must be documented (and the issuance agreement reviewed for any tie to the Offering); the $500,000 advisory fee and expense reimbursements fall within it. Rule 5121: confirm aggregate beneficial ownership of Oakvale and its affiliates (the warrants alone are approximately 2% of fully diluted shares, below the 10% conflict-of-interest threshold, but affiliated funds holding preferred stock or notes must be counted).</w:t>
      </w:r>
    </w:p>
    <w:p>
      <w:pPr>
        <w:pStyle w:val="ListBullet"/>
        <w:spacing w:after="60"/>
      </w:pPr>
      <w:r>
        <w:t>Framing correction: the profile memo treats the warrants as an Item 404 related-party matter. Unless Oakvale or an affiliate is a 5% holder, Oakvale is not a “related person” under Item 404; the disclosure belongs in the Underwriting section under Item 508 (material relationships, securities held by the underwriter, FINRA lock-up on compensation securities). The conflict and independence point is nonetheless real.</w:t>
      </w:r>
    </w:p>
    <w:p>
      <w:pPr>
        <w:pStyle w:val="ListBullet"/>
        <w:spacing w:after="60"/>
      </w:pPr>
      <w:r>
        <w:t>Drafting point: underwriters’ counsel is requesting its own client’s engagement letter from the Company. That is harmless, but the more useful request is for all Company relationships with Oakvale and its affiliates (advisory, placement, research, lending).</w:t>
      </w:r>
    </w:p>
    <w:p>
      <w:r>
        <w:rPr>
          <w:b/>
        </w:rPr>
        <w:t xml:space="preserve">Recommendation. </w:t>
      </w:r>
      <w:r>
        <w:t>Expand 8.2 and add new Item 8.9 (Appendix A).</w:t>
      </w:r>
    </w:p>
    <w:p>
      <w:pPr>
        <w:pStyle w:val="Heading3"/>
      </w:pPr>
      <w:r>
        <w:t>Issue 7. Harwell University Exclusive License (Foundational GT-4100 IP)</w:t>
      </w:r>
    </w:p>
    <w:p>
      <w:r>
        <w:rPr>
          <w:b/>
        </w:rPr>
        <w:t xml:space="preserve">Request List coverage. </w:t>
      </w:r>
      <w:r>
        <w:t>Only the generic schedule in 5.1 (“patents, patent applications, and material licenses”), catch-all 8.1 and change-of-control request 8.5 reach this agreement. None asks for amendments, payment history, sublicenses, diligence obligations, government-rights documentation or correspondence with Harwell.</w:t>
      </w:r>
    </w:p>
    <w:p>
      <w:pPr>
        <w:spacing w:after="40"/>
      </w:pPr>
      <w:r>
        <w:rPr>
          <w:b/>
        </w:rPr>
        <w:t>Why it matters.</w:t>
      </w:r>
    </w:p>
    <w:p>
      <w:pPr>
        <w:pStyle w:val="ListBullet"/>
        <w:spacing w:after="60"/>
      </w:pPr>
      <w:r>
        <w:t>The July 8, 2016 license covers the platform technology underlying GT-4100 and is the Company’s single most important asset; it will be an Item 601(b)(10) exhibit and the subject of a key risk factor.</w:t>
      </w:r>
    </w:p>
    <w:p>
      <w:pPr>
        <w:pStyle w:val="ListBullet"/>
        <w:spacing w:after="60"/>
      </w:pPr>
      <w:r>
        <w:t>Economic terms: $500,000 IND milestone (paid), $2 million Phase 3 milestone (paid), $5 million due on BLA filing (expected Q2 2025, a near-term Use of Proceeds item) and a 3.5% royalty on net sales. Sublicensing requires Harwell’s prior written consent. Harwell’s retained rights are “to be confirmed,” and the change-of-control and assignment provisions have not yet been reviewed.</w:t>
      </w:r>
    </w:p>
    <w:p>
      <w:pPr>
        <w:pStyle w:val="ListBullet"/>
        <w:spacing w:after="60"/>
      </w:pPr>
      <w:r>
        <w:t>University licenses frequently carry Bayh-Dole government rights (government license, march-in, U.S. manufacturing preference under 35 U.S.C. 204), research and publication reservations, diligence milestones and termination-for-challenge clauses; each bears on disclosure and on manufacturing location.</w:t>
      </w:r>
    </w:p>
    <w:p>
      <w:pPr>
        <w:pStyle w:val="ListBullet"/>
        <w:spacing w:after="60"/>
      </w:pPr>
      <w:r>
        <w:t>The milestone trigger language should be read together with Issue 10: if the license refers to a “BLA” but the Company files an NDA, the trigger should be confirmed with Harwell.</w:t>
      </w:r>
    </w:p>
    <w:p>
      <w:r>
        <w:rPr>
          <w:b/>
        </w:rPr>
        <w:t xml:space="preserve">Recommendation. </w:t>
      </w:r>
      <w:r>
        <w:t>Add new Item 5.6 (Appendix A).</w:t>
      </w:r>
    </w:p>
    <w:p>
      <w:pPr>
        <w:pStyle w:val="Heading3"/>
      </w:pPr>
      <w:r>
        <w:t>Issue 8. Cytos Pharma AG Infringement Allegation and Bristow Non-Infringement Opinion</w:t>
      </w:r>
    </w:p>
    <w:p>
      <w:r>
        <w:rPr>
          <w:b/>
        </w:rPr>
        <w:t xml:space="preserve">Request List coverage. </w:t>
      </w:r>
      <w:r>
        <w:t>Section V has no request for third-party infringement allegations, cease-and-desist letters or freedom-to-operate / non-infringement opinions. Request 7.1 covers “threatened” litigation, which arguably reaches the Cytos letter, but the Company regards the matter as “resolved” and may not schedule it.</w:t>
      </w:r>
    </w:p>
    <w:p>
      <w:pPr>
        <w:spacing w:after="40"/>
      </w:pPr>
      <w:r>
        <w:rPr>
          <w:b/>
        </w:rPr>
        <w:t>Why it matters.</w:t>
      </w:r>
    </w:p>
    <w:p>
      <w:pPr>
        <w:pStyle w:val="ListBullet"/>
        <w:spacing w:after="60"/>
      </w:pPr>
      <w:r>
        <w:t>Cytos’s August 3, 2024 letter alleges that the GT-4100 formulation infringes EP 3,452,118. Bristow IP Group LLP delivered a non-infringement opinion on October 15, 2024; Cytos has not followed up or sued. Silence is not resolution: patentees commonly wait for commercialization to assert, and the patent’s claim scope, validity, expiry, opposition history and any U.S. or other family members should be checked.</w:t>
      </w:r>
    </w:p>
    <w:p>
      <w:pPr>
        <w:pStyle w:val="ListBullet"/>
        <w:spacing w:after="60"/>
      </w:pPr>
      <w:r>
        <w:t>Underwriters will want freedom-to-operate comfort for the U.S. as well as Europe, and the disclosure determination (risk factor rather than Item 103 legal proceedings) is already an open item (timeline Item 12).</w:t>
      </w:r>
    </w:p>
    <w:p>
      <w:pPr>
        <w:pStyle w:val="ListBullet"/>
        <w:spacing w:after="60"/>
      </w:pPr>
      <w:r>
        <w:t>Privilege: producing the Bristow opinion to underwriters risks waiver. We recommend a common-interest/non-waiver agreement with HSL, or an oral briefing by Bristow with production of the opinion’s conclusion only, consistent with the list’s privilege-log instruction.</w:t>
      </w:r>
    </w:p>
    <w:p>
      <w:r>
        <w:rPr>
          <w:b/>
        </w:rPr>
        <w:t xml:space="preserve">Recommendation. </w:t>
      </w:r>
      <w:r>
        <w:t>Add new Item 5.7 (Appendix A).</w:t>
      </w:r>
    </w:p>
    <w:p>
      <w:pPr>
        <w:pStyle w:val="Heading3"/>
      </w:pPr>
      <w:r>
        <w:t>Issue 9. Rule 10b5-1 Trading Plans</w:t>
      </w:r>
    </w:p>
    <w:p>
      <w:r>
        <w:rPr>
          <w:b/>
        </w:rPr>
        <w:t xml:space="preserve">Request List coverage. </w:t>
      </w:r>
      <w:r>
        <w:t>Request 13.3 covers insider trading policies and codes of ethics but not trading plans. The timeline (Sections 2.1 and 3.3; Item 10) already identifies this gap.</w:t>
      </w:r>
    </w:p>
    <w:p>
      <w:pPr>
        <w:spacing w:after="40"/>
      </w:pPr>
      <w:r>
        <w:rPr>
          <w:b/>
        </w:rPr>
        <w:t>Why it matters.</w:t>
      </w:r>
    </w:p>
    <w:p>
      <w:pPr>
        <w:pStyle w:val="ListBullet"/>
        <w:spacing w:after="60"/>
      </w:pPr>
      <w:r>
        <w:t>Dr. Ramanathan, Dr. Xu and Ms. Tran adopted plans in December 2024. Diligence points: (i) adoption while each was aware of the confidential IPO process and other nonpublic developments (each plan requires a certification of no MNPI and good faith); (ii) the cooling-off period, which for directors and officers runs until the later of 90 days after adoption or two business days after disclosure of financial results in the Form 10-Q or 10-K for the quarter of adoption, capped at 120 days, and whose application to a pre-IPO issuer must be analyzed; (iii) single-trade and overlapping-plan limits; and (iv) interaction with the 180-day lock-up (the lock-up must prohibit sales under the plans during the lock-up period or contain a narrow carve-out).</w:t>
      </w:r>
    </w:p>
    <w:p>
      <w:pPr>
        <w:pStyle w:val="ListBullet"/>
        <w:spacing w:after="60"/>
      </w:pPr>
      <w:r>
        <w:t>Correction to the timeline memo: Item 408(a) of Regulation S-K is a quarterly periodic-report requirement and is not among the items Form S-1 calls for, so S-1 disclosure of the plans should not be described as mandated by Item 408. Whether to describe them (for example in Shares Eligible for Future Sale) is a judgment call. The cooling-off summary in Section 3.3(a) of the timeline should also be conformed to the rule text.</w:t>
      </w:r>
    </w:p>
    <w:p>
      <w:r>
        <w:rPr>
          <w:b/>
        </w:rPr>
        <w:t xml:space="preserve">Recommendation. </w:t>
      </w:r>
      <w:r>
        <w:t>Add new Item 13.4 (Appendix A).</w:t>
      </w:r>
    </w:p>
    <w:p>
      <w:pPr>
        <w:pStyle w:val="Heading2"/>
      </w:pPr>
      <w:r>
        <w:t>B. High Priority</w:t>
      </w:r>
    </w:p>
    <w:p>
      <w:pPr>
        <w:pStyle w:val="Heading3"/>
      </w:pPr>
      <w:r>
        <w:t>Issue 10. Regulatory Pathway (NDA vs. BLA) and Companion Diagnostic</w:t>
      </w:r>
    </w:p>
    <w:p>
      <w:r>
        <w:rPr>
          <w:b/>
        </w:rPr>
        <w:t xml:space="preserve">Request List coverage. </w:t>
      </w:r>
      <w:r>
        <w:t>Request 6.6 asks for the “regulatory strategy for BLA/MAA filings.” Nothing covers expedited program designations, pediatric requirements or the companion diagnostic being co-developed through OmniLabel.</w:t>
      </w:r>
    </w:p>
    <w:p>
      <w:pPr>
        <w:spacing w:after="40"/>
      </w:pPr>
      <w:r>
        <w:rPr>
          <w:b/>
        </w:rPr>
        <w:t>Why it matters.</w:t>
      </w:r>
    </w:p>
    <w:p>
      <w:pPr>
        <w:pStyle w:val="ListBullet"/>
        <w:spacing w:after="60"/>
      </w:pPr>
      <w:r>
        <w:t>GT-4100 is described throughout as a “novel small-molecule” oncology therapeutic, yet every document refers to a Biologics License Application and a “Pre-BLA” meeting. Small-molecule drugs are ordinarily approved through a New Drug Application under section 505(b) of the FD&amp;C Act; BLAs under section 351 of the PHS Act are for biological products. This must be confirmed with the Company’s regulatory team before S-1 drafting proceeds; if the application is an NDA, the S-1, Use of Proceeds, risk factors, the request list and possibly the Harwell milestone trigger must be conformed.</w:t>
      </w:r>
    </w:p>
    <w:p>
      <w:pPr>
        <w:pStyle w:val="ListBullet"/>
        <w:spacing w:after="60"/>
      </w:pPr>
      <w:r>
        <w:t>The companion diagnostic will require CDRH marketing authorization (likely a PMA) contemporaneous with drug approval; its timing and OmniLabel’s regulatory interactions (pre-submissions, IDE) bear on the GT-4100 launch and on the $30 million OmniLabel option.</w:t>
      </w:r>
    </w:p>
    <w:p>
      <w:pPr>
        <w:pStyle w:val="ListBullet"/>
        <w:spacing w:after="60"/>
      </w:pPr>
      <w:r>
        <w:t>Also request expedited-program designations (Fast Track, Breakthrough Therapy, Orphan Drug, priority review), the initial pediatric study plan and PREA/RACE Act analysis for a molecularly targeted oncology drug, and Australian (TGA) and EU clinical trial authorizations (the Phase 3 ran at 38 sites in the U.S., EU and Australia).</w:t>
      </w:r>
    </w:p>
    <w:p>
      <w:r>
        <w:rPr>
          <w:b/>
        </w:rPr>
        <w:t xml:space="preserve">Recommendation. </w:t>
      </w:r>
      <w:r>
        <w:t>Revise 6.6 and add new Items 6.11-6.12 (Appendix A).</w:t>
      </w:r>
    </w:p>
    <w:p>
      <w:pPr>
        <w:pStyle w:val="Heading3"/>
      </w:pPr>
      <w:r>
        <w:t>Issue 11. Insurance</w:t>
      </w:r>
    </w:p>
    <w:p>
      <w:r>
        <w:rPr>
          <w:b/>
        </w:rPr>
        <w:t xml:space="preserve">Request List coverage. </w:t>
      </w:r>
      <w:r>
        <w:t>Section IX is limited to D&amp;O policies (9.1) and D&amp;O claims (9.2).</w:t>
      </w:r>
    </w:p>
    <w:p>
      <w:pPr>
        <w:spacing w:after="40"/>
      </w:pPr>
      <w:r>
        <w:rPr>
          <w:b/>
        </w:rPr>
        <w:t>Why it matters.</w:t>
      </w:r>
    </w:p>
    <w:p>
      <w:pPr>
        <w:pStyle w:val="ListBullet"/>
        <w:spacing w:after="60"/>
      </w:pPr>
      <w:r>
        <w:t>The Company carries EPLI (Northgate Specialty, $5 million limit, $100,000 retention) that responds to the pending Hartwell claim, plus product/clinical trial liability, commercial general liability, property and cyber/data privacy coverage. None is requested.</w:t>
      </w:r>
    </w:p>
    <w:p>
      <w:pPr>
        <w:pStyle w:val="ListBullet"/>
        <w:spacing w:after="60"/>
      </w:pPr>
      <w:r>
        <w:t>Clinical trial insurance in the EU and Australia is often a site-level legal requirement; underwriters will want evidence of coverage for the 38-site Phase 3. Insurer reservation-of-rights or coverage-position letters on Hartwell bear on net exposure (estimated $750,000-$1.5 million).</w:t>
      </w:r>
    </w:p>
    <w:p>
      <w:pPr>
        <w:pStyle w:val="ListBullet"/>
        <w:spacing w:after="60"/>
      </w:pPr>
      <w:r>
        <w:t>The public-company D&amp;O program (including Side A DIC and run-off of the private-company policy) and the commercial-stage product liability program should be reviewed in connection with the Offering.</w:t>
      </w:r>
    </w:p>
    <w:p>
      <w:r>
        <w:rPr>
          <w:b/>
        </w:rPr>
        <w:t xml:space="preserve">Recommendation. </w:t>
      </w:r>
      <w:r>
        <w:t>Replace Section IX with expanded Items 9.1-9.4 (Appendix A).</w:t>
      </w:r>
    </w:p>
    <w:p>
      <w:pPr>
        <w:pStyle w:val="Heading3"/>
      </w:pPr>
      <w:r>
        <w:t>Issue 12. OmniLabel Diagnostics LLC (35% Unconsolidated Joint Venture)</w:t>
      </w:r>
    </w:p>
    <w:p>
      <w:r>
        <w:rPr>
          <w:b/>
        </w:rPr>
        <w:t xml:space="preserve">Request List coverage. </w:t>
      </w:r>
      <w:r>
        <w:t>Requests 1.3 and 1.4 are limited to subsidiaries; 8.4 would capture the Co-Development and Option Agreement but not the LLC operating agreement, governance, capital commitments, financial statements or accounting analysis.</w:t>
      </w:r>
    </w:p>
    <w:p>
      <w:pPr>
        <w:spacing w:after="40"/>
      </w:pPr>
      <w:r>
        <w:rPr>
          <w:b/>
        </w:rPr>
        <w:t>Why it matters.</w:t>
      </w:r>
    </w:p>
    <w:p>
      <w:pPr>
        <w:pStyle w:val="ListBullet"/>
        <w:spacing w:after="60"/>
      </w:pPr>
      <w:r>
        <w:t>Greenfield holds 35% of a Delaware LLC formed with university collaborators in January 2023 and holds an option to acquire the remaining 65% for $30 million if the companion diagnostic receives FDA approval. The option is a potential material cash commitment against approximately $112 million of cash.</w:t>
      </w:r>
    </w:p>
    <w:p>
      <w:pPr>
        <w:pStyle w:val="ListBullet"/>
        <w:spacing w:after="60"/>
      </w:pPr>
      <w:r>
        <w:t>Accounting: equity-method versus VIE consolidation analysis; Regulation S-X Rule 3-09 / 4-08(g) significance testing; impairment.</w:t>
      </w:r>
    </w:p>
    <w:p>
      <w:pPr>
        <w:pStyle w:val="ListBullet"/>
        <w:spacing w:after="60"/>
      </w:pPr>
      <w:r>
        <w:t>Governance and IP: ownership of diagnostic IP among OmniLabel, the universities and Greenfield; any change-of-control, consent or ROFR provisions triggered by the IPO (timeline Section 3.7); capital call obligations; university conflict-of-interest arrangements.</w:t>
      </w:r>
    </w:p>
    <w:p>
      <w:r>
        <w:rPr>
          <w:b/>
        </w:rPr>
        <w:t xml:space="preserve">Recommendation. </w:t>
      </w:r>
      <w:r>
        <w:t>Add new Item 1.11 (Appendix A); conform 1.3 to include non-subsidiary equity interests.</w:t>
      </w:r>
    </w:p>
    <w:p>
      <w:pPr>
        <w:pStyle w:val="Heading3"/>
      </w:pPr>
      <w:r>
        <w:t>Issue 13. Section 382 Ownership Change Analysis</w:t>
      </w:r>
    </w:p>
    <w:p>
      <w:r>
        <w:rPr>
          <w:b/>
        </w:rPr>
        <w:t xml:space="preserve">Request List coverage. </w:t>
      </w:r>
      <w:r>
        <w:t>Request 4.2 asks for NOL schedules only; 4.3 covers R&amp;D credits.</w:t>
      </w:r>
    </w:p>
    <w:p>
      <w:pPr>
        <w:spacing w:after="40"/>
      </w:pPr>
      <w:r>
        <w:rPr>
          <w:b/>
        </w:rPr>
        <w:t>Why it matters.</w:t>
      </w:r>
    </w:p>
    <w:p>
      <w:pPr>
        <w:pStyle w:val="ListBullet"/>
        <w:spacing w:after="60"/>
      </w:pPr>
      <w:r>
        <w:t>Federal NOLs of approximately $210 million are already subject to an annual Section 382 limitation of approximately $16.8 million from the August 2021 (Series D) ownership change. Thornbury Kapoor’s analysis is as of September 30, 2024 and does not reflect the IPO, the note conversion or other owner shifts; a second ownership change at or after the IPO could impose a lower limitation. Section 383 similarly limits the approximately $18.5 million federal and $4.2 million Massachusetts R&amp;D credits.</w:t>
      </w:r>
    </w:p>
    <w:p>
      <w:pPr>
        <w:pStyle w:val="ListBullet"/>
        <w:spacing w:after="60"/>
      </w:pPr>
      <w:r>
        <w:t>The analysis drives tax risk factors, the deferred tax asset footnote and MD&amp;A. The timeline defers the update to post-pricing, which is too late for disclosure purposes.</w:t>
      </w:r>
    </w:p>
    <w:p>
      <w:r>
        <w:rPr>
          <w:b/>
        </w:rPr>
        <w:t xml:space="preserve">Recommendation. </w:t>
      </w:r>
      <w:r>
        <w:t>Add new Item 4.6 (Appendix A); ask TK for a pre-filing estimate of cumulative owner shift including the IPO and note conversion.</w:t>
      </w:r>
    </w:p>
    <w:p>
      <w:pPr>
        <w:pStyle w:val="Heading3"/>
      </w:pPr>
      <w:r>
        <w:t>Issue 14. Data Privacy, Cybersecurity, Anti-Corruption and Healthcare Compliance</w:t>
      </w:r>
    </w:p>
    <w:p>
      <w:r>
        <w:rPr>
          <w:b/>
        </w:rPr>
        <w:t xml:space="preserve">Request List coverage. </w:t>
      </w:r>
      <w:r>
        <w:t>No section covers these areas; 13.1 is limited to non-FDA permits and 13.3 to codes of conduct and insider trading policies.</w:t>
      </w:r>
    </w:p>
    <w:p>
      <w:pPr>
        <w:spacing w:after="40"/>
      </w:pPr>
      <w:r>
        <w:rPr>
          <w:b/>
        </w:rPr>
        <w:t>Why it matters.</w:t>
      </w:r>
    </w:p>
    <w:p>
      <w:pPr>
        <w:pStyle w:val="ListBullet"/>
        <w:spacing w:after="60"/>
      </w:pPr>
      <w:r>
        <w:t>The Company processes PHI and clinical trial subject data in the U.S., EU and Australia. GT Research Ireland Ltd. processes EU personal data, requiring GDPR documentation (records of processing, DPIAs, data processing agreements with Pinnacle and sites, Standard Contractual Clauses or Data Privacy Framework reliance for EU-U.S. transfers) and potentially engagement with the Irish Data Protection Commission.</w:t>
      </w:r>
    </w:p>
    <w:p>
      <w:pPr>
        <w:pStyle w:val="ListBullet"/>
        <w:spacing w:after="60"/>
      </w:pPr>
      <w:r>
        <w:t>Cybersecurity: incident history and incident response plan. Item 106 of Regulation S-K applies to the Form 10-K, but material incidents and cyber risk must be addressed in S-1 risk factors, and the Company will need Item 106 processes for its first 10-K.</w:t>
      </w:r>
    </w:p>
    <w:p>
      <w:pPr>
        <w:pStyle w:val="ListBullet"/>
        <w:spacing w:after="60"/>
      </w:pPr>
      <w:r>
        <w:t>FCPA and local anti-corruption laws: site payments and investigator fees at government-run hospitals in the EU and Australia, intermediaries and CRO pass-through payments; policies, training, third-party due diligence and any internal investigations; sanctions and export controls screening.</w:t>
      </w:r>
    </w:p>
    <w:p>
      <w:pPr>
        <w:pStyle w:val="ListBullet"/>
        <w:spacing w:after="60"/>
      </w:pPr>
      <w:r>
        <w:t>U.S. healthcare compliance: with a 16-person pre-launch commercial team, the Company should have Anti-Kickback Statute, Open Payments (Sunshine Act) and HCP interaction policies; underwriters will ask.</w:t>
      </w:r>
    </w:p>
    <w:p>
      <w:r>
        <w:rPr>
          <w:b/>
        </w:rPr>
        <w:t xml:space="preserve">Recommendation. </w:t>
      </w:r>
      <w:r>
        <w:t>Add new Section XVI (Appendix A).</w:t>
      </w:r>
    </w:p>
    <w:p>
      <w:pPr>
        <w:pStyle w:val="Heading3"/>
      </w:pPr>
      <w:r>
        <w:t>Issue 15. Liquidity, Going Concern, Cheap Stock, ICFR and Audit Timing</w:t>
      </w:r>
    </w:p>
    <w:p>
      <w:r>
        <w:rPr>
          <w:b/>
        </w:rPr>
        <w:t xml:space="preserve">Request List coverage. </w:t>
      </w:r>
      <w:r>
        <w:t>Section III covers audited and interim statements, management letters, indebtedness and projections, but not going-concern analysis, valuation/cheap stock support, internal control deficiencies or the auditor timetable. Request 2.8 limits 409A reports to three years.</w:t>
      </w:r>
    </w:p>
    <w:p>
      <w:pPr>
        <w:spacing w:after="40"/>
      </w:pPr>
      <w:r>
        <w:rPr>
          <w:b/>
        </w:rPr>
        <w:t>Why it matters.</w:t>
      </w:r>
    </w:p>
    <w:p>
      <w:pPr>
        <w:pStyle w:val="ListBullet"/>
        <w:spacing w:after="60"/>
      </w:pPr>
      <w:r>
        <w:t>Cash of approximately $112 million at a burn of approximately $9.2 million per month is approximately 12 months of runway, at the boundary of the ASC 205-40 one-year look-forward. Management’s going-concern assessment and any auditor communication are critical; a going-concern paragraph would be a significant marketing and disclosure issue.</w:t>
      </w:r>
    </w:p>
    <w:p>
      <w:pPr>
        <w:pStyle w:val="ListBullet"/>
        <w:spacing w:after="60"/>
      </w:pPr>
      <w:r>
        <w:t>Cheap stock: the December 15, 2024 409A value ($14.80) versus the $16-$19 range, 2023-2024 grants at $12.00-$14.80, and Series E at $44.00 in April 2024 will draw SEC staff comment. All 409A reports supporting grants since the 2020 Plan was adopted, any interim updates and the IPO-price reconciliation should be produced.</w:t>
      </w:r>
    </w:p>
    <w:p>
      <w:pPr>
        <w:pStyle w:val="ListBullet"/>
        <w:spacing w:after="60"/>
      </w:pPr>
      <w:r>
        <w:t>Request 3.3 (management letters) should expressly include communications of material weaknesses or significant deficiencies and remediation plans.</w:t>
      </w:r>
    </w:p>
    <w:p>
      <w:pPr>
        <w:pStyle w:val="ListBullet"/>
        <w:spacing w:after="60"/>
      </w:pPr>
      <w:r>
        <w:t>Timing: FY 2024 audited statements are due from TK in mid-February, and the February 15 confidential submission falls 46 days after fiscal year-end. Confirm with TK which periods the draft will include under Rules 3-01 and 3-12 of Regulation S-X and whether the Company will use EGC accommodations (two years of audited statements under Securities Act Section 7(a)(2)(A); omission from a draft of financial statements not expected to be required at public filing). HSL’s three-year request in 3.1 is fine as a diligence request, but the timeline’s statement that three years are “required” should be revisited if the Company is an EGC.</w:t>
      </w:r>
    </w:p>
    <w:p>
      <w:r>
        <w:rPr>
          <w:b/>
        </w:rPr>
        <w:t xml:space="preserve">Recommendation. </w:t>
      </w:r>
      <w:r>
        <w:t>Add new Items 3.9-3.12 and expand 2.8 (Appendix A).</w:t>
      </w:r>
    </w:p>
    <w:p>
      <w:pPr>
        <w:pStyle w:val="Heading3"/>
      </w:pPr>
      <w:r>
        <w:t>Issue 16. Material Contracts: Materiality Standard; Valcourt Quality Agreement and Supply</w:t>
      </w:r>
    </w:p>
    <w:p>
      <w:r>
        <w:rPr>
          <w:b/>
        </w:rPr>
        <w:t xml:space="preserve">Request List coverage. </w:t>
      </w:r>
      <w:r>
        <w:t>Request 8.1 asks for “all material contracts” without a definition, and 8.8 asks for non-ordinary-course contracts over three years. The Company’s contracts range from routine vendor agreements to $75 million.</w:t>
      </w:r>
    </w:p>
    <w:p>
      <w:pPr>
        <w:spacing w:after="40"/>
      </w:pPr>
      <w:r>
        <w:rPr>
          <w:b/>
        </w:rPr>
        <w:t>Why it matters.</w:t>
      </w:r>
    </w:p>
    <w:p>
      <w:pPr>
        <w:pStyle w:val="ListBullet"/>
        <w:spacing w:after="60"/>
      </w:pPr>
      <w:r>
        <w:t>Adopt the timeline’s working framework: (i) contracts with directors, officers or 5% holders; (ii) material non-ordinary-course contracts; (iii) contracts on which the business is substantially dependent (Harwell, Valcourt, Pinnacle, OmniLabel, Oakvale, Investor Rights Agreement); and (iv) any contract with aggregate consideration above $500,000, cross-referenced to Item 601(b)(10). A defined threshold avoids inconsistent production.</w:t>
      </w:r>
    </w:p>
    <w:p>
      <w:pPr>
        <w:pStyle w:val="ListBullet"/>
        <w:spacing w:after="60"/>
      </w:pPr>
      <w:r>
        <w:t>Valcourt: the Quality Agreement (which typically governs inspection notification, CAPA and batch release), any technology transfer agreement for the trade-secret API process, capacity reservations, minimum purchase terms, termination rights and second-source plans are needed to assess the Form 483 risk and single-source dependency. The email chain notes that Valcourt’s contractual notification obligation may be narrow and might need a side letter.</w:t>
      </w:r>
    </w:p>
    <w:p>
      <w:pPr>
        <w:pStyle w:val="ListBullet"/>
        <w:spacing w:after="60"/>
      </w:pPr>
      <w:r>
        <w:t>Pinnacle Research Organization: the agreement and work orders for Phase 2 and Phase 3 ($48 million), CRO audit reports and any data integrity findings. Note the documents describe this agreement variously as a “Clinical Trial Agreement” (April 2020) and a “Master Services Agreement”; the correct title should be confirmed for the exhibit index (similarly Valcourt’s “Manufacturing and Supply Agreement” vs. “Manufacturing Services Agreement”).</w:t>
      </w:r>
    </w:p>
    <w:p>
      <w:pPr>
        <w:pStyle w:val="ListBullet"/>
        <w:spacing w:after="60"/>
      </w:pPr>
      <w:r>
        <w:t>Ask the Company to identify early any exhibit it proposes to redact under Item 601(b)(10)(iv).</w:t>
      </w:r>
    </w:p>
    <w:p>
      <w:r>
        <w:rPr>
          <w:b/>
        </w:rPr>
        <w:t xml:space="preserve">Recommendation. </w:t>
      </w:r>
      <w:r>
        <w:t>Add a definition of “material” to the Introductory Instructions and new Item 8.10 (Appendix A).</w:t>
      </w:r>
    </w:p>
    <w:p>
      <w:pPr>
        <w:pStyle w:val="Heading3"/>
      </w:pPr>
      <w:r>
        <w:t>Issue 17. Litigation-Adjacent Matters: Hartwell, CEO Inquiry, Xu/Arclion</w:t>
      </w:r>
    </w:p>
    <w:p>
      <w:r>
        <w:rPr>
          <w:b/>
        </w:rPr>
        <w:t xml:space="preserve">Request List coverage. </w:t>
      </w:r>
      <w:r>
        <w:t>Requests 7.1-7.4 cover pending/threatened litigation and governmental matters; 10.6 covers labor disputes. They do not reach reserves, insurer positions, auditor legal letters, non-litigation inquiries involving executives or older settlement agreements with continuing effect.</w:t>
      </w:r>
    </w:p>
    <w:p>
      <w:pPr>
        <w:spacing w:after="40"/>
      </w:pPr>
      <w:r>
        <w:rPr>
          <w:b/>
        </w:rPr>
        <w:t>Why it matters.</w:t>
      </w:r>
    </w:p>
    <w:p>
      <w:pPr>
        <w:pStyle w:val="ListBullet"/>
        <w:spacing w:after="60"/>
      </w:pPr>
      <w:r>
        <w:t>Hartwell v. Greenfield Therapeutics, Inc. (Suffolk Superior Court, No. 2484-CV-01892, filed June 14, 2024; discovery ongoing): request the ASC 450 reserve analysis, audit inquiry response letters, EPLI notice and coverage correspondence and any settlement communications. Disclosure under Item 103 is the working assumption and is prudent given the subject matter, even though the estimated exposure ($750,000-$1.5 million) is modest.</w:t>
      </w:r>
    </w:p>
    <w:p>
      <w:pPr>
        <w:pStyle w:val="ListBullet"/>
        <w:spacing w:after="60"/>
      </w:pPr>
      <w:r>
        <w:t>Dr. Ramanathan’s 2022 academic misconduct inquiry at her prior institution (closed with no findings; media coverage exists) is not a legal proceeding but must be diligenced for Item 401(f), biography and reputational risk; request the closure letter and press coverage.</w:t>
      </w:r>
    </w:p>
    <w:p>
      <w:pPr>
        <w:pStyle w:val="ListBullet"/>
        <w:spacing w:after="60"/>
      </w:pPr>
      <w:r>
        <w:t>Dr. Xu’s dispute with Arclion Biosciences settled in 2017 with a two-year non-compete that expired in 2019. Greenfield was formed in March 2016, so Dr. Xu co-founded the Company while in dispute with, and then bound by, Arclion. Request the settlement agreement and any assignment, confidentiality or IP terms to confirm Arclion has no claim to GT-4100-related inventions (chain of title).</w:t>
      </w:r>
    </w:p>
    <w:p>
      <w:r>
        <w:rPr>
          <w:b/>
        </w:rPr>
        <w:t xml:space="preserve">Recommendation. </w:t>
      </w:r>
      <w:r>
        <w:t>Add new Items 7.5-7.7 (Appendix A).</w:t>
      </w:r>
    </w:p>
    <w:p>
      <w:pPr>
        <w:pStyle w:val="Heading2"/>
      </w:pPr>
      <w:r>
        <w:t>C. Medium Priority</w:t>
      </w:r>
    </w:p>
    <w:p>
      <w:pPr>
        <w:pStyle w:val="Heading3"/>
      </w:pPr>
      <w:r>
        <w:t>Issue 18. Dissolved Subsidiary and Massachusetts Securities Corporation</w:t>
      </w:r>
    </w:p>
    <w:p>
      <w:r>
        <w:rPr>
          <w:b/>
        </w:rPr>
        <w:t xml:space="preserve">Request List coverage. </w:t>
      </w:r>
      <w:r>
        <w:t>Requests 1.3-1.5 cover existing subsidiaries only.</w:t>
      </w:r>
    </w:p>
    <w:p>
      <w:pPr>
        <w:spacing w:after="40"/>
      </w:pPr>
      <w:r>
        <w:rPr>
          <w:b/>
        </w:rPr>
        <w:t>Why it matters.</w:t>
      </w:r>
    </w:p>
    <w:p>
      <w:pPr>
        <w:pStyle w:val="ListBullet"/>
        <w:spacing w:after="60"/>
      </w:pPr>
      <w:r>
        <w:t>GT West Coast Labs, Inc. (California) was formed in 2019 and dissolved December 20, 2019. Request the Certificate of Dissolution, Franchise Tax Board tax clearance and final returns, board and stockholder approvals, and records of any asset, IP, employee or lease transfers back to the parent; an incomplete California dissolution can leave franchise tax liability and revival risk. The entity’s short life should be explained.</w:t>
      </w:r>
    </w:p>
    <w:p>
      <w:pPr>
        <w:pStyle w:val="ListBullet"/>
        <w:spacing w:after="60"/>
      </w:pPr>
      <w:r>
        <w:t>Greenfield Therapeutics Securities Corp. (Massachusetts), described as formed for “state securities compliance,” appears to be a Massachusetts security corporation (an investment-holding entity taxed at a reduced rate). Request the Massachusetts DOR classification and annual filings and confirm its activities have stayed within those permitted.</w:t>
      </w:r>
    </w:p>
    <w:p>
      <w:r>
        <w:rPr>
          <w:b/>
        </w:rPr>
        <w:t xml:space="preserve">Recommendation. </w:t>
      </w:r>
      <w:r>
        <w:t>Add new Items 1.12-1.13 (Appendix A).</w:t>
      </w:r>
    </w:p>
    <w:p>
      <w:pPr>
        <w:pStyle w:val="Heading3"/>
      </w:pPr>
      <w:r>
        <w:t>Issue 19. Trade Secrets and Invention Assignment</w:t>
      </w:r>
    </w:p>
    <w:p>
      <w:r>
        <w:rPr>
          <w:b/>
        </w:rPr>
        <w:t xml:space="preserve">Request List coverage. </w:t>
      </w:r>
      <w:r>
        <w:t>Request 5.3 asks for IP assignment agreements and 5.4 for a description of trade secrets.</w:t>
      </w:r>
    </w:p>
    <w:p>
      <w:pPr>
        <w:spacing w:after="40"/>
      </w:pPr>
      <w:r>
        <w:rPr>
          <w:b/>
        </w:rPr>
        <w:t>Why it matters.</w:t>
      </w:r>
    </w:p>
    <w:p>
      <w:pPr>
        <w:pStyle w:val="ListBullet"/>
        <w:spacing w:after="60"/>
      </w:pPr>
      <w:r>
        <w:t>The GT-4100 API manufacturing process is held as a trade secret and has never been audited, yet it must be shared with Valcourt. Request the confidentiality and technology transfer provisions with Valcourt, internal trade secret policies, access controls and any known misappropriation incidents.</w:t>
      </w:r>
    </w:p>
    <w:p>
      <w:pPr>
        <w:pStyle w:val="ListBullet"/>
        <w:spacing w:after="60"/>
      </w:pPr>
      <w:r>
        <w:t>Confirm invention assignment coverage for all 287 employees, including the 12 Irish employees of GT Research Ireland Ltd., consultants (including the non-employee consultant holding options) and founders for any pre-incorporation work.</w:t>
      </w:r>
    </w:p>
    <w:p>
      <w:r>
        <w:rPr>
          <w:b/>
        </w:rPr>
        <w:t xml:space="preserve">Recommendation. </w:t>
      </w:r>
      <w:r>
        <w:t>Expand 5.3-5.4 (Appendix A).</w:t>
      </w:r>
    </w:p>
    <w:p>
      <w:pPr>
        <w:pStyle w:val="Heading3"/>
      </w:pPr>
      <w:r>
        <w:t>Issue 20. Lock-Up Population, IRA Market Stand-Off and Registration Rights</w:t>
      </w:r>
    </w:p>
    <w:p>
      <w:r>
        <w:rPr>
          <w:b/>
        </w:rPr>
        <w:t xml:space="preserve">Request List coverage. </w:t>
      </w:r>
      <w:r>
        <w:t>Request 2.9 asks only for the form of lock-up; 2.3 and 2.10 capture the IRA and registration rights.</w:t>
      </w:r>
    </w:p>
    <w:p>
      <w:pPr>
        <w:spacing w:after="40"/>
      </w:pPr>
      <w:r>
        <w:rPr>
          <w:b/>
        </w:rPr>
        <w:t>Why it matters.</w:t>
      </w:r>
    </w:p>
    <w:p>
      <w:pPr>
        <w:pStyle w:val="ListBullet"/>
        <w:spacing w:after="60"/>
      </w:pPr>
      <w:r>
        <w:t>The lock-up applies to officers, directors and 1%+ holders. Request a list of proposed signatories with holdings reconciled to the stock ledger (including noteholders on an as-converted basis and Oakvale as warrant holder), the IRA market stand-off provision (and whether it binds holders who will not sign), and all registration rights holders, waivers and notice requirements for the Offering (the April 15, 2024 IRA grants registration rights to investors holding at least 5% of the preferred).</w:t>
      </w:r>
    </w:p>
    <w:p>
      <w:r>
        <w:rPr>
          <w:b/>
        </w:rPr>
        <w:t xml:space="preserve">Recommendation. </w:t>
      </w:r>
      <w:r>
        <w:t>Expand 2.9 (Appendix A).</w:t>
      </w:r>
    </w:p>
    <w:p>
      <w:pPr>
        <w:pStyle w:val="Heading3"/>
      </w:pPr>
      <w:r>
        <w:t>Issue 21. Drafting and Technical Comments on the Request List</w:t>
      </w:r>
    </w:p>
    <w:p>
      <w:r>
        <w:rPr>
          <w:b/>
        </w:rPr>
        <w:t xml:space="preserve">Request List coverage. </w:t>
      </w:r>
      <w:r>
        <w:t>Various.</w:t>
      </w:r>
    </w:p>
    <w:p>
      <w:pPr>
        <w:spacing w:after="40"/>
      </w:pPr>
      <w:r>
        <w:rPr>
          <w:b/>
        </w:rPr>
        <w:t>Why it matters.</w:t>
      </w:r>
    </w:p>
    <w:p>
      <w:pPr>
        <w:pStyle w:val="ListBullet"/>
        <w:spacing w:after="60"/>
      </w:pPr>
      <w:r>
        <w:t>10.7 asks for the five highest-paid officers for three years; an EGC need only disclose its PEO and two other most highly compensated executive officers for two years. Over-collection is harmless, but the request should track Item 402 scaled disclosure if EGC status is confirmed.</w:t>
      </w:r>
    </w:p>
    <w:p>
      <w:pPr>
        <w:pStyle w:val="ListBullet"/>
        <w:spacing w:after="60"/>
      </w:pPr>
      <w:r>
        <w:t>2.8 should reach all 409A reports supporting grants since the 2020 Plan was adopted (see Issue 15).</w:t>
      </w:r>
    </w:p>
    <w:p>
      <w:pPr>
        <w:pStyle w:val="ListBullet"/>
        <w:spacing w:after="60"/>
      </w:pPr>
      <w:r>
        <w:t>8.3 and 11.2 duplicate each other (leases); 11.3 captures the Biomed Realty Trust ROFR on Suite 310. Good standing certificates (1.5) should be refreshed before pricing and closing.</w:t>
      </w:r>
    </w:p>
    <w:p>
      <w:pPr>
        <w:pStyle w:val="ListBullet"/>
        <w:spacing w:after="60"/>
      </w:pPr>
      <w:r>
        <w:t>The privilege instruction should be paired with a common-interest arrangement (see Issue 8), and the list should state that requests are continuing through closing, which matters for the Valcourt matter.</w:t>
      </w:r>
    </w:p>
    <w:p>
      <w:pPr>
        <w:pStyle w:val="ListBullet"/>
        <w:spacing w:after="60"/>
      </w:pPr>
      <w:r>
        <w:t>The list is dated February 3, 2025, while the timeline records circulation in “late January”; confirm we are reviewing the final version.</w:t>
      </w:r>
    </w:p>
    <w:p>
      <w:pPr>
        <w:pStyle w:val="ListBullet"/>
        <w:spacing w:after="60"/>
      </w:pPr>
      <w:r>
        <w:t>D&amp;O questionnaires should confirm the absence of family relationships between director Dr. Karen Whitfield and A&amp;B partner Marcus Whitfield, and between director Robert Nakamura and HSL partner David Nakamura. We are not aware of any relationship, but identical surnames on both sides of the deal warrant a documented check for conflicts and independence purposes.</w:t>
      </w:r>
    </w:p>
    <w:p>
      <w:r>
        <w:rPr>
          <w:b/>
        </w:rPr>
        <w:t xml:space="preserve">Recommendation. </w:t>
      </w:r>
      <w:r>
        <w:t>Provide conforming comments to HSL with the rider.</w:t>
      </w:r>
    </w:p>
    <w:p>
      <w:pPr>
        <w:pStyle w:val="Heading1"/>
      </w:pPr>
      <w:r>
        <w:t>V. Inconsistencies in Our Own Working Documents to Correct Before Production</w:t>
      </w:r>
    </w:p>
    <w:p>
      <w:r>
        <w:rPr>
          <w:b w:val="0"/>
          <w:i w:val="0"/>
        </w:rPr>
        <w:t>The following discrepancies in the Company and A&amp;B materials should be corrected or reconciled before the cap table and memoranda are uploaded to the data room or relied upon for the Capitalization, Dilution, Principal Stockholders and Business sections. HSL will compare these documents against the stock ledger and the S-1, and discrepancies invite follow-up requests and erode credibility.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color="auto" w:fill="1F2A44"/>
          </w:tcPr>
          <w:p>
            <w:r/>
            <w:r>
              <w:rPr>
                <w:b/>
                <w:color w:val="FFFFFF"/>
                <w:sz w:val="17"/>
              </w:rPr>
              <w:t>Item</w:t>
            </w:r>
          </w:p>
        </w:tc>
        <w:tc>
          <w:tcPr>
            <w:tcW w:type="dxa" w:w="5184"/>
            <w:shd w:val="clear" w:color="auto" w:fill="1F2A44"/>
          </w:tcPr>
          <w:p>
            <w:r/>
            <w:r>
              <w:rPr>
                <w:b/>
                <w:color w:val="FFFFFF"/>
                <w:sz w:val="17"/>
              </w:rPr>
              <w:t>Discrepancy</w:t>
            </w:r>
          </w:p>
        </w:tc>
        <w:tc>
          <w:tcPr>
            <w:tcW w:type="dxa" w:w="2304"/>
            <w:shd w:val="clear" w:color="auto" w:fill="1F2A44"/>
          </w:tcPr>
          <w:p>
            <w:r/>
            <w:r>
              <w:rPr>
                <w:b/>
                <w:color w:val="FFFFFF"/>
                <w:sz w:val="17"/>
              </w:rPr>
              <w:t>Recommended fix</w:t>
            </w:r>
          </w:p>
        </w:tc>
      </w:tr>
      <w:tr>
        <w:tc>
          <w:tcPr>
            <w:tcW w:type="dxa" w:w="1872"/>
          </w:tcPr>
          <w:p>
            <w:r/>
            <w:r>
              <w:rPr>
                <w:sz w:val="17"/>
              </w:rPr>
              <w:t>Pre-IPO share totals</w:t>
            </w:r>
          </w:p>
        </w:tc>
        <w:tc>
          <w:tcPr>
            <w:tcW w:type="dxa" w:w="5184"/>
          </w:tcPr>
          <w:p>
            <w:r/>
            <w:r>
              <w:rPr>
                <w:sz w:val="17"/>
              </w:rPr>
              <w:t>Cap table “Grand Total” shows ~60,218,750 shares, while its own formula note computes 42,500,000 + 17,768,750 = 60,268,750 as-converted shares.</w:t>
            </w:r>
          </w:p>
        </w:tc>
        <w:tc>
          <w:tcPr>
            <w:tcW w:type="dxa" w:w="2304"/>
          </w:tcPr>
          <w:p>
            <w:r/>
            <w:r>
              <w:rPr>
                <w:sz w:val="17"/>
              </w:rPr>
              <w:t>Correct to 60,268,750 (subject to Issue 1).</w:t>
            </w:r>
          </w:p>
        </w:tc>
      </w:tr>
      <w:tr>
        <w:tc>
          <w:tcPr>
            <w:tcW w:type="dxa" w:w="1872"/>
          </w:tcPr>
          <w:p>
            <w:r/>
            <w:r>
              <w:rPr>
                <w:sz w:val="17"/>
              </w:rPr>
              <w:t>Convertible note conversion shares</w:t>
            </w:r>
          </w:p>
        </w:tc>
        <w:tc>
          <w:tcPr>
            <w:tcW w:type="dxa" w:w="5184"/>
          </w:tcPr>
          <w:p>
            <w:r/>
            <w:r>
              <w:rPr>
                <w:sz w:val="17"/>
              </w:rPr>
              <w:t>Profile memo: “approximately 1,071,429+” (principal only, $15,000,000 / $14.00). Cap table summary: ~1,130,901. Convertible Note Detail total: 1,129,801.</w:t>
            </w:r>
          </w:p>
        </w:tc>
        <w:tc>
          <w:tcPr>
            <w:tcW w:type="dxa" w:w="2304"/>
          </w:tcPr>
          <w:p>
            <w:r/>
            <w:r>
              <w:rPr>
                <w:sz w:val="17"/>
              </w:rPr>
              <w:t>Use one figure (principal plus interest to an assumed closing date) and state the assumption.</w:t>
            </w:r>
          </w:p>
        </w:tc>
      </w:tr>
      <w:tr>
        <w:tc>
          <w:tcPr>
            <w:tcW w:type="dxa" w:w="1872"/>
          </w:tcPr>
          <w:p>
            <w:r/>
            <w:r>
              <w:rPr>
                <w:sz w:val="17"/>
              </w:rPr>
              <w:t>Convertible Note Detail tab</w:t>
            </w:r>
          </w:p>
        </w:tc>
        <w:tc>
          <w:tcPr>
            <w:tcW w:type="dxa" w:w="5184"/>
          </w:tcPr>
          <w:p>
            <w:r/>
            <w:r>
              <w:rPr>
                <w:sz w:val="17"/>
              </w:rPr>
              <w:t>CN-001 appears twice with different accrued interest ($381,288 and $381,370) and one corrupted entry (“527,235convergence”). Footer uses 442 days from 11/15/2023 to 1/31/2025; the period is 443 days (2024 was a leap year).</w:t>
            </w:r>
          </w:p>
        </w:tc>
        <w:tc>
          <w:tcPr>
            <w:tcW w:type="dxa" w:w="2304"/>
          </w:tcPr>
          <w:p>
            <w:r/>
            <w:r>
              <w:rPr>
                <w:sz w:val="17"/>
              </w:rPr>
              <w:t>Delete duplicate row; confirm day-count convention in the notes.</w:t>
            </w:r>
          </w:p>
        </w:tc>
      </w:tr>
      <w:tr>
        <w:tc>
          <w:tcPr>
            <w:tcW w:type="dxa" w:w="1872"/>
          </w:tcPr>
          <w:p>
            <w:r/>
            <w:r>
              <w:rPr>
                <w:sz w:val="17"/>
              </w:rPr>
              <w:t>Fully diluted percentages</w:t>
            </w:r>
          </w:p>
        </w:tc>
        <w:tc>
          <w:tcPr>
            <w:tcW w:type="dxa" w:w="5184"/>
          </w:tcPr>
          <w:p>
            <w:r/>
            <w:r>
              <w:rPr>
                <w:sz w:val="17"/>
              </w:rPr>
              <w:t>The “% of Fully Diluted Common” column is computed on 60,268,750 basic as-converted shares (e.g., Dr. Ramanathan 2,890,000 = 4.8%), not on the ~69,949,651 fully diluted total.</w:t>
            </w:r>
          </w:p>
        </w:tc>
        <w:tc>
          <w:tcPr>
            <w:tcW w:type="dxa" w:w="2304"/>
          </w:tcPr>
          <w:p>
            <w:r/>
            <w:r>
              <w:rPr>
                <w:sz w:val="17"/>
              </w:rPr>
              <w:t>Relabel the column or recompute.</w:t>
            </w:r>
          </w:p>
        </w:tc>
      </w:tr>
      <w:tr>
        <w:tc>
          <w:tcPr>
            <w:tcW w:type="dxa" w:w="1872"/>
          </w:tcPr>
          <w:p>
            <w:r/>
            <w:r>
              <w:rPr>
                <w:sz w:val="17"/>
              </w:rPr>
              <w:t>Hollcroft ownership</w:t>
            </w:r>
          </w:p>
        </w:tc>
        <w:tc>
          <w:tcPr>
            <w:tcW w:type="dxa" w:w="5184"/>
          </w:tcPr>
          <w:p>
            <w:r/>
            <w:r>
              <w:rPr>
                <w:sz w:val="17"/>
              </w:rPr>
              <w:t>Profile memo: 18.2% “of outstanding common stock”; cap table: 18.2% “on as-converted basis.” Hollcroft-led Series D and E rounds total 6,718,750 shares (about 11.1% of as-converted shares, including co-investors). Cap table notes and profile Part IX also refer to “Voss” as the holder, conflating Hollcroft with its Managing Partner/director Henrik Voss.</w:t>
            </w:r>
          </w:p>
        </w:tc>
        <w:tc>
          <w:tcPr>
            <w:tcW w:type="dxa" w:w="2304"/>
          </w:tcPr>
          <w:p>
            <w:r/>
            <w:r>
              <w:rPr>
                <w:sz w:val="17"/>
              </w:rPr>
              <w:t>Reconcile Hollcroft’s holdings to the stock ledger; identify holder and director correctly.</w:t>
            </w:r>
          </w:p>
        </w:tc>
      </w:tr>
      <w:tr>
        <w:tc>
          <w:tcPr>
            <w:tcW w:type="dxa" w:w="1872"/>
          </w:tcPr>
          <w:p>
            <w:r/>
            <w:r>
              <w:rPr>
                <w:sz w:val="17"/>
              </w:rPr>
              <w:t>Common stock base</w:t>
            </w:r>
          </w:p>
        </w:tc>
        <w:tc>
          <w:tcPr>
            <w:tcW w:type="dxa" w:w="5184"/>
          </w:tcPr>
          <w:p>
            <w:r/>
            <w:r>
              <w:rPr>
                <w:sz w:val="17"/>
              </w:rPr>
              <w:t>Timeline Section 3.1 describes 42,500,000 common shares as outstanding “on an as-converted basis”; that is the pre-conversion common count. 35,500,000 shares (83.5%) are attributed to unnamed “other common stockholders,” which is unusual for a venture-backed company.</w:t>
            </w:r>
          </w:p>
        </w:tc>
        <w:tc>
          <w:tcPr>
            <w:tcW w:type="dxa" w:w="2304"/>
          </w:tcPr>
          <w:p>
            <w:r/>
            <w:r>
              <w:rPr>
                <w:sz w:val="17"/>
              </w:rPr>
              <w:t>Correct the description; break out holders for the Principal Stockholders table.</w:t>
            </w:r>
          </w:p>
        </w:tc>
      </w:tr>
      <w:tr>
        <w:tc>
          <w:tcPr>
            <w:tcW w:type="dxa" w:w="1872"/>
          </w:tcPr>
          <w:p>
            <w:r/>
            <w:r>
              <w:rPr>
                <w:sz w:val="17"/>
              </w:rPr>
              <w:t>Financing history valuations</w:t>
            </w:r>
          </w:p>
        </w:tc>
        <w:tc>
          <w:tcPr>
            <w:tcW w:type="dxa" w:w="5184"/>
          </w:tcPr>
          <w:p>
            <w:r/>
            <w:r>
              <w:rPr>
                <w:sz w:val="17"/>
              </w:rPr>
              <w:t>Stated pre-money valuations do not reconcile with OIPs and share counts (e.g., Series E: $44.00 x ~56.5 million pre-round shares implies roughly $2.5 billion, versus $780 million stated).</w:t>
            </w:r>
          </w:p>
        </w:tc>
        <w:tc>
          <w:tcPr>
            <w:tcW w:type="dxa" w:w="2304"/>
          </w:tcPr>
          <w:p>
            <w:r/>
            <w:r>
              <w:rPr>
                <w:sz w:val="17"/>
              </w:rPr>
              <w:t>Determine whether a stock split/recapitalization occurred or the data are wrong (see Issue 1).</w:t>
            </w:r>
          </w:p>
        </w:tc>
      </w:tr>
      <w:tr>
        <w:tc>
          <w:tcPr>
            <w:tcW w:type="dxa" w:w="1872"/>
          </w:tcPr>
          <w:p>
            <w:r/>
            <w:r>
              <w:rPr>
                <w:sz w:val="17"/>
              </w:rPr>
              <w:t>Clinical hold narrative</w:t>
            </w:r>
          </w:p>
        </w:tc>
        <w:tc>
          <w:tcPr>
            <w:tcW w:type="dxa" w:w="5184"/>
          </w:tcPr>
          <w:p>
            <w:r/>
            <w:r>
              <w:rPr>
                <w:sz w:val="17"/>
              </w:rPr>
              <w:t>Resolution described as a “complete response” (profile), “supplemental safety data” (timeline) and implementation of liver monitoring (email); timing described as the “Phase 2/3 transition” although Phase 2 completed August 2022 and the hold began March 2023.</w:t>
            </w:r>
          </w:p>
        </w:tc>
        <w:tc>
          <w:tcPr>
            <w:tcW w:type="dxa" w:w="2304"/>
          </w:tcPr>
          <w:p>
            <w:r/>
            <w:r>
              <w:rPr>
                <w:sz w:val="17"/>
              </w:rPr>
              <w:t>Conform to the hold file (Issue 3).</w:t>
            </w:r>
          </w:p>
        </w:tc>
      </w:tr>
      <w:tr>
        <w:tc>
          <w:tcPr>
            <w:tcW w:type="dxa" w:w="1872"/>
          </w:tcPr>
          <w:p>
            <w:r/>
            <w:r>
              <w:rPr>
                <w:sz w:val="17"/>
              </w:rPr>
              <w:t>Regulatory pathway</w:t>
            </w:r>
          </w:p>
        </w:tc>
        <w:tc>
          <w:tcPr>
            <w:tcW w:type="dxa" w:w="5184"/>
          </w:tcPr>
          <w:p>
            <w:r/>
            <w:r>
              <w:rPr>
                <w:sz w:val="17"/>
              </w:rPr>
              <w:t>“BLA” and “Pre-BLA” used for a small-molecule product.</w:t>
            </w:r>
          </w:p>
        </w:tc>
        <w:tc>
          <w:tcPr>
            <w:tcW w:type="dxa" w:w="2304"/>
          </w:tcPr>
          <w:p>
            <w:r/>
            <w:r>
              <w:rPr>
                <w:sz w:val="17"/>
              </w:rPr>
              <w:t>Confirm NDA vs. BLA (Issue 10).</w:t>
            </w:r>
          </w:p>
        </w:tc>
      </w:tr>
      <w:tr>
        <w:tc>
          <w:tcPr>
            <w:tcW w:type="dxa" w:w="1872"/>
          </w:tcPr>
          <w:p>
            <w:r/>
            <w:r>
              <w:rPr>
                <w:sz w:val="17"/>
              </w:rPr>
              <w:t>Oakvale arrangements</w:t>
            </w:r>
          </w:p>
        </w:tc>
        <w:tc>
          <w:tcPr>
            <w:tcW w:type="dxa" w:w="5184"/>
          </w:tcPr>
          <w:p>
            <w:r/>
            <w:r>
              <w:rPr>
                <w:sz w:val="17"/>
              </w:rPr>
              <w:t>Warrants issued November 2023 “as part of an advisory engagement,” but the only Oakvale agreement identified is the October 1, 2024 engagement letter. Profile frames the issue under Item 404.</w:t>
            </w:r>
          </w:p>
        </w:tc>
        <w:tc>
          <w:tcPr>
            <w:tcW w:type="dxa" w:w="2304"/>
          </w:tcPr>
          <w:p>
            <w:r/>
            <w:r>
              <w:rPr>
                <w:sz w:val="17"/>
              </w:rPr>
              <w:t>Identify the 2023 agreement; reframe under Item 508/FINRA (Issue 6).</w:t>
            </w:r>
          </w:p>
        </w:tc>
      </w:tr>
      <w:tr>
        <w:tc>
          <w:tcPr>
            <w:tcW w:type="dxa" w:w="1872"/>
          </w:tcPr>
          <w:p>
            <w:r/>
            <w:r>
              <w:rPr>
                <w:sz w:val="17"/>
              </w:rPr>
              <w:t>Contract titles</w:t>
            </w:r>
          </w:p>
        </w:tc>
        <w:tc>
          <w:tcPr>
            <w:tcW w:type="dxa" w:w="5184"/>
          </w:tcPr>
          <w:p>
            <w:r/>
            <w:r>
              <w:rPr>
                <w:sz w:val="17"/>
              </w:rPr>
              <w:t>Pinnacle agreement called a “Clinical Trial Agreement” (profile) and “Master Services Agreement” (timeline); Valcourt agreement called a “Manufacturing and Supply Agreement” and “Manufacturing Services Agreement.”</w:t>
            </w:r>
          </w:p>
        </w:tc>
        <w:tc>
          <w:tcPr>
            <w:tcW w:type="dxa" w:w="2304"/>
          </w:tcPr>
          <w:p>
            <w:r/>
            <w:r>
              <w:rPr>
                <w:sz w:val="17"/>
              </w:rPr>
              <w:t>Confirm titles and dates for the exhibit index.</w:t>
            </w:r>
          </w:p>
        </w:tc>
      </w:tr>
      <w:tr>
        <w:tc>
          <w:tcPr>
            <w:tcW w:type="dxa" w:w="1872"/>
          </w:tcPr>
          <w:p>
            <w:r/>
            <w:r>
              <w:rPr>
                <w:sz w:val="17"/>
              </w:rPr>
              <w:t>10b5-1 / Item 408</w:t>
            </w:r>
          </w:p>
        </w:tc>
        <w:tc>
          <w:tcPr>
            <w:tcW w:type="dxa" w:w="5184"/>
          </w:tcPr>
          <w:p>
            <w:r/>
            <w:r>
              <w:rPr>
                <w:sz w:val="17"/>
              </w:rPr>
              <w:t>Timeline states Item 408(a) requires S-1 disclosure and summarizes the cooling-off period as running to the filing of the next 10-Q/10-K.</w:t>
            </w:r>
          </w:p>
        </w:tc>
        <w:tc>
          <w:tcPr>
            <w:tcW w:type="dxa" w:w="2304"/>
          </w:tcPr>
          <w:p>
            <w:r/>
            <w:r>
              <w:rPr>
                <w:sz w:val="17"/>
              </w:rPr>
              <w:t>Conform to the rule (Issue 9).</w:t>
            </w:r>
          </w:p>
        </w:tc>
      </w:tr>
      <w:tr>
        <w:tc>
          <w:tcPr>
            <w:tcW w:type="dxa" w:w="1872"/>
          </w:tcPr>
          <w:p>
            <w:r/>
            <w:r>
              <w:rPr>
                <w:sz w:val="17"/>
              </w:rPr>
              <w:t>Financial statement periods</w:t>
            </w:r>
          </w:p>
        </w:tc>
        <w:tc>
          <w:tcPr>
            <w:tcW w:type="dxa" w:w="5184"/>
          </w:tcPr>
          <w:p>
            <w:r/>
            <w:r>
              <w:rPr>
                <w:sz w:val="17"/>
              </w:rPr>
              <w:t>Timeline states three years of audited statements are required; an EGC may present two.</w:t>
            </w:r>
          </w:p>
        </w:tc>
        <w:tc>
          <w:tcPr>
            <w:tcW w:type="dxa" w:w="2304"/>
          </w:tcPr>
          <w:p>
            <w:r/>
            <w:r>
              <w:rPr>
                <w:sz w:val="17"/>
              </w:rPr>
              <w:t>Confirm EGC status and periods with TK (Issue 15).</w:t>
            </w:r>
          </w:p>
        </w:tc>
      </w:tr>
    </w:tbl>
    <w:p>
      <w:pPr>
        <w:spacing w:after="40"/>
      </w:pPr>
    </w:p>
    <w:p>
      <w:pPr>
        <w:pStyle w:val="Heading1"/>
      </w:pPr>
      <w:r>
        <w:t>VI. Recommended Next Steps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shd w:val="clear" w:color="auto" w:fill="1F2A44"/>
          </w:tcPr>
          <w:p>
            <w:r/>
            <w:r>
              <w:rPr>
                <w:b/>
                <w:color w:val="FFFFFF"/>
                <w:sz w:val="18"/>
              </w:rPr>
              <w:t>Timing</w:t>
            </w:r>
          </w:p>
        </w:tc>
        <w:tc>
          <w:tcPr>
            <w:tcW w:type="dxa" w:w="5904"/>
            <w:shd w:val="clear" w:color="auto" w:fill="1F2A44"/>
          </w:tcPr>
          <w:p>
            <w:r/>
            <w:r>
              <w:rPr>
                <w:b/>
                <w:color w:val="FFFFFF"/>
                <w:sz w:val="18"/>
              </w:rPr>
              <w:t>Action</w:t>
            </w:r>
          </w:p>
        </w:tc>
        <w:tc>
          <w:tcPr>
            <w:tcW w:type="dxa" w:w="1872"/>
            <w:shd w:val="clear" w:color="auto" w:fill="1F2A44"/>
          </w:tcPr>
          <w:p>
            <w:r/>
            <w:r>
              <w:rPr>
                <w:b/>
                <w:color w:val="FFFFFF"/>
                <w:sz w:val="18"/>
              </w:rPr>
              <w:t>Responsible</w:t>
            </w:r>
          </w:p>
        </w:tc>
      </w:tr>
      <w:tr>
        <w:tc>
          <w:tcPr>
            <w:tcW w:type="dxa" w:w="1584"/>
          </w:tcPr>
          <w:p>
            <w:r/>
            <w:r>
              <w:rPr>
                <w:sz w:val="18"/>
              </w:rPr>
              <w:t>Feb. 4-5</w:t>
            </w:r>
          </w:p>
        </w:tc>
        <w:tc>
          <w:tcPr>
            <w:tcW w:type="dxa" w:w="5904"/>
          </w:tcPr>
          <w:p>
            <w:r/>
            <w:r>
              <w:rPr>
                <w:sz w:val="18"/>
              </w:rPr>
              <w:t>Partner review of this memo. Review Restated Certificate conversion and anti-dilution provisions (Issue 1). Confirm NDA vs. BLA with Company regulatory team (Issue 10).</w:t>
            </w:r>
          </w:p>
        </w:tc>
        <w:tc>
          <w:tcPr>
            <w:tcW w:type="dxa" w:w="1872"/>
          </w:tcPr>
          <w:p>
            <w:r/>
            <w:r>
              <w:rPr>
                <w:sz w:val="18"/>
              </w:rPr>
              <w:t>M. Whitfield / J. Tsao</w:t>
            </w:r>
          </w:p>
        </w:tc>
      </w:tr>
      <w:tr>
        <w:tc>
          <w:tcPr>
            <w:tcW w:type="dxa" w:w="1584"/>
          </w:tcPr>
          <w:p>
            <w:r/>
            <w:r>
              <w:rPr>
                <w:sz w:val="18"/>
              </w:rPr>
              <w:t>By Feb. 7</w:t>
            </w:r>
          </w:p>
        </w:tc>
        <w:tc>
          <w:tcPr>
            <w:tcW w:type="dxa" w:w="5904"/>
          </w:tcPr>
          <w:p>
            <w:r/>
            <w:r>
              <w:rPr>
                <w:sz w:val="18"/>
              </w:rPr>
              <w:t>Send Appendix A rider and cover note to David Nakamura; raise at the first-week-of-February working group call; propose a common-interest/non-waiver agreement for the Bristow opinion and other privileged materials.</w:t>
            </w:r>
          </w:p>
        </w:tc>
        <w:tc>
          <w:tcPr>
            <w:tcW w:type="dxa" w:w="1872"/>
          </w:tcPr>
          <w:p>
            <w:r/>
            <w:r>
              <w:rPr>
                <w:sz w:val="18"/>
              </w:rPr>
              <w:t>M. Whitfield</w:t>
            </w:r>
          </w:p>
        </w:tc>
      </w:tr>
      <w:tr>
        <w:tc>
          <w:tcPr>
            <w:tcW w:type="dxa" w:w="1584"/>
          </w:tcPr>
          <w:p>
            <w:r/>
            <w:r>
              <w:rPr>
                <w:sz w:val="18"/>
              </w:rPr>
              <w:t>By Feb. 7</w:t>
            </w:r>
          </w:p>
        </w:tc>
        <w:tc>
          <w:tcPr>
            <w:tcW w:type="dxa" w:w="5904"/>
          </w:tcPr>
          <w:p>
            <w:r/>
            <w:r>
              <w:rPr>
                <w:sz w:val="18"/>
              </w:rPr>
              <w:t>Circulate D&amp;O and 5% holder questionnaires (coordinate form with HSL); request 10b5-1 plans and certifications from Ms. Tran; begin lock-up signatory list.</w:t>
            </w:r>
          </w:p>
        </w:tc>
        <w:tc>
          <w:tcPr>
            <w:tcW w:type="dxa" w:w="1872"/>
          </w:tcPr>
          <w:p>
            <w:r/>
            <w:r>
              <w:rPr>
                <w:sz w:val="18"/>
              </w:rPr>
              <w:t>J. Tsao</w:t>
            </w:r>
          </w:p>
        </w:tc>
      </w:tr>
      <w:tr>
        <w:tc>
          <w:tcPr>
            <w:tcW w:type="dxa" w:w="1584"/>
          </w:tcPr>
          <w:p>
            <w:r/>
            <w:r>
              <w:rPr>
                <w:sz w:val="18"/>
              </w:rPr>
              <w:t>Feb. 7-14</w:t>
            </w:r>
          </w:p>
        </w:tc>
        <w:tc>
          <w:tcPr>
            <w:tcW w:type="dxa" w:w="5904"/>
          </w:tcPr>
          <w:p>
            <w:r/>
            <w:r>
              <w:rPr>
                <w:sz w:val="18"/>
              </w:rPr>
              <w:t>Privilege-screen and upload the Form 483 package and clinical hold file already assembled by the Company; upload note documents, Harwell license, OmniLabel documents and full insurance program.</w:t>
            </w:r>
          </w:p>
        </w:tc>
        <w:tc>
          <w:tcPr>
            <w:tcW w:type="dxa" w:w="1872"/>
          </w:tcPr>
          <w:p>
            <w:r/>
            <w:r>
              <w:rPr>
                <w:sz w:val="18"/>
              </w:rPr>
              <w:t>J. Tsao / R. Tran</w:t>
            </w:r>
          </w:p>
        </w:tc>
      </w:tr>
      <w:tr>
        <w:tc>
          <w:tcPr>
            <w:tcW w:type="dxa" w:w="1584"/>
          </w:tcPr>
          <w:p>
            <w:r/>
            <w:r>
              <w:rPr>
                <w:sz w:val="18"/>
              </w:rPr>
              <w:t>By Feb. 10</w:t>
            </w:r>
          </w:p>
        </w:tc>
        <w:tc>
          <w:tcPr>
            <w:tcW w:type="dxa" w:w="5904"/>
          </w:tcPr>
          <w:p>
            <w:r/>
            <w:r>
              <w:rPr>
                <w:sz w:val="18"/>
              </w:rPr>
              <w:t>Correct cap table and memoranda per Part V before production and before the Capitalization/Description of Capital Stock drafts.</w:t>
            </w:r>
          </w:p>
        </w:tc>
        <w:tc>
          <w:tcPr>
            <w:tcW w:type="dxa" w:w="1872"/>
          </w:tcPr>
          <w:p>
            <w:r/>
            <w:r>
              <w:rPr>
                <w:sz w:val="18"/>
              </w:rPr>
              <w:t>J. Tsao / R. Tran / TK</w:t>
            </w:r>
          </w:p>
        </w:tc>
      </w:tr>
      <w:tr>
        <w:tc>
          <w:tcPr>
            <w:tcW w:type="dxa" w:w="1584"/>
          </w:tcPr>
          <w:p>
            <w:r/>
            <w:r>
              <w:rPr>
                <w:sz w:val="18"/>
              </w:rPr>
              <w:t>By Feb. 10</w:t>
            </w:r>
          </w:p>
        </w:tc>
        <w:tc>
          <w:tcPr>
            <w:tcW w:type="dxa" w:w="5904"/>
          </w:tcPr>
          <w:p>
            <w:r/>
            <w:r>
              <w:rPr>
                <w:sz w:val="18"/>
              </w:rPr>
              <w:t>Ask TK for: pre-filing Section 382 estimate including the IPO and note conversion; going-concern assessment; audit timetable and EGC/financial statement age analysis; cheap stock analysis.</w:t>
            </w:r>
          </w:p>
        </w:tc>
        <w:tc>
          <w:tcPr>
            <w:tcW w:type="dxa" w:w="1872"/>
          </w:tcPr>
          <w:p>
            <w:r/>
            <w:r>
              <w:rPr>
                <w:sz w:val="18"/>
              </w:rPr>
              <w:t>M. Whitfield / R. Tran</w:t>
            </w:r>
          </w:p>
        </w:tc>
      </w:tr>
      <w:tr>
        <w:tc>
          <w:tcPr>
            <w:tcW w:type="dxa" w:w="1584"/>
          </w:tcPr>
          <w:p>
            <w:r/>
            <w:r>
              <w:rPr>
                <w:sz w:val="18"/>
              </w:rPr>
              <w:t>Before late-Feb. sessions</w:t>
            </w:r>
          </w:p>
        </w:tc>
        <w:tc>
          <w:tcPr>
            <w:tcW w:type="dxa" w:w="5904"/>
          </w:tcPr>
          <w:p>
            <w:r/>
            <w:r>
              <w:rPr>
                <w:sz w:val="18"/>
              </w:rPr>
              <w:t>Prepare management for diligence-session topics: Valcourt 483 and revalidation status; clinical hold; Cytos; Harwell; OmniLabel option; runway; Oakvale relationships.</w:t>
            </w:r>
          </w:p>
        </w:tc>
        <w:tc>
          <w:tcPr>
            <w:tcW w:type="dxa" w:w="1872"/>
          </w:tcPr>
          <w:p>
            <w:r/>
            <w:r>
              <w:rPr>
                <w:sz w:val="18"/>
              </w:rPr>
              <w:t>A&amp;B team</w:t>
            </w:r>
          </w:p>
        </w:tc>
      </w:tr>
      <w:tr>
        <w:tc>
          <w:tcPr>
            <w:tcW w:type="dxa" w:w="1584"/>
          </w:tcPr>
          <w:p>
            <w:r/>
            <w:r>
              <w:rPr>
                <w:sz w:val="18"/>
              </w:rPr>
              <w:t>Continuing</w:t>
            </w:r>
          </w:p>
        </w:tc>
        <w:tc>
          <w:tcPr>
            <w:tcW w:type="dxa" w:w="5904"/>
          </w:tcPr>
          <w:p>
            <w:r/>
            <w:r>
              <w:rPr>
                <w:sz w:val="18"/>
              </w:rPr>
              <w:t>Update production for the Valcourt matter (EIR, FDA classification, any Warning Letter, revalidation completion ~late March 2025) and bring down good standings before pricing and closing.</w:t>
            </w:r>
          </w:p>
        </w:tc>
        <w:tc>
          <w:tcPr>
            <w:tcW w:type="dxa" w:w="1872"/>
          </w:tcPr>
          <w:p>
            <w:r/>
            <w:r>
              <w:rPr>
                <w:sz w:val="18"/>
              </w:rPr>
              <w:t>J. Tsao / Company</w:t>
            </w:r>
          </w:p>
        </w:tc>
      </w:tr>
    </w:tbl>
    <w:p>
      <w:pPr>
        <w:spacing w:after="40"/>
      </w:pPr>
    </w:p>
    <w:p>
      <w:r>
        <w:rPr>
          <w:b w:val="0"/>
          <w:i/>
          <w:sz w:val="19"/>
        </w:rPr>
        <w:t>Caveats. This memo is based solely on the five documents listed in Part II. Statements regarding the content of agreements we have not reviewed (including the Restated Certificate, the convertible notes, the Harwell license and the Valcourt agreements) are inferences to be verified. Regulatory references (Regulation S-K, Regulation S-X, FINRA Rules 5110 and 5121, Rule 10b5-1, FD&amp;C Act and PHS Act) should be confirmed against current text before any position is communicated externally.</w:t>
      </w:r>
    </w:p>
    <w:p>
      <w:r>
        <w:br w:type="page"/>
      </w:r>
    </w:p>
    <w:p>
      <w:pPr>
        <w:pStyle w:val="Heading1"/>
      </w:pPr>
      <w:r>
        <w:t>Appendix A — Proposed Supplemental Request Rider for HSL</w:t>
      </w:r>
    </w:p>
    <w:p>
      <w:r>
        <w:rPr>
          <w:b w:val="0"/>
          <w:i/>
          <w:sz w:val="19"/>
        </w:rPr>
        <w:t>Proposed additions and revisions are numbered to fit HSL’s existing structure. Items marked “revised” replace or expand the corresponding HSL request; new Sections XV and XVI are proposed in full. All requests apply to the Company and each subsidiary and are continuing through closing.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296"/>
            <w:shd w:val="clear" w:color="auto" w:fill="1F2A44"/>
          </w:tcPr>
          <w:p>
            <w:r/>
            <w:r>
              <w:rPr>
                <w:b/>
                <w:color w:val="FFFFFF"/>
                <w:sz w:val="17"/>
              </w:rPr>
              <w:t>No.</w:t>
            </w:r>
          </w:p>
        </w:tc>
        <w:tc>
          <w:tcPr>
            <w:tcW w:type="dxa" w:w="1728"/>
            <w:shd w:val="clear" w:color="auto" w:fill="1F2A44"/>
          </w:tcPr>
          <w:p>
            <w:r/>
            <w:r>
              <w:rPr>
                <w:b/>
                <w:color w:val="FFFFFF"/>
                <w:sz w:val="17"/>
              </w:rPr>
              <w:t>Section</w:t>
            </w:r>
          </w:p>
        </w:tc>
        <w:tc>
          <w:tcPr>
            <w:tcW w:type="dxa" w:w="6336"/>
            <w:shd w:val="clear" w:color="auto" w:fill="1F2A44"/>
          </w:tcPr>
          <w:p>
            <w:r/>
            <w:r>
              <w:rPr>
                <w:b/>
                <w:color w:val="FFFFFF"/>
                <w:sz w:val="17"/>
              </w:rPr>
              <w:t>Proposed request</w:t>
            </w:r>
          </w:p>
        </w:tc>
      </w:tr>
      <w:tr>
        <w:tc>
          <w:tcPr>
            <w:tcW w:type="dxa" w:w="1296"/>
          </w:tcPr>
          <w:p>
            <w:r/>
            <w:r>
              <w:rPr>
                <w:sz w:val="17"/>
              </w:rPr>
              <w:t>Intro.</w:t>
            </w:r>
          </w:p>
        </w:tc>
        <w:tc>
          <w:tcPr>
            <w:tcW w:type="dxa" w:w="1728"/>
          </w:tcPr>
          <w:p>
            <w:r/>
            <w:r>
              <w:rPr>
                <w:sz w:val="17"/>
              </w:rPr>
              <w:t>Introductory Instructions (new definition)</w:t>
            </w:r>
          </w:p>
        </w:tc>
        <w:tc>
          <w:tcPr>
            <w:tcW w:type="dxa" w:w="6336"/>
          </w:tcPr>
          <w:p>
            <w:r/>
            <w:r>
              <w:rPr>
                <w:sz w:val="17"/>
              </w:rPr>
              <w:t>For purposes of Section VIII and any other request referring to “material” contracts, a contract is material if it (a) would be required to be filed as an exhibit under Item 601(b)(10) of Regulation S-K; (b) is with a director, executive officer, holder of 5% or more of any class of the Company’s securities, or any of their affiliates or immediate family members; (c) is one on which the Company is substantially dependent (including any license of intellectual property, manufacturing or supply, clinical research, collaboration or option agreement); or (d) involves aggregate consideration in excess of $500,000. All requests are continuing through the closing of the Offering.</w:t>
            </w:r>
          </w:p>
        </w:tc>
      </w:tr>
      <w:tr>
        <w:tc>
          <w:tcPr>
            <w:tcW w:type="dxa" w:w="1296"/>
          </w:tcPr>
          <w:p>
            <w:r/>
            <w:r>
              <w:rPr>
                <w:sz w:val="17"/>
              </w:rPr>
              <w:t>1.3 (revised)</w:t>
            </w:r>
          </w:p>
        </w:tc>
        <w:tc>
          <w:tcPr>
            <w:tcW w:type="dxa" w:w="1728"/>
          </w:tcPr>
          <w:p>
            <w:r/>
            <w:r>
              <w:rPr>
                <w:sz w:val="17"/>
              </w:rPr>
              <w:t>I. Corporate</w:t>
            </w:r>
          </w:p>
        </w:tc>
        <w:tc>
          <w:tcPr>
            <w:tcW w:type="dxa" w:w="6336"/>
          </w:tcPr>
          <w:p>
            <w:r/>
            <w:r>
              <w:rPr>
                <w:sz w:val="17"/>
              </w:rPr>
              <w:t>Organizational chart showing the Company, each subsidiary and each entity in which the Company holds any equity, membership, partnership or joint venture interest (whether or not consolidated), including jurisdiction and percentage ownership, and each entity dissolved, merged or disposed of since inception.</w:t>
            </w:r>
          </w:p>
        </w:tc>
      </w:tr>
      <w:tr>
        <w:tc>
          <w:tcPr>
            <w:tcW w:type="dxa" w:w="1296"/>
          </w:tcPr>
          <w:p>
            <w:r/>
            <w:r>
              <w:rPr>
                <w:sz w:val="17"/>
              </w:rPr>
              <w:t>1.11</w:t>
            </w:r>
          </w:p>
        </w:tc>
        <w:tc>
          <w:tcPr>
            <w:tcW w:type="dxa" w:w="1728"/>
          </w:tcPr>
          <w:p>
            <w:r/>
            <w:r>
              <w:rPr>
                <w:sz w:val="17"/>
              </w:rPr>
              <w:t>I. Corporate</w:t>
            </w:r>
          </w:p>
        </w:tc>
        <w:tc>
          <w:tcPr>
            <w:tcW w:type="dxa" w:w="6336"/>
          </w:tcPr>
          <w:p>
            <w:r/>
            <w:r>
              <w:rPr>
                <w:sz w:val="17"/>
              </w:rPr>
              <w:t>With respect to OmniLabel Diagnostics LLC and any other joint venture or minority investment: certificate of formation; LLC operating agreement and amendments; the Co-Development and Option Agreement dated January 15, 2023 and all amendments, notices and correspondence regarding the option to acquire the remaining 65% interest; governance and board/manager minutes; capital contribution and capital call records; financial statements; IP ownership and license arrangements among OmniLabel, the participating universities and the Company; any consent, change-of-control or ROFR provisions implicated by the Offering; and the Company’s equity-method/VIE consolidation and impairment analyses.</w:t>
            </w:r>
          </w:p>
        </w:tc>
      </w:tr>
      <w:tr>
        <w:tc>
          <w:tcPr>
            <w:tcW w:type="dxa" w:w="1296"/>
          </w:tcPr>
          <w:p>
            <w:r/>
            <w:r>
              <w:rPr>
                <w:sz w:val="17"/>
              </w:rPr>
              <w:t>1.12</w:t>
            </w:r>
          </w:p>
        </w:tc>
        <w:tc>
          <w:tcPr>
            <w:tcW w:type="dxa" w:w="1728"/>
          </w:tcPr>
          <w:p>
            <w:r/>
            <w:r>
              <w:rPr>
                <w:sz w:val="17"/>
              </w:rPr>
              <w:t>I. Corporate</w:t>
            </w:r>
          </w:p>
        </w:tc>
        <w:tc>
          <w:tcPr>
            <w:tcW w:type="dxa" w:w="6336"/>
          </w:tcPr>
          <w:p>
            <w:r/>
            <w:r>
              <w:rPr>
                <w:sz w:val="17"/>
              </w:rPr>
              <w:t>With respect to GT West Coast Labs, Inc. and any other dissolved subsidiary: formation documents, board and stockholder approvals of dissolution, Certificate of Dissolution as filed with the California Secretary of State, California Franchise Tax Board tax clearance and final returns, and records of the transfer of any assets, intellectual property, employees, leases or liabilities upon wind-up.</w:t>
            </w:r>
          </w:p>
        </w:tc>
      </w:tr>
      <w:tr>
        <w:tc>
          <w:tcPr>
            <w:tcW w:type="dxa" w:w="1296"/>
          </w:tcPr>
          <w:p>
            <w:r/>
            <w:r>
              <w:rPr>
                <w:sz w:val="17"/>
              </w:rPr>
              <w:t>1.13</w:t>
            </w:r>
          </w:p>
        </w:tc>
        <w:tc>
          <w:tcPr>
            <w:tcW w:type="dxa" w:w="1728"/>
          </w:tcPr>
          <w:p>
            <w:r/>
            <w:r>
              <w:rPr>
                <w:sz w:val="17"/>
              </w:rPr>
              <w:t>I. Corporate</w:t>
            </w:r>
          </w:p>
        </w:tc>
        <w:tc>
          <w:tcPr>
            <w:tcW w:type="dxa" w:w="6336"/>
          </w:tcPr>
          <w:p>
            <w:r/>
            <w:r>
              <w:rPr>
                <w:sz w:val="17"/>
              </w:rPr>
              <w:t>With respect to Greenfield Therapeutics Securities Corp.: Massachusetts Department of Revenue security corporation classification, annual filings and a description of its activities and assets.</w:t>
            </w:r>
          </w:p>
        </w:tc>
      </w:tr>
      <w:tr>
        <w:tc>
          <w:tcPr>
            <w:tcW w:type="dxa" w:w="1296"/>
          </w:tcPr>
          <w:p>
            <w:r/>
            <w:r>
              <w:rPr>
                <w:sz w:val="17"/>
              </w:rPr>
              <w:t>2.1 (revised)</w:t>
            </w:r>
          </w:p>
        </w:tc>
        <w:tc>
          <w:tcPr>
            <w:tcW w:type="dxa" w:w="1728"/>
          </w:tcPr>
          <w:p>
            <w:r/>
            <w:r>
              <w:rPr>
                <w:sz w:val="17"/>
              </w:rPr>
              <w:t>II. Capitalization</w:t>
            </w:r>
          </w:p>
        </w:tc>
        <w:tc>
          <w:tcPr>
            <w:tcW w:type="dxa" w:w="6336"/>
          </w:tcPr>
          <w:p>
            <w:r/>
            <w:r>
              <w:rPr>
                <w:sz w:val="17"/>
              </w:rPr>
              <w:t>Replace “equity securities, warrants, and options” with “equity securities, convertible debt securities, warrants, options and other rights to acquire equity securities,” and include a reconciliation to the stock ledger and to the as-converted share counts for each series of preferred stock.</w:t>
            </w:r>
          </w:p>
        </w:tc>
      </w:tr>
      <w:tr>
        <w:tc>
          <w:tcPr>
            <w:tcW w:type="dxa" w:w="1296"/>
          </w:tcPr>
          <w:p>
            <w:r/>
            <w:r>
              <w:rPr>
                <w:sz w:val="17"/>
              </w:rPr>
              <w:t>2.8 (revised)</w:t>
            </w:r>
          </w:p>
        </w:tc>
        <w:tc>
          <w:tcPr>
            <w:tcW w:type="dxa" w:w="1728"/>
          </w:tcPr>
          <w:p>
            <w:r/>
            <w:r>
              <w:rPr>
                <w:sz w:val="17"/>
              </w:rPr>
              <w:t>II. Capitalization</w:t>
            </w:r>
          </w:p>
        </w:tc>
        <w:tc>
          <w:tcPr>
            <w:tcW w:type="dxa" w:w="6336"/>
          </w:tcPr>
          <w:p>
            <w:r/>
            <w:r>
              <w:rPr>
                <w:sz w:val="17"/>
              </w:rPr>
              <w:t>All Section 409A and other valuation reports supporting equity grants since adoption of the 2020 Equity Incentive Plan, any interim updates, board minutes approving each grant and the valuation relied upon, and any analysis reconciling the most recent valuation to the anticipated IPO price range (cheap stock analysis).</w:t>
            </w:r>
          </w:p>
        </w:tc>
      </w:tr>
      <w:tr>
        <w:tc>
          <w:tcPr>
            <w:tcW w:type="dxa" w:w="1296"/>
          </w:tcPr>
          <w:p>
            <w:r/>
            <w:r>
              <w:rPr>
                <w:sz w:val="17"/>
              </w:rPr>
              <w:t>2.9 (revised)</w:t>
            </w:r>
          </w:p>
        </w:tc>
        <w:tc>
          <w:tcPr>
            <w:tcW w:type="dxa" w:w="1728"/>
          </w:tcPr>
          <w:p>
            <w:r/>
            <w:r>
              <w:rPr>
                <w:sz w:val="17"/>
              </w:rPr>
              <w:t>II. Capitalization</w:t>
            </w:r>
          </w:p>
        </w:tc>
        <w:tc>
          <w:tcPr>
            <w:tcW w:type="dxa" w:w="6336"/>
          </w:tcPr>
          <w:p>
            <w:r/>
            <w:r>
              <w:rPr>
                <w:sz w:val="17"/>
              </w:rPr>
              <w:t>Forms of lock-up agreement; list of proposed lock-up signatories with holdings reconciled to the stock ledger (including convertible noteholders on an as-converted basis and warrant holders); and all market stand-off provisions in the Investor Rights Agreement, equity plans, award agreements and other agreements.</w:t>
            </w:r>
          </w:p>
        </w:tc>
      </w:tr>
      <w:tr>
        <w:tc>
          <w:tcPr>
            <w:tcW w:type="dxa" w:w="1296"/>
          </w:tcPr>
          <w:p>
            <w:r/>
            <w:r>
              <w:rPr>
                <w:sz w:val="17"/>
              </w:rPr>
              <w:t>2.11</w:t>
            </w:r>
          </w:p>
        </w:tc>
        <w:tc>
          <w:tcPr>
            <w:tcW w:type="dxa" w:w="1728"/>
          </w:tcPr>
          <w:p>
            <w:r/>
            <w:r>
              <w:rPr>
                <w:sz w:val="17"/>
              </w:rPr>
              <w:t>II. Capitalization</w:t>
            </w:r>
          </w:p>
        </w:tc>
        <w:tc>
          <w:tcPr>
            <w:tcW w:type="dxa" w:w="6336"/>
          </w:tcPr>
          <w:p>
            <w:r/>
            <w:r>
              <w:rPr>
                <w:sz w:val="17"/>
              </w:rPr>
              <w:t>With respect to the convertible promissory notes issued on or about November 15, 2023 and any other convertible debt: note purchase agreement(s), each promissory note, all amendments, waivers and consents, identity and affiliation of each noteholder, board and stockholder approvals, the definition of “Qualified IPO” and conversion calculations at the low, midpoint and high of the price range (including accrued interest to the anticipated closing), maturity, default, subordination and security provisions, any noteholder consent rights relating to the Offering, and the Company’s accounting analysis of the conversion feature.</w:t>
            </w:r>
          </w:p>
        </w:tc>
      </w:tr>
      <w:tr>
        <w:tc>
          <w:tcPr>
            <w:tcW w:type="dxa" w:w="1296"/>
          </w:tcPr>
          <w:p>
            <w:r/>
            <w:r>
              <w:rPr>
                <w:sz w:val="17"/>
              </w:rPr>
              <w:t>2.12</w:t>
            </w:r>
          </w:p>
        </w:tc>
        <w:tc>
          <w:tcPr>
            <w:tcW w:type="dxa" w:w="1728"/>
          </w:tcPr>
          <w:p>
            <w:r/>
            <w:r>
              <w:rPr>
                <w:sz w:val="17"/>
              </w:rPr>
              <w:t>II. Capitalization</w:t>
            </w:r>
          </w:p>
        </w:tc>
        <w:tc>
          <w:tcPr>
            <w:tcW w:type="dxa" w:w="6336"/>
          </w:tcPr>
          <w:p>
            <w:r/>
            <w:r>
              <w:rPr>
                <w:sz w:val="17"/>
              </w:rPr>
              <w:t>Analysis of the conversion of each series of preferred stock in connection with the Offering, including: the automatic-conversion provisions of the Restated Certificate of Incorporation (including any “Qualified IPO” price and proceeds thresholds); any anti-dilution adjustment to the conversion price of any series resulting from issuances since the original issue date (including the convertible notes and option grants); any IPO ratchet, make-whole or similar protection; any required stockholder vote, consent or waiver and the status of its solicitation; any stock split, reverse split or recapitalization since inception; and any side letters with preferred holders.</w:t>
            </w:r>
          </w:p>
        </w:tc>
      </w:tr>
      <w:tr>
        <w:tc>
          <w:tcPr>
            <w:tcW w:type="dxa" w:w="1296"/>
          </w:tcPr>
          <w:p>
            <w:r/>
            <w:r>
              <w:rPr>
                <w:sz w:val="17"/>
              </w:rPr>
              <w:t>3.9</w:t>
            </w:r>
          </w:p>
        </w:tc>
        <w:tc>
          <w:tcPr>
            <w:tcW w:type="dxa" w:w="1728"/>
          </w:tcPr>
          <w:p>
            <w:r/>
            <w:r>
              <w:rPr>
                <w:sz w:val="17"/>
              </w:rPr>
              <w:t>III. Financial</w:t>
            </w:r>
          </w:p>
        </w:tc>
        <w:tc>
          <w:tcPr>
            <w:tcW w:type="dxa" w:w="6336"/>
          </w:tcPr>
          <w:p>
            <w:r/>
            <w:r>
              <w:rPr>
                <w:sz w:val="17"/>
              </w:rPr>
              <w:t>Management’s going-concern assessment under ASC 205-40, cash runway analysis and any related communications with Thornbury Kapoor LLP.</w:t>
            </w:r>
          </w:p>
        </w:tc>
      </w:tr>
      <w:tr>
        <w:tc>
          <w:tcPr>
            <w:tcW w:type="dxa" w:w="1296"/>
          </w:tcPr>
          <w:p>
            <w:r/>
            <w:r>
              <w:rPr>
                <w:sz w:val="17"/>
              </w:rPr>
              <w:t>3.10</w:t>
            </w:r>
          </w:p>
        </w:tc>
        <w:tc>
          <w:tcPr>
            <w:tcW w:type="dxa" w:w="1728"/>
          </w:tcPr>
          <w:p>
            <w:r/>
            <w:r>
              <w:rPr>
                <w:sz w:val="17"/>
              </w:rPr>
              <w:t>III. Financial</w:t>
            </w:r>
          </w:p>
        </w:tc>
        <w:tc>
          <w:tcPr>
            <w:tcW w:type="dxa" w:w="6336"/>
          </w:tcPr>
          <w:p>
            <w:r/>
            <w:r>
              <w:rPr>
                <w:sz w:val="17"/>
              </w:rPr>
              <w:t>All communications from the auditors regarding material weaknesses, significant deficiencies or other internal control matters, and management’s remediation plans.</w:t>
            </w:r>
          </w:p>
        </w:tc>
      </w:tr>
      <w:tr>
        <w:tc>
          <w:tcPr>
            <w:tcW w:type="dxa" w:w="1296"/>
          </w:tcPr>
          <w:p>
            <w:r/>
            <w:r>
              <w:rPr>
                <w:sz w:val="17"/>
              </w:rPr>
              <w:t>3.11</w:t>
            </w:r>
          </w:p>
        </w:tc>
        <w:tc>
          <w:tcPr>
            <w:tcW w:type="dxa" w:w="1728"/>
          </w:tcPr>
          <w:p>
            <w:r/>
            <w:r>
              <w:rPr>
                <w:sz w:val="17"/>
              </w:rPr>
              <w:t>III. Financial</w:t>
            </w:r>
          </w:p>
        </w:tc>
        <w:tc>
          <w:tcPr>
            <w:tcW w:type="dxa" w:w="6336"/>
          </w:tcPr>
          <w:p>
            <w:r/>
            <w:r>
              <w:rPr>
                <w:sz w:val="17"/>
              </w:rPr>
              <w:t>Audit timetable for the FY 2024 audit, the auditors’ independence confirmation and PCAOB registration, and the Company’s analysis of financial statement age requirements and EGC accommodations for the draft and public Registration Statement.</w:t>
            </w:r>
          </w:p>
        </w:tc>
      </w:tr>
      <w:tr>
        <w:tc>
          <w:tcPr>
            <w:tcW w:type="dxa" w:w="1296"/>
          </w:tcPr>
          <w:p>
            <w:r/>
            <w:r>
              <w:rPr>
                <w:sz w:val="17"/>
              </w:rPr>
              <w:t>3.12</w:t>
            </w:r>
          </w:p>
        </w:tc>
        <w:tc>
          <w:tcPr>
            <w:tcW w:type="dxa" w:w="1728"/>
          </w:tcPr>
          <w:p>
            <w:r/>
            <w:r>
              <w:rPr>
                <w:sz w:val="17"/>
              </w:rPr>
              <w:t>III. Financial</w:t>
            </w:r>
          </w:p>
        </w:tc>
        <w:tc>
          <w:tcPr>
            <w:tcW w:type="dxa" w:w="6336"/>
          </w:tcPr>
          <w:p>
            <w:r/>
            <w:r>
              <w:rPr>
                <w:sz w:val="17"/>
              </w:rPr>
              <w:t>Accounting memoranda on significant or judgmental matters, including stock-based compensation, the convertible notes, the OmniLabel investment, the Oakvale warrants, clinical trial accruals and the Harwell license milestones.</w:t>
            </w:r>
          </w:p>
        </w:tc>
      </w:tr>
      <w:tr>
        <w:tc>
          <w:tcPr>
            <w:tcW w:type="dxa" w:w="1296"/>
          </w:tcPr>
          <w:p>
            <w:r/>
            <w:r>
              <w:rPr>
                <w:sz w:val="17"/>
              </w:rPr>
              <w:t>4.6</w:t>
            </w:r>
          </w:p>
        </w:tc>
        <w:tc>
          <w:tcPr>
            <w:tcW w:type="dxa" w:w="1728"/>
          </w:tcPr>
          <w:p>
            <w:r/>
            <w:r>
              <w:rPr>
                <w:sz w:val="17"/>
              </w:rPr>
              <w:t>IV. Tax</w:t>
            </w:r>
          </w:p>
        </w:tc>
        <w:tc>
          <w:tcPr>
            <w:tcW w:type="dxa" w:w="6336"/>
          </w:tcPr>
          <w:p>
            <w:r/>
            <w:r>
              <w:rPr>
                <w:sz w:val="17"/>
              </w:rPr>
              <w:t>All Section 382 and 383 ownership change analyses (including the analysis as of September 30, 2024 by Thornbury Kapoor LLP) and supporting workpapers, and any analysis of whether the Offering, the conversion of the preferred stock and convertible notes or other transactions would cause an additional ownership change and the resulting limitation.</w:t>
            </w:r>
          </w:p>
        </w:tc>
      </w:tr>
      <w:tr>
        <w:tc>
          <w:tcPr>
            <w:tcW w:type="dxa" w:w="1296"/>
          </w:tcPr>
          <w:p>
            <w:r/>
            <w:r>
              <w:rPr>
                <w:sz w:val="17"/>
              </w:rPr>
              <w:t>5.3-5.4 (revised)</w:t>
            </w:r>
          </w:p>
        </w:tc>
        <w:tc>
          <w:tcPr>
            <w:tcW w:type="dxa" w:w="1728"/>
          </w:tcPr>
          <w:p>
            <w:r/>
            <w:r>
              <w:rPr>
                <w:sz w:val="17"/>
              </w:rPr>
              <w:t>V. IP</w:t>
            </w:r>
          </w:p>
        </w:tc>
        <w:tc>
          <w:tcPr>
            <w:tcW w:type="dxa" w:w="6336"/>
          </w:tcPr>
          <w:p>
            <w:r/>
            <w:r>
              <w:rPr>
                <w:sz w:val="17"/>
              </w:rPr>
              <w:t>Add: confirmation that every current and former employee (including employees of GT Research Ireland Ltd.), consultant and founder has executed an invention assignment and confidentiality agreement, with exceptions listed; trade secret protection policies and access controls; confidentiality and technology transfer provisions with Valcourt Manufacturing Solutions and other third parties having access to the GT-4100 API manufacturing process; and any known or suspected misappropriation.</w:t>
            </w:r>
          </w:p>
        </w:tc>
      </w:tr>
      <w:tr>
        <w:tc>
          <w:tcPr>
            <w:tcW w:type="dxa" w:w="1296"/>
          </w:tcPr>
          <w:p>
            <w:r/>
            <w:r>
              <w:rPr>
                <w:sz w:val="17"/>
              </w:rPr>
              <w:t>5.6</w:t>
            </w:r>
          </w:p>
        </w:tc>
        <w:tc>
          <w:tcPr>
            <w:tcW w:type="dxa" w:w="1728"/>
          </w:tcPr>
          <w:p>
            <w:r/>
            <w:r>
              <w:rPr>
                <w:sz w:val="17"/>
              </w:rPr>
              <w:t>V. IP</w:t>
            </w:r>
          </w:p>
        </w:tc>
        <w:tc>
          <w:tcPr>
            <w:tcW w:type="dxa" w:w="6336"/>
          </w:tcPr>
          <w:p>
            <w:r/>
            <w:r>
              <w:rPr>
                <w:sz w:val="17"/>
              </w:rPr>
              <w:t>With respect to the Exclusive License Agreement with Harwell University dated July 8, 2016 and any other in-license: the agreement and all amendments, side letters and notices; schedule of milestone, royalty and other payments made and remaining (including the BLA/NDA filing milestone and its precise trigger); all sublicenses and Harwell consents; Harwell’s retained rights; government funding and Bayh-Dole documentation (including invention disclosures, government license and any domestic manufacturing waivers); diligence obligations and compliance reports; change-of-control, assignment and termination provisions; and all material correspondence, including any notices of breach or disputes.</w:t>
            </w:r>
          </w:p>
        </w:tc>
      </w:tr>
      <w:tr>
        <w:tc>
          <w:tcPr>
            <w:tcW w:type="dxa" w:w="1296"/>
          </w:tcPr>
          <w:p>
            <w:r/>
            <w:r>
              <w:rPr>
                <w:sz w:val="17"/>
              </w:rPr>
              <w:t>5.7</w:t>
            </w:r>
          </w:p>
        </w:tc>
        <w:tc>
          <w:tcPr>
            <w:tcW w:type="dxa" w:w="1728"/>
          </w:tcPr>
          <w:p>
            <w:r/>
            <w:r>
              <w:rPr>
                <w:sz w:val="17"/>
              </w:rPr>
              <w:t>V. IP</w:t>
            </w:r>
          </w:p>
        </w:tc>
        <w:tc>
          <w:tcPr>
            <w:tcW w:type="dxa" w:w="6336"/>
          </w:tcPr>
          <w:p>
            <w:r/>
            <w:r>
              <w:rPr>
                <w:sz w:val="17"/>
              </w:rPr>
              <w:t>All communications from any third party alleging infringement, misappropriation or invalidity, or offering or demanding a license (including the August 3, 2024 letter from Cytos Pharma AG regarding EP 3,452,118 and any response), and all freedom-to-operate, non-infringement, validity or patentability opinions or analyses (including the October 15, 2024 opinion of Bristow IP Group LLP), to be produced or summarized pursuant to a common-interest and non-waiver agreement.</w:t>
            </w:r>
          </w:p>
        </w:tc>
      </w:tr>
      <w:tr>
        <w:tc>
          <w:tcPr>
            <w:tcW w:type="dxa" w:w="1296"/>
          </w:tcPr>
          <w:p>
            <w:r/>
            <w:r>
              <w:rPr>
                <w:sz w:val="17"/>
              </w:rPr>
              <w:t>6.4 (revised)</w:t>
            </w:r>
          </w:p>
        </w:tc>
        <w:tc>
          <w:tcPr>
            <w:tcW w:type="dxa" w:w="1728"/>
          </w:tcPr>
          <w:p>
            <w:r/>
            <w:r>
              <w:rPr>
                <w:sz w:val="17"/>
              </w:rPr>
              <w:t>VI. Regulatory</w:t>
            </w:r>
          </w:p>
        </w:tc>
        <w:tc>
          <w:tcPr>
            <w:tcW w:type="dxa" w:w="6336"/>
          </w:tcPr>
          <w:p>
            <w:r/>
            <w:r>
              <w:rPr>
                <w:sz w:val="17"/>
              </w:rPr>
              <w:t>All material correspondence with FDA and any foreign regulatory authority (including EMA, HPRA and TGA), including clinical hold letters, information requests, untitled and warning letters, complete response letters and refuse-to-file letters.</w:t>
            </w:r>
          </w:p>
        </w:tc>
      </w:tr>
      <w:tr>
        <w:tc>
          <w:tcPr>
            <w:tcW w:type="dxa" w:w="1296"/>
          </w:tcPr>
          <w:p>
            <w:r/>
            <w:r>
              <w:rPr>
                <w:sz w:val="17"/>
              </w:rPr>
              <w:t>6.6 (revised)</w:t>
            </w:r>
          </w:p>
        </w:tc>
        <w:tc>
          <w:tcPr>
            <w:tcW w:type="dxa" w:w="1728"/>
          </w:tcPr>
          <w:p>
            <w:r/>
            <w:r>
              <w:rPr>
                <w:sz w:val="17"/>
              </w:rPr>
              <w:t>VI. Regulatory</w:t>
            </w:r>
          </w:p>
        </w:tc>
        <w:tc>
          <w:tcPr>
            <w:tcW w:type="dxa" w:w="6336"/>
          </w:tcPr>
          <w:p>
            <w:r/>
            <w:r>
              <w:rPr>
                <w:sz w:val="17"/>
              </w:rPr>
              <w:t>Description of the regulatory strategy and anticipated timeline for marketing applications for GT-4100 in each jurisdiction, confirming the application type (NDA under section 505(b) of the FD&amp;C Act or BLA under section 351 of the PHS Act) and any MAA.</w:t>
            </w:r>
          </w:p>
        </w:tc>
      </w:tr>
      <w:tr>
        <w:tc>
          <w:tcPr>
            <w:tcW w:type="dxa" w:w="1296"/>
          </w:tcPr>
          <w:p>
            <w:r/>
            <w:r>
              <w:rPr>
                <w:sz w:val="17"/>
              </w:rPr>
              <w:t>6.9</w:t>
            </w:r>
          </w:p>
        </w:tc>
        <w:tc>
          <w:tcPr>
            <w:tcW w:type="dxa" w:w="1728"/>
          </w:tcPr>
          <w:p>
            <w:r/>
            <w:r>
              <w:rPr>
                <w:sz w:val="17"/>
              </w:rPr>
              <w:t>VI. Regulatory</w:t>
            </w:r>
          </w:p>
        </w:tc>
        <w:tc>
          <w:tcPr>
            <w:tcW w:type="dxa" w:w="6336"/>
          </w:tcPr>
          <w:p>
            <w:r/>
            <w:r>
              <w:rPr>
                <w:sz w:val="17"/>
              </w:rPr>
              <w:t>All FDA Forms 483, establishment inspection reports, inspection close-out letters, and written responses and commitments, and any similar foreign inspection findings, relating to (a) any Company facility and (b) any facility of a contract manufacturer, API or drug product supplier, testing laboratory or CRO used for GT-4100 (including the January 8, 2025 Form 483 issued to Valcourt Manufacturing Solutions, Valcourt’s January 22, 2025 response, the corrective action plan and revalidation status), together with any Warning Letters, untitled letters or import alerts issued to any such third party at any facility in the last five years, and all related communications between the Company and such third party. This request is continuing.</w:t>
            </w:r>
          </w:p>
        </w:tc>
      </w:tr>
      <w:tr>
        <w:tc>
          <w:tcPr>
            <w:tcW w:type="dxa" w:w="1296"/>
          </w:tcPr>
          <w:p>
            <w:r/>
            <w:r>
              <w:rPr>
                <w:sz w:val="17"/>
              </w:rPr>
              <w:t>6.10</w:t>
            </w:r>
          </w:p>
        </w:tc>
        <w:tc>
          <w:tcPr>
            <w:tcW w:type="dxa" w:w="1728"/>
          </w:tcPr>
          <w:p>
            <w:r/>
            <w:r>
              <w:rPr>
                <w:sz w:val="17"/>
              </w:rPr>
              <w:t>VI. Regulatory</w:t>
            </w:r>
          </w:p>
        </w:tc>
        <w:tc>
          <w:tcPr>
            <w:tcW w:type="dxa" w:w="6336"/>
          </w:tcPr>
          <w:p>
            <w:r/>
            <w:r>
              <w:rPr>
                <w:sz w:val="17"/>
              </w:rPr>
              <w:t>All documents relating to any clinical hold, partial clinical hold, or study suspension, including the March 2023 partial clinical hold on the GT-4100 IND: the hold letter, the Company’s complete response and remediation plan, the enhanced hepatic monitoring protocol, protocol and informed consent amendments, DSMB/safety committee minutes, case narratives and causality assessments for the hepatotoxicity cases, related IND safety reports, the June 2023 letter lifting the hold, and later FDA communications referencing the hold.</w:t>
            </w:r>
          </w:p>
        </w:tc>
      </w:tr>
      <w:tr>
        <w:tc>
          <w:tcPr>
            <w:tcW w:type="dxa" w:w="1296"/>
          </w:tcPr>
          <w:p>
            <w:r/>
            <w:r>
              <w:rPr>
                <w:sz w:val="17"/>
              </w:rPr>
              <w:t>6.11</w:t>
            </w:r>
          </w:p>
        </w:tc>
        <w:tc>
          <w:tcPr>
            <w:tcW w:type="dxa" w:w="1728"/>
          </w:tcPr>
          <w:p>
            <w:r/>
            <w:r>
              <w:rPr>
                <w:sz w:val="17"/>
              </w:rPr>
              <w:t>VI. Regulatory</w:t>
            </w:r>
          </w:p>
        </w:tc>
        <w:tc>
          <w:tcPr>
            <w:tcW w:type="dxa" w:w="6336"/>
          </w:tcPr>
          <w:p>
            <w:r/>
            <w:r>
              <w:rPr>
                <w:sz w:val="17"/>
              </w:rPr>
              <w:t>All requests for and grants or denials of Fast Track, Breakthrough Therapy, Orphan Drug, priority review or other expedited program designations; the initial pediatric study plan and any PREA/RACE Act correspondence; and EU and Australian clinical trial authorizations and correspondence.</w:t>
            </w:r>
          </w:p>
        </w:tc>
      </w:tr>
      <w:tr>
        <w:tc>
          <w:tcPr>
            <w:tcW w:type="dxa" w:w="1296"/>
          </w:tcPr>
          <w:p>
            <w:r/>
            <w:r>
              <w:rPr>
                <w:sz w:val="17"/>
              </w:rPr>
              <w:t>6.12</w:t>
            </w:r>
          </w:p>
        </w:tc>
        <w:tc>
          <w:tcPr>
            <w:tcW w:type="dxa" w:w="1728"/>
          </w:tcPr>
          <w:p>
            <w:r/>
            <w:r>
              <w:rPr>
                <w:sz w:val="17"/>
              </w:rPr>
              <w:t>VI. Regulatory</w:t>
            </w:r>
          </w:p>
        </w:tc>
        <w:tc>
          <w:tcPr>
            <w:tcW w:type="dxa" w:w="6336"/>
          </w:tcPr>
          <w:p>
            <w:r/>
            <w:r>
              <w:rPr>
                <w:sz w:val="17"/>
              </w:rPr>
              <w:t>All regulatory correspondence, pre-submissions, IDE materials and development plans for any companion diagnostic for GT-4100, including those of OmniLabel Diagnostics LLC.</w:t>
            </w:r>
          </w:p>
        </w:tc>
      </w:tr>
      <w:tr>
        <w:tc>
          <w:tcPr>
            <w:tcW w:type="dxa" w:w="1296"/>
          </w:tcPr>
          <w:p>
            <w:r/>
            <w:r>
              <w:rPr>
                <w:sz w:val="17"/>
              </w:rPr>
              <w:t>7.5</w:t>
            </w:r>
          </w:p>
        </w:tc>
        <w:tc>
          <w:tcPr>
            <w:tcW w:type="dxa" w:w="1728"/>
          </w:tcPr>
          <w:p>
            <w:r/>
            <w:r>
              <w:rPr>
                <w:sz w:val="17"/>
              </w:rPr>
              <w:t>VII. Litigation</w:t>
            </w:r>
          </w:p>
        </w:tc>
        <w:tc>
          <w:tcPr>
            <w:tcW w:type="dxa" w:w="6336"/>
          </w:tcPr>
          <w:p>
            <w:r/>
            <w:r>
              <w:rPr>
                <w:sz w:val="17"/>
              </w:rPr>
              <w:t>For each pending or threatened matter (including Hartwell v. Greenfield Therapeutics, Inc., No. 2484-CV-01892): reserve analyses under ASC 450, audit inquiry response letters for the last three fiscal years, notices to and coverage correspondence with insurers, and settlement communications.</w:t>
            </w:r>
          </w:p>
        </w:tc>
      </w:tr>
      <w:tr>
        <w:tc>
          <w:tcPr>
            <w:tcW w:type="dxa" w:w="1296"/>
          </w:tcPr>
          <w:p>
            <w:r/>
            <w:r>
              <w:rPr>
                <w:sz w:val="17"/>
              </w:rPr>
              <w:t>7.6</w:t>
            </w:r>
          </w:p>
        </w:tc>
        <w:tc>
          <w:tcPr>
            <w:tcW w:type="dxa" w:w="1728"/>
          </w:tcPr>
          <w:p>
            <w:r/>
            <w:r>
              <w:rPr>
                <w:sz w:val="17"/>
              </w:rPr>
              <w:t>VII. Litigation</w:t>
            </w:r>
          </w:p>
        </w:tc>
        <w:tc>
          <w:tcPr>
            <w:tcW w:type="dxa" w:w="6336"/>
          </w:tcPr>
          <w:p>
            <w:r/>
            <w:r>
              <w:rPr>
                <w:sz w:val="17"/>
              </w:rPr>
              <w:t>Any inquiry, investigation or proceeding (academic, professional, regulatory or otherwise) involving any director or executive officer in the last ten years, including the 2022 academic misconduct inquiry involving Dr. Priya Ramanathan and its closure documentation and related media coverage.</w:t>
            </w:r>
          </w:p>
        </w:tc>
      </w:tr>
      <w:tr>
        <w:tc>
          <w:tcPr>
            <w:tcW w:type="dxa" w:w="1296"/>
          </w:tcPr>
          <w:p>
            <w:r/>
            <w:r>
              <w:rPr>
                <w:sz w:val="17"/>
              </w:rPr>
              <w:t>7.7</w:t>
            </w:r>
          </w:p>
        </w:tc>
        <w:tc>
          <w:tcPr>
            <w:tcW w:type="dxa" w:w="1728"/>
          </w:tcPr>
          <w:p>
            <w:r/>
            <w:r>
              <w:rPr>
                <w:sz w:val="17"/>
              </w:rPr>
              <w:t>VII. Litigation</w:t>
            </w:r>
          </w:p>
        </w:tc>
        <w:tc>
          <w:tcPr>
            <w:tcW w:type="dxa" w:w="6336"/>
          </w:tcPr>
          <w:p>
            <w:r/>
            <w:r>
              <w:rPr>
                <w:sz w:val="17"/>
              </w:rPr>
              <w:t>All settlement agreements, releases and consent arrangements (whenever entered into) with continuing obligations or affecting ownership of Company intellectual property, including the 2017 settlement between Dr. Leonard Xu and Arclion Biosciences.</w:t>
            </w:r>
          </w:p>
        </w:tc>
      </w:tr>
      <w:tr>
        <w:tc>
          <w:tcPr>
            <w:tcW w:type="dxa" w:w="1296"/>
          </w:tcPr>
          <w:p>
            <w:r/>
            <w:r>
              <w:rPr>
                <w:sz w:val="17"/>
              </w:rPr>
              <w:t>8.2 (revised)</w:t>
            </w:r>
          </w:p>
        </w:tc>
        <w:tc>
          <w:tcPr>
            <w:tcW w:type="dxa" w:w="1728"/>
          </w:tcPr>
          <w:p>
            <w:r/>
            <w:r>
              <w:rPr>
                <w:sz w:val="17"/>
              </w:rPr>
              <w:t>VIII. Contracts</w:t>
            </w:r>
          </w:p>
        </w:tc>
        <w:tc>
          <w:tcPr>
            <w:tcW w:type="dxa" w:w="6336"/>
          </w:tcPr>
          <w:p>
            <w:r/>
            <w:r>
              <w:rPr>
                <w:sz w:val="17"/>
              </w:rPr>
              <w:t>All agreements and arrangements between the Company and Oakvale Securities LLC or any of its affiliates, including the November 2023 advisory engagement under which warrants were issued, the October 1, 2024 engagement letter, the warrant agreements, and any lending, placement, research or other relationship.</w:t>
            </w:r>
          </w:p>
        </w:tc>
      </w:tr>
      <w:tr>
        <w:tc>
          <w:tcPr>
            <w:tcW w:type="dxa" w:w="1296"/>
          </w:tcPr>
          <w:p>
            <w:r/>
            <w:r>
              <w:rPr>
                <w:sz w:val="17"/>
              </w:rPr>
              <w:t>8.9</w:t>
            </w:r>
          </w:p>
        </w:tc>
        <w:tc>
          <w:tcPr>
            <w:tcW w:type="dxa" w:w="1728"/>
          </w:tcPr>
          <w:p>
            <w:r/>
            <w:r>
              <w:rPr>
                <w:sz w:val="17"/>
              </w:rPr>
              <w:t>VIII. Contracts</w:t>
            </w:r>
          </w:p>
        </w:tc>
        <w:tc>
          <w:tcPr>
            <w:tcW w:type="dxa" w:w="6336"/>
          </w:tcPr>
          <w:p>
            <w:r/>
            <w:r>
              <w:rPr>
                <w:sz w:val="17"/>
              </w:rPr>
              <w:t>Information required for FINRA Rule 5110 and 5121 review: all items of value received or to be received by any participating member or its affiliates since 180 days before the initial filing, all securities of the Company beneficially owned by any participating member and its affiliates, and any relationship that could constitute a conflict of interest.</w:t>
            </w:r>
          </w:p>
        </w:tc>
      </w:tr>
      <w:tr>
        <w:tc>
          <w:tcPr>
            <w:tcW w:type="dxa" w:w="1296"/>
          </w:tcPr>
          <w:p>
            <w:r/>
            <w:r>
              <w:rPr>
                <w:sz w:val="17"/>
              </w:rPr>
              <w:t>8.10</w:t>
            </w:r>
          </w:p>
        </w:tc>
        <w:tc>
          <w:tcPr>
            <w:tcW w:type="dxa" w:w="1728"/>
          </w:tcPr>
          <w:p>
            <w:r/>
            <w:r>
              <w:rPr>
                <w:sz w:val="17"/>
              </w:rPr>
              <w:t>VIII. Contracts</w:t>
            </w:r>
          </w:p>
        </w:tc>
        <w:tc>
          <w:tcPr>
            <w:tcW w:type="dxa" w:w="6336"/>
          </w:tcPr>
          <w:p>
            <w:r/>
            <w:r>
              <w:rPr>
                <w:sz w:val="17"/>
              </w:rPr>
              <w:t>With respect to Valcourt Manufacturing Solutions and Pinnacle Research Organization: the manufacturing/supply and clinical services agreements and all amendments, work orders and statements of work; quality agreements; technology transfer agreements; capacity, minimum purchase and exclusivity terms; audit reports; and any back-up or second-source supply arrangements or plans.</w:t>
            </w:r>
          </w:p>
        </w:tc>
      </w:tr>
      <w:tr>
        <w:tc>
          <w:tcPr>
            <w:tcW w:type="dxa" w:w="1296"/>
          </w:tcPr>
          <w:p>
            <w:r/>
            <w:r>
              <w:rPr>
                <w:sz w:val="17"/>
              </w:rPr>
              <w:t>9.1-9.4 (replacing IX)</w:t>
            </w:r>
          </w:p>
        </w:tc>
        <w:tc>
          <w:tcPr>
            <w:tcW w:type="dxa" w:w="1728"/>
          </w:tcPr>
          <w:p>
            <w:r/>
            <w:r>
              <w:rPr>
                <w:sz w:val="17"/>
              </w:rPr>
              <w:t>IX. Insurance</w:t>
            </w:r>
          </w:p>
        </w:tc>
        <w:tc>
          <w:tcPr>
            <w:tcW w:type="dxa" w:w="6336"/>
          </w:tcPr>
          <w:p>
            <w:r/>
            <w:r>
              <w:rPr>
                <w:sz w:val="17"/>
              </w:rPr>
              <w:t>9.1 Schedule and copies of all insurance policies currently in effect (D&amp;O, EPLI, product/clinical trial liability, commercial general liability, property, cyber/data privacy, and any local clinical trial insurance in the EU and Australia), with limits, retentions, carriers and policy periods. 9.2 Schedule of all claims made or notices given under any policy in the last five years, with reservation-of-rights and coverage correspondence. 9.3 Proposed public-company D&amp;O program and run-off arrangements. 9.4 Loss runs for the last five years.</w:t>
            </w:r>
          </w:p>
        </w:tc>
      </w:tr>
      <w:tr>
        <w:tc>
          <w:tcPr>
            <w:tcW w:type="dxa" w:w="1296"/>
          </w:tcPr>
          <w:p>
            <w:r/>
            <w:r>
              <w:rPr>
                <w:sz w:val="17"/>
              </w:rPr>
              <w:t>13.4</w:t>
            </w:r>
          </w:p>
        </w:tc>
        <w:tc>
          <w:tcPr>
            <w:tcW w:type="dxa" w:w="1728"/>
          </w:tcPr>
          <w:p>
            <w:r/>
            <w:r>
              <w:rPr>
                <w:sz w:val="17"/>
              </w:rPr>
              <w:t>XIII. Compliance</w:t>
            </w:r>
          </w:p>
        </w:tc>
        <w:tc>
          <w:tcPr>
            <w:tcW w:type="dxa" w:w="6336"/>
          </w:tcPr>
          <w:p>
            <w:r/>
            <w:r>
              <w:rPr>
                <w:sz w:val="17"/>
              </w:rPr>
              <w:t>All Rule 10b5-1 trading plans adopted, modified or terminated by any director or officer (including the plans adopted in December 2024 by Dr. Ramanathan, Dr. Xu and Ms. Tran), with the required certifications, broker documentation, the Company’s compliance review and any pre-clearance records.</w:t>
            </w:r>
          </w:p>
        </w:tc>
      </w:tr>
      <w:tr>
        <w:tc>
          <w:tcPr>
            <w:tcW w:type="dxa" w:w="1296"/>
          </w:tcPr>
          <w:p>
            <w:r/>
            <w:r>
              <w:rPr>
                <w:sz w:val="17"/>
              </w:rPr>
              <w:t>XV</w:t>
            </w:r>
          </w:p>
        </w:tc>
        <w:tc>
          <w:tcPr>
            <w:tcW w:type="dxa" w:w="1728"/>
          </w:tcPr>
          <w:p>
            <w:r/>
            <w:r>
              <w:rPr>
                <w:sz w:val="17"/>
              </w:rPr>
              <w:t>XV. Related-Party Transactions (new)</w:t>
            </w:r>
          </w:p>
        </w:tc>
        <w:tc>
          <w:tcPr>
            <w:tcW w:type="dxa" w:w="6336"/>
          </w:tcPr>
          <w:p>
            <w:r/>
            <w:r>
              <w:rPr>
                <w:sz w:val="17"/>
              </w:rPr>
              <w:t>15.1 Completed D&amp;O questionnaires and 5% stockholder questionnaires. 15.2 Schedule and copies of all transactions since January 1, 2022 in which any related person (as defined in Item 404 of Regulation S-K) had a direct or indirect interest exceeding $120,000, including financings, side letters, management rights letters, fees, loans, employment of family members and indemnification agreements. 15.3 Related-person transaction policy and board approvals or waivers of conflicts. 15.4 Arrangements with Hollcroft Capital Partners and its affiliates, including board designation and observer rights. 15.5 Any family relationships among directors, officers and advisors to the Offering.</w:t>
            </w:r>
          </w:p>
        </w:tc>
      </w:tr>
      <w:tr>
        <w:tc>
          <w:tcPr>
            <w:tcW w:type="dxa" w:w="1296"/>
          </w:tcPr>
          <w:p>
            <w:r/>
            <w:r>
              <w:rPr>
                <w:sz w:val="17"/>
              </w:rPr>
              <w:t>XVI</w:t>
            </w:r>
          </w:p>
        </w:tc>
        <w:tc>
          <w:tcPr>
            <w:tcW w:type="dxa" w:w="1728"/>
          </w:tcPr>
          <w:p>
            <w:r/>
            <w:r>
              <w:rPr>
                <w:sz w:val="17"/>
              </w:rPr>
              <w:t>XVI. Privacy, Cyber and Anti-Corruption (new)</w:t>
            </w:r>
          </w:p>
        </w:tc>
        <w:tc>
          <w:tcPr>
            <w:tcW w:type="dxa" w:w="6336"/>
          </w:tcPr>
          <w:p>
            <w:r/>
            <w:r>
              <w:rPr>
                <w:sz w:val="17"/>
              </w:rPr>
              <w:t>16.1 HIPAA, GDPR and other privacy policies, records of processing, DPIAs, data processing agreements and cross-border transfer mechanisms; correspondence with any data protection authority. 16.2 Cybersecurity policies, incident response plan, penetration test and risk assessments, and any security incidents or data breaches in the last three years. 16.3 FCPA and anti-corruption policies, training records, third-party due diligence, payments to government-employed HCPs or institutions, and any internal investigations or whistleblower reports. 16.4 Sanctions and export-control compliance. 16.5 Healthcare compliance program (Anti-Kickback Statute, Open Payments readiness, HCP interaction and promotional review policies).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