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PRIVILEGED &amp; CONFIDENTIAL</w:t>
      </w:r>
    </w:p>
    <w:p>
      <w:pPr>
        <w:spacing w:after="240"/>
        <w:jc w:val="center"/>
      </w:pPr>
      <w:r>
        <w:rPr>
          <w:b/>
          <w:i w:val="0"/>
        </w:rPr>
        <w:t>ATTORNEY-CLIENT COMMUNICATION / ATTORNEY WORK PRODUCT</w:t>
      </w:r>
    </w:p>
    <w:p>
      <w:pPr>
        <w:spacing w:after="0"/>
        <w:jc w:val="center"/>
      </w:pPr>
      <w:r>
        <w:rPr>
          <w:b/>
          <w:i w:val="0"/>
          <w:sz w:val="28"/>
        </w:rPr>
        <w:t>HARGROVE &amp; ASSOCIATES LLP</w:t>
      </w:r>
    </w:p>
    <w:p>
      <w:pPr>
        <w:spacing w:after="240"/>
        <w:jc w:val="center"/>
      </w:pPr>
      <w:r>
        <w:rPr>
          <w:b w:val="0"/>
          <w:i w:val="0"/>
        </w:rPr>
        <w:t>Washington, D.C.</w:t>
      </w:r>
    </w:p>
    <w:p>
      <w:pPr>
        <w:spacing w:after="20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t>Catherine M. Lindstrom, General Counsel &amp; Corporate Secretary, Verdana Industrial Technologies, Inc.</w:t>
            </w:r>
          </w:p>
        </w:tc>
      </w:tr>
      <w:tr>
        <w:tc>
          <w:tcPr>
            <w:tcW w:type="dxa" w:w="1296"/>
          </w:tcPr>
          <w:p>
            <w:r/>
            <w:r>
              <w:rPr>
                <w:b/>
              </w:rPr>
              <w:t>CC:</w:t>
            </w:r>
          </w:p>
        </w:tc>
        <w:tc>
          <w:tcPr>
            <w:tcW w:type="dxa" w:w="8064"/>
          </w:tcPr>
          <w:p>
            <w:r>
              <w:t>Priya Sundaram, Chief Financial Officer (Principal Financial and Accounting Officer)</w:t>
            </w:r>
          </w:p>
        </w:tc>
      </w:tr>
      <w:tr>
        <w:tc>
          <w:tcPr>
            <w:tcW w:type="dxa" w:w="1296"/>
          </w:tcPr>
          <w:p>
            <w:r/>
            <w:r>
              <w:rPr>
                <w:b/>
              </w:rPr>
              <w:t>FROM:</w:t>
            </w:r>
          </w:p>
        </w:tc>
        <w:tc>
          <w:tcPr>
            <w:tcW w:type="dxa" w:w="8064"/>
          </w:tcPr>
          <w:p>
            <w:r>
              <w:t>Hargrove &amp; Associates LLP – Derek J. Fontaine (Partner); Sarah Okafor (Associate)</w:t>
            </w:r>
          </w:p>
        </w:tc>
      </w:tr>
      <w:tr>
        <w:tc>
          <w:tcPr>
            <w:tcW w:type="dxa" w:w="1296"/>
          </w:tcPr>
          <w:p>
            <w:r/>
            <w:r>
              <w:rPr>
                <w:b/>
              </w:rPr>
              <w:t>DATE:</w:t>
            </w:r>
          </w:p>
        </w:tc>
        <w:tc>
          <w:tcPr>
            <w:tcW w:type="dxa" w:w="8064"/>
          </w:tcPr>
          <w:p>
            <w:r>
              <w:t>November 6, 2024</w:t>
            </w:r>
          </w:p>
        </w:tc>
      </w:tr>
      <w:tr>
        <w:tc>
          <w:tcPr>
            <w:tcW w:type="dxa" w:w="1296"/>
          </w:tcPr>
          <w:p>
            <w:r/>
            <w:r>
              <w:rPr>
                <w:b/>
              </w:rPr>
              <w:t>RE:</w:t>
            </w:r>
          </w:p>
        </w:tc>
        <w:tc>
          <w:tcPr>
            <w:tcW w:type="dxa" w:w="8064"/>
          </w:tcPr>
          <w:p>
            <w:r>
              <w:t>Form Check and Compliance Review – Draft Form 10-Q for the Quarterly Period Ended September 30, 2024, and Exhibit Index Checklist (Verdana Industrial Technologies, Inc.; NYSE: VRDN; CIK 0001587342)</w:t>
            </w:r>
          </w:p>
        </w:tc>
      </w:tr>
    </w:tbl>
    <w:p>
      <w:pPr>
        <w:spacing w:after="160"/>
      </w:pPr>
      <w:r>
        <w:rPr>
          <w:b w:val="0"/>
          <w:i w:val="0"/>
        </w:rPr>
        <w:t>______________________________________________________________________________________</w:t>
      </w:r>
    </w:p>
    <w:p>
      <w:pPr>
        <w:pStyle w:val="Heading1"/>
      </w:pPr>
      <w:r>
        <w:t>I. Executive Summary</w:t>
      </w:r>
    </w:p>
    <w:p>
      <w:pPr>
        <w:spacing w:after="120"/>
      </w:pPr>
      <w:r>
        <w:rPr>
          <w:b w:val="0"/>
          <w:i w:val="0"/>
        </w:rPr>
        <w:t>You asked us to form-check the draft Form 10-Q for the quarter ended September 30, 2024 (draft-form-10q.docx) and the in-house Exhibit Index Checklist (exhibit-index-checklist.xlsx). The standards applied were Form 10-Q, Regulation S-X (in particular Rule 10-01), Regulation S-K (Items 103, 105, 303, 305, 307, 308, 601, 703 and related provisions), Regulation S-T, SEC staff guidance and the ASC topics that govern interim reporting. We identified 42 deficiencies: 9 Critical, 12 High, 12 Medium and 9 Low. In our view the draft is not in fileable form. The Critical items must be resolved before filing, and the High items should be resolved before filing.</w:t>
      </w:r>
    </w:p>
    <w:p>
      <w:pPr>
        <w:spacing w:after="120"/>
      </w:pPr>
      <w:r>
        <w:rPr>
          <w:b/>
          <w:i w:val="0"/>
        </w:rPr>
        <w:t>As you asked, we flag the following matters for your immediate attention:</w:t>
      </w:r>
    </w:p>
    <w:p>
      <w:pPr>
        <w:pStyle w:val="ListBullet"/>
        <w:spacing w:after="60"/>
      </w:pPr>
      <w:r>
        <w:rPr>
          <w:b/>
        </w:rPr>
        <w:t xml:space="preserve">Finding 1 – Filing date. </w:t>
      </w:r>
      <w:r>
        <w:t>The November 14 target is late. Monday, November 11 is Veterans Day, a federal holiday on which EDGAR does not accept filings, so the due date is Tuesday, November 12, 2024 (Exchange Act Rule 0-3). A late filing would cost the Company Form S-3 eligibility and WKSI status for 12 months. We recommend filing by Friday, November 8, with November 12 as the outside date.</w:t>
      </w:r>
    </w:p>
    <w:p>
      <w:pPr>
        <w:pStyle w:val="ListBullet"/>
        <w:spacing w:after="60"/>
      </w:pPr>
      <w:r>
        <w:rPr>
          <w:b/>
        </w:rPr>
        <w:t xml:space="preserve">Finding 2 – Cover page period. </w:t>
      </w:r>
      <w:r>
        <w:t>The cover says “September 30, 2023.”</w:t>
      </w:r>
    </w:p>
    <w:p>
      <w:pPr>
        <w:pStyle w:val="ListBullet"/>
        <w:spacing w:after="60"/>
      </w:pPr>
      <w:r>
        <w:rPr>
          <w:b/>
        </w:rPr>
        <w:t xml:space="preserve">Finding 7 – Missing comparative cash flows. </w:t>
      </w:r>
      <w:r>
        <w:t>The nine months 2023 cash flow column is blank and marked “[TO BE ADDED]” (S-X Rule 10-01(c)(3)).</w:t>
      </w:r>
    </w:p>
    <w:p>
      <w:pPr>
        <w:pStyle w:val="ListBullet"/>
        <w:spacing w:after="60"/>
      </w:pPr>
      <w:r>
        <w:rPr>
          <w:b/>
        </w:rPr>
        <w:t xml:space="preserve">Finding 8 – Balance sheet date. </w:t>
      </w:r>
      <w:r>
        <w:t>The comparative balance sheet is headed “December 31, 2024” instead of December 31, 2023.</w:t>
      </w:r>
    </w:p>
    <w:p>
      <w:pPr>
        <w:pStyle w:val="ListBullet"/>
        <w:spacing w:after="60"/>
      </w:pPr>
      <w:r>
        <w:rPr>
          <w:b/>
        </w:rPr>
        <w:t xml:space="preserve">Finding 10 – Equity statement does not tie. </w:t>
      </w:r>
      <w:r>
        <w:t>The nine-month equity roll-forward ends $37.9 million above the balance sheet and Q3 roll-forward, and the September 28 dividend has not been recorded.</w:t>
      </w:r>
    </w:p>
    <w:p>
      <w:pPr>
        <w:pStyle w:val="ListBullet"/>
        <w:spacing w:after="60"/>
      </w:pPr>
      <w:r>
        <w:rPr>
          <w:b/>
        </w:rPr>
        <w:t xml:space="preserve">Finding 27 – Item 4 conclusion missing. </w:t>
      </w:r>
      <w:r>
        <w:t>Item 4 contains “[Conclusion to be inserted]” (Item 307). Without the conclusion, the Section 302 certifications would be inaccurate.</w:t>
      </w:r>
    </w:p>
    <w:p>
      <w:pPr>
        <w:pStyle w:val="ListBullet"/>
        <w:spacing w:after="60"/>
      </w:pPr>
      <w:r>
        <w:rPr>
          <w:b/>
        </w:rPr>
        <w:t xml:space="preserve">Finding 32 – Credit Agreement amendment not filed. </w:t>
      </w:r>
      <w:r>
        <w:t>The August 20, 2024 amendment to the Credit Agreement has not been filed (Item 601(a)(4), (b)(10)).</w:t>
      </w:r>
    </w:p>
    <w:p>
      <w:pPr>
        <w:pStyle w:val="ListBullet"/>
        <w:spacing w:after="60"/>
      </w:pPr>
      <w:r>
        <w:rPr>
          <w:b/>
        </w:rPr>
        <w:t xml:space="preserve">Finding 33 – PolyShield purchase agreement not filed. </w:t>
      </w:r>
      <w:r>
        <w:t>The July 15, 2024 Equity Purchase Agreement has not been filed (Item 601(b)(2)).</w:t>
      </w:r>
    </w:p>
    <w:p>
      <w:pPr>
        <w:pStyle w:val="ListBullet"/>
        <w:spacing w:after="60"/>
      </w:pPr>
      <w:r>
        <w:rPr>
          <w:b/>
        </w:rPr>
        <w:t xml:space="preserve">Finding 41 – Section 302 certifications. </w:t>
      </w:r>
      <w:r>
        <w:t>Both Section 302 certifications certify an “annual report”, a carry-over from the 10-K template (Item 601(b)(31)(i)).</w:t>
      </w:r>
    </w:p>
    <w:p>
      <w:pPr>
        <w:spacing w:after="120"/>
      </w:pPr>
      <w:r>
        <w:rPr>
          <w:b w:val="0"/>
          <w:i w:val="0"/>
        </w:rPr>
        <w:t>Other significant items: the cover-page share count (79,350,000 instead of 79,450,000) and blank check boxes; a Commission File Number that differs from the Q2 10-Q; no statement of comprehensive income; incomplete ASC 805 disclosures for the PolyShield acquisition (the area you asked us to focus on); no ASC 450 assessment of the class action; segment data for the quarter only; intangible asset and December 31, 2023 debt amounts that do not reconcile; inconsistent diluted EPS; and a missing Exhibit 104. On the litigation disclosure, our recommended language (Finding 18) meets ASC 450 and Item 103 without conceding liability or adding to the merits discussion.</w:t>
      </w:r>
    </w:p>
    <w:p>
      <w:pPr>
        <w:spacing w:after="120"/>
      </w:pPr>
      <w:r>
        <w:rPr>
          <w:b w:val="0"/>
          <w:i w:val="0"/>
        </w:rPr>
        <w:t>Ridgeline Audit Partners and your Finance team should own the financial statement corrections. We will prepare the narrative, exhibit and certification fixes, and Appendix A sets out a corrected exhibit index. We recommend a follow-up call on November 7 to settle the items in Section V and the revised timetable in Appendix B.</w:t>
      </w:r>
    </w:p>
    <w:p>
      <w:pPr>
        <w:pStyle w:val="Heading1"/>
      </w:pPr>
      <w:r>
        <w:t>II. Scope, Materials Reviewed and Limitations</w:t>
      </w:r>
    </w:p>
    <w:p>
      <w:pPr>
        <w:spacing w:after="120"/>
      </w:pPr>
      <w:r>
        <w:rPr>
          <w:b/>
          <w:i w:val="0"/>
        </w:rPr>
        <w:t>Materials reviewed:</w:t>
      </w:r>
    </w:p>
    <w:p>
      <w:pPr>
        <w:pStyle w:val="ListBullet"/>
        <w:spacing w:after="60"/>
      </w:pPr>
      <w:r>
        <w:t>Draft Form 10-Q for the quarterly period ended September 30, 2024 (draft-form-10q.docx), including the cover page, Part I Items 1–4, Part II Items 1–6, the signature page and Exhibits 31.1, 31.2, 32.1 and 32.2.</w:t>
      </w:r>
    </w:p>
    <w:p>
      <w:pPr>
        <w:pStyle w:val="ListBullet"/>
        <w:spacing w:after="60"/>
      </w:pPr>
      <w:r>
        <w:t>Exhibit Index Checklist (exhibit-index-checklist.xlsx): the “Exhibit Checklist”, “Filing Metadata” and “Q3 2024 Material Contracts Log” tabs.</w:t>
      </w:r>
    </w:p>
    <w:p>
      <w:pPr>
        <w:pStyle w:val="ListBullet"/>
        <w:spacing w:after="60"/>
      </w:pPr>
      <w:r>
        <w:t>Transmittal and review-instruction e-mail from C. Lindstrom dated November 4, 2024 (preparation-memo.eml).</w:t>
      </w:r>
    </w:p>
    <w:p>
      <w:pPr>
        <w:pStyle w:val="ListBullet"/>
        <w:spacing w:after="60"/>
      </w:pPr>
      <w:r>
        <w:t>Selected excerpts of the filed Q2 2024 Form 10-Q (cover page, Item 4, signature page, Section 302 certifications), used as a format comparator (prior-quarter-10q-excerpts.docx).</w:t>
      </w:r>
    </w:p>
    <w:p>
      <w:pPr>
        <w:spacing w:after="120"/>
      </w:pPr>
      <w:r>
        <w:rPr>
          <w:b w:val="0"/>
          <w:i w:val="0"/>
        </w:rPr>
        <w:t>Approach. We compared each part of the draft with the applicable form requirement. We re-footed and cross-checked every financial statement and note table, recomputed EPS, effective tax rates and MD&amp;A percentages, and tied amounts among the statements, notes, MD&amp;A and the Company’s data. We also checked the exhibit list against Item 601 and the Company’s Material Contracts Log, and compared the cover, Item 4, signatures and certifications with the Q2 2024 filing.</w:t>
      </w:r>
    </w:p>
    <w:p>
      <w:pPr>
        <w:spacing w:after="120"/>
      </w:pPr>
      <w:r>
        <w:rPr>
          <w:b w:val="0"/>
          <w:i w:val="0"/>
        </w:rPr>
        <w:t>Limitations. We have not audited or reviewed the financial statements. Accounting conclusions are flagged for Finance and Ridgeline to resolve, and our observations on numbers concern internal consistency and disclosure form. We did not have access to EDGAR or to the underlying agreements, so items that turn on those sources (e.g., the Commission File Number, incorporation-by-reference sources, the amendment number and the term-loan maturity) are listed for verification. Citations are to rules and standards as in effect on the date of this memorandum.</w:t>
      </w:r>
    </w:p>
    <w:p>
      <w:pPr>
        <w:pStyle w:val="Heading1"/>
      </w:pPr>
      <w:r>
        <w:t>III. Severity Classifications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1F2A44"/>
          </w:tcPr>
          <w:p>
            <w:r/>
            <w:r>
              <w:rPr>
                <w:b/>
                <w:color w:val="FFFFFF"/>
                <w:sz w:val="18"/>
              </w:rPr>
              <w:t>Severity</w:t>
            </w:r>
          </w:p>
        </w:tc>
        <w:tc>
          <w:tcPr>
            <w:tcW w:type="dxa" w:w="5472"/>
            <w:shd w:val="clear" w:color="auto" w:fill="1F2A44"/>
          </w:tcPr>
          <w:p>
            <w:r/>
            <w:r>
              <w:rPr>
                <w:b/>
                <w:color w:val="FFFFFF"/>
                <w:sz w:val="18"/>
              </w:rPr>
              <w:t>Meaning</w:t>
            </w:r>
          </w:p>
        </w:tc>
        <w:tc>
          <w:tcPr>
            <w:tcW w:type="dxa" w:w="2592"/>
            <w:shd w:val="clear" w:color="auto" w:fill="1F2A44"/>
          </w:tcPr>
          <w:p>
            <w:r/>
            <w:r>
              <w:rPr>
                <w:b/>
                <w:color w:val="FFFFFF"/>
                <w:sz w:val="18"/>
              </w:rPr>
              <w:t>Required action</w:t>
            </w:r>
          </w:p>
        </w:tc>
      </w:tr>
      <w:tr>
        <w:tc>
          <w:tcPr>
            <w:tcW w:type="dxa" w:w="1296"/>
          </w:tcPr>
          <w:p>
            <w:r/>
            <w:r>
              <w:rPr>
                <w:sz w:val="18"/>
              </w:rPr>
              <w:t>Critical</w:t>
            </w:r>
          </w:p>
        </w:tc>
        <w:tc>
          <w:tcPr>
            <w:tcW w:type="dxa" w:w="5472"/>
          </w:tcPr>
          <w:p>
            <w:r/>
            <w:r>
              <w:rPr>
                <w:sz w:val="18"/>
              </w:rPr>
              <w:t>A form or legal defect that makes the report non-compliant, inaccurate on its face, untimely or not certifiable (e.g., placeholders, wrong period, missing required statements or exhibits, defective certifications).</w:t>
            </w:r>
          </w:p>
        </w:tc>
        <w:tc>
          <w:tcPr>
            <w:tcW w:type="dxa" w:w="2592"/>
          </w:tcPr>
          <w:p>
            <w:r/>
            <w:r>
              <w:rPr>
                <w:sz w:val="18"/>
              </w:rPr>
              <w:t>Must be corrected before filing; escalate now.</w:t>
            </w:r>
          </w:p>
        </w:tc>
      </w:tr>
      <w:tr>
        <w:tc>
          <w:tcPr>
            <w:tcW w:type="dxa" w:w="1296"/>
          </w:tcPr>
          <w:p>
            <w:r/>
            <w:r>
              <w:rPr>
                <w:sz w:val="18"/>
              </w:rPr>
              <w:t>High</w:t>
            </w:r>
          </w:p>
        </w:tc>
        <w:tc>
          <w:tcPr>
            <w:tcW w:type="dxa" w:w="5472"/>
          </w:tcPr>
          <w:p>
            <w:r/>
            <w:r>
              <w:rPr>
                <w:sz w:val="18"/>
              </w:rPr>
              <w:t>A required disclosure is missing or materially incomplete, or a numerical inconsistency could mislead investors or draw SEC staff comment.</w:t>
            </w:r>
          </w:p>
        </w:tc>
        <w:tc>
          <w:tcPr>
            <w:tcW w:type="dxa" w:w="2592"/>
          </w:tcPr>
          <w:p>
            <w:r/>
            <w:r>
              <w:rPr>
                <w:sz w:val="18"/>
              </w:rPr>
              <w:t>Correct before filing.</w:t>
            </w:r>
          </w:p>
        </w:tc>
      </w:tr>
      <w:tr>
        <w:tc>
          <w:tcPr>
            <w:tcW w:type="dxa" w:w="1296"/>
          </w:tcPr>
          <w:p>
            <w:r/>
            <w:r>
              <w:rPr>
                <w:sz w:val="18"/>
              </w:rPr>
              <w:t>Medium</w:t>
            </w:r>
          </w:p>
        </w:tc>
        <w:tc>
          <w:tcPr>
            <w:tcW w:type="dxa" w:w="5472"/>
          </w:tcPr>
          <w:p>
            <w:r/>
            <w:r>
              <w:rPr>
                <w:sz w:val="18"/>
              </w:rPr>
              <w:t>An incomplete or inconsistent disclosure, or a presentation weakness, likely to draw staff comment or create liability exposure.</w:t>
            </w:r>
          </w:p>
        </w:tc>
        <w:tc>
          <w:tcPr>
            <w:tcW w:type="dxa" w:w="2592"/>
          </w:tcPr>
          <w:p>
            <w:r/>
            <w:r>
              <w:rPr>
                <w:sz w:val="18"/>
              </w:rPr>
              <w:t>Correct before filing if practicable; otherwise document the rationale.</w:t>
            </w:r>
          </w:p>
        </w:tc>
      </w:tr>
      <w:tr>
        <w:tc>
          <w:tcPr>
            <w:tcW w:type="dxa" w:w="1296"/>
          </w:tcPr>
          <w:p>
            <w:r/>
            <w:r>
              <w:rPr>
                <w:sz w:val="18"/>
              </w:rPr>
              <w:t>Low</w:t>
            </w:r>
          </w:p>
        </w:tc>
        <w:tc>
          <w:tcPr>
            <w:tcW w:type="dxa" w:w="5472"/>
          </w:tcPr>
          <w:p>
            <w:r/>
            <w:r>
              <w:rPr>
                <w:sz w:val="18"/>
              </w:rPr>
              <w:t>A conforming, clean-up or best-practice item.</w:t>
            </w:r>
          </w:p>
        </w:tc>
        <w:tc>
          <w:tcPr>
            <w:tcW w:type="dxa" w:w="2592"/>
          </w:tcPr>
          <w:p>
            <w:r/>
            <w:r>
              <w:rPr>
                <w:sz w:val="18"/>
              </w:rPr>
              <w:t>Correct in the normal course of finalization.</w:t>
            </w:r>
          </w:p>
        </w:tc>
      </w:tr>
    </w:tbl>
    <w:p>
      <w:pPr>
        <w:pStyle w:val="Heading1"/>
      </w:pPr>
      <w:r>
        <w:t>IV. Summary of Findings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1F2A44"/>
          </w:tcPr>
          <w:p>
            <w:r/>
            <w:r>
              <w:rPr>
                <w:b/>
                <w:color w:val="FFFFFF"/>
                <w:sz w:val="16"/>
              </w:rPr>
              <w:t>No.</w:t>
            </w:r>
          </w:p>
        </w:tc>
        <w:tc>
          <w:tcPr>
            <w:tcW w:type="dxa" w:w="1080"/>
            <w:shd w:val="clear" w:color="auto" w:fill="1F2A44"/>
          </w:tcPr>
          <w:p>
            <w:r/>
            <w:r>
              <w:rPr>
                <w:b/>
                <w:color w:val="FFFFFF"/>
                <w:sz w:val="16"/>
              </w:rPr>
              <w:t>Severity</w:t>
            </w:r>
          </w:p>
        </w:tc>
        <w:tc>
          <w:tcPr>
            <w:tcW w:type="dxa" w:w="2160"/>
            <w:shd w:val="clear" w:color="auto" w:fill="1F2A44"/>
          </w:tcPr>
          <w:p>
            <w:r/>
            <w:r>
              <w:rPr>
                <w:b/>
                <w:color w:val="FFFFFF"/>
                <w:sz w:val="16"/>
              </w:rPr>
              <w:t>Area</w:t>
            </w:r>
          </w:p>
        </w:tc>
        <w:tc>
          <w:tcPr>
            <w:tcW w:type="dxa" w:w="3816"/>
            <w:shd w:val="clear" w:color="auto" w:fill="1F2A44"/>
          </w:tcPr>
          <w:p>
            <w:r/>
            <w:r>
              <w:rPr>
                <w:b/>
                <w:color w:val="FFFFFF"/>
                <w:sz w:val="16"/>
              </w:rPr>
              <w:t>Deficiency</w:t>
            </w:r>
          </w:p>
        </w:tc>
        <w:tc>
          <w:tcPr>
            <w:tcW w:type="dxa" w:w="1728"/>
            <w:shd w:val="clear" w:color="auto" w:fill="1F2A44"/>
          </w:tcPr>
          <w:p>
            <w:r/>
            <w:r>
              <w:rPr>
                <w:b/>
                <w:color w:val="FFFFFF"/>
                <w:sz w:val="16"/>
              </w:rPr>
              <w:t>Responsible</w:t>
            </w:r>
          </w:p>
        </w:tc>
      </w:tr>
      <w:tr>
        <w:tc>
          <w:tcPr>
            <w:tcW w:type="dxa" w:w="576"/>
          </w:tcPr>
          <w:p>
            <w:r/>
            <w:r>
              <w:rPr>
                <w:sz w:val="16"/>
              </w:rPr>
              <w:t>1</w:t>
            </w:r>
          </w:p>
        </w:tc>
        <w:tc>
          <w:tcPr>
            <w:tcW w:type="dxa" w:w="1080"/>
            <w:shd w:val="clear" w:color="auto" w:fill="F4CCCC"/>
          </w:tcPr>
          <w:p>
            <w:r/>
            <w:r>
              <w:rPr>
                <w:sz w:val="16"/>
              </w:rPr>
              <w:t>Critical</w:t>
            </w:r>
          </w:p>
        </w:tc>
        <w:tc>
          <w:tcPr>
            <w:tcW w:type="dxa" w:w="2160"/>
          </w:tcPr>
          <w:p>
            <w:r/>
            <w:r>
              <w:rPr>
                <w:sz w:val="16"/>
              </w:rPr>
              <w:t>Filing Deadline and Filing Logistics</w:t>
            </w:r>
          </w:p>
        </w:tc>
        <w:tc>
          <w:tcPr>
            <w:tcW w:type="dxa" w:w="3816"/>
          </w:tcPr>
          <w:p>
            <w:r/>
            <w:r>
              <w:rPr>
                <w:sz w:val="16"/>
              </w:rPr>
              <w:t>Target filing date of November 14, 2024 is after the statutory due date; Veterans Day premise is incorrect</w:t>
            </w:r>
          </w:p>
        </w:tc>
        <w:tc>
          <w:tcPr>
            <w:tcW w:type="dxa" w:w="1728"/>
          </w:tcPr>
          <w:p>
            <w:r/>
            <w:r>
              <w:rPr>
                <w:sz w:val="16"/>
              </w:rPr>
              <w:t>Company (Legal/Finance); XBRL vendor; Hargrove</w:t>
            </w:r>
          </w:p>
        </w:tc>
      </w:tr>
      <w:tr>
        <w:tc>
          <w:tcPr>
            <w:tcW w:type="dxa" w:w="576"/>
          </w:tcPr>
          <w:p>
            <w:r/>
            <w:r>
              <w:rPr>
                <w:sz w:val="16"/>
              </w:rPr>
              <w:t>2</w:t>
            </w:r>
          </w:p>
        </w:tc>
        <w:tc>
          <w:tcPr>
            <w:tcW w:type="dxa" w:w="1080"/>
            <w:shd w:val="clear" w:color="auto" w:fill="F4CCCC"/>
          </w:tcPr>
          <w:p>
            <w:r/>
            <w:r>
              <w:rPr>
                <w:sz w:val="16"/>
              </w:rPr>
              <w:t>Critical</w:t>
            </w:r>
          </w:p>
        </w:tc>
        <w:tc>
          <w:tcPr>
            <w:tcW w:type="dxa" w:w="2160"/>
          </w:tcPr>
          <w:p>
            <w:r/>
            <w:r>
              <w:rPr>
                <w:sz w:val="16"/>
              </w:rPr>
              <w:t>Cover Page and Table of Contents</w:t>
            </w:r>
          </w:p>
        </w:tc>
        <w:tc>
          <w:tcPr>
            <w:tcW w:type="dxa" w:w="3816"/>
          </w:tcPr>
          <w:p>
            <w:r/>
            <w:r>
              <w:rPr>
                <w:sz w:val="16"/>
              </w:rPr>
              <w:t>Cover page states the wrong fiscal period</w:t>
            </w:r>
          </w:p>
        </w:tc>
        <w:tc>
          <w:tcPr>
            <w:tcW w:type="dxa" w:w="1728"/>
          </w:tcPr>
          <w:p>
            <w:r/>
            <w:r>
              <w:rPr>
                <w:sz w:val="16"/>
              </w:rPr>
              <w:t>Hargrove / XBRL vendor</w:t>
            </w:r>
          </w:p>
        </w:tc>
      </w:tr>
      <w:tr>
        <w:tc>
          <w:tcPr>
            <w:tcW w:type="dxa" w:w="576"/>
          </w:tcPr>
          <w:p>
            <w:r/>
            <w:r>
              <w:rPr>
                <w:sz w:val="16"/>
              </w:rPr>
              <w:t>3</w:t>
            </w:r>
          </w:p>
        </w:tc>
        <w:tc>
          <w:tcPr>
            <w:tcW w:type="dxa" w:w="1080"/>
            <w:shd w:val="clear" w:color="auto" w:fill="FCE4D6"/>
          </w:tcPr>
          <w:p>
            <w:r/>
            <w:r>
              <w:rPr>
                <w:sz w:val="16"/>
              </w:rPr>
              <w:t>High</w:t>
            </w:r>
          </w:p>
        </w:tc>
        <w:tc>
          <w:tcPr>
            <w:tcW w:type="dxa" w:w="2160"/>
          </w:tcPr>
          <w:p>
            <w:r/>
            <w:r>
              <w:rPr>
                <w:sz w:val="16"/>
              </w:rPr>
              <w:t>Cover Page and Table of Contents</w:t>
            </w:r>
          </w:p>
        </w:tc>
        <w:tc>
          <w:tcPr>
            <w:tcW w:type="dxa" w:w="3816"/>
          </w:tcPr>
          <w:p>
            <w:r/>
            <w:r>
              <w:rPr>
                <w:sz w:val="16"/>
              </w:rPr>
              <w:t>Shares outstanding on cover page are understated (79,350,000 vs. 79,450,000)</w:t>
            </w:r>
          </w:p>
        </w:tc>
        <w:tc>
          <w:tcPr>
            <w:tcW w:type="dxa" w:w="1728"/>
          </w:tcPr>
          <w:p>
            <w:r/>
            <w:r>
              <w:rPr>
                <w:sz w:val="16"/>
              </w:rPr>
              <w:t>Company (Legal) / transfer agent</w:t>
            </w:r>
          </w:p>
        </w:tc>
      </w:tr>
      <w:tr>
        <w:tc>
          <w:tcPr>
            <w:tcW w:type="dxa" w:w="576"/>
          </w:tcPr>
          <w:p>
            <w:r/>
            <w:r>
              <w:rPr>
                <w:sz w:val="16"/>
              </w:rPr>
              <w:t>4</w:t>
            </w:r>
          </w:p>
        </w:tc>
        <w:tc>
          <w:tcPr>
            <w:tcW w:type="dxa" w:w="1080"/>
            <w:shd w:val="clear" w:color="auto" w:fill="FCE4D6"/>
          </w:tcPr>
          <w:p>
            <w:r/>
            <w:r>
              <w:rPr>
                <w:sz w:val="16"/>
              </w:rPr>
              <w:t>High</w:t>
            </w:r>
          </w:p>
        </w:tc>
        <w:tc>
          <w:tcPr>
            <w:tcW w:type="dxa" w:w="2160"/>
          </w:tcPr>
          <w:p>
            <w:r/>
            <w:r>
              <w:rPr>
                <w:sz w:val="16"/>
              </w:rPr>
              <w:t>Cover Page and Table of Contents</w:t>
            </w:r>
          </w:p>
        </w:tc>
        <w:tc>
          <w:tcPr>
            <w:tcW w:type="dxa" w:w="3816"/>
          </w:tcPr>
          <w:p>
            <w:r/>
            <w:r>
              <w:rPr>
                <w:sz w:val="16"/>
              </w:rPr>
              <w:t>Cover page check boxes are not completed</w:t>
            </w:r>
          </w:p>
        </w:tc>
        <w:tc>
          <w:tcPr>
            <w:tcW w:type="dxa" w:w="1728"/>
          </w:tcPr>
          <w:p>
            <w:r/>
            <w:r>
              <w:rPr>
                <w:sz w:val="16"/>
              </w:rPr>
              <w:t>Hargrove</w:t>
            </w:r>
          </w:p>
        </w:tc>
      </w:tr>
      <w:tr>
        <w:tc>
          <w:tcPr>
            <w:tcW w:type="dxa" w:w="576"/>
          </w:tcPr>
          <w:p>
            <w:r/>
            <w:r>
              <w:rPr>
                <w:sz w:val="16"/>
              </w:rPr>
              <w:t>5</w:t>
            </w:r>
          </w:p>
        </w:tc>
        <w:tc>
          <w:tcPr>
            <w:tcW w:type="dxa" w:w="1080"/>
            <w:shd w:val="clear" w:color="auto" w:fill="FCE4D6"/>
          </w:tcPr>
          <w:p>
            <w:r/>
            <w:r>
              <w:rPr>
                <w:sz w:val="16"/>
              </w:rPr>
              <w:t>High</w:t>
            </w:r>
          </w:p>
        </w:tc>
        <w:tc>
          <w:tcPr>
            <w:tcW w:type="dxa" w:w="2160"/>
          </w:tcPr>
          <w:p>
            <w:r/>
            <w:r>
              <w:rPr>
                <w:sz w:val="16"/>
              </w:rPr>
              <w:t>Cover Page and Table of Contents</w:t>
            </w:r>
          </w:p>
        </w:tc>
        <w:tc>
          <w:tcPr>
            <w:tcW w:type="dxa" w:w="3816"/>
          </w:tcPr>
          <w:p>
            <w:r/>
            <w:r>
              <w:rPr>
                <w:sz w:val="16"/>
              </w:rPr>
              <w:t>Commission File Number inconsistent with prior filing</w:t>
            </w:r>
          </w:p>
        </w:tc>
        <w:tc>
          <w:tcPr>
            <w:tcW w:type="dxa" w:w="1728"/>
          </w:tcPr>
          <w:p>
            <w:r/>
            <w:r>
              <w:rPr>
                <w:sz w:val="16"/>
              </w:rPr>
              <w:t>Company (Legal) / Hargrove</w:t>
            </w:r>
          </w:p>
        </w:tc>
      </w:tr>
      <w:tr>
        <w:tc>
          <w:tcPr>
            <w:tcW w:type="dxa" w:w="576"/>
          </w:tcPr>
          <w:p>
            <w:r/>
            <w:r>
              <w:rPr>
                <w:sz w:val="16"/>
              </w:rPr>
              <w:t>6</w:t>
            </w:r>
          </w:p>
        </w:tc>
        <w:tc>
          <w:tcPr>
            <w:tcW w:type="dxa" w:w="1080"/>
            <w:shd w:val="clear" w:color="auto" w:fill="E2EFDA"/>
          </w:tcPr>
          <w:p>
            <w:r/>
            <w:r>
              <w:rPr>
                <w:sz w:val="16"/>
              </w:rPr>
              <w:t>Low</w:t>
            </w:r>
          </w:p>
        </w:tc>
        <w:tc>
          <w:tcPr>
            <w:tcW w:type="dxa" w:w="2160"/>
          </w:tcPr>
          <w:p>
            <w:r/>
            <w:r>
              <w:rPr>
                <w:sz w:val="16"/>
              </w:rPr>
              <w:t>Cover Page and Table of Contents</w:t>
            </w:r>
          </w:p>
        </w:tc>
        <w:tc>
          <w:tcPr>
            <w:tcW w:type="dxa" w:w="3816"/>
          </w:tcPr>
          <w:p>
            <w:r/>
            <w:r>
              <w:rPr>
                <w:sz w:val="16"/>
              </w:rPr>
              <w:t>Table of contents omits the statements of comprehensive income; page references unreliable</w:t>
            </w:r>
          </w:p>
        </w:tc>
        <w:tc>
          <w:tcPr>
            <w:tcW w:type="dxa" w:w="1728"/>
          </w:tcPr>
          <w:p>
            <w:r/>
            <w:r>
              <w:rPr>
                <w:sz w:val="16"/>
              </w:rPr>
              <w:t>Hargrove / financial printer</w:t>
            </w:r>
          </w:p>
        </w:tc>
      </w:tr>
      <w:tr>
        <w:tc>
          <w:tcPr>
            <w:tcW w:type="dxa" w:w="576"/>
          </w:tcPr>
          <w:p>
            <w:r/>
            <w:r>
              <w:rPr>
                <w:sz w:val="16"/>
              </w:rPr>
              <w:t>7</w:t>
            </w:r>
          </w:p>
        </w:tc>
        <w:tc>
          <w:tcPr>
            <w:tcW w:type="dxa" w:w="1080"/>
            <w:shd w:val="clear" w:color="auto" w:fill="F4CCCC"/>
          </w:tcPr>
          <w:p>
            <w:r/>
            <w:r>
              <w:rPr>
                <w:sz w:val="16"/>
              </w:rPr>
              <w:t>Critical</w:t>
            </w:r>
          </w:p>
        </w:tc>
        <w:tc>
          <w:tcPr>
            <w:tcW w:type="dxa" w:w="2160"/>
          </w:tcPr>
          <w:p>
            <w:r/>
            <w:r>
              <w:rPr>
                <w:sz w:val="16"/>
              </w:rPr>
              <w:t>Condensed Consolidated Financial Statements (Part I, Item 1)</w:t>
            </w:r>
          </w:p>
        </w:tc>
        <w:tc>
          <w:tcPr>
            <w:tcW w:type="dxa" w:w="3816"/>
          </w:tcPr>
          <w:p>
            <w:r/>
            <w:r>
              <w:rPr>
                <w:sz w:val="16"/>
              </w:rPr>
              <w:t>Prior-year cash flow column missing – placeholder “[TO BE ADDED]”</w:t>
            </w:r>
          </w:p>
        </w:tc>
        <w:tc>
          <w:tcPr>
            <w:tcW w:type="dxa" w:w="1728"/>
          </w:tcPr>
          <w:p>
            <w:r/>
            <w:r>
              <w:rPr>
                <w:sz w:val="16"/>
              </w:rPr>
              <w:t>Company (Finance) / Ridgeline</w:t>
            </w:r>
          </w:p>
        </w:tc>
      </w:tr>
      <w:tr>
        <w:tc>
          <w:tcPr>
            <w:tcW w:type="dxa" w:w="576"/>
          </w:tcPr>
          <w:p>
            <w:r/>
            <w:r>
              <w:rPr>
                <w:sz w:val="16"/>
              </w:rPr>
              <w:t>8</w:t>
            </w:r>
          </w:p>
        </w:tc>
        <w:tc>
          <w:tcPr>
            <w:tcW w:type="dxa" w:w="1080"/>
            <w:shd w:val="clear" w:color="auto" w:fill="F4CCCC"/>
          </w:tcPr>
          <w:p>
            <w:r/>
            <w:r>
              <w:rPr>
                <w:sz w:val="16"/>
              </w:rPr>
              <w:t>Critical</w:t>
            </w:r>
          </w:p>
        </w:tc>
        <w:tc>
          <w:tcPr>
            <w:tcW w:type="dxa" w:w="2160"/>
          </w:tcPr>
          <w:p>
            <w:r/>
            <w:r>
              <w:rPr>
                <w:sz w:val="16"/>
              </w:rPr>
              <w:t>Condensed Consolidated Financial Statements (Part I, Item 1)</w:t>
            </w:r>
          </w:p>
        </w:tc>
        <w:tc>
          <w:tcPr>
            <w:tcW w:type="dxa" w:w="3816"/>
          </w:tcPr>
          <w:p>
            <w:r/>
            <w:r>
              <w:rPr>
                <w:sz w:val="16"/>
              </w:rPr>
              <w:t>Balance sheet comparative column mislabeled “December 31, 2024”</w:t>
            </w:r>
          </w:p>
        </w:tc>
        <w:tc>
          <w:tcPr>
            <w:tcW w:type="dxa" w:w="1728"/>
          </w:tcPr>
          <w:p>
            <w:r/>
            <w:r>
              <w:rPr>
                <w:sz w:val="16"/>
              </w:rPr>
              <w:t>Company (Finance)</w:t>
            </w:r>
          </w:p>
        </w:tc>
      </w:tr>
      <w:tr>
        <w:tc>
          <w:tcPr>
            <w:tcW w:type="dxa" w:w="576"/>
          </w:tcPr>
          <w:p>
            <w:r/>
            <w:r>
              <w:rPr>
                <w:sz w:val="16"/>
              </w:rPr>
              <w:t>9</w:t>
            </w:r>
          </w:p>
        </w:tc>
        <w:tc>
          <w:tcPr>
            <w:tcW w:type="dxa" w:w="1080"/>
            <w:shd w:val="clear" w:color="auto" w:fill="FCE4D6"/>
          </w:tcPr>
          <w:p>
            <w:r/>
            <w:r>
              <w:rPr>
                <w:sz w:val="16"/>
              </w:rPr>
              <w:t>High</w:t>
            </w:r>
          </w:p>
        </w:tc>
        <w:tc>
          <w:tcPr>
            <w:tcW w:type="dxa" w:w="2160"/>
          </w:tcPr>
          <w:p>
            <w:r/>
            <w:r>
              <w:rPr>
                <w:sz w:val="16"/>
              </w:rPr>
              <w:t>Condensed Consolidated Financial Statements (Part I, Item 1)</w:t>
            </w:r>
          </w:p>
        </w:tc>
        <w:tc>
          <w:tcPr>
            <w:tcW w:type="dxa" w:w="3816"/>
          </w:tcPr>
          <w:p>
            <w:r/>
            <w:r>
              <w:rPr>
                <w:sz w:val="16"/>
              </w:rPr>
              <w:t>Statements of comprehensive income omitted</w:t>
            </w:r>
          </w:p>
        </w:tc>
        <w:tc>
          <w:tcPr>
            <w:tcW w:type="dxa" w:w="1728"/>
          </w:tcPr>
          <w:p>
            <w:r/>
            <w:r>
              <w:rPr>
                <w:sz w:val="16"/>
              </w:rPr>
              <w:t>Company (Finance) / Ridgeline</w:t>
            </w:r>
          </w:p>
        </w:tc>
      </w:tr>
      <w:tr>
        <w:tc>
          <w:tcPr>
            <w:tcW w:type="dxa" w:w="576"/>
          </w:tcPr>
          <w:p>
            <w:r/>
            <w:r>
              <w:rPr>
                <w:sz w:val="16"/>
              </w:rPr>
              <w:t>10</w:t>
            </w:r>
          </w:p>
        </w:tc>
        <w:tc>
          <w:tcPr>
            <w:tcW w:type="dxa" w:w="1080"/>
            <w:shd w:val="clear" w:color="auto" w:fill="F4CCCC"/>
          </w:tcPr>
          <w:p>
            <w:r/>
            <w:r>
              <w:rPr>
                <w:sz w:val="16"/>
              </w:rPr>
              <w:t>Critical</w:t>
            </w:r>
          </w:p>
        </w:tc>
        <w:tc>
          <w:tcPr>
            <w:tcW w:type="dxa" w:w="2160"/>
          </w:tcPr>
          <w:p>
            <w:r/>
            <w:r>
              <w:rPr>
                <w:sz w:val="16"/>
              </w:rPr>
              <w:t>Condensed Consolidated Financial Statements (Part I, Item 1)</w:t>
            </w:r>
          </w:p>
        </w:tc>
        <w:tc>
          <w:tcPr>
            <w:tcW w:type="dxa" w:w="3816"/>
          </w:tcPr>
          <w:p>
            <w:r/>
            <w:r>
              <w:rPr>
                <w:sz w:val="16"/>
              </w:rPr>
              <w:t>Nine-month 2024 stockholders’ equity roll-forward does not tie to the balance sheet or the Q3 roll-forward</w:t>
            </w:r>
          </w:p>
        </w:tc>
        <w:tc>
          <w:tcPr>
            <w:tcW w:type="dxa" w:w="1728"/>
          </w:tcPr>
          <w:p>
            <w:r/>
            <w:r>
              <w:rPr>
                <w:sz w:val="16"/>
              </w:rPr>
              <w:t>Company (Finance) / Ridgeline</w:t>
            </w:r>
          </w:p>
        </w:tc>
      </w:tr>
      <w:tr>
        <w:tc>
          <w:tcPr>
            <w:tcW w:type="dxa" w:w="576"/>
          </w:tcPr>
          <w:p>
            <w:r/>
            <w:r>
              <w:rPr>
                <w:sz w:val="16"/>
              </w:rPr>
              <w:t>11</w:t>
            </w:r>
          </w:p>
        </w:tc>
        <w:tc>
          <w:tcPr>
            <w:tcW w:type="dxa" w:w="1080"/>
            <w:shd w:val="clear" w:color="auto" w:fill="FCE4D6"/>
          </w:tcPr>
          <w:p>
            <w:r/>
            <w:r>
              <w:rPr>
                <w:sz w:val="16"/>
              </w:rPr>
              <w:t>High</w:t>
            </w:r>
          </w:p>
        </w:tc>
        <w:tc>
          <w:tcPr>
            <w:tcW w:type="dxa" w:w="2160"/>
          </w:tcPr>
          <w:p>
            <w:r/>
            <w:r>
              <w:rPr>
                <w:sz w:val="16"/>
              </w:rPr>
              <w:t>Condensed Consolidated Financial Statements (Part I, Item 1)</w:t>
            </w:r>
          </w:p>
        </w:tc>
        <w:tc>
          <w:tcPr>
            <w:tcW w:type="dxa" w:w="3816"/>
          </w:tcPr>
          <w:p>
            <w:r/>
            <w:r>
              <w:rPr>
                <w:sz w:val="16"/>
              </w:rPr>
              <w:t>Q3 2024 dividend declared September 28, 2024 not reflected; dividends per share not disclosed</w:t>
            </w:r>
          </w:p>
        </w:tc>
        <w:tc>
          <w:tcPr>
            <w:tcW w:type="dxa" w:w="1728"/>
          </w:tcPr>
          <w:p>
            <w:r/>
            <w:r>
              <w:rPr>
                <w:sz w:val="16"/>
              </w:rPr>
              <w:t>Company (Finance) / Ridgeline</w:t>
            </w:r>
          </w:p>
        </w:tc>
      </w:tr>
      <w:tr>
        <w:tc>
          <w:tcPr>
            <w:tcW w:type="dxa" w:w="576"/>
          </w:tcPr>
          <w:p>
            <w:r/>
            <w:r>
              <w:rPr>
                <w:sz w:val="16"/>
              </w:rPr>
              <w:t>12</w:t>
            </w:r>
          </w:p>
        </w:tc>
        <w:tc>
          <w:tcPr>
            <w:tcW w:type="dxa" w:w="1080"/>
            <w:shd w:val="clear" w:color="auto" w:fill="FCE4D6"/>
          </w:tcPr>
          <w:p>
            <w:r/>
            <w:r>
              <w:rPr>
                <w:sz w:val="16"/>
              </w:rPr>
              <w:t>High</w:t>
            </w:r>
          </w:p>
        </w:tc>
        <w:tc>
          <w:tcPr>
            <w:tcW w:type="dxa" w:w="2160"/>
          </w:tcPr>
          <w:p>
            <w:r/>
            <w:r>
              <w:rPr>
                <w:sz w:val="16"/>
              </w:rPr>
              <w:t>Condensed Consolidated Financial Statements (Part I, Item 1)</w:t>
            </w:r>
          </w:p>
        </w:tc>
        <w:tc>
          <w:tcPr>
            <w:tcW w:type="dxa" w:w="3816"/>
          </w:tcPr>
          <w:p>
            <w:r/>
            <w:r>
              <w:rPr>
                <w:sz w:val="16"/>
              </w:rPr>
              <w:t>Diluted EPS for the nine months ended September 30, 2023 inconsistent ($1.53 vs. $1.54)</w:t>
            </w:r>
          </w:p>
        </w:tc>
        <w:tc>
          <w:tcPr>
            <w:tcW w:type="dxa" w:w="1728"/>
          </w:tcPr>
          <w:p>
            <w:r/>
            <w:r>
              <w:rPr>
                <w:sz w:val="16"/>
              </w:rPr>
              <w:t>Company (Finance)</w:t>
            </w:r>
          </w:p>
        </w:tc>
      </w:tr>
      <w:tr>
        <w:tc>
          <w:tcPr>
            <w:tcW w:type="dxa" w:w="576"/>
          </w:tcPr>
          <w:p>
            <w:r/>
            <w:r>
              <w:rPr>
                <w:sz w:val="16"/>
              </w:rPr>
              <w:t>13</w:t>
            </w:r>
          </w:p>
        </w:tc>
        <w:tc>
          <w:tcPr>
            <w:tcW w:type="dxa" w:w="1080"/>
            <w:shd w:val="clear" w:color="auto" w:fill="FCE4D6"/>
          </w:tcPr>
          <w:p>
            <w:r/>
            <w:r>
              <w:rPr>
                <w:sz w:val="16"/>
              </w:rPr>
              <w:t>High</w:t>
            </w:r>
          </w:p>
        </w:tc>
        <w:tc>
          <w:tcPr>
            <w:tcW w:type="dxa" w:w="2160"/>
          </w:tcPr>
          <w:p>
            <w:r/>
            <w:r>
              <w:rPr>
                <w:sz w:val="16"/>
              </w:rPr>
              <w:t>Condensed Consolidated Financial Statements (Part I, Item 1)</w:t>
            </w:r>
          </w:p>
        </w:tc>
        <w:tc>
          <w:tcPr>
            <w:tcW w:type="dxa" w:w="3816"/>
          </w:tcPr>
          <w:p>
            <w:r/>
            <w:r>
              <w:rPr>
                <w:sz w:val="16"/>
              </w:rPr>
              <w:t>December 31, 2023 debt on the balance sheet does not agree to Note 5</w:t>
            </w:r>
          </w:p>
        </w:tc>
        <w:tc>
          <w:tcPr>
            <w:tcW w:type="dxa" w:w="1728"/>
          </w:tcPr>
          <w:p>
            <w:r/>
            <w:r>
              <w:rPr>
                <w:sz w:val="16"/>
              </w:rPr>
              <w:t>Company (Finance) / Ridgeline</w:t>
            </w:r>
          </w:p>
        </w:tc>
      </w:tr>
      <w:tr>
        <w:tc>
          <w:tcPr>
            <w:tcW w:type="dxa" w:w="576"/>
          </w:tcPr>
          <w:p>
            <w:r/>
            <w:r>
              <w:rPr>
                <w:sz w:val="16"/>
              </w:rPr>
              <w:t>14</w:t>
            </w:r>
          </w:p>
        </w:tc>
        <w:tc>
          <w:tcPr>
            <w:tcW w:type="dxa" w:w="1080"/>
            <w:shd w:val="clear" w:color="auto" w:fill="FFF2CC"/>
          </w:tcPr>
          <w:p>
            <w:r/>
            <w:r>
              <w:rPr>
                <w:sz w:val="16"/>
              </w:rPr>
              <w:t>Medium</w:t>
            </w:r>
          </w:p>
        </w:tc>
        <w:tc>
          <w:tcPr>
            <w:tcW w:type="dxa" w:w="2160"/>
          </w:tcPr>
          <w:p>
            <w:r/>
            <w:r>
              <w:rPr>
                <w:sz w:val="16"/>
              </w:rPr>
              <w:t>Condensed Consolidated Financial Statements (Part I, Item 1)</w:t>
            </w:r>
          </w:p>
        </w:tc>
        <w:tc>
          <w:tcPr>
            <w:tcW w:type="dxa" w:w="3816"/>
          </w:tcPr>
          <w:p>
            <w:r/>
            <w:r>
              <w:rPr>
                <w:sz w:val="16"/>
              </w:rPr>
              <w:t>Cash flow statement presentation items</w:t>
            </w:r>
          </w:p>
        </w:tc>
        <w:tc>
          <w:tcPr>
            <w:tcW w:type="dxa" w:w="1728"/>
          </w:tcPr>
          <w:p>
            <w:r/>
            <w:r>
              <w:rPr>
                <w:sz w:val="16"/>
              </w:rPr>
              <w:t>Company (Finance)</w:t>
            </w:r>
          </w:p>
        </w:tc>
      </w:tr>
      <w:tr>
        <w:tc>
          <w:tcPr>
            <w:tcW w:type="dxa" w:w="576"/>
          </w:tcPr>
          <w:p>
            <w:r/>
            <w:r>
              <w:rPr>
                <w:sz w:val="16"/>
              </w:rPr>
              <w:t>15</w:t>
            </w:r>
          </w:p>
        </w:tc>
        <w:tc>
          <w:tcPr>
            <w:tcW w:type="dxa" w:w="1080"/>
            <w:shd w:val="clear" w:color="auto" w:fill="FCE4D6"/>
          </w:tcPr>
          <w:p>
            <w:r/>
            <w:r>
              <w:rPr>
                <w:sz w:val="16"/>
              </w:rPr>
              <w:t>High</w:t>
            </w:r>
          </w:p>
        </w:tc>
        <w:tc>
          <w:tcPr>
            <w:tcW w:type="dxa" w:w="2160"/>
          </w:tcPr>
          <w:p>
            <w:r/>
            <w:r>
              <w:rPr>
                <w:sz w:val="16"/>
              </w:rPr>
              <w:t>Notes to Condensed Consolidated Financial Statements</w:t>
            </w:r>
          </w:p>
        </w:tc>
        <w:tc>
          <w:tcPr>
            <w:tcW w:type="dxa" w:w="3816"/>
          </w:tcPr>
          <w:p>
            <w:r/>
            <w:r>
              <w:rPr>
                <w:sz w:val="16"/>
              </w:rPr>
              <w:t>Note 3 (PolyShield) omits required ASC 805 interim disclosures</w:t>
            </w:r>
          </w:p>
        </w:tc>
        <w:tc>
          <w:tcPr>
            <w:tcW w:type="dxa" w:w="1728"/>
          </w:tcPr>
          <w:p>
            <w:r/>
            <w:r>
              <w:rPr>
                <w:sz w:val="16"/>
              </w:rPr>
              <w:t>Company (Finance) / Ridgeline</w:t>
            </w:r>
          </w:p>
        </w:tc>
      </w:tr>
      <w:tr>
        <w:tc>
          <w:tcPr>
            <w:tcW w:type="dxa" w:w="576"/>
          </w:tcPr>
          <w:p>
            <w:r/>
            <w:r>
              <w:rPr>
                <w:sz w:val="16"/>
              </w:rPr>
              <w:t>16</w:t>
            </w:r>
          </w:p>
        </w:tc>
        <w:tc>
          <w:tcPr>
            <w:tcW w:type="dxa" w:w="1080"/>
            <w:shd w:val="clear" w:color="auto" w:fill="FCE4D6"/>
          </w:tcPr>
          <w:p>
            <w:r/>
            <w:r>
              <w:rPr>
                <w:sz w:val="16"/>
              </w:rPr>
              <w:t>High</w:t>
            </w:r>
          </w:p>
        </w:tc>
        <w:tc>
          <w:tcPr>
            <w:tcW w:type="dxa" w:w="2160"/>
          </w:tcPr>
          <w:p>
            <w:r/>
            <w:r>
              <w:rPr>
                <w:sz w:val="16"/>
              </w:rPr>
              <w:t>Notes to Condensed Consolidated Financial Statements</w:t>
            </w:r>
          </w:p>
        </w:tc>
        <w:tc>
          <w:tcPr>
            <w:tcW w:type="dxa" w:w="3816"/>
          </w:tcPr>
          <w:p>
            <w:r/>
            <w:r>
              <w:rPr>
                <w:sz w:val="16"/>
              </w:rPr>
              <w:t>Note 6 intangible asset amounts do not reconcile</w:t>
            </w:r>
          </w:p>
        </w:tc>
        <w:tc>
          <w:tcPr>
            <w:tcW w:type="dxa" w:w="1728"/>
          </w:tcPr>
          <w:p>
            <w:r/>
            <w:r>
              <w:rPr>
                <w:sz w:val="16"/>
              </w:rPr>
              <w:t>Company (Finance) / Ridgeline</w:t>
            </w:r>
          </w:p>
        </w:tc>
      </w:tr>
      <w:tr>
        <w:tc>
          <w:tcPr>
            <w:tcW w:type="dxa" w:w="576"/>
          </w:tcPr>
          <w:p>
            <w:r/>
            <w:r>
              <w:rPr>
                <w:sz w:val="16"/>
              </w:rPr>
              <w:t>17</w:t>
            </w:r>
          </w:p>
        </w:tc>
        <w:tc>
          <w:tcPr>
            <w:tcW w:type="dxa" w:w="1080"/>
            <w:shd w:val="clear" w:color="auto" w:fill="FFF2CC"/>
          </w:tcPr>
          <w:p>
            <w:r/>
            <w:r>
              <w:rPr>
                <w:sz w:val="16"/>
              </w:rPr>
              <w:t>Medium</w:t>
            </w:r>
          </w:p>
        </w:tc>
        <w:tc>
          <w:tcPr>
            <w:tcW w:type="dxa" w:w="2160"/>
          </w:tcPr>
          <w:p>
            <w:r/>
            <w:r>
              <w:rPr>
                <w:sz w:val="16"/>
              </w:rPr>
              <w:t>Notes to Condensed Consolidated Financial Statements</w:t>
            </w:r>
          </w:p>
        </w:tc>
        <w:tc>
          <w:tcPr>
            <w:tcW w:type="dxa" w:w="3816"/>
          </w:tcPr>
          <w:p>
            <w:r/>
            <w:r>
              <w:rPr>
                <w:sz w:val="16"/>
              </w:rPr>
              <w:t>Note 5 maturity schedule inconsistent with term loan terms; amendment number unclear</w:t>
            </w:r>
          </w:p>
        </w:tc>
        <w:tc>
          <w:tcPr>
            <w:tcW w:type="dxa" w:w="1728"/>
          </w:tcPr>
          <w:p>
            <w:r/>
            <w:r>
              <w:rPr>
                <w:sz w:val="16"/>
              </w:rPr>
              <w:t>Company (Treasury/Legal) / Hargrove</w:t>
            </w:r>
          </w:p>
        </w:tc>
      </w:tr>
      <w:tr>
        <w:tc>
          <w:tcPr>
            <w:tcW w:type="dxa" w:w="576"/>
          </w:tcPr>
          <w:p>
            <w:r/>
            <w:r>
              <w:rPr>
                <w:sz w:val="16"/>
              </w:rPr>
              <w:t>18</w:t>
            </w:r>
          </w:p>
        </w:tc>
        <w:tc>
          <w:tcPr>
            <w:tcW w:type="dxa" w:w="1080"/>
            <w:shd w:val="clear" w:color="auto" w:fill="FCE4D6"/>
          </w:tcPr>
          <w:p>
            <w:r/>
            <w:r>
              <w:rPr>
                <w:sz w:val="16"/>
              </w:rPr>
              <w:t>High</w:t>
            </w:r>
          </w:p>
        </w:tc>
        <w:tc>
          <w:tcPr>
            <w:tcW w:type="dxa" w:w="2160"/>
          </w:tcPr>
          <w:p>
            <w:r/>
            <w:r>
              <w:rPr>
                <w:sz w:val="16"/>
              </w:rPr>
              <w:t>Notes to Condensed Consolidated Financial Statements</w:t>
            </w:r>
          </w:p>
        </w:tc>
        <w:tc>
          <w:tcPr>
            <w:tcW w:type="dxa" w:w="3816"/>
          </w:tcPr>
          <w:p>
            <w:r/>
            <w:r>
              <w:rPr>
                <w:sz w:val="16"/>
              </w:rPr>
              <w:t>Loss contingency disclosure for the securities class action is incomplete</w:t>
            </w:r>
          </w:p>
        </w:tc>
        <w:tc>
          <w:tcPr>
            <w:tcW w:type="dxa" w:w="1728"/>
          </w:tcPr>
          <w:p>
            <w:r/>
            <w:r>
              <w:rPr>
                <w:sz w:val="16"/>
              </w:rPr>
              <w:t>Company (Legal) / litigation counsel / Ridgeline</w:t>
            </w:r>
          </w:p>
        </w:tc>
      </w:tr>
      <w:tr>
        <w:tc>
          <w:tcPr>
            <w:tcW w:type="dxa" w:w="576"/>
          </w:tcPr>
          <w:p>
            <w:r/>
            <w:r>
              <w:rPr>
                <w:sz w:val="16"/>
              </w:rPr>
              <w:t>19</w:t>
            </w:r>
          </w:p>
        </w:tc>
        <w:tc>
          <w:tcPr>
            <w:tcW w:type="dxa" w:w="1080"/>
            <w:shd w:val="clear" w:color="auto" w:fill="FCE4D6"/>
          </w:tcPr>
          <w:p>
            <w:r/>
            <w:r>
              <w:rPr>
                <w:sz w:val="16"/>
              </w:rPr>
              <w:t>High</w:t>
            </w:r>
          </w:p>
        </w:tc>
        <w:tc>
          <w:tcPr>
            <w:tcW w:type="dxa" w:w="2160"/>
          </w:tcPr>
          <w:p>
            <w:r/>
            <w:r>
              <w:rPr>
                <w:sz w:val="16"/>
              </w:rPr>
              <w:t>Notes to Condensed Consolidated Financial Statements</w:t>
            </w:r>
          </w:p>
        </w:tc>
        <w:tc>
          <w:tcPr>
            <w:tcW w:type="dxa" w:w="3816"/>
          </w:tcPr>
          <w:p>
            <w:r/>
            <w:r>
              <w:rPr>
                <w:sz w:val="16"/>
              </w:rPr>
              <w:t>Segment note presents only three-month data; reconciliation incomplete</w:t>
            </w:r>
          </w:p>
        </w:tc>
        <w:tc>
          <w:tcPr>
            <w:tcW w:type="dxa" w:w="1728"/>
          </w:tcPr>
          <w:p>
            <w:r/>
            <w:r>
              <w:rPr>
                <w:sz w:val="16"/>
              </w:rPr>
              <w:t>Company (Finance) / Ridgeline</w:t>
            </w:r>
          </w:p>
        </w:tc>
      </w:tr>
      <w:tr>
        <w:tc>
          <w:tcPr>
            <w:tcW w:type="dxa" w:w="576"/>
          </w:tcPr>
          <w:p>
            <w:r/>
            <w:r>
              <w:rPr>
                <w:sz w:val="16"/>
              </w:rPr>
              <w:t>20</w:t>
            </w:r>
          </w:p>
        </w:tc>
        <w:tc>
          <w:tcPr>
            <w:tcW w:type="dxa" w:w="1080"/>
            <w:shd w:val="clear" w:color="auto" w:fill="FFF2CC"/>
          </w:tcPr>
          <w:p>
            <w:r/>
            <w:r>
              <w:rPr>
                <w:sz w:val="16"/>
              </w:rPr>
              <w:t>Medium</w:t>
            </w:r>
          </w:p>
        </w:tc>
        <w:tc>
          <w:tcPr>
            <w:tcW w:type="dxa" w:w="2160"/>
          </w:tcPr>
          <w:p>
            <w:r/>
            <w:r>
              <w:rPr>
                <w:sz w:val="16"/>
              </w:rPr>
              <w:t>Notes to Condensed Consolidated Financial Statements</w:t>
            </w:r>
          </w:p>
        </w:tc>
        <w:tc>
          <w:tcPr>
            <w:tcW w:type="dxa" w:w="3816"/>
          </w:tcPr>
          <w:p>
            <w:r/>
            <w:r>
              <w:rPr>
                <w:sz w:val="16"/>
              </w:rPr>
              <w:t>Fair value note lacks Level 3 roll-forward and quantitative inputs; derivative presentation unclear</w:t>
            </w:r>
          </w:p>
        </w:tc>
        <w:tc>
          <w:tcPr>
            <w:tcW w:type="dxa" w:w="1728"/>
          </w:tcPr>
          <w:p>
            <w:r/>
            <w:r>
              <w:rPr>
                <w:sz w:val="16"/>
              </w:rPr>
              <w:t>Company (Finance) / Ridgeline</w:t>
            </w:r>
          </w:p>
        </w:tc>
      </w:tr>
      <w:tr>
        <w:tc>
          <w:tcPr>
            <w:tcW w:type="dxa" w:w="576"/>
          </w:tcPr>
          <w:p>
            <w:r/>
            <w:r>
              <w:rPr>
                <w:sz w:val="16"/>
              </w:rPr>
              <w:t>21</w:t>
            </w:r>
          </w:p>
        </w:tc>
        <w:tc>
          <w:tcPr>
            <w:tcW w:type="dxa" w:w="1080"/>
            <w:shd w:val="clear" w:color="auto" w:fill="E2EFDA"/>
          </w:tcPr>
          <w:p>
            <w:r/>
            <w:r>
              <w:rPr>
                <w:sz w:val="16"/>
              </w:rPr>
              <w:t>Low</w:t>
            </w:r>
          </w:p>
        </w:tc>
        <w:tc>
          <w:tcPr>
            <w:tcW w:type="dxa" w:w="2160"/>
          </w:tcPr>
          <w:p>
            <w:r/>
            <w:r>
              <w:rPr>
                <w:sz w:val="16"/>
              </w:rPr>
              <w:t>Notes to Condensed Consolidated Financial Statements</w:t>
            </w:r>
          </w:p>
        </w:tc>
        <w:tc>
          <w:tcPr>
            <w:tcW w:type="dxa" w:w="3816"/>
          </w:tcPr>
          <w:p>
            <w:r/>
            <w:r>
              <w:rPr>
                <w:sz w:val="16"/>
              </w:rPr>
              <w:t>Recently issued accounting pronouncements disclosure is boilerplate</w:t>
            </w:r>
          </w:p>
        </w:tc>
        <w:tc>
          <w:tcPr>
            <w:tcW w:type="dxa" w:w="1728"/>
          </w:tcPr>
          <w:p>
            <w:r/>
            <w:r>
              <w:rPr>
                <w:sz w:val="16"/>
              </w:rPr>
              <w:t>Company (Finance)</w:t>
            </w:r>
          </w:p>
        </w:tc>
      </w:tr>
      <w:tr>
        <w:tc>
          <w:tcPr>
            <w:tcW w:type="dxa" w:w="576"/>
          </w:tcPr>
          <w:p>
            <w:r/>
            <w:r>
              <w:rPr>
                <w:sz w:val="16"/>
              </w:rPr>
              <w:t>22</w:t>
            </w:r>
          </w:p>
        </w:tc>
        <w:tc>
          <w:tcPr>
            <w:tcW w:type="dxa" w:w="1080"/>
            <w:shd w:val="clear" w:color="auto" w:fill="E2EFDA"/>
          </w:tcPr>
          <w:p>
            <w:r/>
            <w:r>
              <w:rPr>
                <w:sz w:val="16"/>
              </w:rPr>
              <w:t>Low</w:t>
            </w:r>
          </w:p>
        </w:tc>
        <w:tc>
          <w:tcPr>
            <w:tcW w:type="dxa" w:w="2160"/>
          </w:tcPr>
          <w:p>
            <w:r/>
            <w:r>
              <w:rPr>
                <w:sz w:val="16"/>
              </w:rPr>
              <w:t>Notes to Condensed Consolidated Financial Statements</w:t>
            </w:r>
          </w:p>
        </w:tc>
        <w:tc>
          <w:tcPr>
            <w:tcW w:type="dxa" w:w="3816"/>
          </w:tcPr>
          <w:p>
            <w:r/>
            <w:r>
              <w:rPr>
                <w:sz w:val="16"/>
              </w:rPr>
              <w:t>Subsequent events conclusion must be refreshed through the filing date</w:t>
            </w:r>
          </w:p>
        </w:tc>
        <w:tc>
          <w:tcPr>
            <w:tcW w:type="dxa" w:w="1728"/>
          </w:tcPr>
          <w:p>
            <w:r/>
            <w:r>
              <w:rPr>
                <w:sz w:val="16"/>
              </w:rPr>
              <w:t>Company (Finance/Legal)</w:t>
            </w:r>
          </w:p>
        </w:tc>
      </w:tr>
      <w:tr>
        <w:tc>
          <w:tcPr>
            <w:tcW w:type="dxa" w:w="576"/>
          </w:tcPr>
          <w:p>
            <w:r/>
            <w:r>
              <w:rPr>
                <w:sz w:val="16"/>
              </w:rPr>
              <w:t>23</w:t>
            </w:r>
          </w:p>
        </w:tc>
        <w:tc>
          <w:tcPr>
            <w:tcW w:type="dxa" w:w="1080"/>
            <w:shd w:val="clear" w:color="auto" w:fill="FFF2CC"/>
          </w:tcPr>
          <w:p>
            <w:r/>
            <w:r>
              <w:rPr>
                <w:sz w:val="16"/>
              </w:rPr>
              <w:t>Medium</w:t>
            </w:r>
          </w:p>
        </w:tc>
        <w:tc>
          <w:tcPr>
            <w:tcW w:type="dxa" w:w="2160"/>
          </w:tcPr>
          <w:p>
            <w:r/>
            <w:r>
              <w:rPr>
                <w:sz w:val="16"/>
              </w:rPr>
              <w:t>Management’s Discussion and Analysis (Part I, Item 2)</w:t>
            </w:r>
          </w:p>
        </w:tc>
        <w:tc>
          <w:tcPr>
            <w:tcW w:type="dxa" w:w="3816"/>
          </w:tcPr>
          <w:p>
            <w:r/>
            <w:r>
              <w:rPr>
                <w:sz w:val="16"/>
              </w:rPr>
              <w:t>MD&amp;A omits known trends and uncertainties (class action, earnout, covenants)</w:t>
            </w:r>
          </w:p>
        </w:tc>
        <w:tc>
          <w:tcPr>
            <w:tcW w:type="dxa" w:w="1728"/>
          </w:tcPr>
          <w:p>
            <w:r/>
            <w:r>
              <w:rPr>
                <w:sz w:val="16"/>
              </w:rPr>
              <w:t>Hargrove / Company (Finance)</w:t>
            </w:r>
          </w:p>
        </w:tc>
      </w:tr>
      <w:tr>
        <w:tc>
          <w:tcPr>
            <w:tcW w:type="dxa" w:w="576"/>
          </w:tcPr>
          <w:p>
            <w:r/>
            <w:r>
              <w:rPr>
                <w:sz w:val="16"/>
              </w:rPr>
              <w:t>24</w:t>
            </w:r>
          </w:p>
        </w:tc>
        <w:tc>
          <w:tcPr>
            <w:tcW w:type="dxa" w:w="1080"/>
            <w:shd w:val="clear" w:color="auto" w:fill="FFF2CC"/>
          </w:tcPr>
          <w:p>
            <w:r/>
            <w:r>
              <w:rPr>
                <w:sz w:val="16"/>
              </w:rPr>
              <w:t>Medium</w:t>
            </w:r>
          </w:p>
        </w:tc>
        <w:tc>
          <w:tcPr>
            <w:tcW w:type="dxa" w:w="2160"/>
          </w:tcPr>
          <w:p>
            <w:r/>
            <w:r>
              <w:rPr>
                <w:sz w:val="16"/>
              </w:rPr>
              <w:t>Management’s Discussion and Analysis (Part I, Item 2)</w:t>
            </w:r>
          </w:p>
        </w:tc>
        <w:tc>
          <w:tcPr>
            <w:tcW w:type="dxa" w:w="3816"/>
          </w:tcPr>
          <w:p>
            <w:r/>
            <w:r>
              <w:rPr>
                <w:sz w:val="16"/>
              </w:rPr>
              <w:t>“Net debt” presented without the required non-GAAP disclosures</w:t>
            </w:r>
          </w:p>
        </w:tc>
        <w:tc>
          <w:tcPr>
            <w:tcW w:type="dxa" w:w="1728"/>
          </w:tcPr>
          <w:p>
            <w:r/>
            <w:r>
              <w:rPr>
                <w:sz w:val="16"/>
              </w:rPr>
              <w:t>Hargrove / Company (Finance)</w:t>
            </w:r>
          </w:p>
        </w:tc>
      </w:tr>
      <w:tr>
        <w:tc>
          <w:tcPr>
            <w:tcW w:type="dxa" w:w="576"/>
          </w:tcPr>
          <w:p>
            <w:r/>
            <w:r>
              <w:rPr>
                <w:sz w:val="16"/>
              </w:rPr>
              <w:t>25</w:t>
            </w:r>
          </w:p>
        </w:tc>
        <w:tc>
          <w:tcPr>
            <w:tcW w:type="dxa" w:w="1080"/>
            <w:shd w:val="clear" w:color="auto" w:fill="E2EFDA"/>
          </w:tcPr>
          <w:p>
            <w:r/>
            <w:r>
              <w:rPr>
                <w:sz w:val="16"/>
              </w:rPr>
              <w:t>Low</w:t>
            </w:r>
          </w:p>
        </w:tc>
        <w:tc>
          <w:tcPr>
            <w:tcW w:type="dxa" w:w="2160"/>
          </w:tcPr>
          <w:p>
            <w:r/>
            <w:r>
              <w:rPr>
                <w:sz w:val="16"/>
              </w:rPr>
              <w:t>Management’s Discussion and Analysis (Part I, Item 2)</w:t>
            </w:r>
          </w:p>
        </w:tc>
        <w:tc>
          <w:tcPr>
            <w:tcW w:type="dxa" w:w="3816"/>
          </w:tcPr>
          <w:p>
            <w:r/>
            <w:r>
              <w:rPr>
                <w:sz w:val="16"/>
              </w:rPr>
              <w:t>Nine-month and segment MD&amp;A not fully quantified; EPS conformity</w:t>
            </w:r>
          </w:p>
        </w:tc>
        <w:tc>
          <w:tcPr>
            <w:tcW w:type="dxa" w:w="1728"/>
          </w:tcPr>
          <w:p>
            <w:r/>
            <w:r>
              <w:rPr>
                <w:sz w:val="16"/>
              </w:rPr>
              <w:t>Hargrove / Company (Finance)</w:t>
            </w:r>
          </w:p>
        </w:tc>
      </w:tr>
      <w:tr>
        <w:tc>
          <w:tcPr>
            <w:tcW w:type="dxa" w:w="576"/>
          </w:tcPr>
          <w:p>
            <w:r/>
            <w:r>
              <w:rPr>
                <w:sz w:val="16"/>
              </w:rPr>
              <w:t>26</w:t>
            </w:r>
          </w:p>
        </w:tc>
        <w:tc>
          <w:tcPr>
            <w:tcW w:type="dxa" w:w="1080"/>
            <w:shd w:val="clear" w:color="auto" w:fill="E2EFDA"/>
          </w:tcPr>
          <w:p>
            <w:r/>
            <w:r>
              <w:rPr>
                <w:sz w:val="16"/>
              </w:rPr>
              <w:t>Low</w:t>
            </w:r>
          </w:p>
        </w:tc>
        <w:tc>
          <w:tcPr>
            <w:tcW w:type="dxa" w:w="2160"/>
          </w:tcPr>
          <w:p>
            <w:r/>
            <w:r>
              <w:rPr>
                <w:sz w:val="16"/>
              </w:rPr>
              <w:t>Quantitative and Qualitative Disclosures About Market Risk (Part I, Item 3)</w:t>
            </w:r>
          </w:p>
        </w:tc>
        <w:tc>
          <w:tcPr>
            <w:tcW w:type="dxa" w:w="3816"/>
          </w:tcPr>
          <w:p>
            <w:r/>
            <w:r>
              <w:rPr>
                <w:sz w:val="16"/>
              </w:rPr>
              <w:t>Interest rate sensitivity does not reconcile to variable-rate debt</w:t>
            </w:r>
          </w:p>
        </w:tc>
        <w:tc>
          <w:tcPr>
            <w:tcW w:type="dxa" w:w="1728"/>
          </w:tcPr>
          <w:p>
            <w:r/>
            <w:r>
              <w:rPr>
                <w:sz w:val="16"/>
              </w:rPr>
              <w:t>Company (Treasury) / Hargrove</w:t>
            </w:r>
          </w:p>
        </w:tc>
      </w:tr>
      <w:tr>
        <w:tc>
          <w:tcPr>
            <w:tcW w:type="dxa" w:w="576"/>
          </w:tcPr>
          <w:p>
            <w:r/>
            <w:r>
              <w:rPr>
                <w:sz w:val="16"/>
              </w:rPr>
              <w:t>27</w:t>
            </w:r>
          </w:p>
        </w:tc>
        <w:tc>
          <w:tcPr>
            <w:tcW w:type="dxa" w:w="1080"/>
            <w:shd w:val="clear" w:color="auto" w:fill="F4CCCC"/>
          </w:tcPr>
          <w:p>
            <w:r/>
            <w:r>
              <w:rPr>
                <w:sz w:val="16"/>
              </w:rPr>
              <w:t>Critical</w:t>
            </w:r>
          </w:p>
        </w:tc>
        <w:tc>
          <w:tcPr>
            <w:tcW w:type="dxa" w:w="2160"/>
          </w:tcPr>
          <w:p>
            <w:r/>
            <w:r>
              <w:rPr>
                <w:sz w:val="16"/>
              </w:rPr>
              <w:t>Controls and Procedures (Part I, Item 4)</w:t>
            </w:r>
          </w:p>
        </w:tc>
        <w:tc>
          <w:tcPr>
            <w:tcW w:type="dxa" w:w="3816"/>
          </w:tcPr>
          <w:p>
            <w:r/>
            <w:r>
              <w:rPr>
                <w:sz w:val="16"/>
              </w:rPr>
              <w:t>Disclosure controls conclusion missing – placeholder “[Conclusion to be inserted]”</w:t>
            </w:r>
          </w:p>
        </w:tc>
        <w:tc>
          <w:tcPr>
            <w:tcW w:type="dxa" w:w="1728"/>
          </w:tcPr>
          <w:p>
            <w:r/>
            <w:r>
              <w:rPr>
                <w:sz w:val="16"/>
              </w:rPr>
              <w:t>Company (CEO/CFO/Disclosure Committee) / Hargrove</w:t>
            </w:r>
          </w:p>
        </w:tc>
      </w:tr>
      <w:tr>
        <w:tc>
          <w:tcPr>
            <w:tcW w:type="dxa" w:w="576"/>
          </w:tcPr>
          <w:p>
            <w:r/>
            <w:r>
              <w:rPr>
                <w:sz w:val="16"/>
              </w:rPr>
              <w:t>28</w:t>
            </w:r>
          </w:p>
        </w:tc>
        <w:tc>
          <w:tcPr>
            <w:tcW w:type="dxa" w:w="1080"/>
            <w:shd w:val="clear" w:color="auto" w:fill="FFF2CC"/>
          </w:tcPr>
          <w:p>
            <w:r/>
            <w:r>
              <w:rPr>
                <w:sz w:val="16"/>
              </w:rPr>
              <w:t>Medium</w:t>
            </w:r>
          </w:p>
        </w:tc>
        <w:tc>
          <w:tcPr>
            <w:tcW w:type="dxa" w:w="2160"/>
          </w:tcPr>
          <w:p>
            <w:r/>
            <w:r>
              <w:rPr>
                <w:sz w:val="16"/>
              </w:rPr>
              <w:t>Controls and Procedures (Part I, Item 4)</w:t>
            </w:r>
          </w:p>
        </w:tc>
        <w:tc>
          <w:tcPr>
            <w:tcW w:type="dxa" w:w="3816"/>
          </w:tcPr>
          <w:p>
            <w:r/>
            <w:r>
              <w:rPr>
                <w:sz w:val="16"/>
              </w:rPr>
              <w:t>Changes in ICFR paragraph internally inconsistent regarding PolyShield</w:t>
            </w:r>
          </w:p>
        </w:tc>
        <w:tc>
          <w:tcPr>
            <w:tcW w:type="dxa" w:w="1728"/>
          </w:tcPr>
          <w:p>
            <w:r/>
            <w:r>
              <w:rPr>
                <w:sz w:val="16"/>
              </w:rPr>
              <w:t>Company (Finance) / Hargrove</w:t>
            </w:r>
          </w:p>
        </w:tc>
      </w:tr>
      <w:tr>
        <w:tc>
          <w:tcPr>
            <w:tcW w:type="dxa" w:w="576"/>
          </w:tcPr>
          <w:p>
            <w:r/>
            <w:r>
              <w:rPr>
                <w:sz w:val="16"/>
              </w:rPr>
              <w:t>29</w:t>
            </w:r>
          </w:p>
        </w:tc>
        <w:tc>
          <w:tcPr>
            <w:tcW w:type="dxa" w:w="1080"/>
            <w:shd w:val="clear" w:color="auto" w:fill="FFF2CC"/>
          </w:tcPr>
          <w:p>
            <w:r/>
            <w:r>
              <w:rPr>
                <w:sz w:val="16"/>
              </w:rPr>
              <w:t>Medium</w:t>
            </w:r>
          </w:p>
        </w:tc>
        <w:tc>
          <w:tcPr>
            <w:tcW w:type="dxa" w:w="2160"/>
          </w:tcPr>
          <w:p>
            <w:r/>
            <w:r>
              <w:rPr>
                <w:sz w:val="16"/>
              </w:rPr>
              <w:t>Part II – Other Information</w:t>
            </w:r>
          </w:p>
        </w:tc>
        <w:tc>
          <w:tcPr>
            <w:tcW w:type="dxa" w:w="3816"/>
          </w:tcPr>
          <w:p>
            <w:r/>
            <w:r>
              <w:rPr>
                <w:sz w:val="16"/>
              </w:rPr>
              <w:t>Legal Proceedings disclosure lacks some Item 103 elements</w:t>
            </w:r>
          </w:p>
        </w:tc>
        <w:tc>
          <w:tcPr>
            <w:tcW w:type="dxa" w:w="1728"/>
          </w:tcPr>
          <w:p>
            <w:r/>
            <w:r>
              <w:rPr>
                <w:sz w:val="16"/>
              </w:rPr>
              <w:t>Hargrove / litigation counsel</w:t>
            </w:r>
          </w:p>
        </w:tc>
      </w:tr>
      <w:tr>
        <w:tc>
          <w:tcPr>
            <w:tcW w:type="dxa" w:w="576"/>
          </w:tcPr>
          <w:p>
            <w:r/>
            <w:r>
              <w:rPr>
                <w:sz w:val="16"/>
              </w:rPr>
              <w:t>30</w:t>
            </w:r>
          </w:p>
        </w:tc>
        <w:tc>
          <w:tcPr>
            <w:tcW w:type="dxa" w:w="1080"/>
            <w:shd w:val="clear" w:color="auto" w:fill="E2EFDA"/>
          </w:tcPr>
          <w:p>
            <w:r/>
            <w:r>
              <w:rPr>
                <w:sz w:val="16"/>
              </w:rPr>
              <w:t>Low</w:t>
            </w:r>
          </w:p>
        </w:tc>
        <w:tc>
          <w:tcPr>
            <w:tcW w:type="dxa" w:w="2160"/>
          </w:tcPr>
          <w:p>
            <w:r/>
            <w:r>
              <w:rPr>
                <w:sz w:val="16"/>
              </w:rPr>
              <w:t>Part II – Other Information</w:t>
            </w:r>
          </w:p>
        </w:tc>
        <w:tc>
          <w:tcPr>
            <w:tcW w:type="dxa" w:w="3816"/>
          </w:tcPr>
          <w:p>
            <w:r/>
            <w:r>
              <w:rPr>
                <w:sz w:val="16"/>
              </w:rPr>
              <w:t>Issuer repurchase disclosure – program details and withheld shares</w:t>
            </w:r>
          </w:p>
        </w:tc>
        <w:tc>
          <w:tcPr>
            <w:tcW w:type="dxa" w:w="1728"/>
          </w:tcPr>
          <w:p>
            <w:r/>
            <w:r>
              <w:rPr>
                <w:sz w:val="16"/>
              </w:rPr>
              <w:t>Company (Legal/Finance) / Hargrove</w:t>
            </w:r>
          </w:p>
        </w:tc>
      </w:tr>
      <w:tr>
        <w:tc>
          <w:tcPr>
            <w:tcW w:type="dxa" w:w="576"/>
          </w:tcPr>
          <w:p>
            <w:r/>
            <w:r>
              <w:rPr>
                <w:sz w:val="16"/>
              </w:rPr>
              <w:t>31</w:t>
            </w:r>
          </w:p>
        </w:tc>
        <w:tc>
          <w:tcPr>
            <w:tcW w:type="dxa" w:w="1080"/>
            <w:shd w:val="clear" w:color="auto" w:fill="E2EFDA"/>
          </w:tcPr>
          <w:p>
            <w:r/>
            <w:r>
              <w:rPr>
                <w:sz w:val="16"/>
              </w:rPr>
              <w:t>Low</w:t>
            </w:r>
          </w:p>
        </w:tc>
        <w:tc>
          <w:tcPr>
            <w:tcW w:type="dxa" w:w="2160"/>
          </w:tcPr>
          <w:p>
            <w:r/>
            <w:r>
              <w:rPr>
                <w:sz w:val="16"/>
              </w:rPr>
              <w:t>Part II – Other Information</w:t>
            </w:r>
          </w:p>
        </w:tc>
        <w:tc>
          <w:tcPr>
            <w:tcW w:type="dxa" w:w="3816"/>
          </w:tcPr>
          <w:p>
            <w:r/>
            <w:r>
              <w:rPr>
                <w:sz w:val="16"/>
              </w:rPr>
              <w:t>Risk factors and Other Information – confirmatory items</w:t>
            </w:r>
          </w:p>
        </w:tc>
        <w:tc>
          <w:tcPr>
            <w:tcW w:type="dxa" w:w="1728"/>
          </w:tcPr>
          <w:p>
            <w:r/>
            <w:r>
              <w:rPr>
                <w:sz w:val="16"/>
              </w:rPr>
              <w:t>Company (Legal) / Hargrove</w:t>
            </w:r>
          </w:p>
        </w:tc>
      </w:tr>
      <w:tr>
        <w:tc>
          <w:tcPr>
            <w:tcW w:type="dxa" w:w="576"/>
          </w:tcPr>
          <w:p>
            <w:r/>
            <w:r>
              <w:rPr>
                <w:sz w:val="16"/>
              </w:rPr>
              <w:t>32</w:t>
            </w:r>
          </w:p>
        </w:tc>
        <w:tc>
          <w:tcPr>
            <w:tcW w:type="dxa" w:w="1080"/>
            <w:shd w:val="clear" w:color="auto" w:fill="F4CCCC"/>
          </w:tcPr>
          <w:p>
            <w:r/>
            <w:r>
              <w:rPr>
                <w:sz w:val="16"/>
              </w:rPr>
              <w:t>Critical</w:t>
            </w:r>
          </w:p>
        </w:tc>
        <w:tc>
          <w:tcPr>
            <w:tcW w:type="dxa" w:w="2160"/>
          </w:tcPr>
          <w:p>
            <w:r/>
            <w:r>
              <w:rPr>
                <w:sz w:val="16"/>
              </w:rPr>
              <w:t>Exhibits – Form 10-Q Item 6 Exhibit Index and Exhibit Index Checklist</w:t>
            </w:r>
          </w:p>
        </w:tc>
        <w:tc>
          <w:tcPr>
            <w:tcW w:type="dxa" w:w="3816"/>
          </w:tcPr>
          <w:p>
            <w:r/>
            <w:r>
              <w:rPr>
                <w:sz w:val="16"/>
              </w:rPr>
              <w:t>Credit Agreement amendment of August 20, 2024 not filed as an exhibit</w:t>
            </w:r>
          </w:p>
        </w:tc>
        <w:tc>
          <w:tcPr>
            <w:tcW w:type="dxa" w:w="1728"/>
          </w:tcPr>
          <w:p>
            <w:r/>
            <w:r>
              <w:rPr>
                <w:sz w:val="16"/>
              </w:rPr>
              <w:t>Company (Legal) / Hargrove</w:t>
            </w:r>
          </w:p>
        </w:tc>
      </w:tr>
      <w:tr>
        <w:tc>
          <w:tcPr>
            <w:tcW w:type="dxa" w:w="576"/>
          </w:tcPr>
          <w:p>
            <w:r/>
            <w:r>
              <w:rPr>
                <w:sz w:val="16"/>
              </w:rPr>
              <w:t>33</w:t>
            </w:r>
          </w:p>
        </w:tc>
        <w:tc>
          <w:tcPr>
            <w:tcW w:type="dxa" w:w="1080"/>
            <w:shd w:val="clear" w:color="auto" w:fill="F4CCCC"/>
          </w:tcPr>
          <w:p>
            <w:r/>
            <w:r>
              <w:rPr>
                <w:sz w:val="16"/>
              </w:rPr>
              <w:t>Critical</w:t>
            </w:r>
          </w:p>
        </w:tc>
        <w:tc>
          <w:tcPr>
            <w:tcW w:type="dxa" w:w="2160"/>
          </w:tcPr>
          <w:p>
            <w:r/>
            <w:r>
              <w:rPr>
                <w:sz w:val="16"/>
              </w:rPr>
              <w:t>Exhibits – Form 10-Q Item 6 Exhibit Index and Exhibit Index Checklist</w:t>
            </w:r>
          </w:p>
        </w:tc>
        <w:tc>
          <w:tcPr>
            <w:tcW w:type="dxa" w:w="3816"/>
          </w:tcPr>
          <w:p>
            <w:r/>
            <w:r>
              <w:rPr>
                <w:sz w:val="16"/>
              </w:rPr>
              <w:t>PolyShield Equity Purchase Agreement not filed as an exhibit</w:t>
            </w:r>
          </w:p>
        </w:tc>
        <w:tc>
          <w:tcPr>
            <w:tcW w:type="dxa" w:w="1728"/>
          </w:tcPr>
          <w:p>
            <w:r/>
            <w:r>
              <w:rPr>
                <w:sz w:val="16"/>
              </w:rPr>
              <w:t>Company (Legal) / Hargrove</w:t>
            </w:r>
          </w:p>
        </w:tc>
      </w:tr>
      <w:tr>
        <w:tc>
          <w:tcPr>
            <w:tcW w:type="dxa" w:w="576"/>
          </w:tcPr>
          <w:p>
            <w:r/>
            <w:r>
              <w:rPr>
                <w:sz w:val="16"/>
              </w:rPr>
              <w:t>34</w:t>
            </w:r>
          </w:p>
        </w:tc>
        <w:tc>
          <w:tcPr>
            <w:tcW w:type="dxa" w:w="1080"/>
            <w:shd w:val="clear" w:color="auto" w:fill="FCE4D6"/>
          </w:tcPr>
          <w:p>
            <w:r/>
            <w:r>
              <w:rPr>
                <w:sz w:val="16"/>
              </w:rPr>
              <w:t>High</w:t>
            </w:r>
          </w:p>
        </w:tc>
        <w:tc>
          <w:tcPr>
            <w:tcW w:type="dxa" w:w="2160"/>
          </w:tcPr>
          <w:p>
            <w:r/>
            <w:r>
              <w:rPr>
                <w:sz w:val="16"/>
              </w:rPr>
              <w:t>Exhibits – Form 10-Q Item 6 Exhibit Index and Exhibit Index Checklist</w:t>
            </w:r>
          </w:p>
        </w:tc>
        <w:tc>
          <w:tcPr>
            <w:tcW w:type="dxa" w:w="3816"/>
          </w:tcPr>
          <w:p>
            <w:r/>
            <w:r>
              <w:rPr>
                <w:sz w:val="16"/>
              </w:rPr>
              <w:t>Exhibit 104 (Cover Page Interactive Data File) omitted</w:t>
            </w:r>
          </w:p>
        </w:tc>
        <w:tc>
          <w:tcPr>
            <w:tcW w:type="dxa" w:w="1728"/>
          </w:tcPr>
          <w:p>
            <w:r/>
            <w:r>
              <w:rPr>
                <w:sz w:val="16"/>
              </w:rPr>
              <w:t>Hargrove / XBRL vendor</w:t>
            </w:r>
          </w:p>
        </w:tc>
      </w:tr>
      <w:tr>
        <w:tc>
          <w:tcPr>
            <w:tcW w:type="dxa" w:w="576"/>
          </w:tcPr>
          <w:p>
            <w:r/>
            <w:r>
              <w:rPr>
                <w:sz w:val="16"/>
              </w:rPr>
              <w:t>35</w:t>
            </w:r>
          </w:p>
        </w:tc>
        <w:tc>
          <w:tcPr>
            <w:tcW w:type="dxa" w:w="1080"/>
            <w:shd w:val="clear" w:color="auto" w:fill="FFF2CC"/>
          </w:tcPr>
          <w:p>
            <w:r/>
            <w:r>
              <w:rPr>
                <w:sz w:val="16"/>
              </w:rPr>
              <w:t>Medium</w:t>
            </w:r>
          </w:p>
        </w:tc>
        <w:tc>
          <w:tcPr>
            <w:tcW w:type="dxa" w:w="2160"/>
          </w:tcPr>
          <w:p>
            <w:r/>
            <w:r>
              <w:rPr>
                <w:sz w:val="16"/>
              </w:rPr>
              <w:t>Exhibits – Form 10-Q Item 6 Exhibit Index and Exhibit Index Checklist</w:t>
            </w:r>
          </w:p>
        </w:tc>
        <w:tc>
          <w:tcPr>
            <w:tcW w:type="dxa" w:w="3816"/>
          </w:tcPr>
          <w:p>
            <w:r/>
            <w:r>
              <w:rPr>
                <w:sz w:val="16"/>
              </w:rPr>
              <w:t>Exhibit 101 descriptions incomplete or inconsistent; XBRL timing</w:t>
            </w:r>
          </w:p>
        </w:tc>
        <w:tc>
          <w:tcPr>
            <w:tcW w:type="dxa" w:w="1728"/>
          </w:tcPr>
          <w:p>
            <w:r/>
            <w:r>
              <w:rPr>
                <w:sz w:val="16"/>
              </w:rPr>
              <w:t>Hargrove / XBRL vendor / Company (Finance)</w:t>
            </w:r>
          </w:p>
        </w:tc>
      </w:tr>
      <w:tr>
        <w:tc>
          <w:tcPr>
            <w:tcW w:type="dxa" w:w="576"/>
          </w:tcPr>
          <w:p>
            <w:r/>
            <w:r>
              <w:rPr>
                <w:sz w:val="16"/>
              </w:rPr>
              <w:t>36</w:t>
            </w:r>
          </w:p>
        </w:tc>
        <w:tc>
          <w:tcPr>
            <w:tcW w:type="dxa" w:w="1080"/>
            <w:shd w:val="clear" w:color="auto" w:fill="FFF2CC"/>
          </w:tcPr>
          <w:p>
            <w:r/>
            <w:r>
              <w:rPr>
                <w:sz w:val="16"/>
              </w:rPr>
              <w:t>Medium</w:t>
            </w:r>
          </w:p>
        </w:tc>
        <w:tc>
          <w:tcPr>
            <w:tcW w:type="dxa" w:w="2160"/>
          </w:tcPr>
          <w:p>
            <w:r/>
            <w:r>
              <w:rPr>
                <w:sz w:val="16"/>
              </w:rPr>
              <w:t>Exhibits – Form 10-Q Item 6 Exhibit Index and Exhibit Index Checklist</w:t>
            </w:r>
          </w:p>
        </w:tc>
        <w:tc>
          <w:tcPr>
            <w:tcW w:type="dxa" w:w="3816"/>
          </w:tcPr>
          <w:p>
            <w:r/>
            <w:r>
              <w:rPr>
                <w:sz w:val="16"/>
              </w:rPr>
              <w:t>10-Q exhibit index lacks filing-status legends, furnished designation and hyperlinks</w:t>
            </w:r>
          </w:p>
        </w:tc>
        <w:tc>
          <w:tcPr>
            <w:tcW w:type="dxa" w:w="1728"/>
          </w:tcPr>
          <w:p>
            <w:r/>
            <w:r>
              <w:rPr>
                <w:sz w:val="16"/>
              </w:rPr>
              <w:t>Hargrove</w:t>
            </w:r>
          </w:p>
        </w:tc>
      </w:tr>
      <w:tr>
        <w:tc>
          <w:tcPr>
            <w:tcW w:type="dxa" w:w="576"/>
          </w:tcPr>
          <w:p>
            <w:r/>
            <w:r>
              <w:rPr>
                <w:sz w:val="16"/>
              </w:rPr>
              <w:t>37</w:t>
            </w:r>
          </w:p>
        </w:tc>
        <w:tc>
          <w:tcPr>
            <w:tcW w:type="dxa" w:w="1080"/>
            <w:shd w:val="clear" w:color="auto" w:fill="FFF2CC"/>
          </w:tcPr>
          <w:p>
            <w:r/>
            <w:r>
              <w:rPr>
                <w:sz w:val="16"/>
              </w:rPr>
              <w:t>Medium</w:t>
            </w:r>
          </w:p>
        </w:tc>
        <w:tc>
          <w:tcPr>
            <w:tcW w:type="dxa" w:w="2160"/>
          </w:tcPr>
          <w:p>
            <w:r/>
            <w:r>
              <w:rPr>
                <w:sz w:val="16"/>
              </w:rPr>
              <w:t>Exhibits – Form 10-Q Item 6 Exhibit Index and Exhibit Index Checklist</w:t>
            </w:r>
          </w:p>
        </w:tc>
        <w:tc>
          <w:tcPr>
            <w:tcW w:type="dxa" w:w="3816"/>
          </w:tcPr>
          <w:p>
            <w:r/>
            <w:r>
              <w:rPr>
                <w:sz w:val="16"/>
              </w:rPr>
              <w:t>Checklist lists a non-exhibit and exhibits not required for this 10-Q</w:t>
            </w:r>
          </w:p>
        </w:tc>
        <w:tc>
          <w:tcPr>
            <w:tcW w:type="dxa" w:w="1728"/>
          </w:tcPr>
          <w:p>
            <w:r/>
            <w:r>
              <w:rPr>
                <w:sz w:val="16"/>
              </w:rPr>
              <w:t>Company (Legal) / Hargrove</w:t>
            </w:r>
          </w:p>
        </w:tc>
      </w:tr>
      <w:tr>
        <w:tc>
          <w:tcPr>
            <w:tcW w:type="dxa" w:w="576"/>
          </w:tcPr>
          <w:p>
            <w:r/>
            <w:r>
              <w:rPr>
                <w:sz w:val="16"/>
              </w:rPr>
              <w:t>38</w:t>
            </w:r>
          </w:p>
        </w:tc>
        <w:tc>
          <w:tcPr>
            <w:tcW w:type="dxa" w:w="1080"/>
            <w:shd w:val="clear" w:color="auto" w:fill="FFF2CC"/>
          </w:tcPr>
          <w:p>
            <w:r/>
            <w:r>
              <w:rPr>
                <w:sz w:val="16"/>
              </w:rPr>
              <w:t>Medium</w:t>
            </w:r>
          </w:p>
        </w:tc>
        <w:tc>
          <w:tcPr>
            <w:tcW w:type="dxa" w:w="2160"/>
          </w:tcPr>
          <w:p>
            <w:r/>
            <w:r>
              <w:rPr>
                <w:sz w:val="16"/>
              </w:rPr>
              <w:t>Exhibits – Form 10-Q Item 6 Exhibit Index and Exhibit Index Checklist</w:t>
            </w:r>
          </w:p>
        </w:tc>
        <w:tc>
          <w:tcPr>
            <w:tcW w:type="dxa" w:w="3816"/>
          </w:tcPr>
          <w:p>
            <w:r/>
            <w:r>
              <w:rPr>
                <w:sz w:val="16"/>
              </w:rPr>
              <w:t>Checklist source reference error – Exhibit 4.2 (Indenture)</w:t>
            </w:r>
          </w:p>
        </w:tc>
        <w:tc>
          <w:tcPr>
            <w:tcW w:type="dxa" w:w="1728"/>
          </w:tcPr>
          <w:p>
            <w:r/>
            <w:r>
              <w:rPr>
                <w:sz w:val="16"/>
              </w:rPr>
              <w:t>Company (Legal) / Hargrove</w:t>
            </w:r>
          </w:p>
        </w:tc>
      </w:tr>
      <w:tr>
        <w:tc>
          <w:tcPr>
            <w:tcW w:type="dxa" w:w="576"/>
          </w:tcPr>
          <w:p>
            <w:r/>
            <w:r>
              <w:rPr>
                <w:sz w:val="16"/>
              </w:rPr>
              <w:t>39</w:t>
            </w:r>
          </w:p>
        </w:tc>
        <w:tc>
          <w:tcPr>
            <w:tcW w:type="dxa" w:w="1080"/>
            <w:shd w:val="clear" w:color="auto" w:fill="E2EFDA"/>
          </w:tcPr>
          <w:p>
            <w:r/>
            <w:r>
              <w:rPr>
                <w:sz w:val="16"/>
              </w:rPr>
              <w:t>Low</w:t>
            </w:r>
          </w:p>
        </w:tc>
        <w:tc>
          <w:tcPr>
            <w:tcW w:type="dxa" w:w="2160"/>
          </w:tcPr>
          <w:p>
            <w:r/>
            <w:r>
              <w:rPr>
                <w:sz w:val="16"/>
              </w:rPr>
              <w:t>Exhibits – Form 10-Q Item 6 Exhibit Index and Exhibit Index Checklist</w:t>
            </w:r>
          </w:p>
        </w:tc>
        <w:tc>
          <w:tcPr>
            <w:tcW w:type="dxa" w:w="3816"/>
          </w:tcPr>
          <w:p>
            <w:r/>
            <w:r>
              <w:rPr>
                <w:sz w:val="16"/>
              </w:rPr>
              <w:t>Checklist summary counts and data integrity errors</w:t>
            </w:r>
          </w:p>
        </w:tc>
        <w:tc>
          <w:tcPr>
            <w:tcW w:type="dxa" w:w="1728"/>
          </w:tcPr>
          <w:p>
            <w:r/>
            <w:r>
              <w:rPr>
                <w:sz w:val="16"/>
              </w:rPr>
              <w:t>Company (Legal)</w:t>
            </w:r>
          </w:p>
        </w:tc>
      </w:tr>
      <w:tr>
        <w:tc>
          <w:tcPr>
            <w:tcW w:type="dxa" w:w="576"/>
          </w:tcPr>
          <w:p>
            <w:r/>
            <w:r>
              <w:rPr>
                <w:sz w:val="16"/>
              </w:rPr>
              <w:t>40</w:t>
            </w:r>
          </w:p>
        </w:tc>
        <w:tc>
          <w:tcPr>
            <w:tcW w:type="dxa" w:w="1080"/>
            <w:shd w:val="clear" w:color="auto" w:fill="E2EFDA"/>
          </w:tcPr>
          <w:p>
            <w:r/>
            <w:r>
              <w:rPr>
                <w:sz w:val="16"/>
              </w:rPr>
              <w:t>Low</w:t>
            </w:r>
          </w:p>
        </w:tc>
        <w:tc>
          <w:tcPr>
            <w:tcW w:type="dxa" w:w="2160"/>
          </w:tcPr>
          <w:p>
            <w:r/>
            <w:r>
              <w:rPr>
                <w:sz w:val="16"/>
              </w:rPr>
              <w:t>Exhibits – Form 10-Q Item 6 Exhibit Index and Exhibit Index Checklist</w:t>
            </w:r>
          </w:p>
        </w:tc>
        <w:tc>
          <w:tcPr>
            <w:tcW w:type="dxa" w:w="3816"/>
          </w:tcPr>
          <w:p>
            <w:r/>
            <w:r>
              <w:rPr>
                <w:sz w:val="16"/>
              </w:rPr>
              <w:t>Exhibit 15 / auditor review report – confirm no reference to Ridgeline’s review</w:t>
            </w:r>
          </w:p>
        </w:tc>
        <w:tc>
          <w:tcPr>
            <w:tcW w:type="dxa" w:w="1728"/>
          </w:tcPr>
          <w:p>
            <w:r/>
            <w:r>
              <w:rPr>
                <w:sz w:val="16"/>
              </w:rPr>
              <w:t>Company (Finance) / Ridgeline</w:t>
            </w:r>
          </w:p>
        </w:tc>
      </w:tr>
      <w:tr>
        <w:tc>
          <w:tcPr>
            <w:tcW w:type="dxa" w:w="576"/>
          </w:tcPr>
          <w:p>
            <w:r/>
            <w:r>
              <w:rPr>
                <w:sz w:val="16"/>
              </w:rPr>
              <w:t>41</w:t>
            </w:r>
          </w:p>
        </w:tc>
        <w:tc>
          <w:tcPr>
            <w:tcW w:type="dxa" w:w="1080"/>
            <w:shd w:val="clear" w:color="auto" w:fill="F4CCCC"/>
          </w:tcPr>
          <w:p>
            <w:r/>
            <w:r>
              <w:rPr>
                <w:sz w:val="16"/>
              </w:rPr>
              <w:t>Critical</w:t>
            </w:r>
          </w:p>
        </w:tc>
        <w:tc>
          <w:tcPr>
            <w:tcW w:type="dxa" w:w="2160"/>
          </w:tcPr>
          <w:p>
            <w:r/>
            <w:r>
              <w:rPr>
                <w:sz w:val="16"/>
              </w:rPr>
              <w:t>Signatures and Section 302/906 Certifications</w:t>
            </w:r>
          </w:p>
        </w:tc>
        <w:tc>
          <w:tcPr>
            <w:tcW w:type="dxa" w:w="3816"/>
          </w:tcPr>
          <w:p>
            <w:r/>
            <w:r>
              <w:rPr>
                <w:sz w:val="16"/>
              </w:rPr>
              <w:t>Section 302 certifications refer to an “annual report” (10-K template carry-over)</w:t>
            </w:r>
          </w:p>
        </w:tc>
        <w:tc>
          <w:tcPr>
            <w:tcW w:type="dxa" w:w="1728"/>
          </w:tcPr>
          <w:p>
            <w:r/>
            <w:r>
              <w:rPr>
                <w:sz w:val="16"/>
              </w:rPr>
              <w:t>Hargrove</w:t>
            </w:r>
          </w:p>
        </w:tc>
      </w:tr>
      <w:tr>
        <w:tc>
          <w:tcPr>
            <w:tcW w:type="dxa" w:w="576"/>
          </w:tcPr>
          <w:p>
            <w:r/>
            <w:r>
              <w:rPr>
                <w:sz w:val="16"/>
              </w:rPr>
              <w:t>42</w:t>
            </w:r>
          </w:p>
        </w:tc>
        <w:tc>
          <w:tcPr>
            <w:tcW w:type="dxa" w:w="1080"/>
            <w:shd w:val="clear" w:color="auto" w:fill="FFF2CC"/>
          </w:tcPr>
          <w:p>
            <w:r/>
            <w:r>
              <w:rPr>
                <w:sz w:val="16"/>
              </w:rPr>
              <w:t>Medium</w:t>
            </w:r>
          </w:p>
        </w:tc>
        <w:tc>
          <w:tcPr>
            <w:tcW w:type="dxa" w:w="2160"/>
          </w:tcPr>
          <w:p>
            <w:r/>
            <w:r>
              <w:rPr>
                <w:sz w:val="16"/>
              </w:rPr>
              <w:t>Signatures and Section 302/906 Certifications</w:t>
            </w:r>
          </w:p>
        </w:tc>
        <w:tc>
          <w:tcPr>
            <w:tcW w:type="dxa" w:w="3816"/>
          </w:tcPr>
          <w:p>
            <w:r/>
            <w:r>
              <w:rPr>
                <w:sz w:val="16"/>
              </w:rPr>
              <w:t>Signature blocks and certification titles – conforming and execution items</w:t>
            </w:r>
          </w:p>
        </w:tc>
        <w:tc>
          <w:tcPr>
            <w:tcW w:type="dxa" w:w="1728"/>
          </w:tcPr>
          <w:p>
            <w:r/>
            <w:r>
              <w:rPr>
                <w:sz w:val="16"/>
              </w:rPr>
              <w:t>Hargrove / Company (Legal)</w:t>
            </w:r>
          </w:p>
        </w:tc>
      </w:tr>
    </w:tbl>
    <w:p>
      <w:pPr>
        <w:spacing w:after="120"/>
      </w:pPr>
      <w:r>
        <w:rPr>
          <w:b w:val="0"/>
          <w:i w:val="0"/>
        </w:rPr>
      </w:r>
    </w:p>
    <w:p>
      <w:pPr>
        <w:spacing w:after="120"/>
      </w:pPr>
      <w:r>
        <w:rPr>
          <w:b w:val="0"/>
          <w:i/>
        </w:rPr>
        <w:t>Totals: Critical 9; High 12; Medium 12; Low 9; Total 42.</w:t>
      </w:r>
    </w:p>
    <w:p>
      <w:pPr>
        <w:pStyle w:val="Heading1"/>
      </w:pPr>
      <w:r>
        <w:t>V. Detailed Findings, Citations and Recommended Remediation</w:t>
      </w:r>
    </w:p>
    <w:p>
      <w:pPr>
        <w:pStyle w:val="Heading2"/>
      </w:pPr>
      <w:r>
        <w:t>A. Filing Deadline and Filing Logistics</w:t>
      </w:r>
    </w:p>
    <w:p>
      <w:pPr>
        <w:spacing w:before="120" w:after="60"/>
      </w:pPr>
      <w:r>
        <w:rPr>
          <w:b/>
        </w:rPr>
        <w:t xml:space="preserve">Finding 1. Target filing date of November 14, 2024 is after the statutory due date; Veterans Day premise is incorrect </w:t>
      </w:r>
      <w:r>
        <w:rPr>
          <w:b/>
          <w:color w:val="C00000"/>
        </w:rPr>
        <w:t>[Critical]</w:t>
      </w:r>
    </w:p>
    <w:p>
      <w:pPr>
        <w:spacing w:after="80"/>
      </w:pPr>
      <w:r>
        <w:rPr>
          <w:b/>
        </w:rPr>
        <w:t xml:space="preserve">Location: </w:t>
      </w:r>
      <w:r>
        <w:t>Transmittal e-mail (Nov. 4, 2024); Exhibit Checklist header (row 3) and Filing Metadata tab (B14–B15); Q2 excerpt packet reference data</w:t>
      </w:r>
    </w:p>
    <w:p>
      <w:pPr>
        <w:spacing w:after="80"/>
      </w:pPr>
      <w:r>
        <w:rPr>
          <w:b/>
        </w:rPr>
        <w:t xml:space="preserve">Deficiency: </w:t>
      </w:r>
      <w:r>
        <w:t>The 40th day after September 30, 2024 is Saturday, November 9, 2024. Monday, November 11, 2024 is Veterans Day, a federal holiday on which the SEC is closed and EDGAR does not accept filings. The due date therefore rolls to Tuesday, November 12, 2024. The working papers say that EDGAR is open on Veterans Day and that November 11 is the deadline. The Company is targeting Thursday, November 14, 2024, which would be two business days late. The XBRL vendor delivery date of November 12 (Checklist row 20) leaves no margin even against the correct due date.</w:t>
      </w:r>
    </w:p>
    <w:p>
      <w:pPr>
        <w:spacing w:after="80"/>
      </w:pPr>
      <w:r>
        <w:rPr>
          <w:b/>
        </w:rPr>
        <w:t xml:space="preserve">Requirement / citation: </w:t>
      </w:r>
      <w:r>
        <w:t>Form 10-Q, General Instruction A.1 (40 days after quarter-end for large accelerated filers); Exchange Act Rule 0-3(a) (a due date falling on a Saturday, Sunday or federal holiday moves to the next business day); Regulation S-T Rules 12 and 13 (EDGAR business days and hours; federal holidays excluded). Consequences of a late filing: loss of Form S-3 eligibility under General Instruction I.A.3(b) for 12 months (affecting the effective shelf, File No. 333-270815) and of well-known seasoned issuer status (Securities Act Rule 405); Rule 144(c)(1) current public information; NYSE Listed Company Manual Section 802.01E. A Rule 12b-25 notification (Form 12b-25 due by November 13, 2024; the 10-Q would then be due by Monday, November 18, 2024) is available only where the delay could not be eliminated without unreasonable effort or expense. A scheduling preference does not meet that standard.</w:t>
      </w:r>
    </w:p>
    <w:p>
      <w:pPr>
        <w:spacing w:after="80"/>
      </w:pPr>
      <w:r>
        <w:rPr>
          <w:b/>
        </w:rPr>
        <w:t xml:space="preserve">Recommended fix: </w:t>
      </w:r>
      <w:r>
        <w:t>Reset the target filing date to no later than Tuesday, November 12, 2024. We recommend targeting Friday, November 8, 2024, with November 12 held as the fallback. Require the XBRL vendor to deliver final Inline XBRL files and test filings by November 6–7. Correct the “Statutory Deadline” entry in the Filing Metadata tab and the target date in the Checklist header. Fit the Audit Committee and Ridgeline sign-off to this schedule. If any item in this memo cannot be cleared by November 11, notify us right away so that a Form 12b-25 strategy can be evaluated before November 13.</w:t>
      </w:r>
    </w:p>
    <w:p>
      <w:pPr>
        <w:spacing w:after="80"/>
      </w:pPr>
      <w:r>
        <w:rPr>
          <w:b/>
        </w:rPr>
        <w:t xml:space="preserve">Responsible: </w:t>
      </w:r>
      <w:r>
        <w:t>Company (Legal/Finance); XBRL vendor; Hargrove</w:t>
      </w:r>
    </w:p>
    <w:p>
      <w:pPr>
        <w:pStyle w:val="Heading2"/>
      </w:pPr>
      <w:r>
        <w:t>B. Cover Page and Table of Contents</w:t>
      </w:r>
    </w:p>
    <w:p>
      <w:pPr>
        <w:spacing w:before="120" w:after="60"/>
      </w:pPr>
      <w:r>
        <w:rPr>
          <w:b/>
        </w:rPr>
        <w:t xml:space="preserve">Finding 2. Cover page states the wrong fiscal period </w:t>
      </w:r>
      <w:r>
        <w:rPr>
          <w:b/>
          <w:color w:val="C00000"/>
        </w:rPr>
        <w:t>[Critical]</w:t>
      </w:r>
    </w:p>
    <w:p>
      <w:pPr>
        <w:spacing w:after="80"/>
      </w:pPr>
      <w:r>
        <w:rPr>
          <w:b/>
        </w:rPr>
        <w:t xml:space="preserve">Location: </w:t>
      </w:r>
      <w:r>
        <w:t>Cover page – period line</w:t>
      </w:r>
    </w:p>
    <w:p>
      <w:pPr>
        <w:spacing w:after="80"/>
      </w:pPr>
      <w:r>
        <w:rPr>
          <w:b/>
        </w:rPr>
        <w:t xml:space="preserve">Deficiency: </w:t>
      </w:r>
      <w:r>
        <w:t>The cover reads “For the quarterly period ended September 30, 2023.” The report covers the quarter ended September 30, 2024. The error would also carry into the dei:DocumentPeriodEndDate cover-page XBRL tag.</w:t>
      </w:r>
    </w:p>
    <w:p>
      <w:pPr>
        <w:spacing w:after="80"/>
      </w:pPr>
      <w:r>
        <w:rPr>
          <w:b/>
        </w:rPr>
        <w:t xml:space="preserve">Requirement / citation: </w:t>
      </w:r>
      <w:r>
        <w:t>Form 10-Q cover page; Regulation S-T Rule 406 and Regulation S-K Item 601(b)(104) (cover page data must be tagged accurately). The filed Q2 2024 10-Q cover reads “June 30, 2024”.</w:t>
      </w:r>
    </w:p>
    <w:p>
      <w:pPr>
        <w:spacing w:after="80"/>
      </w:pPr>
      <w:r>
        <w:rPr>
          <w:b/>
        </w:rPr>
        <w:t xml:space="preserve">Recommended fix: </w:t>
      </w:r>
      <w:r>
        <w:t>Change to “For the quarterly period ended September 30, 2024.” Instruct the XBRL vendor to confirm DocumentPeriodEndDate = 2024-09-30, DocumentFiscalPeriodFocus = Q3 and DocumentFiscalYearFocus = 2024.</w:t>
      </w:r>
    </w:p>
    <w:p>
      <w:pPr>
        <w:spacing w:after="80"/>
      </w:pPr>
      <w:r>
        <w:rPr>
          <w:b/>
        </w:rPr>
        <w:t xml:space="preserve">Responsible: </w:t>
      </w:r>
      <w:r>
        <w:t>Hargrove / XBRL vendor</w:t>
      </w:r>
    </w:p>
    <w:p>
      <w:pPr>
        <w:spacing w:before="120" w:after="60"/>
      </w:pPr>
      <w:r>
        <w:rPr>
          <w:b/>
        </w:rPr>
        <w:t xml:space="preserve">Finding 3. Shares outstanding on cover page are understated (79,350,000 vs. 79,450,000) </w:t>
      </w:r>
      <w:r>
        <w:rPr>
          <w:b/>
          <w:color w:val="E46C0A"/>
        </w:rPr>
        <w:t>[High]</w:t>
      </w:r>
    </w:p>
    <w:p>
      <w:pPr>
        <w:spacing w:after="80"/>
      </w:pPr>
      <w:r>
        <w:rPr>
          <w:b/>
        </w:rPr>
        <w:t xml:space="preserve">Location: </w:t>
      </w:r>
      <w:r>
        <w:t>Cover page – shares outstanding line</w:t>
      </w:r>
    </w:p>
    <w:p>
      <w:pPr>
        <w:spacing w:after="80"/>
      </w:pPr>
      <w:r>
        <w:rPr>
          <w:b/>
        </w:rPr>
        <w:t xml:space="preserve">Deficiency: </w:t>
      </w:r>
      <w:r>
        <w:t>The cover states 79,350,000 shares outstanding as of November 1, 2024. The Company’s transmittal e-mail, the Filing Metadata tab (B18), the balance sheet, Note 9 and Note 11 all show 79,450,000 shares, and we have identified no share activity after September 30.</w:t>
      </w:r>
    </w:p>
    <w:p>
      <w:pPr>
        <w:spacing w:after="80"/>
      </w:pPr>
      <w:r>
        <w:rPr>
          <w:b/>
        </w:rPr>
        <w:t xml:space="preserve">Requirement / citation: </w:t>
      </w:r>
      <w:r>
        <w:t>Form 10-Q cover page (number of shares outstanding of each class of common stock as of the latest practicable date); dei:EntityCommonStockSharesOutstanding tag (Regulation S-T Rule 406).</w:t>
      </w:r>
    </w:p>
    <w:p>
      <w:pPr>
        <w:spacing w:after="80"/>
      </w:pPr>
      <w:r>
        <w:rPr>
          <w:b/>
        </w:rPr>
        <w:t xml:space="preserve">Recommended fix: </w:t>
      </w:r>
      <w:r>
        <w:t>Revise to 79,450,000. Have the transfer agent confirm the count as of the latest practicable date shortly before filing, and update the “as of” date if it changes.</w:t>
      </w:r>
    </w:p>
    <w:p>
      <w:pPr>
        <w:spacing w:after="80"/>
      </w:pPr>
      <w:r>
        <w:rPr>
          <w:b/>
        </w:rPr>
        <w:t xml:space="preserve">Responsible: </w:t>
      </w:r>
      <w:r>
        <w:t>Company (Legal) / transfer agent</w:t>
      </w:r>
    </w:p>
    <w:p>
      <w:pPr>
        <w:spacing w:before="120" w:after="60"/>
      </w:pPr>
      <w:r>
        <w:rPr>
          <w:b/>
        </w:rPr>
        <w:t xml:space="preserve">Finding 4. Cover page check boxes are not completed </w:t>
      </w:r>
      <w:r>
        <w:rPr>
          <w:b/>
          <w:color w:val="E46C0A"/>
        </w:rPr>
        <w:t>[High]</w:t>
      </w:r>
    </w:p>
    <w:p>
      <w:pPr>
        <w:spacing w:after="80"/>
      </w:pPr>
      <w:r>
        <w:rPr>
          <w:b/>
        </w:rPr>
        <w:t xml:space="preserve">Location: </w:t>
      </w:r>
      <w:r>
        <w:t>Cover page – Section 13/15(d), Interactive Data, filer status and shell company boxes</w:t>
      </w:r>
    </w:p>
    <w:p>
      <w:pPr>
        <w:spacing w:after="80"/>
      </w:pPr>
      <w:r>
        <w:rPr>
          <w:b/>
        </w:rPr>
        <w:t xml:space="preserve">Deficiency: </w:t>
      </w:r>
      <w:r>
        <w:t>The draft shows “Yes No” with neither box selected for (i) the reports-filed-in-preceding-12-months question, (ii) the Interactive Data File question and (iii) the shell company question. None of the filer-status boxes is checked: “Large accelerated filer” is bolded but not marked. The EGC transition-period box should be left blank because the Company is not an EGC. The filed Q2 2024 10-Q cover shows the correct completion.</w:t>
      </w:r>
    </w:p>
    <w:p>
      <w:pPr>
        <w:spacing w:after="80"/>
      </w:pPr>
      <w:r>
        <w:rPr>
          <w:b/>
        </w:rPr>
        <w:t xml:space="preserve">Requirement / citation: </w:t>
      </w:r>
      <w:r>
        <w:t>Form 10-Q cover page; Exchange Act Rule 12b-2 (filer status definitions); Regulation S-T Rule 405.</w:t>
      </w:r>
    </w:p>
    <w:p>
      <w:pPr>
        <w:spacing w:after="80"/>
      </w:pPr>
      <w:r>
        <w:rPr>
          <w:b/>
        </w:rPr>
        <w:t xml:space="preserve">Recommended fix: </w:t>
      </w:r>
      <w:r>
        <w:t>Mark: reports filed – Yes ☒; Interactive Data – Yes ☒; Large accelerated filer ☒ (all other filer-status boxes ☐); EGC election box blank; shell company – No ☒.</w:t>
      </w:r>
    </w:p>
    <w:p>
      <w:pPr>
        <w:spacing w:after="80"/>
      </w:pPr>
      <w:r>
        <w:rPr>
          <w:b/>
        </w:rPr>
        <w:t xml:space="preserve">Responsible: </w:t>
      </w:r>
      <w:r>
        <w:t>Hargrove</w:t>
      </w:r>
    </w:p>
    <w:p>
      <w:pPr>
        <w:spacing w:before="120" w:after="60"/>
      </w:pPr>
      <w:r>
        <w:rPr>
          <w:b/>
        </w:rPr>
        <w:t xml:space="preserve">Finding 5. Commission File Number inconsistent with prior filing </w:t>
      </w:r>
      <w:r>
        <w:rPr>
          <w:b/>
          <w:color w:val="E46C0A"/>
        </w:rPr>
        <w:t>[High]</w:t>
      </w:r>
    </w:p>
    <w:p>
      <w:pPr>
        <w:spacing w:after="80"/>
      </w:pPr>
      <w:r>
        <w:rPr>
          <w:b/>
        </w:rPr>
        <w:t xml:space="preserve">Location: </w:t>
      </w:r>
      <w:r>
        <w:t>Cover page</w:t>
      </w:r>
    </w:p>
    <w:p>
      <w:pPr>
        <w:spacing w:after="80"/>
      </w:pPr>
      <w:r>
        <w:rPr>
          <w:b/>
        </w:rPr>
        <w:t xml:space="preserve">Deficiency: </w:t>
      </w:r>
      <w:r>
        <w:t>The draft shows Commission File Number 001-35487. The filed Q2 2024 Form 10-Q excerpt shows 001-34762. Only one can be correct, and it must match the Company’s EDGAR record (CIK 0001587342).</w:t>
      </w:r>
    </w:p>
    <w:p>
      <w:pPr>
        <w:spacing w:after="80"/>
      </w:pPr>
      <w:r>
        <w:rPr>
          <w:b/>
        </w:rPr>
        <w:t xml:space="preserve">Requirement / citation: </w:t>
      </w:r>
      <w:r>
        <w:t>Form 10-Q cover page; dei:EntityFileNumber tag (Regulation S-T Rule 406).</w:t>
      </w:r>
    </w:p>
    <w:p>
      <w:pPr>
        <w:spacing w:after="80"/>
      </w:pPr>
      <w:r>
        <w:rPr>
          <w:b/>
        </w:rPr>
        <w:t xml:space="preserve">Recommended fix: </w:t>
      </w:r>
      <w:r>
        <w:t>Verify the Exchange Act file number against EDGAR and prior 10-K/10-Q filings, then conform the cover and the XBRL dei tag.</w:t>
      </w:r>
    </w:p>
    <w:p>
      <w:pPr>
        <w:spacing w:after="80"/>
      </w:pPr>
      <w:r>
        <w:rPr>
          <w:b/>
        </w:rPr>
        <w:t xml:space="preserve">Responsible: </w:t>
      </w:r>
      <w:r>
        <w:t>Company (Legal) / Hargrove</w:t>
      </w:r>
    </w:p>
    <w:p>
      <w:pPr>
        <w:spacing w:before="120" w:after="60"/>
      </w:pPr>
      <w:r>
        <w:rPr>
          <w:b/>
        </w:rPr>
        <w:t xml:space="preserve">Finding 6. Table of contents omits the statements of comprehensive income; page references unreliable </w:t>
      </w:r>
      <w:r>
        <w:rPr>
          <w:b/>
          <w:color w:val="548235"/>
        </w:rPr>
        <w:t>[Low]</w:t>
      </w:r>
    </w:p>
    <w:p>
      <w:pPr>
        <w:spacing w:after="80"/>
      </w:pPr>
      <w:r>
        <w:rPr>
          <w:b/>
        </w:rPr>
        <w:t xml:space="preserve">Location: </w:t>
      </w:r>
      <w:r>
        <w:t>Table of Contents</w:t>
      </w:r>
    </w:p>
    <w:p>
      <w:pPr>
        <w:spacing w:after="80"/>
      </w:pPr>
      <w:r>
        <w:rPr>
          <w:b/>
        </w:rPr>
        <w:t xml:space="preserve">Deficiency: </w:t>
      </w:r>
      <w:r>
        <w:t>The TOC does not list Statements of Comprehensive Income (see Finding 9). The page references (e.g., Changes in Stockholders’ Equity at page 6 followed by Cash Flows at page 10) predate final pagination.</w:t>
      </w:r>
    </w:p>
    <w:p>
      <w:pPr>
        <w:spacing w:after="80"/>
      </w:pPr>
      <w:r>
        <w:rPr>
          <w:b/>
        </w:rPr>
        <w:t xml:space="preserve">Requirement / citation: </w:t>
      </w:r>
      <w:r>
        <w:t>Form 10-Q General Instruction C (item captions and presentation); general presentation.</w:t>
      </w:r>
    </w:p>
    <w:p>
      <w:pPr>
        <w:spacing w:after="80"/>
      </w:pPr>
      <w:r>
        <w:rPr>
          <w:b/>
        </w:rPr>
        <w:t xml:space="preserve">Recommended fix: </w:t>
      </w:r>
      <w:r>
        <w:t>Add the comprehensive income statement to the TOC and update all page references after the content is final. Hyperlink TOC entries in the EDGAR version.</w:t>
      </w:r>
    </w:p>
    <w:p>
      <w:pPr>
        <w:spacing w:after="80"/>
      </w:pPr>
      <w:r>
        <w:rPr>
          <w:b/>
        </w:rPr>
        <w:t xml:space="preserve">Responsible: </w:t>
      </w:r>
      <w:r>
        <w:t>Hargrove / financial printer</w:t>
      </w:r>
    </w:p>
    <w:p>
      <w:pPr>
        <w:pStyle w:val="Heading2"/>
      </w:pPr>
      <w:r>
        <w:t>C. Condensed Consolidated Financial Statements (Part I, Item 1)</w:t>
      </w:r>
    </w:p>
    <w:p>
      <w:pPr>
        <w:spacing w:before="120" w:after="60"/>
      </w:pPr>
      <w:r>
        <w:rPr>
          <w:b/>
        </w:rPr>
        <w:t xml:space="preserve">Finding 7. Prior-year cash flow column missing – placeholder “[TO BE ADDED]” </w:t>
      </w:r>
      <w:r>
        <w:rPr>
          <w:b/>
          <w:color w:val="C00000"/>
        </w:rPr>
        <w:t>[Critical]</w:t>
      </w:r>
    </w:p>
    <w:p>
      <w:pPr>
        <w:spacing w:after="80"/>
      </w:pPr>
      <w:r>
        <w:rPr>
          <w:b/>
        </w:rPr>
        <w:t xml:space="preserve">Location: </w:t>
      </w:r>
      <w:r>
        <w:t>Condensed Consolidated Statements of Cash Flows</w:t>
      </w:r>
    </w:p>
    <w:p>
      <w:pPr>
        <w:spacing w:after="80"/>
      </w:pPr>
      <w:r>
        <w:rPr>
          <w:b/>
        </w:rPr>
        <w:t xml:space="preserve">Deficiency: </w:t>
      </w:r>
      <w:r>
        <w:t>The nine months ended September 30, 2023 column is blank throughout and carries a “[TO BE ADDED]” placeholder. The 2023 supplemental cash flow and non-cash disclosures are also blank.</w:t>
      </w:r>
    </w:p>
    <w:p>
      <w:pPr>
        <w:spacing w:after="80"/>
      </w:pPr>
      <w:r>
        <w:rPr>
          <w:b/>
        </w:rPr>
        <w:t xml:space="preserve">Requirement / citation: </w:t>
      </w:r>
      <w:r>
        <w:t>Regulation S-X Rule 10-01(c)(3) (statements of cash flows for the year-to-date period and the corresponding period of the preceding fiscal year); ASC 230.</w:t>
      </w:r>
    </w:p>
    <w:p>
      <w:pPr>
        <w:spacing w:after="80"/>
      </w:pPr>
      <w:r>
        <w:rPr>
          <w:b/>
        </w:rPr>
        <w:t xml:space="preserve">Recommended fix: </w:t>
      </w:r>
      <w:r>
        <w:t>Insert the complete comparative nine-month 2023 cash flow statement and supplemental disclosures, tied to the Q3 2023 Form 10-Q (recast if applicable). Ridgeline should complete its AS 4105 procedures on the comparative column.</w:t>
      </w:r>
    </w:p>
    <w:p>
      <w:pPr>
        <w:spacing w:after="80"/>
      </w:pPr>
      <w:r>
        <w:rPr>
          <w:b/>
        </w:rPr>
        <w:t xml:space="preserve">Responsible: </w:t>
      </w:r>
      <w:r>
        <w:t>Company (Finance) / Ridgeline</w:t>
      </w:r>
    </w:p>
    <w:p>
      <w:pPr>
        <w:spacing w:before="120" w:after="60"/>
      </w:pPr>
      <w:r>
        <w:rPr>
          <w:b/>
        </w:rPr>
        <w:t xml:space="preserve">Finding 8. Balance sheet comparative column mislabeled “December 31, 2024” </w:t>
      </w:r>
      <w:r>
        <w:rPr>
          <w:b/>
          <w:color w:val="C00000"/>
        </w:rPr>
        <w:t>[Critical]</w:t>
      </w:r>
    </w:p>
    <w:p>
      <w:pPr>
        <w:spacing w:after="80"/>
      </w:pPr>
      <w:r>
        <w:rPr>
          <w:b/>
        </w:rPr>
        <w:t xml:space="preserve">Location: </w:t>
      </w:r>
      <w:r>
        <w:t>Condensed Consolidated Balance Sheets (asset page and liabilities/equity page)</w:t>
      </w:r>
    </w:p>
    <w:p>
      <w:pPr>
        <w:spacing w:after="80"/>
      </w:pPr>
      <w:r>
        <w:rPr>
          <w:b/>
        </w:rPr>
        <w:t xml:space="preserve">Deficiency: </w:t>
      </w:r>
      <w:r>
        <w:t>The comparative column is headed “December 31, 2024”, a date that has not yet occurred. It should read December 31, 2023, which is the audited fiscal year-end balance sheet referred to in the prefatory note. The common stock caption already refers to shares “as of December 31, 2023”.</w:t>
      </w:r>
    </w:p>
    <w:p>
      <w:pPr>
        <w:spacing w:after="80"/>
      </w:pPr>
      <w:r>
        <w:rPr>
          <w:b/>
        </w:rPr>
        <w:t xml:space="preserve">Requirement / citation: </w:t>
      </w:r>
      <w:r>
        <w:t>Regulation S-X Rule 10-01(c)(1) (balance sheet as of the end of the most recent fiscal quarter and as of the end of the preceding fiscal year).</w:t>
      </w:r>
    </w:p>
    <w:p>
      <w:pPr>
        <w:spacing w:after="80"/>
      </w:pPr>
      <w:r>
        <w:rPr>
          <w:b/>
        </w:rPr>
        <w:t xml:space="preserve">Recommended fix: </w:t>
      </w:r>
      <w:r>
        <w:t>Change both column headings to “December 31, 2023” and confirm the XBRL context dates.</w:t>
      </w:r>
    </w:p>
    <w:p>
      <w:pPr>
        <w:spacing w:after="80"/>
      </w:pPr>
      <w:r>
        <w:rPr>
          <w:b/>
        </w:rPr>
        <w:t xml:space="preserve">Responsible: </w:t>
      </w:r>
      <w:r>
        <w:t>Company (Finance)</w:t>
      </w:r>
    </w:p>
    <w:p>
      <w:pPr>
        <w:spacing w:before="120" w:after="60"/>
      </w:pPr>
      <w:r>
        <w:rPr>
          <w:b/>
        </w:rPr>
        <w:t xml:space="preserve">Finding 9. Statements of comprehensive income omitted </w:t>
      </w:r>
      <w:r>
        <w:rPr>
          <w:b/>
          <w:color w:val="E46C0A"/>
        </w:rPr>
        <w:t>[High]</w:t>
      </w:r>
    </w:p>
    <w:p>
      <w:pPr>
        <w:spacing w:after="80"/>
      </w:pPr>
      <w:r>
        <w:rPr>
          <w:b/>
        </w:rPr>
        <w:t xml:space="preserve">Location: </w:t>
      </w:r>
      <w:r>
        <w:t>Part I, Item 1; TOC; Exhibit 101 description</w:t>
      </w:r>
    </w:p>
    <w:p>
      <w:pPr>
        <w:spacing w:after="80"/>
      </w:pPr>
      <w:r>
        <w:rPr>
          <w:b/>
        </w:rPr>
        <w:t xml:space="preserve">Deficiency: </w:t>
      </w:r>
      <w:r>
        <w:t>The Company has other comprehensive income components (foreign currency translation, cash flow hedges and pension), with OCI of $(4.3) million for Q3 2024 and $(6.4) million for the nine months. The draft presents no statement of comprehensive income and no combined statement of operations and comprehensive income. The Checklist’s Exhibit 101 description also omits it.</w:t>
      </w:r>
    </w:p>
    <w:p>
      <w:pPr>
        <w:spacing w:after="80"/>
      </w:pPr>
      <w:r>
        <w:rPr>
          <w:b/>
        </w:rPr>
        <w:t xml:space="preserve">Requirement / citation: </w:t>
      </w:r>
      <w:r>
        <w:t>Regulation S-X Rule 10-01(c)(2) (interim statements of comprehensive income for the quarter and year-to-date and the comparable prior-year periods); ASC 220-10-45-1, 45-1A/1B and 45-18 (total comprehensive income required in interim financial statements); ASC 220-10-45-17 (reclassifications out of AOCI).</w:t>
      </w:r>
    </w:p>
    <w:p>
      <w:pPr>
        <w:spacing w:after="80"/>
      </w:pPr>
      <w:r>
        <w:rPr>
          <w:b/>
        </w:rPr>
        <w:t xml:space="preserve">Recommended fix: </w:t>
      </w:r>
      <w:r>
        <w:t>Add Condensed Consolidated Statements of Comprehensive Income for the three and nine months ended September 30, 2024 and 2023 (net income, each OCI component net of tax, total comprehensive income). Add AOCI reclassification disclosure to Note 11. Update the TOC and the Exhibit 101 description.</w:t>
      </w:r>
    </w:p>
    <w:p>
      <w:pPr>
        <w:spacing w:after="80"/>
      </w:pPr>
      <w:r>
        <w:rPr>
          <w:b/>
        </w:rPr>
        <w:t xml:space="preserve">Responsible: </w:t>
      </w:r>
      <w:r>
        <w:t>Company (Finance) / Ridgeline</w:t>
      </w:r>
    </w:p>
    <w:p>
      <w:pPr>
        <w:spacing w:before="120" w:after="60"/>
      </w:pPr>
      <w:r>
        <w:rPr>
          <w:b/>
        </w:rPr>
        <w:t xml:space="preserve">Finding 10. Nine-month 2024 stockholders’ equity roll-forward does not tie to the balance sheet or the Q3 roll-forward </w:t>
      </w:r>
      <w:r>
        <w:rPr>
          <w:b/>
          <w:color w:val="C00000"/>
        </w:rPr>
        <w:t>[Critical]</w:t>
      </w:r>
    </w:p>
    <w:p>
      <w:pPr>
        <w:spacing w:after="80"/>
      </w:pPr>
      <w:r>
        <w:rPr>
          <w:b/>
        </w:rPr>
        <w:t xml:space="preserve">Location: </w:t>
      </w:r>
      <w:r>
        <w:t>Statement of Changes in Stockholders’ Equity – Nine Months Ended September 30, 2024</w:t>
      </w:r>
    </w:p>
    <w:p>
      <w:pPr>
        <w:spacing w:after="80"/>
      </w:pPr>
      <w:r>
        <w:rPr>
          <w:b/>
        </w:rPr>
        <w:t xml:space="preserve">Deficiency: </w:t>
      </w:r>
      <w:r>
        <w:t>The nine-month statement ends at APIC $1,133.5 million, retained earnings $1,435.6 million and total equity $2,525.2 million. The balance sheet and the three-month roll-forward show $1,128.5 million, $1,402.7 million and $2,487.3 million at the same date. The differences are $5.0 million (APIC), $32.9 million (retained earnings) and $37.9 million (total equity). The July 1, 2024 opening balances are also inconsistent with the January 1 balances and the nine-month activity. They imply first-half dividends of about $58.3 million and first-half APIC activity $5.0 million lower than the nine-month column shows. Tax withholding on share-based compensation is $(0.3) million in the equity statement and $(3.5) million in financing cash flows.</w:t>
      </w:r>
    </w:p>
    <w:p>
      <w:pPr>
        <w:spacing w:after="80"/>
      </w:pPr>
      <w:r>
        <w:rPr>
          <w:b/>
        </w:rPr>
        <w:t xml:space="preserve">Requirement / citation: </w:t>
      </w:r>
      <w:r>
        <w:t>Regulation S-X Rule 10-01(a)(7) (analysis of changes in each caption of stockholders’ equity for the current and comparative quarter and year-to-date periods); Regulation S-X Rule 3-04.</w:t>
      </w:r>
    </w:p>
    <w:p>
      <w:pPr>
        <w:spacing w:after="80"/>
      </w:pPr>
      <w:r>
        <w:rPr>
          <w:b/>
        </w:rPr>
        <w:t xml:space="preserve">Recommended fix: </w:t>
      </w:r>
      <w:r>
        <w:t>Finance and Ridgeline should reconcile the quarterly and year-to-date roll-forwards to the general ledger and balance sheet. Correct dividends declared, APIC activity and the tax-withholding line, and confirm that the three- and nine-month statements end at identical balances that agree to the balance sheet.</w:t>
      </w:r>
    </w:p>
    <w:p>
      <w:pPr>
        <w:spacing w:after="80"/>
      </w:pPr>
      <w:r>
        <w:rPr>
          <w:b/>
        </w:rPr>
        <w:t xml:space="preserve">Responsible: </w:t>
      </w:r>
      <w:r>
        <w:t>Company (Finance) / Ridgeline</w:t>
      </w:r>
    </w:p>
    <w:p>
      <w:pPr>
        <w:spacing w:before="120" w:after="60"/>
      </w:pPr>
      <w:r>
        <w:rPr>
          <w:b/>
        </w:rPr>
        <w:t xml:space="preserve">Finding 11. Q3 2024 dividend declared September 28, 2024 not reflected; dividends per share not disclosed </w:t>
      </w:r>
      <w:r>
        <w:rPr>
          <w:b/>
          <w:color w:val="E46C0A"/>
        </w:rPr>
        <w:t>[High]</w:t>
      </w:r>
    </w:p>
    <w:p>
      <w:pPr>
        <w:spacing w:after="80"/>
      </w:pPr>
      <w:r>
        <w:rPr>
          <w:b/>
        </w:rPr>
        <w:t xml:space="preserve">Location: </w:t>
      </w:r>
      <w:r>
        <w:t>Statements of Changes in Stockholders’ Equity; balance sheet; Notes 11 and 13; cash flow non-cash disclosures</w:t>
      </w:r>
    </w:p>
    <w:p>
      <w:pPr>
        <w:spacing w:after="80"/>
      </w:pPr>
      <w:r>
        <w:rPr>
          <w:b/>
        </w:rPr>
        <w:t xml:space="preserve">Deficiency: </w:t>
      </w:r>
      <w:r>
        <w:t>The Board declared a $0.16 per share dividend (about $12.7 million; 79,450,000 × $0.16 = $12.71 million) on September 28, 2024, payable October 25, 2024. The three-month roll-forward shows no dividend declared. Nine-month “dividends declared” ($25.4 million) equals dividends paid in the cash flow statement, which indicates the September 28 declaration was not accrued. At September 30, 2024 the dividend should appear as a liability (dividends payable within accrued liabilities) and a reduction of retained earnings. No period shows dividends per share. The Q3 2023 three-month roll-forward also shows no dividend, which should be confirmed against the Company’s quarterly dividend history.</w:t>
      </w:r>
    </w:p>
    <w:p>
      <w:pPr>
        <w:spacing w:after="80"/>
      </w:pPr>
      <w:r>
        <w:rPr>
          <w:b/>
        </w:rPr>
        <w:t xml:space="preserve">Requirement / citation: </w:t>
      </w:r>
      <w:r>
        <w:t>Regulation S-X Rules 10-01(a)(7) and 3-04 (dividends per share for each class of shares in the analysis of changes in equity); U.S. GAAP (a cash dividend is recognized as a liability and a charge to retained earnings at declaration); Rule 10-01(a)(5) (significant events).</w:t>
      </w:r>
    </w:p>
    <w:p>
      <w:pPr>
        <w:spacing w:after="80"/>
      </w:pPr>
      <w:r>
        <w:rPr>
          <w:b/>
        </w:rPr>
        <w:t xml:space="preserve">Recommended fix: </w:t>
      </w:r>
      <w:r>
        <w:t>Record the $12.7 million declaration in Q3 2024 (retained earnings and dividends payable). Show dividends declared per share ($0.16 per quarter) in each roll-forward. Add a dividend paragraph to Note 11. Disclose the declared-but-unpaid dividend as a non-cash financing activity, and conform MD&amp;A liquidity.</w:t>
      </w:r>
    </w:p>
    <w:p>
      <w:pPr>
        <w:spacing w:after="80"/>
      </w:pPr>
      <w:r>
        <w:rPr>
          <w:b/>
        </w:rPr>
        <w:t xml:space="preserve">Responsible: </w:t>
      </w:r>
      <w:r>
        <w:t>Company (Finance) / Ridgeline</w:t>
      </w:r>
    </w:p>
    <w:p>
      <w:pPr>
        <w:spacing w:before="120" w:after="60"/>
      </w:pPr>
      <w:r>
        <w:rPr>
          <w:b/>
        </w:rPr>
        <w:t xml:space="preserve">Finding 12. Diluted EPS for the nine months ended September 30, 2023 inconsistent ($1.53 vs. $1.54) </w:t>
      </w:r>
      <w:r>
        <w:rPr>
          <w:b/>
          <w:color w:val="E46C0A"/>
        </w:rPr>
        <w:t>[High]</w:t>
      </w:r>
    </w:p>
    <w:p>
      <w:pPr>
        <w:spacing w:after="80"/>
      </w:pPr>
      <w:r>
        <w:rPr>
          <w:b/>
        </w:rPr>
        <w:t xml:space="preserve">Location: </w:t>
      </w:r>
      <w:r>
        <w:t>Statement of Operations (EPS table); Note 9; MD&amp;A (nine-month discussion)</w:t>
      </w:r>
    </w:p>
    <w:p>
      <w:pPr>
        <w:spacing w:after="80"/>
      </w:pPr>
      <w:r>
        <w:rPr>
          <w:b/>
        </w:rPr>
        <w:t xml:space="preserve">Deficiency: </w:t>
      </w:r>
      <w:r>
        <w:t>Net income of $122.8 million divided by 79.8 million diluted weighted shares is $1.539, which rounds to $1.54. Note 9 shows $1.54. The face of the statement of operations and MD&amp;A show $1.53. Weighted-average diluted shares also appear at inconsistent precision on the face (80.15 and 80.05 versus one decimal elsewhere).</w:t>
      </w:r>
    </w:p>
    <w:p>
      <w:pPr>
        <w:spacing w:after="80"/>
      </w:pPr>
      <w:r>
        <w:rPr>
          <w:b/>
        </w:rPr>
        <w:t xml:space="preserve">Requirement / citation: </w:t>
      </w:r>
      <w:r>
        <w:t>ASC 260-10-45-2 and 45-7 (EPS on the face of the income statement); Exchange Act Rule 12b-20 (internal consistency and completeness).</w:t>
      </w:r>
    </w:p>
    <w:p>
      <w:pPr>
        <w:spacing w:after="80"/>
      </w:pPr>
      <w:r>
        <w:rPr>
          <w:b/>
        </w:rPr>
        <w:t xml:space="preserve">Recommended fix: </w:t>
      </w:r>
      <w:r>
        <w:t>Confirm against the as-filed Q3 2023 10-Q. If $1.54 is correct, conform the statement of operations and MD&amp;A. Present share counts at consistent precision.</w:t>
      </w:r>
    </w:p>
    <w:p>
      <w:pPr>
        <w:spacing w:after="80"/>
      </w:pPr>
      <w:r>
        <w:rPr>
          <w:b/>
        </w:rPr>
        <w:t xml:space="preserve">Responsible: </w:t>
      </w:r>
      <w:r>
        <w:t>Company (Finance)</w:t>
      </w:r>
    </w:p>
    <w:p>
      <w:pPr>
        <w:spacing w:before="120" w:after="60"/>
      </w:pPr>
      <w:r>
        <w:rPr>
          <w:b/>
        </w:rPr>
        <w:t xml:space="preserve">Finding 13. December 31, 2023 debt on the balance sheet does not agree to Note 5 </w:t>
      </w:r>
      <w:r>
        <w:rPr>
          <w:b/>
          <w:color w:val="E46C0A"/>
        </w:rPr>
        <w:t>[High]</w:t>
      </w:r>
    </w:p>
    <w:p>
      <w:pPr>
        <w:spacing w:after="80"/>
      </w:pPr>
      <w:r>
        <w:rPr>
          <w:b/>
        </w:rPr>
        <w:t xml:space="preserve">Location: </w:t>
      </w:r>
      <w:r>
        <w:t>Balance sheet (long-term debt, net of current portion: $745.0 million); Note 5 ($697.5 million)</w:t>
      </w:r>
    </w:p>
    <w:p>
      <w:pPr>
        <w:spacing w:after="80"/>
      </w:pPr>
      <w:r>
        <w:rPr>
          <w:b/>
        </w:rPr>
        <w:t xml:space="preserve">Deficiency: </w:t>
      </w:r>
      <w:r>
        <w:t>Note 5 shows total debt of $772.5 million (term loan $672.5 million plus notes $100.0 million) and long-term debt of $697.5 million at December 31, 2023. The balance sheet shows long-term debt of $745.0 million, which with the $75.0 million current portion implies $820.0 million of total debt, a $47.5 million difference. Note 5 is consistent with the $37.5 million of term-loan repayments in the cash flow statement ($672.5 − $37.5 = $635.0). That points to a misstated balance-sheet comparative whose totals foot only because another caption is also wrong.</w:t>
      </w:r>
    </w:p>
    <w:p>
      <w:pPr>
        <w:spacing w:after="80"/>
      </w:pPr>
      <w:r>
        <w:rPr>
          <w:b/>
        </w:rPr>
        <w:t xml:space="preserve">Requirement / citation: </w:t>
      </w:r>
      <w:r>
        <w:t>Regulation S-X Rules 10-01(c)(1) and 5-02; the December 31, 2023 balance sheet must agree to the audited balance sheet in the FY2023 Form 10-K.</w:t>
      </w:r>
    </w:p>
    <w:p>
      <w:pPr>
        <w:spacing w:after="80"/>
      </w:pPr>
      <w:r>
        <w:rPr>
          <w:b/>
        </w:rPr>
        <w:t xml:space="preserve">Recommended fix: </w:t>
      </w:r>
      <w:r>
        <w:t>Agree the December 31, 2023 column to the audited FY2023 balance sheet and correct the balance sheet or Note 5. Re-foot the liability and equity totals.</w:t>
      </w:r>
    </w:p>
    <w:p>
      <w:pPr>
        <w:spacing w:after="80"/>
      </w:pPr>
      <w:r>
        <w:rPr>
          <w:b/>
        </w:rPr>
        <w:t xml:space="preserve">Responsible: </w:t>
      </w:r>
      <w:r>
        <w:t>Company (Finance) / Ridgeline</w:t>
      </w:r>
    </w:p>
    <w:p>
      <w:pPr>
        <w:spacing w:before="120" w:after="60"/>
      </w:pPr>
      <w:r>
        <w:rPr>
          <w:b/>
        </w:rPr>
        <w:t xml:space="preserve">Finding 14. Cash flow statement presentation items </w:t>
      </w:r>
      <w:r>
        <w:rPr>
          <w:b/>
          <w:color w:val="BF9000"/>
        </w:rPr>
        <w:t>[Medium]</w:t>
      </w:r>
    </w:p>
    <w:p>
      <w:pPr>
        <w:spacing w:after="80"/>
      </w:pPr>
      <w:r>
        <w:rPr>
          <w:b/>
        </w:rPr>
        <w:t xml:space="preserve">Location: </w:t>
      </w:r>
      <w:r>
        <w:t>Statements of Cash Flows</w:t>
      </w:r>
    </w:p>
    <w:p>
      <w:pPr>
        <w:spacing w:after="80"/>
      </w:pPr>
      <w:r>
        <w:rPr>
          <w:b/>
        </w:rPr>
        <w:t xml:space="preserve">Deficiency: </w:t>
      </w:r>
      <w:r>
        <w:t>(i) Captions refer to “cash, cash equivalents, and restricted cash”, but the balance sheet shows only cash and cash equivalents and there is no restricted-cash reconciliation. (ii) “Repayments of revolving credit facility (0.0)” is a placeholder-type line. (iii) Tax withholding of $(3.5) million does not agree to the equity statement (see Finding 10). (iv) The dividend declared but unpaid at September 30, 2024 is not disclosed as a non-cash financing activity.</w:t>
      </w:r>
    </w:p>
    <w:p>
      <w:pPr>
        <w:spacing w:after="80"/>
      </w:pPr>
      <w:r>
        <w:rPr>
          <w:b/>
        </w:rPr>
        <w:t xml:space="preserve">Requirement / citation: </w:t>
      </w:r>
      <w:r>
        <w:t>ASC 230-10-45 and 230-10-50-8 (reconciliation of restricted cash to the balance sheet); ASC 230-10-50-3 to 50-6 (non-cash investing and financing activities).</w:t>
      </w:r>
    </w:p>
    <w:p>
      <w:pPr>
        <w:spacing w:after="80"/>
      </w:pPr>
      <w:r>
        <w:rPr>
          <w:b/>
        </w:rPr>
        <w:t xml:space="preserve">Recommended fix: </w:t>
      </w:r>
      <w:r>
        <w:t>Remove the restricted-cash references if there is no restricted cash, or add the reconciliation. Delete the zero line. Reconcile the withholding amount. Add dividends declared but unpaid ($12.7 million) to the supplemental non-cash disclosure.</w:t>
      </w:r>
    </w:p>
    <w:p>
      <w:pPr>
        <w:spacing w:after="80"/>
      </w:pPr>
      <w:r>
        <w:rPr>
          <w:b/>
        </w:rPr>
        <w:t xml:space="preserve">Responsible: </w:t>
      </w:r>
      <w:r>
        <w:t>Company (Finance)</w:t>
      </w:r>
    </w:p>
    <w:p>
      <w:pPr>
        <w:pStyle w:val="Heading2"/>
      </w:pPr>
      <w:r>
        <w:t>D. Notes to Condensed Consolidated Financial Statements</w:t>
      </w:r>
    </w:p>
    <w:p>
      <w:pPr>
        <w:spacing w:before="120" w:after="60"/>
      </w:pPr>
      <w:r>
        <w:rPr>
          <w:b/>
        </w:rPr>
        <w:t xml:space="preserve">Finding 15. Note 3 (PolyShield) omits required ASC 805 interim disclosures </w:t>
      </w:r>
      <w:r>
        <w:rPr>
          <w:b/>
          <w:color w:val="E46C0A"/>
        </w:rPr>
        <w:t>[High]</w:t>
      </w:r>
    </w:p>
    <w:p>
      <w:pPr>
        <w:spacing w:after="80"/>
      </w:pPr>
      <w:r>
        <w:rPr>
          <w:b/>
        </w:rPr>
        <w:t xml:space="preserve">Location: </w:t>
      </w:r>
      <w:r>
        <w:t>Note 3 – Business Combinations</w:t>
      </w:r>
    </w:p>
    <w:p>
      <w:pPr>
        <w:spacing w:after="80"/>
      </w:pPr>
      <w:r>
        <w:rPr>
          <w:b/>
        </w:rPr>
        <w:t xml:space="preserve">Deficiency: </w:t>
      </w:r>
      <w:r>
        <w:t>Note 3 gives the consideration and a condensed preliminary allocation, which foots: $123.8 million of assets less $31.1 million of liabilities equals $92.7 million, plus $72.3 million of goodwill equals $165.0 million. It omits: (a) the contingent consideration arrangement, meaning the basis for payment (revenue targets over 24 months), the undiscounted range of outcomes or maximum payable, and whether $25.0 million is fair value or face amount (Note 12 treats $25.0 million as acquisition-date fair value, which is identical to the headline earnout); (b) the $42.6 million of intangibles by major class, with weighted-average amortization periods; (c) a qualitative description of the factors that make up goodwill, and the amount of goodwill expected to be tax-deductible; (d) goodwill by segment (Advanced Materials); (e) acquisition-related costs and the line item where they were recognized (MD&amp;A cites PolyShield costs in SG&amp;A, and the Apex Strategic Advisors integration engagement carries a $3.8 million fixed fee); (f) PolyShield revenue and earnings since July 15, 2024 (MD&amp;A gives about $8.6 million of revenue, but the note does not); (g) supplemental pro forma revenue and earnings as if the acquisition had closed January 1, 2023, for the three- and nine-month periods; (h) the fair value, gross contractual amount and expected uncollectible amount of acquired receivables ($18.7 million); and (i) the specific items for which the initial accounting is incomplete, with reasons.</w:t>
      </w:r>
    </w:p>
    <w:p>
      <w:pPr>
        <w:spacing w:after="80"/>
      </w:pPr>
      <w:r>
        <w:rPr>
          <w:b/>
        </w:rPr>
        <w:t xml:space="preserve">Requirement / citation: </w:t>
      </w:r>
      <w:r>
        <w:t>ASC 805-10-50-2 (including (h), acquiree revenue/earnings and pro forma information for public business entities) and 805-10-50-6; ASC 805-20-50-1; ASC 805-30-50-1 and 805-30-50-4; ASC 350-30-50-1; ASC 270-10-50-7; Regulation S-X Rule 10-01(a)(5) (significant events since year-end). The General Counsel asked specifically for a complete ASC 805 interim disclosure.</w:t>
      </w:r>
    </w:p>
    <w:p>
      <w:pPr>
        <w:spacing w:after="80"/>
      </w:pPr>
      <w:r>
        <w:rPr>
          <w:b/>
        </w:rPr>
        <w:t xml:space="preserve">Recommended fix: </w:t>
      </w:r>
      <w:r>
        <w:t>Expand Note 3 to cover items (a)–(i). Reconcile the $42.6 million intangible allocation to the Note 6 gross additions (see Finding 16). Cross-reference the Level 3 roll-forward of contingent consideration in Note 12, and disclose any measurement-period adjustments recorded in Q3.</w:t>
      </w:r>
    </w:p>
    <w:p>
      <w:pPr>
        <w:spacing w:after="80"/>
      </w:pPr>
      <w:r>
        <w:rPr>
          <w:b/>
        </w:rPr>
        <w:t xml:space="preserve">Responsible: </w:t>
      </w:r>
      <w:r>
        <w:t>Company (Finance) / Ridgeline</w:t>
      </w:r>
    </w:p>
    <w:p>
      <w:pPr>
        <w:spacing w:before="120" w:after="60"/>
      </w:pPr>
      <w:r>
        <w:rPr>
          <w:b/>
        </w:rPr>
        <w:t xml:space="preserve">Finding 16. Note 6 intangible asset amounts do not reconcile </w:t>
      </w:r>
      <w:r>
        <w:rPr>
          <w:b/>
          <w:color w:val="E46C0A"/>
        </w:rPr>
        <w:t>[High]</w:t>
      </w:r>
    </w:p>
    <w:p>
      <w:pPr>
        <w:spacing w:after="80"/>
      </w:pPr>
      <w:r>
        <w:rPr>
          <w:b/>
        </w:rPr>
        <w:t xml:space="preserve">Location: </w:t>
      </w:r>
      <w:r>
        <w:t>Note 6 – Goodwill and Intangible Assets; balance sheet</w:t>
      </w:r>
    </w:p>
    <w:p>
      <w:pPr>
        <w:spacing w:after="80"/>
      </w:pPr>
      <w:r>
        <w:rPr>
          <w:b/>
        </w:rPr>
        <w:t xml:space="preserve">Deficiency: </w:t>
      </w:r>
      <w:r>
        <w:t>(i) Note 6 states that finite-lived intangibles plus $41.0 million of indefinite-lived trade names equal the balance-sheet totals at both dates. At December 31, 2023, $443.8 + $41.0 = $484.8 million, not the $543.8 million on the balance sheet, a $59.0 million difference. September 30, 2024 agrees ($477.2 + $41.0 = $518.2 million). (ii) Gross carrying amounts increased $66.6 million (customer relationships +$38.3 million, technology +$26.7 million, other +$1.6 million), but the PolyShield allocation assigns only $42.6 million to intangibles. (iii) Accumulated amortization increased $33.2 million, but nine-month amortization expense is stated as $25.6 million. (iv) Intangibles on the balance sheet fall from $543.8 million to $518.2 million despite the $42.6 million acquisition. The goodwill roll-forward ($1,212.3 + $72.3 = $1,284.6 million) agrees.</w:t>
      </w:r>
    </w:p>
    <w:p>
      <w:pPr>
        <w:spacing w:after="80"/>
      </w:pPr>
      <w:r>
        <w:rPr>
          <w:b/>
        </w:rPr>
        <w:t xml:space="preserve">Requirement / citation: </w:t>
      </w:r>
      <w:r>
        <w:t>ASC 350-30-50-1 and 50-2; ASC 350-20-50-1; Regulation S-X Rule 10-01(a)(5); Exchange Act Rule 12b-20.</w:t>
      </w:r>
    </w:p>
    <w:p>
      <w:pPr>
        <w:spacing w:after="80"/>
      </w:pPr>
      <w:r>
        <w:rPr>
          <w:b/>
        </w:rPr>
        <w:t xml:space="preserve">Recommended fix: </w:t>
      </w:r>
      <w:r>
        <w:t>Finance and Ridgeline should reconcile the intangible roll-forward (opening balance, PolyShield additions by class, amortization, FX) to the ledger and correct Note 6, Note 3 and the balance sheet as needed. Extend the impairment-indicator statement to the nine-month period and address the class action and market capitalization.</w:t>
      </w:r>
    </w:p>
    <w:p>
      <w:pPr>
        <w:spacing w:after="80"/>
      </w:pPr>
      <w:r>
        <w:rPr>
          <w:b/>
        </w:rPr>
        <w:t xml:space="preserve">Responsible: </w:t>
      </w:r>
      <w:r>
        <w:t>Company (Finance) / Ridgeline</w:t>
      </w:r>
    </w:p>
    <w:p>
      <w:pPr>
        <w:spacing w:before="120" w:after="60"/>
      </w:pPr>
      <w:r>
        <w:rPr>
          <w:b/>
        </w:rPr>
        <w:t xml:space="preserve">Finding 17. Note 5 maturity schedule inconsistent with term loan terms; amendment number unclear </w:t>
      </w:r>
      <w:r>
        <w:rPr>
          <w:b/>
          <w:color w:val="BF9000"/>
        </w:rPr>
        <w:t>[Medium]</w:t>
      </w:r>
    </w:p>
    <w:p>
      <w:pPr>
        <w:spacing w:after="80"/>
      </w:pPr>
      <w:r>
        <w:rPr>
          <w:b/>
        </w:rPr>
        <w:t xml:space="preserve">Location: </w:t>
      </w:r>
      <w:r>
        <w:t>Note 5 – Debt</w:t>
      </w:r>
    </w:p>
    <w:p>
      <w:pPr>
        <w:spacing w:after="80"/>
      </w:pPr>
      <w:r>
        <w:rPr>
          <w:b/>
        </w:rPr>
        <w:t xml:space="preserve">Deficiency: </w:t>
      </w:r>
      <w:r>
        <w:t>Note 5 says the August 20, 2024 amendment extended maturity from March 15, 2027 to August 20, 2029 but “did not modify the term loan facility.” If the term loan still matures on March 15, 2027, the maturity table should show a 2027 balloon payment of roughly $500 million or more, not $75.0 million. Separately, the schedule implies amortization of $18.75 million per quarter (remainder of 2024 $25.0 million; $75.0 million per year), while actual 2024 repayments were $37.5 million over nine months ($12.5 million per quarter). The amendment is called “Amendment No. 3” in the transmittal e-mail and “Amendment No. 1” in the Material Contracts Log. The maturity table foots to $785.0 million.</w:t>
      </w:r>
    </w:p>
    <w:p>
      <w:pPr>
        <w:spacing w:after="80"/>
      </w:pPr>
      <w:r>
        <w:rPr>
          <w:b/>
        </w:rPr>
        <w:t xml:space="preserve">Requirement / citation: </w:t>
      </w:r>
      <w:r>
        <w:t>ASC 470-10-50-1 (maturities); Regulation S-X Rule 10-01(a)(5) (significant changes in long-term debt); Regulation S-K Item 303(b)(1).</w:t>
      </w:r>
    </w:p>
    <w:p>
      <w:pPr>
        <w:spacing w:after="80"/>
      </w:pPr>
      <w:r>
        <w:rPr>
          <w:b/>
        </w:rPr>
        <w:t xml:space="preserve">Recommended fix: </w:t>
      </w:r>
      <w:r>
        <w:t>Confirm the term loan maturity and amortization against the Credit Agreement as amended, correct the maturity table, and state which tranches the extension applies to. Use the correct amendment number consistently in Note 5, MD&amp;A and the exhibit index.</w:t>
      </w:r>
    </w:p>
    <w:p>
      <w:pPr>
        <w:spacing w:after="80"/>
      </w:pPr>
      <w:r>
        <w:rPr>
          <w:b/>
        </w:rPr>
        <w:t xml:space="preserve">Responsible: </w:t>
      </w:r>
      <w:r>
        <w:t>Company (Treasury/Legal) / Hargrove</w:t>
      </w:r>
    </w:p>
    <w:p>
      <w:pPr>
        <w:spacing w:before="120" w:after="60"/>
      </w:pPr>
      <w:r>
        <w:rPr>
          <w:b/>
        </w:rPr>
        <w:t xml:space="preserve">Finding 18. Loss contingency disclosure for the securities class action is incomplete </w:t>
      </w:r>
      <w:r>
        <w:rPr>
          <w:b/>
          <w:color w:val="E46C0A"/>
        </w:rPr>
        <w:t>[High]</w:t>
      </w:r>
    </w:p>
    <w:p>
      <w:pPr>
        <w:spacing w:after="80"/>
      </w:pPr>
      <w:r>
        <w:rPr>
          <w:b/>
        </w:rPr>
        <w:t xml:space="preserve">Location: </w:t>
      </w:r>
      <w:r>
        <w:t>Note 7 – Commitments and Contingencies (also Part II, Item 1)</w:t>
      </w:r>
    </w:p>
    <w:p>
      <w:pPr>
        <w:spacing w:after="80"/>
      </w:pPr>
      <w:r>
        <w:rPr>
          <w:b/>
        </w:rPr>
        <w:t xml:space="preserve">Deficiency: </w:t>
      </w:r>
      <w:r>
        <w:t>Note 7 describes the complaint but gives no ASC 450 assessment. It does not say whether a loss is probable, reasonably possible or remote; it gives neither an estimate of the possible loss or range of loss nor a statement that no estimate can be made; and it does not say whether any accrual has been recorded. The statement that the claims are “without merit” does not satisfy these requirements.</w:t>
      </w:r>
    </w:p>
    <w:p>
      <w:pPr>
        <w:spacing w:after="80"/>
      </w:pPr>
      <w:r>
        <w:rPr>
          <w:b/>
        </w:rPr>
        <w:t xml:space="preserve">Requirement / citation: </w:t>
      </w:r>
      <w:r>
        <w:t>ASC 450-20-50-3 to 50-5 (for a reasonably possible loss, the nature of the contingency and an estimate of possible loss or range, or a statement that such an estimate cannot be made); ASC 450-20-25-2; Regulation S-X Rule 10-01(a)(5).</w:t>
      </w:r>
    </w:p>
    <w:p>
      <w:pPr>
        <w:spacing w:after="80"/>
      </w:pPr>
      <w:r>
        <w:rPr>
          <w:b/>
        </w:rPr>
        <w:t xml:space="preserve">Recommended fix: </w:t>
      </w:r>
      <w:r>
        <w:t>Subject to the views of Ridgeline and litigation counsel, add language such as: “The litigation is at an early stage. The Company has not recorded an accrual because a loss is not probable and reasonably estimable, and the Company is currently unable to estimate the reasonably possible loss or range of loss, if any.” This meets the requirement without conceding liability. Add the class period and named plaintiff.</w:t>
      </w:r>
    </w:p>
    <w:p>
      <w:pPr>
        <w:spacing w:after="80"/>
      </w:pPr>
      <w:r>
        <w:rPr>
          <w:b/>
        </w:rPr>
        <w:t xml:space="preserve">Responsible: </w:t>
      </w:r>
      <w:r>
        <w:t>Company (Legal) / litigation counsel / Ridgeline</w:t>
      </w:r>
    </w:p>
    <w:p>
      <w:pPr>
        <w:spacing w:before="120" w:after="60"/>
      </w:pPr>
      <w:r>
        <w:rPr>
          <w:b/>
        </w:rPr>
        <w:t xml:space="preserve">Finding 19. Segment note presents only three-month data; reconciliation incomplete </w:t>
      </w:r>
      <w:r>
        <w:rPr>
          <w:b/>
          <w:color w:val="E46C0A"/>
        </w:rPr>
        <w:t>[High]</w:t>
      </w:r>
    </w:p>
    <w:p>
      <w:pPr>
        <w:spacing w:after="80"/>
      </w:pPr>
      <w:r>
        <w:rPr>
          <w:b/>
        </w:rPr>
        <w:t xml:space="preserve">Location: </w:t>
      </w:r>
      <w:r>
        <w:t>Note 8 – Segment Information</w:t>
      </w:r>
    </w:p>
    <w:p>
      <w:pPr>
        <w:spacing w:after="80"/>
      </w:pPr>
      <w:r>
        <w:rPr>
          <w:b/>
        </w:rPr>
        <w:t xml:space="preserve">Deficiency: </w:t>
      </w:r>
      <w:r>
        <w:t>Segment revenue and operating income are presented only for the three-month periods; there is no nine-month segment information. MD&amp;A acknowledges the gap (“our segment footnote presents quarterly segment results”). The reconciliation stops at consolidated operating income instead of income before income taxes. The material change in Advanced Materials assets from the PolyShield acquisition is not disclosed. The three-month figures themselves foot (Q3 2024: $47.2 + $28.8 − $5.6 = $70.4 million).</w:t>
      </w:r>
    </w:p>
    <w:p>
      <w:pPr>
        <w:spacing w:after="80"/>
      </w:pPr>
      <w:r>
        <w:rPr>
          <w:b/>
        </w:rPr>
        <w:t xml:space="preserve">Requirement / citation: </w:t>
      </w:r>
      <w:r>
        <w:t>ASC 280-10-50-32 (interim disclosure, for the current quarter and year-to-date, of segment revenues, segment profit or loss, material changes in segment assets, and a reconciliation of total segment profit or loss to consolidated income before income taxes).</w:t>
      </w:r>
    </w:p>
    <w:p>
      <w:pPr>
        <w:spacing w:after="80"/>
      </w:pPr>
      <w:r>
        <w:rPr>
          <w:b/>
        </w:rPr>
        <w:t xml:space="preserve">Recommended fix: </w:t>
      </w:r>
      <w:r>
        <w:t>Add nine-month 2024 and 2023 segment revenue and operating income. Extend the reconciliation to income before income taxes (interest expense and other income (expense), net). Disclose the change in Advanced Materials segment assets. Plan the ASU 2023-07 disclosures for the FY2024 Form 10-K.</w:t>
      </w:r>
    </w:p>
    <w:p>
      <w:pPr>
        <w:spacing w:after="80"/>
      </w:pPr>
      <w:r>
        <w:rPr>
          <w:b/>
        </w:rPr>
        <w:t xml:space="preserve">Responsible: </w:t>
      </w:r>
      <w:r>
        <w:t>Company (Finance) / Ridgeline</w:t>
      </w:r>
    </w:p>
    <w:p>
      <w:pPr>
        <w:spacing w:before="120" w:after="60"/>
      </w:pPr>
      <w:r>
        <w:rPr>
          <w:b/>
        </w:rPr>
        <w:t xml:space="preserve">Finding 20. Fair value note lacks Level 3 roll-forward and quantitative inputs; derivative presentation unclear </w:t>
      </w:r>
      <w:r>
        <w:rPr>
          <w:b/>
          <w:color w:val="BF9000"/>
        </w:rPr>
        <w:t>[Medium]</w:t>
      </w:r>
    </w:p>
    <w:p>
      <w:pPr>
        <w:spacing w:after="80"/>
      </w:pPr>
      <w:r>
        <w:rPr>
          <w:b/>
        </w:rPr>
        <w:t xml:space="preserve">Location: </w:t>
      </w:r>
      <w:r>
        <w:t>Note 12 – Fair Value Measurements</w:t>
      </w:r>
    </w:p>
    <w:p>
      <w:pPr>
        <w:spacing w:after="80"/>
      </w:pPr>
      <w:r>
        <w:rPr>
          <w:b/>
        </w:rPr>
        <w:t xml:space="preserve">Deficiency: </w:t>
      </w:r>
      <w:r>
        <w:t>Contingent consideration, a Level 3 measurement, moved from $25.0 million to $24.8 million. The note has no roll-forward showing the $0.2 million change recognized in earnings or the line item where it was recorded. It gives no range or weighted average for the significant unobservable inputs (revenue projections, volatility, discount rate). It also does not say whether the interest rate swaps ($3.1 million) and FX forwards ($1.8 million) are assets or liabilities or where they sit on the balance sheet. That matters because AOCI carries cumulative cash flow hedge losses of $9.8 million.</w:t>
      </w:r>
    </w:p>
    <w:p>
      <w:pPr>
        <w:spacing w:after="80"/>
      </w:pPr>
      <w:r>
        <w:rPr>
          <w:b/>
        </w:rPr>
        <w:t xml:space="preserve">Requirement / citation: </w:t>
      </w:r>
      <w:r>
        <w:t>ASC 820-10-50-2(c)(2) and 50-2(bbb) (Level 3 reconciliation and quantitative unobservable inputs, which apply in interim periods to public entities); ASC 815-10-50-4A to 4C; ASC 270-10-50-1.</w:t>
      </w:r>
    </w:p>
    <w:p>
      <w:pPr>
        <w:spacing w:after="80"/>
      </w:pPr>
      <w:r>
        <w:rPr>
          <w:b/>
        </w:rPr>
        <w:t xml:space="preserve">Recommended fix: </w:t>
      </w:r>
      <w:r>
        <w:t>Add the Level 3 roll-forward and a table of quantitative unobservable inputs. Show derivative assets and liabilities separately with their balance sheet captions, and add cash flow hedge reclassification information.</w:t>
      </w:r>
    </w:p>
    <w:p>
      <w:pPr>
        <w:spacing w:after="80"/>
      </w:pPr>
      <w:r>
        <w:rPr>
          <w:b/>
        </w:rPr>
        <w:t xml:space="preserve">Responsible: </w:t>
      </w:r>
      <w:r>
        <w:t>Company (Finance) / Ridgeline</w:t>
      </w:r>
    </w:p>
    <w:p>
      <w:pPr>
        <w:spacing w:before="120" w:after="60"/>
      </w:pPr>
      <w:r>
        <w:rPr>
          <w:b/>
        </w:rPr>
        <w:t xml:space="preserve">Finding 21. Recently issued accounting pronouncements disclosure is boilerplate </w:t>
      </w:r>
      <w:r>
        <w:rPr>
          <w:b/>
          <w:color w:val="548235"/>
        </w:rPr>
        <w:t>[Low]</w:t>
      </w:r>
    </w:p>
    <w:p>
      <w:pPr>
        <w:spacing w:after="80"/>
      </w:pPr>
      <w:r>
        <w:rPr>
          <w:b/>
        </w:rPr>
        <w:t xml:space="preserve">Location: </w:t>
      </w:r>
      <w:r>
        <w:t>Note 2 – Recently Issued Accounting Pronouncements</w:t>
      </w:r>
    </w:p>
    <w:p>
      <w:pPr>
        <w:spacing w:after="80"/>
      </w:pPr>
      <w:r>
        <w:rPr>
          <w:b/>
        </w:rPr>
        <w:t xml:space="preserve">Deficiency: </w:t>
      </w:r>
      <w:r>
        <w:t>ASU 2023-07 takes effect in the Company’s FY2024 Form 10-K (annual periods beginning after December 15, 2023) and applies retrospectively to all periods presented. With one quarter left before adoption, “currently evaluating” is unlikely to satisfy staff expectations. The ASU 2023-09 disclosure is also generic.</w:t>
      </w:r>
    </w:p>
    <w:p>
      <w:pPr>
        <w:spacing w:after="80"/>
      </w:pPr>
      <w:r>
        <w:rPr>
          <w:b/>
        </w:rPr>
        <w:t xml:space="preserve">Requirement / citation: </w:t>
      </w:r>
      <w:r>
        <w:t>SEC Staff Accounting Bulletin Topic 11.M (SAB 74): disclose the expected effect of adopting standards issued but not yet effective, to the extent reasonably estimable.</w:t>
      </w:r>
    </w:p>
    <w:p>
      <w:pPr>
        <w:spacing w:after="80"/>
      </w:pPr>
      <w:r>
        <w:rPr>
          <w:b/>
        </w:rPr>
        <w:t xml:space="preserve">Recommended fix: </w:t>
      </w:r>
      <w:r>
        <w:t>State that the Company will adopt ASU 2023-07 in its FY2024 Form 10-K on a retrospective basis. Describe the expected incremental disclosures (significant segment expenses regularly provided to the CODM; the CODM’s title and position) and confirm there is no expected effect on financial position or results.</w:t>
      </w:r>
    </w:p>
    <w:p>
      <w:pPr>
        <w:spacing w:after="80"/>
      </w:pPr>
      <w:r>
        <w:rPr>
          <w:b/>
        </w:rPr>
        <w:t xml:space="preserve">Responsible: </w:t>
      </w:r>
      <w:r>
        <w:t>Company (Finance)</w:t>
      </w:r>
    </w:p>
    <w:p>
      <w:pPr>
        <w:spacing w:before="120" w:after="60"/>
      </w:pPr>
      <w:r>
        <w:rPr>
          <w:b/>
        </w:rPr>
        <w:t xml:space="preserve">Finding 22. Subsequent events conclusion must be refreshed through the filing date </w:t>
      </w:r>
      <w:r>
        <w:rPr>
          <w:b/>
          <w:color w:val="548235"/>
        </w:rPr>
        <w:t>[Low]</w:t>
      </w:r>
    </w:p>
    <w:p>
      <w:pPr>
        <w:spacing w:after="80"/>
      </w:pPr>
      <w:r>
        <w:rPr>
          <w:b/>
        </w:rPr>
        <w:t xml:space="preserve">Location: </w:t>
      </w:r>
      <w:r>
        <w:t>Note 13 – Subsequent Events</w:t>
      </w:r>
    </w:p>
    <w:p>
      <w:pPr>
        <w:spacing w:after="80"/>
      </w:pPr>
      <w:r>
        <w:rPr>
          <w:b/>
        </w:rPr>
        <w:t xml:space="preserve">Deficiency: </w:t>
      </w:r>
      <w:r>
        <w:t>The note concludes that there are no reportable subsequent events. Before filing, confirm the following: payment of the October 25, 2024 dividend (see Finding 11); developments in the class action, such as lead-plaintiff motions or related derivative demands; further revolver activity; and any measurement-period adjustments.</w:t>
      </w:r>
    </w:p>
    <w:p>
      <w:pPr>
        <w:spacing w:after="80"/>
      </w:pPr>
      <w:r>
        <w:rPr>
          <w:b/>
        </w:rPr>
        <w:t xml:space="preserve">Requirement / citation: </w:t>
      </w:r>
      <w:r>
        <w:t>ASC 855-10-25 and 855-10-50; Regulation S-X Rule 10-01(a)(5).</w:t>
      </w:r>
    </w:p>
    <w:p>
      <w:pPr>
        <w:spacing w:after="80"/>
      </w:pPr>
      <w:r>
        <w:rPr>
          <w:b/>
        </w:rPr>
        <w:t xml:space="preserve">Recommended fix: </w:t>
      </w:r>
      <w:r>
        <w:t>Perform an updated subsequent-events review through the filing date, coordinated with Ridgeline’s cut-off procedures.</w:t>
      </w:r>
    </w:p>
    <w:p>
      <w:pPr>
        <w:spacing w:after="80"/>
      </w:pPr>
      <w:r>
        <w:rPr>
          <w:b/>
        </w:rPr>
        <w:t xml:space="preserve">Responsible: </w:t>
      </w:r>
      <w:r>
        <w:t>Company (Finance/Legal)</w:t>
      </w:r>
    </w:p>
    <w:p>
      <w:pPr>
        <w:pStyle w:val="Heading2"/>
      </w:pPr>
      <w:r>
        <w:t>E. Management’s Discussion and Analysis (Part I, Item 2)</w:t>
      </w:r>
    </w:p>
    <w:p>
      <w:pPr>
        <w:spacing w:before="120" w:after="60"/>
      </w:pPr>
      <w:r>
        <w:rPr>
          <w:b/>
        </w:rPr>
        <w:t xml:space="preserve">Finding 23. MD&amp;A omits known trends and uncertainties (class action, earnout, covenants) </w:t>
      </w:r>
      <w:r>
        <w:rPr>
          <w:b/>
          <w:color w:val="BF9000"/>
        </w:rPr>
        <w:t>[Medium]</w:t>
      </w:r>
    </w:p>
    <w:p>
      <w:pPr>
        <w:spacing w:after="80"/>
      </w:pPr>
      <w:r>
        <w:rPr>
          <w:b/>
        </w:rPr>
        <w:t xml:space="preserve">Location: </w:t>
      </w:r>
      <w:r>
        <w:t>MD&amp;A – Overview; Liquidity and Capital Resources; Critical Accounting Estimates</w:t>
      </w:r>
    </w:p>
    <w:p>
      <w:pPr>
        <w:spacing w:after="80"/>
      </w:pPr>
      <w:r>
        <w:rPr>
          <w:b/>
        </w:rPr>
        <w:t xml:space="preserve">Deficiency: </w:t>
      </w:r>
      <w:r>
        <w:t>MD&amp;A does not mention the September 5, 2024 class action, which challenges revenue recognition in Specialty Coatings, the Company’s largest segment, as a known uncertainty. It also omits the $25.0 million contingent consideration payable over 24 months, the covenant thresholds (4.0x maximum net leverage; 3.0x minimum interest coverage) and the Company’s headroom against them, and the $82.5 million of remaining repurchase authorization. The critical accounting estimates discussion of the business combination and contingent consideration is qualitative only.</w:t>
      </w:r>
    </w:p>
    <w:p>
      <w:pPr>
        <w:spacing w:after="80"/>
      </w:pPr>
      <w:r>
        <w:rPr>
          <w:b/>
        </w:rPr>
        <w:t xml:space="preserve">Requirement / citation: </w:t>
      </w:r>
      <w:r>
        <w:t>Regulation S-K Item 303(b)(1) (liquidity, capital resources and material cash requirements), 303(b)(2)(ii) (known trends or uncertainties), 303(b)(3) (critical accounting estimates, qualitative and quantitative) and 303(c) (interim periods); SEC Release No. 33-10890.</w:t>
      </w:r>
    </w:p>
    <w:p>
      <w:pPr>
        <w:spacing w:after="80"/>
      </w:pPr>
      <w:r>
        <w:rPr>
          <w:b/>
        </w:rPr>
        <w:t xml:space="preserve">Recommended fix: </w:t>
      </w:r>
      <w:r>
        <w:t>Add a brief, neutral cross-reference to the litigation that is consistent with Note 7. Add the earnout payment profile and covenant compliance to the liquidity discussion. Add sensitivity or range information for the contingent consideration and intangible valuation estimates.</w:t>
      </w:r>
    </w:p>
    <w:p>
      <w:pPr>
        <w:spacing w:after="80"/>
      </w:pPr>
      <w:r>
        <w:rPr>
          <w:b/>
        </w:rPr>
        <w:t xml:space="preserve">Responsible: </w:t>
      </w:r>
      <w:r>
        <w:t>Hargrove / Company (Finance)</w:t>
      </w:r>
    </w:p>
    <w:p>
      <w:pPr>
        <w:spacing w:before="120" w:after="60"/>
      </w:pPr>
      <w:r>
        <w:rPr>
          <w:b/>
        </w:rPr>
        <w:t xml:space="preserve">Finding 24. “Net debt” presented without the required non-GAAP disclosures </w:t>
      </w:r>
      <w:r>
        <w:rPr>
          <w:b/>
          <w:color w:val="BF9000"/>
        </w:rPr>
        <w:t>[Medium]</w:t>
      </w:r>
    </w:p>
    <w:p>
      <w:pPr>
        <w:spacing w:after="80"/>
      </w:pPr>
      <w:r>
        <w:rPr>
          <w:b/>
        </w:rPr>
        <w:t xml:space="preserve">Location: </w:t>
      </w:r>
      <w:r>
        <w:t>MD&amp;A – Liquidity and Capital Resources</w:t>
      </w:r>
    </w:p>
    <w:p>
      <w:pPr>
        <w:spacing w:after="80"/>
      </w:pPr>
      <w:r>
        <w:rPr>
          <w:b/>
        </w:rPr>
        <w:t xml:space="preserve">Deficiency: </w:t>
      </w:r>
      <w:r>
        <w:t>MD&amp;A presents “net debt” of $472.6 million ($785.0 million total debt less $312.4 million cash; the arithmetic is correct). Net debt is a non-GAAP financial measure, and the draft gives neither a statement of why it is useful to investors nor a reconciliation to total debt presented with equal or greater prominence.</w:t>
      </w:r>
    </w:p>
    <w:p>
      <w:pPr>
        <w:spacing w:after="80"/>
      </w:pPr>
      <w:r>
        <w:rPr>
          <w:b/>
        </w:rPr>
        <w:t xml:space="preserve">Requirement / citation: </w:t>
      </w:r>
      <w:r>
        <w:t>Regulation S-K Item 10(e)(1)(i); Regulation G; SEC staff Compliance and Disclosure Interpretations on Non-GAAP Financial Measures.</w:t>
      </w:r>
    </w:p>
    <w:p>
      <w:pPr>
        <w:spacing w:after="80"/>
      </w:pPr>
      <w:r>
        <w:rPr>
          <w:b/>
        </w:rPr>
        <w:t xml:space="preserve">Recommended fix: </w:t>
      </w:r>
      <w:r>
        <w:t>Either delete the measure or add a reconciliation (total debt, less cash and cash equivalents, equals net debt) and a statement of its usefulness and of any other purposes for which management uses it.</w:t>
      </w:r>
    </w:p>
    <w:p>
      <w:pPr>
        <w:spacing w:after="80"/>
      </w:pPr>
      <w:r>
        <w:rPr>
          <w:b/>
        </w:rPr>
        <w:t xml:space="preserve">Responsible: </w:t>
      </w:r>
      <w:r>
        <w:t>Hargrove / Company (Finance)</w:t>
      </w:r>
    </w:p>
    <w:p>
      <w:pPr>
        <w:spacing w:before="120" w:after="60"/>
      </w:pPr>
      <w:r>
        <w:rPr>
          <w:b/>
        </w:rPr>
        <w:t xml:space="preserve">Finding 25. Nine-month and segment MD&amp;A not fully quantified; EPS conformity </w:t>
      </w:r>
      <w:r>
        <w:rPr>
          <w:b/>
          <w:color w:val="548235"/>
        </w:rPr>
        <w:t>[Low]</w:t>
      </w:r>
    </w:p>
    <w:p>
      <w:pPr>
        <w:spacing w:after="80"/>
      </w:pPr>
      <w:r>
        <w:rPr>
          <w:b/>
        </w:rPr>
        <w:t xml:space="preserve">Location: </w:t>
      </w:r>
      <w:r>
        <w:t>MD&amp;A – Nine-Month Results; Segment Results Discussion</w:t>
      </w:r>
    </w:p>
    <w:p>
      <w:pPr>
        <w:spacing w:after="80"/>
      </w:pPr>
      <w:r>
        <w:rPr>
          <w:b/>
        </w:rPr>
        <w:t xml:space="preserve">Deficiency: </w:t>
      </w:r>
      <w:r>
        <w:t>The nine-month segment discussion is qualitative only, with no year-to-date segment figures, consistent with the gap in Note 8. MD&amp;A names the PolyShield acquisition costs in SG&amp;A and the inventory step-up as drivers but does not quantify either. Nine-month 2023 diluted EPS needs to be conformed (Finding 12). The organic versus acquired split for Advanced Materials (about $8.6 million of the $13.1 million increase came from PolyShield) belongs in the segment section, and PolyShield’s operating income contribution should be quantified if material.</w:t>
      </w:r>
    </w:p>
    <w:p>
      <w:pPr>
        <w:spacing w:after="80"/>
      </w:pPr>
      <w:r>
        <w:rPr>
          <w:b/>
        </w:rPr>
        <w:t xml:space="preserve">Requirement / citation: </w:t>
      </w:r>
      <w:r>
        <w:t>Regulation S-K Item 303(b)(2) and 303(c)(2) (material changes in results for the quarter and year-to-date, including quantification of offsetting factors where practicable).</w:t>
      </w:r>
    </w:p>
    <w:p>
      <w:pPr>
        <w:spacing w:after="80"/>
      </w:pPr>
      <w:r>
        <w:rPr>
          <w:b/>
        </w:rPr>
        <w:t xml:space="preserve">Recommended fix: </w:t>
      </w:r>
      <w:r>
        <w:t>Add nine-month segment figures and quantify the acquisition-related cost and step-up effects. Conform EPS.</w:t>
      </w:r>
    </w:p>
    <w:p>
      <w:pPr>
        <w:spacing w:after="80"/>
      </w:pPr>
      <w:r>
        <w:rPr>
          <w:b/>
        </w:rPr>
        <w:t xml:space="preserve">Responsible: </w:t>
      </w:r>
      <w:r>
        <w:t>Hargrove / Company (Finance)</w:t>
      </w:r>
    </w:p>
    <w:p>
      <w:pPr>
        <w:pStyle w:val="Heading2"/>
      </w:pPr>
      <w:r>
        <w:t>F. Quantitative and Qualitative Disclosures About Market Risk (Part I, Item 3)</w:t>
      </w:r>
    </w:p>
    <w:p>
      <w:pPr>
        <w:spacing w:before="120" w:after="60"/>
      </w:pPr>
      <w:r>
        <w:rPr>
          <w:b/>
        </w:rPr>
        <w:t xml:space="preserve">Finding 26. Interest rate sensitivity does not reconcile to variable-rate debt </w:t>
      </w:r>
      <w:r>
        <w:rPr>
          <w:b/>
          <w:color w:val="548235"/>
        </w:rPr>
        <w:t>[Low]</w:t>
      </w:r>
    </w:p>
    <w:p>
      <w:pPr>
        <w:spacing w:after="80"/>
      </w:pPr>
      <w:r>
        <w:rPr>
          <w:b/>
        </w:rPr>
        <w:t xml:space="preserve">Location: </w:t>
      </w:r>
      <w:r>
        <w:t>Part I, Item 3 – Interest Rate Risk</w:t>
      </w:r>
    </w:p>
    <w:p>
      <w:pPr>
        <w:spacing w:after="80"/>
      </w:pPr>
      <w:r>
        <w:rPr>
          <w:b/>
        </w:rPr>
        <w:t xml:space="preserve">Deficiency: </w:t>
      </w:r>
      <w:r>
        <w:t>Variable-rate debt is $685.0 million ($635.0 million term loan plus $50.0 million revolver), so a 100 basis-point increase implies about $6.85 million of annual interest. The draft states $6.4 million. The gap may reflect swap hedging, but the hedged notional is not disclosed. The lead-in says there were no material changes “except as discussed below” but does not identify what changed (e.g., the larger revolver and the $50.0 million draw).</w:t>
      </w:r>
    </w:p>
    <w:p>
      <w:pPr>
        <w:spacing w:after="80"/>
      </w:pPr>
      <w:r>
        <w:rPr>
          <w:b/>
        </w:rPr>
        <w:t xml:space="preserve">Requirement / citation: </w:t>
      </w:r>
      <w:r>
        <w:t>Regulation S-K Item 305(c) (material changes in market risk in quarterly reports); Item 305(a).</w:t>
      </w:r>
    </w:p>
    <w:p>
      <w:pPr>
        <w:spacing w:after="80"/>
      </w:pPr>
      <w:r>
        <w:rPr>
          <w:b/>
        </w:rPr>
        <w:t xml:space="preserve">Recommended fix: </w:t>
      </w:r>
      <w:r>
        <w:t>Reconcile the $6.4 million figure, disclose the swap notional assumed, and identify the changes since the FY2023 Form 10-K.</w:t>
      </w:r>
    </w:p>
    <w:p>
      <w:pPr>
        <w:spacing w:after="80"/>
      </w:pPr>
      <w:r>
        <w:rPr>
          <w:b/>
        </w:rPr>
        <w:t xml:space="preserve">Responsible: </w:t>
      </w:r>
      <w:r>
        <w:t>Company (Treasury) / Hargrove</w:t>
      </w:r>
    </w:p>
    <w:p>
      <w:pPr>
        <w:pStyle w:val="Heading2"/>
      </w:pPr>
      <w:r>
        <w:t>G. Controls and Procedures (Part I, Item 4)</w:t>
      </w:r>
    </w:p>
    <w:p>
      <w:pPr>
        <w:spacing w:before="120" w:after="60"/>
      </w:pPr>
      <w:r>
        <w:rPr>
          <w:b/>
        </w:rPr>
        <w:t xml:space="preserve">Finding 27. Disclosure controls conclusion missing – placeholder “[Conclusion to be inserted]” </w:t>
      </w:r>
      <w:r>
        <w:rPr>
          <w:b/>
          <w:color w:val="C00000"/>
        </w:rPr>
        <w:t>[Critical]</w:t>
      </w:r>
    </w:p>
    <w:p>
      <w:pPr>
        <w:spacing w:after="80"/>
      </w:pPr>
      <w:r>
        <w:rPr>
          <w:b/>
        </w:rPr>
        <w:t xml:space="preserve">Location: </w:t>
      </w:r>
      <w:r>
        <w:t>Part I, Item 4 – Evaluation of Disclosure Controls and Procedures</w:t>
      </w:r>
    </w:p>
    <w:p>
      <w:pPr>
        <w:spacing w:after="80"/>
      </w:pPr>
      <w:r>
        <w:rPr>
          <w:b/>
        </w:rPr>
        <w:t xml:space="preserve">Deficiency: </w:t>
      </w:r>
      <w:r>
        <w:t>The draft describes the evaluation but gives no conclusion. The CEO and CFO must state their conclusion on the effectiveness of disclosure controls as of September 30, 2024. In paragraph 4(c) of each Section 302 certification the officers certify that this conclusion is “presented in this report”, so without it the certifications would be inaccurate. In reaching the conclusion, management should weigh the class action allegations about Specialty Coatings revenue recognition and the PolyShield integration.</w:t>
      </w:r>
    </w:p>
    <w:p>
      <w:pPr>
        <w:spacing w:after="80"/>
      </w:pPr>
      <w:r>
        <w:rPr>
          <w:b/>
        </w:rPr>
        <w:t xml:space="preserve">Requirement / citation: </w:t>
      </w:r>
      <w:r>
        <w:t>Regulation S-K Item 307; Exchange Act Rules 13a-15(b) and 15d-15(b); Item 601(b)(31)(i), paragraph 4(c). Compare the Q2 2024 10-Q, Item 4.</w:t>
      </w:r>
    </w:p>
    <w:p>
      <w:pPr>
        <w:spacing w:after="80"/>
      </w:pPr>
      <w:r>
        <w:rPr>
          <w:b/>
        </w:rPr>
        <w:t xml:space="preserve">Recommended fix: </w:t>
      </w:r>
      <w:r>
        <w:t>If supported, insert: “Based on that evaluation, our Chief Executive Officer and Chief Financial Officer concluded that, as of September 30, 2024, our disclosure controls and procedures were effective at the reasonable assurance level.” Document the disclosure committee and sub-certification support. If any deficiency is identified, consult us before finalizing.</w:t>
      </w:r>
    </w:p>
    <w:p>
      <w:pPr>
        <w:spacing w:after="80"/>
      </w:pPr>
      <w:r>
        <w:rPr>
          <w:b/>
        </w:rPr>
        <w:t xml:space="preserve">Responsible: </w:t>
      </w:r>
      <w:r>
        <w:t>Company (CEO/CFO/Disclosure Committee) / Hargrove</w:t>
      </w:r>
    </w:p>
    <w:p>
      <w:pPr>
        <w:spacing w:before="120" w:after="60"/>
      </w:pPr>
      <w:r>
        <w:rPr>
          <w:b/>
        </w:rPr>
        <w:t xml:space="preserve">Finding 28. Changes in ICFR paragraph internally inconsistent regarding PolyShield </w:t>
      </w:r>
      <w:r>
        <w:rPr>
          <w:b/>
          <w:color w:val="BF9000"/>
        </w:rPr>
        <w:t>[Medium]</w:t>
      </w:r>
    </w:p>
    <w:p>
      <w:pPr>
        <w:spacing w:after="80"/>
      </w:pPr>
      <w:r>
        <w:rPr>
          <w:b/>
        </w:rPr>
        <w:t xml:space="preserve">Location: </w:t>
      </w:r>
      <w:r>
        <w:t>Part I, Item 4 – Changes in Internal Control Over Financial Reporting</w:t>
      </w:r>
    </w:p>
    <w:p>
      <w:pPr>
        <w:spacing w:after="80"/>
      </w:pPr>
      <w:r>
        <w:rPr>
          <w:b/>
        </w:rPr>
        <w:t xml:space="preserve">Deficiency: </w:t>
      </w:r>
      <w:r>
        <w:t>The draft first says there were “no changes” in ICFR during the quarter that materially affected, or are reasonably likely to materially affect, ICFR. It then says the Company is integrating PolyShield’s internal controls and expects to finish in the first half of 2025. It does not say whether PolyShield will be excluded from management’s FY2024 ICFR assessment, which the SEC staff permits for a business acquired during the year.</w:t>
      </w:r>
    </w:p>
    <w:p>
      <w:pPr>
        <w:spacing w:after="80"/>
      </w:pPr>
      <w:r>
        <w:rPr>
          <w:b/>
        </w:rPr>
        <w:t xml:space="preserve">Requirement / citation: </w:t>
      </w:r>
      <w:r>
        <w:t>Regulation S-K Item 308(c); Exchange Act Rules 13a-15(d) and 15d-15(d); SEC staff FAQ on Management’s Report on ICFR (Question 3, exclusion of acquired businesses for up to one year).</w:t>
      </w:r>
    </w:p>
    <w:p>
      <w:pPr>
        <w:spacing w:after="80"/>
      </w:pPr>
      <w:r>
        <w:rPr>
          <w:b/>
        </w:rPr>
        <w:t xml:space="preserve">Recommended fix: </w:t>
      </w:r>
      <w:r>
        <w:t>Revise to: “On July 15, 2024, we acquired PolyShield Composites LLC and are in the process of integrating PolyShield into our internal control over financial reporting. Except for the incorporation of PolyShield’s controls, there were no changes …”. If management plans to exclude PolyShield from the December 31, 2024 assessment, say so.</w:t>
      </w:r>
    </w:p>
    <w:p>
      <w:pPr>
        <w:spacing w:after="80"/>
      </w:pPr>
      <w:r>
        <w:rPr>
          <w:b/>
        </w:rPr>
        <w:t xml:space="preserve">Responsible: </w:t>
      </w:r>
      <w:r>
        <w:t>Company (Finance) / Hargrove</w:t>
      </w:r>
    </w:p>
    <w:p>
      <w:pPr>
        <w:pStyle w:val="Heading2"/>
      </w:pPr>
      <w:r>
        <w:t>H. Part II – Other Information</w:t>
      </w:r>
    </w:p>
    <w:p>
      <w:pPr>
        <w:spacing w:before="120" w:after="60"/>
      </w:pPr>
      <w:r>
        <w:rPr>
          <w:b/>
        </w:rPr>
        <w:t xml:space="preserve">Finding 29. Legal Proceedings disclosure lacks some Item 103 elements </w:t>
      </w:r>
      <w:r>
        <w:rPr>
          <w:b/>
          <w:color w:val="BF9000"/>
        </w:rPr>
        <w:t>[Medium]</w:t>
      </w:r>
    </w:p>
    <w:p>
      <w:pPr>
        <w:spacing w:after="80"/>
      </w:pPr>
      <w:r>
        <w:rPr>
          <w:b/>
        </w:rPr>
        <w:t xml:space="preserve">Location: </w:t>
      </w:r>
      <w:r>
        <w:t>Part II, Item 1 – Legal Proceedings</w:t>
      </w:r>
    </w:p>
    <w:p>
      <w:pPr>
        <w:spacing w:after="80"/>
      </w:pPr>
      <w:r>
        <w:rPr>
          <w:b/>
        </w:rPr>
        <w:t xml:space="preserve">Deficiency: </w:t>
      </w:r>
      <w:r>
        <w:t>The disclosure gives the court, date, case number, defendants and claims. It omits the named plaintiff (a principal party) and the alleged class period, and its description of the alleged factual basis is thin. It also repeats Note 7 instead of cross-referencing it, which creates a risk of inconsistency.</w:t>
      </w:r>
    </w:p>
    <w:p>
      <w:pPr>
        <w:spacing w:after="80"/>
      </w:pPr>
      <w:r>
        <w:rPr>
          <w:b/>
        </w:rPr>
        <w:t xml:space="preserve">Requirement / citation: </w:t>
      </w:r>
      <w:r>
        <w:t>Regulation S-K Item 103(a) (court, date instituted, principal parties, factual basis alleged, relief sought; cross-reference to the financial statement notes permitted); Form 10-Q Part II, Item 1.</w:t>
      </w:r>
    </w:p>
    <w:p>
      <w:pPr>
        <w:spacing w:after="80"/>
      </w:pPr>
      <w:r>
        <w:rPr>
          <w:b/>
        </w:rPr>
        <w:t xml:space="preserve">Recommended fix: </w:t>
      </w:r>
      <w:r>
        <w:t>Add the named plaintiff and class period, or cross-reference Note 7 once Note 7 is completed. Keep the “intends to vigorously defend” language, avoid further characterizing the merits, and have litigation counsel review the text against the pleadings.</w:t>
      </w:r>
    </w:p>
    <w:p>
      <w:pPr>
        <w:spacing w:after="80"/>
      </w:pPr>
      <w:r>
        <w:rPr>
          <w:b/>
        </w:rPr>
        <w:t xml:space="preserve">Responsible: </w:t>
      </w:r>
      <w:r>
        <w:t>Hargrove / litigation counsel</w:t>
      </w:r>
    </w:p>
    <w:p>
      <w:pPr>
        <w:spacing w:before="120" w:after="60"/>
      </w:pPr>
      <w:r>
        <w:rPr>
          <w:b/>
        </w:rPr>
        <w:t xml:space="preserve">Finding 30. Issuer repurchase disclosure – program details and withheld shares </w:t>
      </w:r>
      <w:r>
        <w:rPr>
          <w:b/>
          <w:color w:val="548235"/>
        </w:rPr>
        <w:t>[Low]</w:t>
      </w:r>
    </w:p>
    <w:p>
      <w:pPr>
        <w:spacing w:after="80"/>
      </w:pPr>
      <w:r>
        <w:rPr>
          <w:b/>
        </w:rPr>
        <w:t xml:space="preserve">Location: </w:t>
      </w:r>
      <w:r>
        <w:t>Part II, Item 2(c)</w:t>
      </w:r>
    </w:p>
    <w:p>
      <w:pPr>
        <w:spacing w:after="80"/>
      </w:pPr>
      <w:r>
        <w:rPr>
          <w:b/>
        </w:rPr>
        <w:t xml:space="preserve">Deficiency: </w:t>
      </w:r>
      <w:r>
        <w:t>The table and narrative do not give the date the $150.0 million program was announced. The cash flow statement shows $3.5 million of tax withholding on equity awards for the nine months. Shares withheld to satisfy tax obligations are issuer purchases and must appear in the monthly table if any occurred in Q3.</w:t>
      </w:r>
    </w:p>
    <w:p>
      <w:pPr>
        <w:spacing w:after="80"/>
      </w:pPr>
      <w:r>
        <w:rPr>
          <w:b/>
        </w:rPr>
        <w:t xml:space="preserve">Requirement / citation: </w:t>
      </w:r>
      <w:r>
        <w:t>Regulation S-K Item 703 and its Instructions (announcement date, approved amount, expiration date; all purchases by or on behalf of the issuer).</w:t>
      </w:r>
    </w:p>
    <w:p>
      <w:pPr>
        <w:spacing w:after="80"/>
      </w:pPr>
      <w:r>
        <w:rPr>
          <w:b/>
        </w:rPr>
        <w:t xml:space="preserve">Recommended fix: </w:t>
      </w:r>
      <w:r>
        <w:t>Add the announcement date. Confirm whether any shares were withheld or surrendered in July–September 2024 and, if so, report them with an explanatory footnote.</w:t>
      </w:r>
    </w:p>
    <w:p>
      <w:pPr>
        <w:spacing w:after="80"/>
      </w:pPr>
      <w:r>
        <w:rPr>
          <w:b/>
        </w:rPr>
        <w:t xml:space="preserve">Responsible: </w:t>
      </w:r>
      <w:r>
        <w:t>Company (Legal/Finance) / Hargrove</w:t>
      </w:r>
    </w:p>
    <w:p>
      <w:pPr>
        <w:spacing w:before="120" w:after="60"/>
      </w:pPr>
      <w:r>
        <w:rPr>
          <w:b/>
        </w:rPr>
        <w:t xml:space="preserve">Finding 31. Risk factors and Other Information – confirmatory items </w:t>
      </w:r>
      <w:r>
        <w:rPr>
          <w:b/>
          <w:color w:val="548235"/>
        </w:rPr>
        <w:t>[Low]</w:t>
      </w:r>
    </w:p>
    <w:p>
      <w:pPr>
        <w:spacing w:after="80"/>
      </w:pPr>
      <w:r>
        <w:rPr>
          <w:b/>
        </w:rPr>
        <w:t xml:space="preserve">Location: </w:t>
      </w:r>
      <w:r>
        <w:t>Part II, Items 1A and 5</w:t>
      </w:r>
    </w:p>
    <w:p>
      <w:pPr>
        <w:spacing w:after="80"/>
      </w:pPr>
      <w:r>
        <w:rPr>
          <w:b/>
        </w:rPr>
        <w:t xml:space="preserve">Deficiency: </w:t>
      </w:r>
      <w:r>
        <w:t>The Item 1A updates for the PolyShield integration and the class action are appropriate. The Company should consider whether the expanded revolver and the earnout obligation call for an update, and whether the generic “Macroeconomic and Market Risks” factor reflects a material change from the FY2023 Form 10-K (if it does not, delete it). The Item 5 Rule 10b5-1 disclosure is properly framed, but the Corporate Secretary should confirm that no director or officer adopted, modified or terminated a trading arrangement and that no Form 8-K information went unreported.</w:t>
      </w:r>
    </w:p>
    <w:p>
      <w:pPr>
        <w:spacing w:after="80"/>
      </w:pPr>
      <w:r>
        <w:rPr>
          <w:b/>
        </w:rPr>
        <w:t xml:space="preserve">Requirement / citation: </w:t>
      </w:r>
      <w:r>
        <w:t>Form 10-Q Part II, Item 1A (material changes from previously disclosed risk factors); Regulation S-K Items 105 and 408(a); Form 10-Q Part II, Item 5(a).</w:t>
      </w:r>
    </w:p>
    <w:p>
      <w:pPr>
        <w:spacing w:after="80"/>
      </w:pPr>
      <w:r>
        <w:rPr>
          <w:b/>
        </w:rPr>
        <w:t xml:space="preserve">Recommended fix: </w:t>
      </w:r>
      <w:r>
        <w:t>Confirm with management and revise as needed.</w:t>
      </w:r>
    </w:p>
    <w:p>
      <w:pPr>
        <w:spacing w:after="80"/>
      </w:pPr>
      <w:r>
        <w:rPr>
          <w:b/>
        </w:rPr>
        <w:t xml:space="preserve">Responsible: </w:t>
      </w:r>
      <w:r>
        <w:t>Company (Legal) / Hargrove</w:t>
      </w:r>
    </w:p>
    <w:p>
      <w:pPr>
        <w:pStyle w:val="Heading2"/>
      </w:pPr>
      <w:r>
        <w:t>I. Exhibits – Form 10-Q Item 6 Exhibit Index and Exhibit Index Checklist</w:t>
      </w:r>
    </w:p>
    <w:p>
      <w:pPr>
        <w:spacing w:before="120" w:after="60"/>
      </w:pPr>
      <w:r>
        <w:rPr>
          <w:b/>
        </w:rPr>
        <w:t xml:space="preserve">Finding 32. Credit Agreement amendment of August 20, 2024 not filed as an exhibit </w:t>
      </w:r>
      <w:r>
        <w:rPr>
          <w:b/>
          <w:color w:val="C00000"/>
        </w:rPr>
        <w:t>[Critical]</w:t>
      </w:r>
    </w:p>
    <w:p>
      <w:pPr>
        <w:spacing w:after="80"/>
      </w:pPr>
      <w:r>
        <w:rPr>
          <w:b/>
        </w:rPr>
        <w:t xml:space="preserve">Location: </w:t>
      </w:r>
      <w:r>
        <w:t>10-Q Item 6 exhibit index; Checklist (no row); Material Contracts Log row 2 (“TBD – Under review”)</w:t>
      </w:r>
    </w:p>
    <w:p>
      <w:pPr>
        <w:spacing w:after="80"/>
      </w:pPr>
      <w:r>
        <w:rPr>
          <w:b/>
        </w:rPr>
        <w:t xml:space="preserve">Deficiency: </w:t>
      </w:r>
      <w:r>
        <w:t>The August 20, 2024 amendment modifies a material contract that has already been filed (the Credit Agreement, Checklist Exhibit 10.1). It increased the revolver to $500.0 million and extended maturity to 2029. The August 22, 2024 Form 8-K described the amendment but did not file it. It appears on neither the 10-Q exhibit index nor the Checklist.</w:t>
      </w:r>
    </w:p>
    <w:p>
      <w:pPr>
        <w:spacing w:after="80"/>
      </w:pPr>
      <w:r>
        <w:rPr>
          <w:b/>
        </w:rPr>
        <w:t xml:space="preserve">Requirement / citation: </w:t>
      </w:r>
      <w:r>
        <w:t>Regulation S-K Item 601(a)(4) (a material contract entered into during the quarter, and any amendment to a previously filed exhibit, must be filed with the Form 10-Q for that period); Item 601(b)(10)(i); Item 601(a)(5) (omission of schedules); Item 601(b)(10)(iv) (redaction of immaterial, competitively harmful information, with legend).</w:t>
      </w:r>
    </w:p>
    <w:p>
      <w:pPr>
        <w:spacing w:after="80"/>
      </w:pPr>
      <w:r>
        <w:rPr>
          <w:b/>
        </w:rPr>
        <w:t xml:space="preserve">Recommended fix: </w:t>
      </w:r>
      <w:r>
        <w:t>File the amendment as Exhibit 10.1 (filed herewith). Settle the amendment number (“No. 1” vs. “No. 3”) from the executed document. If it is Amendment No. 3, confirm that Amendments No. 1 and No. 2 were previously filed and list them as incorporated by reference. Apply any redactions and legends permitted by Item 601(a)(5), (a)(6) and (b)(10)(iv).</w:t>
      </w:r>
    </w:p>
    <w:p>
      <w:pPr>
        <w:spacing w:after="80"/>
      </w:pPr>
      <w:r>
        <w:rPr>
          <w:b/>
        </w:rPr>
        <w:t xml:space="preserve">Responsible: </w:t>
      </w:r>
      <w:r>
        <w:t>Company (Legal) / Hargrove</w:t>
      </w:r>
    </w:p>
    <w:p>
      <w:pPr>
        <w:spacing w:before="120" w:after="60"/>
      </w:pPr>
      <w:r>
        <w:rPr>
          <w:b/>
        </w:rPr>
        <w:t xml:space="preserve">Finding 33. PolyShield Equity Purchase Agreement not filed as an exhibit </w:t>
      </w:r>
      <w:r>
        <w:rPr>
          <w:b/>
          <w:color w:val="C00000"/>
        </w:rPr>
        <w:t>[Critical]</w:t>
      </w:r>
    </w:p>
    <w:p>
      <w:pPr>
        <w:spacing w:after="80"/>
      </w:pPr>
      <w:r>
        <w:rPr>
          <w:b/>
        </w:rPr>
        <w:t xml:space="preserve">Location: </w:t>
      </w:r>
      <w:r>
        <w:t>10-Q Item 6 exhibit index; Checklist (no row); Material Contracts Log row 3 (“TBD – Under review”)</w:t>
      </w:r>
    </w:p>
    <w:p>
      <w:pPr>
        <w:spacing w:after="80"/>
      </w:pPr>
      <w:r>
        <w:rPr>
          <w:b/>
        </w:rPr>
        <w:t xml:space="preserve">Deficiency: </w:t>
      </w:r>
      <w:r>
        <w:t>The July 15, 2024 Equity Purchase Agreement ($165.0 million, which the Company’s own log marks “Material”) was announced on Form 8-K on July 17, 2024, but the agreement itself was not filed. It has still not been filed and appears on neither exhibit list.</w:t>
      </w:r>
    </w:p>
    <w:p>
      <w:pPr>
        <w:spacing w:after="80"/>
      </w:pPr>
      <w:r>
        <w:rPr>
          <w:b/>
        </w:rPr>
        <w:t xml:space="preserve">Requirement / citation: </w:t>
      </w:r>
      <w:r>
        <w:t>Regulation S-K Item 601(b)(2) (material plans of acquisition; applicable to Form 10-Q under the Item 601 exhibit table) and Item 601(a)(4); Item 601(a)(5) and (b)(2)(ii) (omission of schedules with a list and an undertaking to furnish supplementally); Item 601(a)(6) and (b)(2)(ii) (redaction).</w:t>
      </w:r>
    </w:p>
    <w:p>
      <w:pPr>
        <w:spacing w:after="80"/>
      </w:pPr>
      <w:r>
        <w:rPr>
          <w:b/>
        </w:rPr>
        <w:t xml:space="preserve">Recommended fix: </w:t>
      </w:r>
      <w:r>
        <w:t>File as Exhibit 2.1 (filed herewith), omitting schedules under Item 601(a)(5) with the required list and undertaking, and with redaction legends for any confidential terms. In the Material Contracts Log, change “Exhibit Filing Required?” to “Yes” for rows 2 and 3.</w:t>
      </w:r>
    </w:p>
    <w:p>
      <w:pPr>
        <w:spacing w:after="80"/>
      </w:pPr>
      <w:r>
        <w:rPr>
          <w:b/>
        </w:rPr>
        <w:t xml:space="preserve">Responsible: </w:t>
      </w:r>
      <w:r>
        <w:t>Company (Legal) / Hargrove</w:t>
      </w:r>
    </w:p>
    <w:p>
      <w:pPr>
        <w:spacing w:before="120" w:after="60"/>
      </w:pPr>
      <w:r>
        <w:rPr>
          <w:b/>
        </w:rPr>
        <w:t xml:space="preserve">Finding 34. Exhibit 104 (Cover Page Interactive Data File) omitted </w:t>
      </w:r>
      <w:r>
        <w:rPr>
          <w:b/>
          <w:color w:val="E46C0A"/>
        </w:rPr>
        <w:t>[High]</w:t>
      </w:r>
    </w:p>
    <w:p>
      <w:pPr>
        <w:spacing w:after="80"/>
      </w:pPr>
      <w:r>
        <w:rPr>
          <w:b/>
        </w:rPr>
        <w:t xml:space="preserve">Location: </w:t>
      </w:r>
      <w:r>
        <w:t>10-Q Item 6 exhibit index; Checklist</w:t>
      </w:r>
    </w:p>
    <w:p>
      <w:pPr>
        <w:spacing w:after="80"/>
      </w:pPr>
      <w:r>
        <w:rPr>
          <w:b/>
        </w:rPr>
        <w:t xml:space="preserve">Deficiency: </w:t>
      </w:r>
      <w:r>
        <w:t>Neither the 10-Q exhibit index nor the Checklist lists Exhibit 104, which the General Counsel specifically asked us to confirm.</w:t>
      </w:r>
    </w:p>
    <w:p>
      <w:pPr>
        <w:spacing w:after="80"/>
      </w:pPr>
      <w:r>
        <w:rPr>
          <w:b/>
        </w:rPr>
        <w:t xml:space="preserve">Requirement / citation: </w:t>
      </w:r>
      <w:r>
        <w:t>Regulation S-K Item 601(b)(104); Regulation S-T Rule 406.</w:t>
      </w:r>
    </w:p>
    <w:p>
      <w:pPr>
        <w:spacing w:after="80"/>
      </w:pPr>
      <w:r>
        <w:rPr>
          <w:b/>
        </w:rPr>
        <w:t xml:space="preserve">Recommended fix: </w:t>
      </w:r>
      <w:r>
        <w:t>Add: “104 – Cover Page Interactive Data File (formatted as Inline XBRL and contained in Exhibit 101).”</w:t>
      </w:r>
    </w:p>
    <w:p>
      <w:pPr>
        <w:spacing w:after="80"/>
      </w:pPr>
      <w:r>
        <w:rPr>
          <w:b/>
        </w:rPr>
        <w:t xml:space="preserve">Responsible: </w:t>
      </w:r>
      <w:r>
        <w:t>Hargrove / XBRL vendor</w:t>
      </w:r>
    </w:p>
    <w:p>
      <w:pPr>
        <w:spacing w:before="120" w:after="60"/>
      </w:pPr>
      <w:r>
        <w:rPr>
          <w:b/>
        </w:rPr>
        <w:t xml:space="preserve">Finding 35. Exhibit 101 descriptions incomplete or inconsistent; XBRL timing </w:t>
      </w:r>
      <w:r>
        <w:rPr>
          <w:b/>
          <w:color w:val="BF9000"/>
        </w:rPr>
        <w:t>[Medium]</w:t>
      </w:r>
    </w:p>
    <w:p>
      <w:pPr>
        <w:spacing w:after="80"/>
      </w:pPr>
      <w:r>
        <w:rPr>
          <w:b/>
        </w:rPr>
        <w:t xml:space="preserve">Location: </w:t>
      </w:r>
      <w:r>
        <w:t>10-Q Item 6 exhibit index; Checklist row 20</w:t>
      </w:r>
    </w:p>
    <w:p>
      <w:pPr>
        <w:spacing w:after="80"/>
      </w:pPr>
      <w:r>
        <w:rPr>
          <w:b/>
        </w:rPr>
        <w:t xml:space="preserve">Deficiency: </w:t>
      </w:r>
      <w:r>
        <w:t>The 10-Q index lists 101.INS through 101.PRE, but the Instance Document entry lacks the standard Inline XBRL legend. The Checklist shows “101” as a single item. Its description omits the statements of comprehensive income (Finding 9) and lists the statements in a different order from the 10-Q. XBRL is marked “In Progress” with delivery on November 12, which is the legal due date.</w:t>
      </w:r>
    </w:p>
    <w:p>
      <w:pPr>
        <w:spacing w:after="80"/>
      </w:pPr>
      <w:r>
        <w:rPr>
          <w:b/>
        </w:rPr>
        <w:t xml:space="preserve">Requirement / citation: </w:t>
      </w:r>
      <w:r>
        <w:t>Regulation S-K Item 601(b)(101); Regulation S-T Rules 405 and 406; EDGAR Filer Manual, Volume II.</w:t>
      </w:r>
    </w:p>
    <w:p>
      <w:pPr>
        <w:spacing w:after="80"/>
      </w:pPr>
      <w:r>
        <w:rPr>
          <w:b/>
        </w:rPr>
        <w:t xml:space="preserve">Recommended fix: </w:t>
      </w:r>
      <w:r>
        <w:t>Revise 101.INS to read: “Inline XBRL Instance Document – the instance document does not appear in the Interactive Data File because its XBRL tags are embedded within the Inline XBRL document.” Conform the Checklist to the six-component presentation, add the comprehensive income statement, and move XBRL delivery forward (Finding 1).</w:t>
      </w:r>
    </w:p>
    <w:p>
      <w:pPr>
        <w:spacing w:after="80"/>
      </w:pPr>
      <w:r>
        <w:rPr>
          <w:b/>
        </w:rPr>
        <w:t xml:space="preserve">Responsible: </w:t>
      </w:r>
      <w:r>
        <w:t>Hargrove / XBRL vendor / Company (Finance)</w:t>
      </w:r>
    </w:p>
    <w:p>
      <w:pPr>
        <w:spacing w:before="120" w:after="60"/>
      </w:pPr>
      <w:r>
        <w:rPr>
          <w:b/>
        </w:rPr>
        <w:t xml:space="preserve">Finding 36. 10-Q exhibit index lacks filing-status legends, furnished designation and hyperlinks </w:t>
      </w:r>
      <w:r>
        <w:rPr>
          <w:b/>
          <w:color w:val="BF9000"/>
        </w:rPr>
        <w:t>[Medium]</w:t>
      </w:r>
    </w:p>
    <w:p>
      <w:pPr>
        <w:spacing w:after="80"/>
      </w:pPr>
      <w:r>
        <w:rPr>
          <w:b/>
        </w:rPr>
        <w:t xml:space="preserve">Location: </w:t>
      </w:r>
      <w:r>
        <w:t>10-Q Item 6 exhibit index</w:t>
      </w:r>
    </w:p>
    <w:p>
      <w:pPr>
        <w:spacing w:after="80"/>
      </w:pPr>
      <w:r>
        <w:rPr>
          <w:b/>
        </w:rPr>
        <w:t xml:space="preserve">Deficiency: </w:t>
      </w:r>
      <w:r>
        <w:t>The draft index lists only Exhibits 31.1–32.2 and the 101 components. It has (i) no “filed herewith” or “furnished herewith” designations, (ii) no statement that Exhibits 32.1 and 32.2 are furnished and not deemed “filed” for purposes of Section 18 of the Exchange Act, and (iii) no hyperlinks for exhibits incorporated by reference (needed if any are retained). The Exhibit 31 descriptions also omit the Rule 15d-14(a) and Section 302 references that the Checklist includes.</w:t>
      </w:r>
    </w:p>
    <w:p>
      <w:pPr>
        <w:spacing w:after="80"/>
      </w:pPr>
      <w:r>
        <w:rPr>
          <w:b/>
        </w:rPr>
        <w:t xml:space="preserve">Requirement / citation: </w:t>
      </w:r>
      <w:r>
        <w:t>Regulation S-K Item 601(a)(2) and Regulation S-T Rule 105 (active hyperlinks to exhibits incorporated by reference); Item 601(b)(32)(ii); Exchange Act Rule 13a-14(b).</w:t>
      </w:r>
    </w:p>
    <w:p>
      <w:pPr>
        <w:spacing w:after="80"/>
      </w:pPr>
      <w:r>
        <w:rPr>
          <w:b/>
        </w:rPr>
        <w:t xml:space="preserve">Recommended fix: </w:t>
      </w:r>
      <w:r>
        <w:t>Rebuild the exhibit index in the form of Appendix A to this memorandum.</w:t>
      </w:r>
    </w:p>
    <w:p>
      <w:pPr>
        <w:spacing w:after="80"/>
      </w:pPr>
      <w:r>
        <w:rPr>
          <w:b/>
        </w:rPr>
        <w:t xml:space="preserve">Responsible: </w:t>
      </w:r>
      <w:r>
        <w:t>Hargrove</w:t>
      </w:r>
    </w:p>
    <w:p>
      <w:pPr>
        <w:spacing w:before="120" w:after="60"/>
      </w:pPr>
      <w:r>
        <w:rPr>
          <w:b/>
        </w:rPr>
        <w:t xml:space="preserve">Finding 37. Checklist lists a non-exhibit and exhibits not required for this 10-Q </w:t>
      </w:r>
      <w:r>
        <w:rPr>
          <w:b/>
          <w:color w:val="BF9000"/>
        </w:rPr>
        <w:t>[Medium]</w:t>
      </w:r>
    </w:p>
    <w:p>
      <w:pPr>
        <w:spacing w:after="80"/>
      </w:pPr>
      <w:r>
        <w:rPr>
          <w:b/>
        </w:rPr>
        <w:t xml:space="preserve">Location: </w:t>
      </w:r>
      <w:r>
        <w:t>Checklist rows 4–15 (Exhibits 3.1–10.7)</w:t>
      </w:r>
    </w:p>
    <w:p>
      <w:pPr>
        <w:spacing w:after="80"/>
      </w:pPr>
      <w:r>
        <w:rPr>
          <w:b/>
        </w:rPr>
        <w:t xml:space="preserve">Deficiency: </w:t>
      </w:r>
      <w:r>
        <w:t>(i) Row 15 lists the Form S-3 shelf registration statement as “Exhibit 10.7”. A registration statement is not a material contract or any other Item 601 exhibit and must not appear in the exhibit index; the Checklist itself notes it is “not an exhibit to 10-Q per se”. (ii) Rows 4–14 (charter, bylaws, specimen certificate, indenture, Description of Securities, Credit Agreement and compensatory arrangements) were not entered into or amended during Q3 2024. A Form 10-Q requires only new or amended items, and the Description of Securities under Item 601(b)(4)(vi) is a Form 10-K exhibit. Including these items is permitted, but each entry then needs an accurate, hyperlinked reference. (iii) The existing numbering will collide with the new Exhibit 10.1 (Finding 32).</w:t>
      </w:r>
    </w:p>
    <w:p>
      <w:pPr>
        <w:spacing w:after="80"/>
      </w:pPr>
      <w:r>
        <w:rPr>
          <w:b/>
        </w:rPr>
        <w:t xml:space="preserve">Requirement / citation: </w:t>
      </w:r>
      <w:r>
        <w:t>Regulation S-K Item 601(a) exhibit table and Item 601(a)(4); Items 601(b)(3), (b)(4)(vi) and (b)(10)(iii).</w:t>
      </w:r>
    </w:p>
    <w:p>
      <w:pPr>
        <w:spacing w:after="80"/>
      </w:pPr>
      <w:r>
        <w:rPr>
          <w:b/>
        </w:rPr>
        <w:t xml:space="preserve">Recommended fix: </w:t>
      </w:r>
      <w:r>
        <w:t>Delete row 15. Either drop the unchanged historical exhibits from the 10-Q index (our recommendation, consistent with market practice) or keep them with hyperlinks. Renumber so that the new exhibits (2.1 and 10.1) take the lead numbers.</w:t>
      </w:r>
    </w:p>
    <w:p>
      <w:pPr>
        <w:spacing w:after="80"/>
      </w:pPr>
      <w:r>
        <w:rPr>
          <w:b/>
        </w:rPr>
        <w:t xml:space="preserve">Responsible: </w:t>
      </w:r>
      <w:r>
        <w:t>Company (Legal) / Hargrove</w:t>
      </w:r>
    </w:p>
    <w:p>
      <w:pPr>
        <w:spacing w:before="120" w:after="60"/>
      </w:pPr>
      <w:r>
        <w:rPr>
          <w:b/>
        </w:rPr>
        <w:t xml:space="preserve">Finding 38. Checklist source reference error – Exhibit 4.2 (Indenture) </w:t>
      </w:r>
      <w:r>
        <w:rPr>
          <w:b/>
          <w:color w:val="BF9000"/>
        </w:rPr>
        <w:t>[Medium]</w:t>
      </w:r>
    </w:p>
    <w:p>
      <w:pPr>
        <w:spacing w:after="80"/>
      </w:pPr>
      <w:r>
        <w:rPr>
          <w:b/>
        </w:rPr>
        <w:t xml:space="preserve">Location: </w:t>
      </w:r>
      <w:r>
        <w:t>Checklist row 7 (Exhibit 4.2)</w:t>
      </w:r>
    </w:p>
    <w:p>
      <w:pPr>
        <w:spacing w:after="80"/>
      </w:pPr>
      <w:r>
        <w:rPr>
          <w:b/>
        </w:rPr>
        <w:t xml:space="preserve">Deficiency: </w:t>
      </w:r>
      <w:r>
        <w:t>The Indenture dated November 10, 2022 is shown as incorporated from a Form 8-K “filed November 12, 2022”. November 12, 2022 was a Saturday, so no EDGAR filing can bear that date. The filing date and exhibit number need to be verified.</w:t>
      </w:r>
    </w:p>
    <w:p>
      <w:pPr>
        <w:spacing w:after="80"/>
      </w:pPr>
      <w:r>
        <w:rPr>
          <w:b/>
        </w:rPr>
        <w:t xml:space="preserve">Requirement / citation: </w:t>
      </w:r>
      <w:r>
        <w:t>Regulation S-K Item 10(d) and Item 601(a)(2) (incorporation by reference must identify the document precisely, with a working hyperlink); Exchange Act Rule 12b-23.</w:t>
      </w:r>
    </w:p>
    <w:p>
      <w:pPr>
        <w:spacing w:after="80"/>
      </w:pPr>
      <w:r>
        <w:rPr>
          <w:b/>
        </w:rPr>
        <w:t xml:space="preserve">Recommended fix: </w:t>
      </w:r>
      <w:r>
        <w:t>Verify every incorporated-by-reference source (form, filing date, exhibit number, file number) against EDGAR, correct row 7, and build hyperlinks from the EDGAR URLs.</w:t>
      </w:r>
    </w:p>
    <w:p>
      <w:pPr>
        <w:spacing w:after="80"/>
      </w:pPr>
      <w:r>
        <w:rPr>
          <w:b/>
        </w:rPr>
        <w:t xml:space="preserve">Responsible: </w:t>
      </w:r>
      <w:r>
        <w:t>Company (Legal) / Hargrove</w:t>
      </w:r>
    </w:p>
    <w:p>
      <w:pPr>
        <w:spacing w:before="120" w:after="60"/>
      </w:pPr>
      <w:r>
        <w:rPr>
          <w:b/>
        </w:rPr>
        <w:t xml:space="preserve">Finding 39. Checklist summary counts and data integrity errors </w:t>
      </w:r>
      <w:r>
        <w:rPr>
          <w:b/>
          <w:color w:val="548235"/>
        </w:rPr>
        <w:t>[Low]</w:t>
      </w:r>
    </w:p>
    <w:p>
      <w:pPr>
        <w:spacing w:after="80"/>
      </w:pPr>
      <w:r>
        <w:rPr>
          <w:b/>
        </w:rPr>
        <w:t xml:space="preserve">Location: </w:t>
      </w:r>
      <w:r>
        <w:t>Checklist summary (rows 23–26); Material Contracts Log</w:t>
      </w:r>
    </w:p>
    <w:p>
      <w:pPr>
        <w:spacing w:after="80"/>
      </w:pPr>
      <w:r>
        <w:rPr>
          <w:b/>
        </w:rPr>
        <w:t xml:space="preserve">Deficiency: </w:t>
      </w:r>
      <w:r>
        <w:t>(i) “Total Exhibits Listed: 18”, but the Checklist contains 17 exhibit rows. (ii) “Draft Complete: 5”, but only four rows (31.1, 31.2, 32.1, 32.2) have that status. (iii) The Material Contracts Log assigns the Charlotte lease amendment to an “Industrial Solutions” segment, but the Company reports only Specialty Coatings and Advanced Materials (Notes 1 and 8). (iv) The Log describes the credit facility as “$1.25B+” (the original $750.0 million term loan plus the $500.0 million revolver), while the term loan outstanding is $635.0 million.</w:t>
      </w:r>
    </w:p>
    <w:p>
      <w:pPr>
        <w:spacing w:after="80"/>
      </w:pPr>
      <w:r>
        <w:rPr>
          <w:b/>
        </w:rPr>
        <w:t xml:space="preserve">Requirement / citation: </w:t>
      </w:r>
      <w:r>
        <w:t>Disclosure controls and procedures (Exchange Act Rule 13a-15(e)).</w:t>
      </w:r>
    </w:p>
    <w:p>
      <w:pPr>
        <w:spacing w:after="80"/>
      </w:pPr>
      <w:r>
        <w:rPr>
          <w:b/>
        </w:rPr>
        <w:t xml:space="preserve">Recommended fix: </w:t>
      </w:r>
      <w:r>
        <w:t>Correct the counts after the revisions above, fix the segment reference and update the Log.</w:t>
      </w:r>
    </w:p>
    <w:p>
      <w:pPr>
        <w:spacing w:after="80"/>
      </w:pPr>
      <w:r>
        <w:rPr>
          <w:b/>
        </w:rPr>
        <w:t xml:space="preserve">Responsible: </w:t>
      </w:r>
      <w:r>
        <w:t>Company (Legal)</w:t>
      </w:r>
    </w:p>
    <w:p>
      <w:pPr>
        <w:spacing w:before="120" w:after="60"/>
      </w:pPr>
      <w:r>
        <w:rPr>
          <w:b/>
        </w:rPr>
        <w:t xml:space="preserve">Finding 40. Exhibit 15 / auditor review report – confirm no reference to Ridgeline’s review </w:t>
      </w:r>
      <w:r>
        <w:rPr>
          <w:b/>
          <w:color w:val="548235"/>
        </w:rPr>
        <w:t>[Low]</w:t>
      </w:r>
    </w:p>
    <w:p>
      <w:pPr>
        <w:spacing w:after="80"/>
      </w:pPr>
      <w:r>
        <w:rPr>
          <w:b/>
        </w:rPr>
        <w:t xml:space="preserve">Location: </w:t>
      </w:r>
      <w:r>
        <w:t>Part I, Item 1; exhibit index</w:t>
      </w:r>
    </w:p>
    <w:p>
      <w:pPr>
        <w:spacing w:after="80"/>
      </w:pPr>
      <w:r>
        <w:rPr>
          <w:b/>
        </w:rPr>
        <w:t xml:space="preserve">Deficiency: </w:t>
      </w:r>
      <w:r>
        <w:t>Leaving out the review report is correct as long as the filing does not refer to the review. If the Company decides to refer to Ridgeline’s AS 4105 review, the review report must be included. Because the 10-Q is incorporated by reference into the effective Form S-3 (and any Form S-8), an awareness letter would then also be required as Exhibit 15.</w:t>
      </w:r>
    </w:p>
    <w:p>
      <w:pPr>
        <w:spacing w:after="80"/>
      </w:pPr>
      <w:r>
        <w:rPr>
          <w:b/>
        </w:rPr>
        <w:t xml:space="preserve">Requirement / citation: </w:t>
      </w:r>
      <w:r>
        <w:t>Regulation S-X Rule 10-01(d); Regulation S-K Item 601(b)(15); Securities Act Rule 436(c).</w:t>
      </w:r>
    </w:p>
    <w:p>
      <w:pPr>
        <w:spacing w:after="80"/>
      </w:pPr>
      <w:r>
        <w:rPr>
          <w:b/>
        </w:rPr>
        <w:t xml:space="preserve">Recommended fix: </w:t>
      </w:r>
      <w:r>
        <w:t>Keep the filing free of any reference to the review, or add the report and Exhibit 15.</w:t>
      </w:r>
    </w:p>
    <w:p>
      <w:pPr>
        <w:spacing w:after="80"/>
      </w:pPr>
      <w:r>
        <w:rPr>
          <w:b/>
        </w:rPr>
        <w:t xml:space="preserve">Responsible: </w:t>
      </w:r>
      <w:r>
        <w:t>Company (Finance) / Ridgeline</w:t>
      </w:r>
    </w:p>
    <w:p>
      <w:pPr>
        <w:pStyle w:val="Heading2"/>
      </w:pPr>
      <w:r>
        <w:t>J. Signatures and Section 302/906 Certifications</w:t>
      </w:r>
    </w:p>
    <w:p>
      <w:pPr>
        <w:spacing w:before="120" w:after="60"/>
      </w:pPr>
      <w:r>
        <w:rPr>
          <w:b/>
        </w:rPr>
        <w:t xml:space="preserve">Finding 41. Section 302 certifications refer to an “annual report” (10-K template carry-over) </w:t>
      </w:r>
      <w:r>
        <w:rPr>
          <w:b/>
          <w:color w:val="C00000"/>
        </w:rPr>
        <w:t>[Critical]</w:t>
      </w:r>
    </w:p>
    <w:p>
      <w:pPr>
        <w:spacing w:after="80"/>
      </w:pPr>
      <w:r>
        <w:rPr>
          <w:b/>
        </w:rPr>
        <w:t xml:space="preserve">Location: </w:t>
      </w:r>
      <w:r>
        <w:t>Exhibits 31.1 and 31.2, paragraph 1 (and paragraph 4(d))</w:t>
      </w:r>
    </w:p>
    <w:p>
      <w:pPr>
        <w:spacing w:after="80"/>
      </w:pPr>
      <w:r>
        <w:rPr>
          <w:b/>
        </w:rPr>
        <w:t xml:space="preserve">Deficiency: </w:t>
      </w:r>
      <w:r>
        <w:t>Paragraph 1 of both certifications reads: “I have reviewed this annual report pursuant to Section 13(a) or 15(d) of the Securities Exchange Act of 1934 of Verdana …”. The certification must identify the report being certified, which is the Quarterly Report on Form 10-Q. The phrase “pursuant to Section 13(a) or 15(d)…” is not part of the prescribed text. Paragraph 4(d) should end with “; and”, as in the Q2 2024 certifications. The certification wording may not be altered except as Item 601(b)(31) permits. The Section 906 certifications (Exhibits 32.1/32.2) correctly refer to the Quarterly Report for the period ended September 30, 2024.</w:t>
      </w:r>
    </w:p>
    <w:p>
      <w:pPr>
        <w:spacing w:after="80"/>
      </w:pPr>
      <w:r>
        <w:rPr>
          <w:b/>
        </w:rPr>
        <w:t xml:space="preserve">Requirement / citation: </w:t>
      </w:r>
      <w:r>
        <w:t>Exchange Act Rules 13a-14(a) and 15d-14(a); Regulation S-K Item 601(b)(31)(i) (exact form); SEC Release No. 33-8238; the filed Q2 2024 certifications (comparator).</w:t>
      </w:r>
    </w:p>
    <w:p>
      <w:pPr>
        <w:spacing w:after="80"/>
      </w:pPr>
      <w:r>
        <w:rPr>
          <w:b/>
        </w:rPr>
        <w:t xml:space="preserve">Recommended fix: </w:t>
      </w:r>
      <w:r>
        <w:t>Revise paragraph 1 to read: “I have reviewed this Quarterly Report on Form 10-Q of Verdana Industrial Technologies, Inc. for the quarterly period ended September 30, 2024;”. Correct the paragraph 4(d) punctuation. Run a word-for-word comparison against Item 601(b)(31)(i) and the Q2 2024 certifications before the certifications are executed.</w:t>
      </w:r>
    </w:p>
    <w:p>
      <w:pPr>
        <w:spacing w:after="80"/>
      </w:pPr>
      <w:r>
        <w:rPr>
          <w:b/>
        </w:rPr>
        <w:t xml:space="preserve">Responsible: </w:t>
      </w:r>
      <w:r>
        <w:t>Hargrove</w:t>
      </w:r>
    </w:p>
    <w:p>
      <w:pPr>
        <w:spacing w:before="120" w:after="60"/>
      </w:pPr>
      <w:r>
        <w:rPr>
          <w:b/>
        </w:rPr>
        <w:t xml:space="preserve">Finding 42. Signature blocks and certification titles – conforming and execution items </w:t>
      </w:r>
      <w:r>
        <w:rPr>
          <w:b/>
          <w:color w:val="BF9000"/>
        </w:rPr>
        <w:t>[Medium]</w:t>
      </w:r>
    </w:p>
    <w:p>
      <w:pPr>
        <w:spacing w:after="80"/>
      </w:pPr>
      <w:r>
        <w:rPr>
          <w:b/>
        </w:rPr>
        <w:t xml:space="preserve">Location: </w:t>
      </w:r>
      <w:r>
        <w:t>Signature page; Exhibits 31.1–32.2</w:t>
      </w:r>
    </w:p>
    <w:p>
      <w:pPr>
        <w:spacing w:after="80"/>
      </w:pPr>
      <w:r>
        <w:rPr>
          <w:b/>
        </w:rPr>
        <w:t xml:space="preserve">Deficiency: </w:t>
      </w:r>
      <w:r>
        <w:t>(i) All signature and certification dates are blank (“November __, 2024”). (ii) Officer titles are inconsistent. The signature page reads “Chief Executive Officer and President (Principal Executive Officer)”, but the certifications read only “Chief Executive Officer” and “Chief Financial Officer”, without principal-officer capacities. The Q2 2024 10-Q uses “Chief Executive Officer and President” and “Chief Financial Officer (principal financial officer and principal accounting officer)”. (iii) Before filing, the Company must obtain manually signed signature pages (or permitted electronic authentication) supporting each conformed /s/ signature and retain them for five years.</w:t>
      </w:r>
    </w:p>
    <w:p>
      <w:pPr>
        <w:spacing w:after="80"/>
      </w:pPr>
      <w:r>
        <w:rPr>
          <w:b/>
        </w:rPr>
        <w:t xml:space="preserve">Requirement / citation: </w:t>
      </w:r>
      <w:r>
        <w:t>Form 10-Q signature requirements (registrant signature plus its principal financial officer or chief accounting officer); Exchange Act Rule 12b-11; Regulation S-T Rule 302(b); Item 601(b)(31) and (b)(32).</w:t>
      </w:r>
    </w:p>
    <w:p>
      <w:pPr>
        <w:spacing w:after="80"/>
      </w:pPr>
      <w:r>
        <w:rPr>
          <w:b/>
        </w:rPr>
        <w:t xml:space="preserve">Recommended fix: </w:t>
      </w:r>
      <w:r>
        <w:t>Conform titles across the signature page and all four certifications to the Q2 2024 convention. Insert the filing date, and have the officers date the certifications on or after their review of the final report. Collect Rule 302(b) authentication documents before EDGAR submission.</w:t>
      </w:r>
    </w:p>
    <w:p>
      <w:pPr>
        <w:spacing w:after="80"/>
      </w:pPr>
      <w:r>
        <w:rPr>
          <w:b/>
        </w:rPr>
        <w:t xml:space="preserve">Responsible: </w:t>
      </w:r>
      <w:r>
        <w:t>Hargrove / Company (Legal)</w:t>
      </w:r>
    </w:p>
    <w:p>
      <w:pPr>
        <w:pStyle w:val="Heading1"/>
      </w:pPr>
      <w:r>
        <w:t>VI. Items Reviewed Without Exception</w:t>
      </w:r>
    </w:p>
    <w:p>
      <w:pPr>
        <w:spacing w:after="120"/>
      </w:pPr>
      <w:r>
        <w:rPr>
          <w:b w:val="0"/>
          <w:i w:val="0"/>
        </w:rPr>
        <w:t>To help the working group focus its effort, we list below the items that we tested and found consistent. These need no change other than conforming changes that follow from the findings above.</w:t>
      </w:r>
    </w:p>
    <w:p>
      <w:pPr>
        <w:pStyle w:val="ListBullet"/>
        <w:spacing w:after="60"/>
      </w:pPr>
      <w:r>
        <w:t>Statements of operations: every subtotal and total foots for all four periods (e.g., Q3 2024 gross profit $141.4 million, operating income $70.4 million, net income $48.4 million; nine months 2024 net income $135.6 million). Basic and diluted EPS recompute correctly for every period except diluted EPS for the nine months of 2023 (Finding 12). Effective tax rates of 23.5% and about 23.0% agree with Note 10.</w:t>
      </w:r>
    </w:p>
    <w:p>
      <w:pPr>
        <w:pStyle w:val="ListBullet"/>
        <w:spacing w:after="60"/>
      </w:pPr>
      <w:r>
        <w:t>Balance sheet: current assets, total assets ($4,218.7 million / $4,052.3 million), total liabilities and stockholders’ equity foot. September 30, 2024 debt ($75.0 + $710.0 = $785.0 million) agrees to Note 5, MD&amp;A and the transmittal. Operating lease liabilities ($22.3 + $138.2 = $160.5 million) agree to the Note 7 maturity table. The goodwill increase of $72.3 million agrees to Note 3 and Note 6.</w:t>
      </w:r>
    </w:p>
    <w:p>
      <w:pPr>
        <w:pStyle w:val="ListBullet"/>
        <w:spacing w:after="60"/>
      </w:pPr>
      <w:r>
        <w:t>Three-month equity roll-forwards (2024 and 2023) and the nine-month 2023 roll-forward foot and tie to their ending balances. AOCI components in Note 11 agree to the roll-forward OCI amounts.</w:t>
      </w:r>
    </w:p>
    <w:p>
      <w:pPr>
        <w:pStyle w:val="ListBullet"/>
        <w:spacing w:after="60"/>
      </w:pPr>
      <w:r>
        <w:t>Cash flow statement (2024 column): operating ($254.0 million), investing ($(203.7) million) and financing ($(14.5) million) totals foot, and the cash roll-forward agrees to the balance sheet ($278.9 + $33.5 = $312.4 million). Acquisition cash net of cash acquired ($140.0 − $3.2 = $136.8 million) agrees to Note 3.</w:t>
      </w:r>
    </w:p>
    <w:p>
      <w:pPr>
        <w:pStyle w:val="ListBullet"/>
        <w:spacing w:after="60"/>
      </w:pPr>
      <w:r>
        <w:t>Note 4 revenue disaggregation (by product category and geography) foots and agrees to consolidated revenue for all periods. The Note 8 three-month segment figures foot to consolidated revenue and operating income.</w:t>
      </w:r>
    </w:p>
    <w:p>
      <w:pPr>
        <w:pStyle w:val="ListBullet"/>
        <w:spacing w:after="60"/>
      </w:pPr>
      <w:r>
        <w:t>MD&amp;A percentages and amounts recompute correctly: revenue +6.6% (quarter) and +5.8% (nine months); gross margin 34.3%/33.1% and 34.1%/33.6%; SG&amp;A 12.7%/12.4%; operating margin 17.1%/16.3%; segment margins; net debt $472.6 million; working capital $655.9 million; dividend of about $12.7 million (79,450,000 × $0.16).</w:t>
      </w:r>
    </w:p>
    <w:p>
      <w:pPr>
        <w:pStyle w:val="ListBullet"/>
        <w:spacing w:after="60"/>
      </w:pPr>
      <w:r>
        <w:t>Section 906 certifications (Exhibits 32.1/32.2) correctly identify the Quarterly Report for the period ended September 30, 2024 and follow 18 U.S.C. §1350, subject to the title-conforming points in Finding 42.</w:t>
      </w:r>
    </w:p>
    <w:p>
      <w:pPr>
        <w:pStyle w:val="ListBullet"/>
        <w:spacing w:after="60"/>
      </w:pPr>
      <w:r>
        <w:t>Part II Items 3 (Defaults) and 4 (Mine Safety) responses are appropriate for the Company. Item 5 is framed correctly under Item 408(a), subject to confirmation (Finding 31).</w:t>
      </w:r>
    </w:p>
    <w:p>
      <w:pPr>
        <w:pStyle w:val="ListBullet"/>
        <w:spacing w:after="60"/>
      </w:pPr>
      <w:r>
        <w:t>The PolyShield acquisition (about 4% of total assets at December 31, 2023) appears to fall below the 20% significance threshold, so Rule 3-05 financial statements and Article 11 pro forma information on Form 8-K/A should not be required. Please confirm the income and investment test calculations with Finance.</w:t>
      </w:r>
    </w:p>
    <w:p>
      <w:pPr>
        <w:pStyle w:val="Heading1"/>
      </w:pPr>
      <w:r>
        <w:t>Appendix A – Proposed Exhibit Index for the Q3 2024 Form 10-Q</w:t>
      </w:r>
    </w:p>
    <w:p>
      <w:pPr>
        <w:spacing w:after="120"/>
      </w:pPr>
      <w:r>
        <w:rPr>
          <w:b w:val="0"/>
          <w:i/>
        </w:rPr>
        <w:t>This proposed index assumes the Company adopts our recommendation to list only the exhibits required for this quarterly report. If the Company prefers to keep the historical exhibits (Checklist rows 4–14), each must carry an active hyperlink and verified source information (Finding 38), and the Form S-3 entry (row 15) must be deleted in either case.</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2A44"/>
          </w:tcPr>
          <w:p>
            <w:r/>
            <w:r>
              <w:rPr>
                <w:b/>
                <w:color w:val="FFFFFF"/>
                <w:sz w:val="18"/>
              </w:rPr>
              <w:t>Exhibit No.</w:t>
            </w:r>
          </w:p>
        </w:tc>
        <w:tc>
          <w:tcPr>
            <w:tcW w:type="dxa" w:w="6624"/>
            <w:shd w:val="clear" w:color="auto" w:fill="1F2A44"/>
          </w:tcPr>
          <w:p>
            <w:r/>
            <w:r>
              <w:rPr>
                <w:b/>
                <w:color w:val="FFFFFF"/>
                <w:sz w:val="18"/>
              </w:rPr>
              <w:t>Description</w:t>
            </w:r>
          </w:p>
        </w:tc>
        <w:tc>
          <w:tcPr>
            <w:tcW w:type="dxa" w:w="1584"/>
            <w:shd w:val="clear" w:color="auto" w:fill="1F2A44"/>
          </w:tcPr>
          <w:p>
            <w:r/>
            <w:r>
              <w:rPr>
                <w:b/>
                <w:color w:val="FFFFFF"/>
                <w:sz w:val="18"/>
              </w:rPr>
              <w:t>Status</w:t>
            </w:r>
          </w:p>
        </w:tc>
      </w:tr>
      <w:tr>
        <w:tc>
          <w:tcPr>
            <w:tcW w:type="dxa" w:w="1152"/>
          </w:tcPr>
          <w:p>
            <w:r/>
            <w:r>
              <w:rPr>
                <w:sz w:val="18"/>
              </w:rPr>
              <w:t>2.1†</w:t>
            </w:r>
          </w:p>
        </w:tc>
        <w:tc>
          <w:tcPr>
            <w:tcW w:type="dxa" w:w="6624"/>
          </w:tcPr>
          <w:p>
            <w:r/>
            <w:r>
              <w:rPr>
                <w:sz w:val="18"/>
              </w:rPr>
              <w:t>Equity Purchase Agreement, dated as of July 15, 2024, by and among Verdana Industrial Technologies, Inc., PolyShield Composites LLC and the sellers party thereto</w:t>
            </w:r>
          </w:p>
        </w:tc>
        <w:tc>
          <w:tcPr>
            <w:tcW w:type="dxa" w:w="1584"/>
          </w:tcPr>
          <w:p>
            <w:r/>
            <w:r>
              <w:rPr>
                <w:sz w:val="18"/>
              </w:rPr>
              <w:t>Filed herewith</w:t>
            </w:r>
          </w:p>
        </w:tc>
      </w:tr>
      <w:tr>
        <w:tc>
          <w:tcPr>
            <w:tcW w:type="dxa" w:w="1152"/>
          </w:tcPr>
          <w:p>
            <w:r/>
            <w:r>
              <w:rPr>
                <w:sz w:val="18"/>
              </w:rPr>
              <w:t>10.1†</w:t>
            </w:r>
          </w:p>
        </w:tc>
        <w:tc>
          <w:tcPr>
            <w:tcW w:type="dxa" w:w="6624"/>
          </w:tcPr>
          <w:p>
            <w:r/>
            <w:r>
              <w:rPr>
                <w:sz w:val="18"/>
              </w:rPr>
              <w:t>Amendment No. [1/3 – to be confirmed] to Credit Agreement, dated as of August 20, 2024, among Verdana Industrial Technologies, Inc., the lenders party thereto and Pinehurst National Bank, N.A., as Administrative Agent</w:t>
            </w:r>
          </w:p>
        </w:tc>
        <w:tc>
          <w:tcPr>
            <w:tcW w:type="dxa" w:w="1584"/>
          </w:tcPr>
          <w:p>
            <w:r/>
            <w:r>
              <w:rPr>
                <w:sz w:val="18"/>
              </w:rPr>
              <w:t>Filed herewith</w:t>
            </w:r>
          </w:p>
        </w:tc>
      </w:tr>
      <w:tr>
        <w:tc>
          <w:tcPr>
            <w:tcW w:type="dxa" w:w="1152"/>
          </w:tcPr>
          <w:p>
            <w:r/>
            <w:r>
              <w:rPr>
                <w:sz w:val="18"/>
              </w:rPr>
              <w:t>31.1</w:t>
            </w:r>
          </w:p>
        </w:tc>
        <w:tc>
          <w:tcPr>
            <w:tcW w:type="dxa" w:w="6624"/>
          </w:tcPr>
          <w:p>
            <w:r/>
            <w:r>
              <w:rPr>
                <w:sz w:val="18"/>
              </w:rPr>
              <w:t>Certification of Principal Executive Officer pursuant to Rules 13a-14(a) and 15d-14(a) under the Securities Exchange Act of 1934, as adopted pursuant to Section 302 of the Sarbanes-Oxley Act of 2002</w:t>
            </w:r>
          </w:p>
        </w:tc>
        <w:tc>
          <w:tcPr>
            <w:tcW w:type="dxa" w:w="1584"/>
          </w:tcPr>
          <w:p>
            <w:r/>
            <w:r>
              <w:rPr>
                <w:sz w:val="18"/>
              </w:rPr>
              <w:t>Filed herewith</w:t>
            </w:r>
          </w:p>
        </w:tc>
      </w:tr>
      <w:tr>
        <w:tc>
          <w:tcPr>
            <w:tcW w:type="dxa" w:w="1152"/>
          </w:tcPr>
          <w:p>
            <w:r/>
            <w:r>
              <w:rPr>
                <w:sz w:val="18"/>
              </w:rPr>
              <w:t>31.2</w:t>
            </w:r>
          </w:p>
        </w:tc>
        <w:tc>
          <w:tcPr>
            <w:tcW w:type="dxa" w:w="6624"/>
          </w:tcPr>
          <w:p>
            <w:r/>
            <w:r>
              <w:rPr>
                <w:sz w:val="18"/>
              </w:rPr>
              <w:t>Certification of Principal Financial Officer pursuant to Rules 13a-14(a) and 15d-14(a) under the Securities Exchange Act of 1934, as adopted pursuant to Section 302 of the Sarbanes-Oxley Act of 2002</w:t>
            </w:r>
          </w:p>
        </w:tc>
        <w:tc>
          <w:tcPr>
            <w:tcW w:type="dxa" w:w="1584"/>
          </w:tcPr>
          <w:p>
            <w:r/>
            <w:r>
              <w:rPr>
                <w:sz w:val="18"/>
              </w:rPr>
              <w:t>Filed herewith</w:t>
            </w:r>
          </w:p>
        </w:tc>
      </w:tr>
      <w:tr>
        <w:tc>
          <w:tcPr>
            <w:tcW w:type="dxa" w:w="1152"/>
          </w:tcPr>
          <w:p>
            <w:r/>
            <w:r>
              <w:rPr>
                <w:sz w:val="18"/>
              </w:rPr>
              <w:t>32.1*</w:t>
            </w:r>
          </w:p>
        </w:tc>
        <w:tc>
          <w:tcPr>
            <w:tcW w:type="dxa" w:w="6624"/>
          </w:tcPr>
          <w:p>
            <w:r/>
            <w:r>
              <w:rPr>
                <w:sz w:val="18"/>
              </w:rPr>
              <w:t>Certification of Principal Executive Officer pursuant to 18 U.S.C. Section 1350, as adopted pursuant to Section 906 of the Sarbanes-Oxley Act of 2002</w:t>
            </w:r>
          </w:p>
        </w:tc>
        <w:tc>
          <w:tcPr>
            <w:tcW w:type="dxa" w:w="1584"/>
          </w:tcPr>
          <w:p>
            <w:r/>
            <w:r>
              <w:rPr>
                <w:sz w:val="18"/>
              </w:rPr>
              <w:t>Furnished herewith</w:t>
            </w:r>
          </w:p>
        </w:tc>
      </w:tr>
      <w:tr>
        <w:tc>
          <w:tcPr>
            <w:tcW w:type="dxa" w:w="1152"/>
          </w:tcPr>
          <w:p>
            <w:r/>
            <w:r>
              <w:rPr>
                <w:sz w:val="18"/>
              </w:rPr>
              <w:t>32.2*</w:t>
            </w:r>
          </w:p>
        </w:tc>
        <w:tc>
          <w:tcPr>
            <w:tcW w:type="dxa" w:w="6624"/>
          </w:tcPr>
          <w:p>
            <w:r/>
            <w:r>
              <w:rPr>
                <w:sz w:val="18"/>
              </w:rPr>
              <w:t>Certification of Principal Financial Officer pursuant to 18 U.S.C. Section 1350, as adopted pursuant to Section 906 of the Sarbanes-Oxley Act of 2002</w:t>
            </w:r>
          </w:p>
        </w:tc>
        <w:tc>
          <w:tcPr>
            <w:tcW w:type="dxa" w:w="1584"/>
          </w:tcPr>
          <w:p>
            <w:r/>
            <w:r>
              <w:rPr>
                <w:sz w:val="18"/>
              </w:rPr>
              <w:t>Furnished herewith</w:t>
            </w:r>
          </w:p>
        </w:tc>
      </w:tr>
      <w:tr>
        <w:tc>
          <w:tcPr>
            <w:tcW w:type="dxa" w:w="1152"/>
          </w:tcPr>
          <w:p>
            <w:r/>
            <w:r>
              <w:rPr>
                <w:sz w:val="18"/>
              </w:rPr>
              <w:t>101.INS</w:t>
            </w:r>
          </w:p>
        </w:tc>
        <w:tc>
          <w:tcPr>
            <w:tcW w:type="dxa" w:w="6624"/>
          </w:tcPr>
          <w:p>
            <w:r/>
            <w:r>
              <w:rPr>
                <w:sz w:val="18"/>
              </w:rPr>
              <w:t>Inline XBRL Instance Document – the instance document does not appear in the Interactive Data File because its XBRL tags are embedded within the Inline XBRL document</w:t>
            </w:r>
          </w:p>
        </w:tc>
        <w:tc>
          <w:tcPr>
            <w:tcW w:type="dxa" w:w="1584"/>
          </w:tcPr>
          <w:p>
            <w:r/>
            <w:r>
              <w:rPr>
                <w:sz w:val="18"/>
              </w:rPr>
              <w:t>Filed herewith</w:t>
            </w:r>
          </w:p>
        </w:tc>
      </w:tr>
      <w:tr>
        <w:tc>
          <w:tcPr>
            <w:tcW w:type="dxa" w:w="1152"/>
          </w:tcPr>
          <w:p>
            <w:r/>
            <w:r>
              <w:rPr>
                <w:sz w:val="18"/>
              </w:rPr>
              <w:t>101.SCH</w:t>
            </w:r>
          </w:p>
        </w:tc>
        <w:tc>
          <w:tcPr>
            <w:tcW w:type="dxa" w:w="6624"/>
          </w:tcPr>
          <w:p>
            <w:r/>
            <w:r>
              <w:rPr>
                <w:sz w:val="18"/>
              </w:rPr>
              <w:t>Inline XBRL Taxonomy Extension Schema Document</w:t>
            </w:r>
          </w:p>
        </w:tc>
        <w:tc>
          <w:tcPr>
            <w:tcW w:type="dxa" w:w="1584"/>
          </w:tcPr>
          <w:p>
            <w:r/>
            <w:r>
              <w:rPr>
                <w:sz w:val="18"/>
              </w:rPr>
              <w:t>Filed herewith</w:t>
            </w:r>
          </w:p>
        </w:tc>
      </w:tr>
      <w:tr>
        <w:tc>
          <w:tcPr>
            <w:tcW w:type="dxa" w:w="1152"/>
          </w:tcPr>
          <w:p>
            <w:r/>
            <w:r>
              <w:rPr>
                <w:sz w:val="18"/>
              </w:rPr>
              <w:t>101.CAL</w:t>
            </w:r>
          </w:p>
        </w:tc>
        <w:tc>
          <w:tcPr>
            <w:tcW w:type="dxa" w:w="6624"/>
          </w:tcPr>
          <w:p>
            <w:r/>
            <w:r>
              <w:rPr>
                <w:sz w:val="18"/>
              </w:rPr>
              <w:t>Inline XBRL Taxonomy Extension Calculation Linkbase Document</w:t>
            </w:r>
          </w:p>
        </w:tc>
        <w:tc>
          <w:tcPr>
            <w:tcW w:type="dxa" w:w="1584"/>
          </w:tcPr>
          <w:p>
            <w:r/>
            <w:r>
              <w:rPr>
                <w:sz w:val="18"/>
              </w:rPr>
              <w:t>Filed herewith</w:t>
            </w:r>
          </w:p>
        </w:tc>
      </w:tr>
      <w:tr>
        <w:tc>
          <w:tcPr>
            <w:tcW w:type="dxa" w:w="1152"/>
          </w:tcPr>
          <w:p>
            <w:r/>
            <w:r>
              <w:rPr>
                <w:sz w:val="18"/>
              </w:rPr>
              <w:t>101.DEF</w:t>
            </w:r>
          </w:p>
        </w:tc>
        <w:tc>
          <w:tcPr>
            <w:tcW w:type="dxa" w:w="6624"/>
          </w:tcPr>
          <w:p>
            <w:r/>
            <w:r>
              <w:rPr>
                <w:sz w:val="18"/>
              </w:rPr>
              <w:t>Inline XBRL Taxonomy Extension Definition Linkbase Document</w:t>
            </w:r>
          </w:p>
        </w:tc>
        <w:tc>
          <w:tcPr>
            <w:tcW w:type="dxa" w:w="1584"/>
          </w:tcPr>
          <w:p>
            <w:r/>
            <w:r>
              <w:rPr>
                <w:sz w:val="18"/>
              </w:rPr>
              <w:t>Filed herewith</w:t>
            </w:r>
          </w:p>
        </w:tc>
      </w:tr>
      <w:tr>
        <w:tc>
          <w:tcPr>
            <w:tcW w:type="dxa" w:w="1152"/>
          </w:tcPr>
          <w:p>
            <w:r/>
            <w:r>
              <w:rPr>
                <w:sz w:val="18"/>
              </w:rPr>
              <w:t>101.LAB</w:t>
            </w:r>
          </w:p>
        </w:tc>
        <w:tc>
          <w:tcPr>
            <w:tcW w:type="dxa" w:w="6624"/>
          </w:tcPr>
          <w:p>
            <w:r/>
            <w:r>
              <w:rPr>
                <w:sz w:val="18"/>
              </w:rPr>
              <w:t>Inline XBRL Taxonomy Extension Label Linkbase Document</w:t>
            </w:r>
          </w:p>
        </w:tc>
        <w:tc>
          <w:tcPr>
            <w:tcW w:type="dxa" w:w="1584"/>
          </w:tcPr>
          <w:p>
            <w:r/>
            <w:r>
              <w:rPr>
                <w:sz w:val="18"/>
              </w:rPr>
              <w:t>Filed herewith</w:t>
            </w:r>
          </w:p>
        </w:tc>
      </w:tr>
      <w:tr>
        <w:tc>
          <w:tcPr>
            <w:tcW w:type="dxa" w:w="1152"/>
          </w:tcPr>
          <w:p>
            <w:r/>
            <w:r>
              <w:rPr>
                <w:sz w:val="18"/>
              </w:rPr>
              <w:t>101.PRE</w:t>
            </w:r>
          </w:p>
        </w:tc>
        <w:tc>
          <w:tcPr>
            <w:tcW w:type="dxa" w:w="6624"/>
          </w:tcPr>
          <w:p>
            <w:r/>
            <w:r>
              <w:rPr>
                <w:sz w:val="18"/>
              </w:rPr>
              <w:t>Inline XBRL Taxonomy Extension Presentation Linkbase Document</w:t>
            </w:r>
          </w:p>
        </w:tc>
        <w:tc>
          <w:tcPr>
            <w:tcW w:type="dxa" w:w="1584"/>
          </w:tcPr>
          <w:p>
            <w:r/>
            <w:r>
              <w:rPr>
                <w:sz w:val="18"/>
              </w:rPr>
              <w:t>Filed herewith</w:t>
            </w:r>
          </w:p>
        </w:tc>
      </w:tr>
      <w:tr>
        <w:tc>
          <w:tcPr>
            <w:tcW w:type="dxa" w:w="1152"/>
          </w:tcPr>
          <w:p>
            <w:r/>
            <w:r>
              <w:rPr>
                <w:sz w:val="18"/>
              </w:rPr>
              <w:t>104</w:t>
            </w:r>
          </w:p>
        </w:tc>
        <w:tc>
          <w:tcPr>
            <w:tcW w:type="dxa" w:w="6624"/>
          </w:tcPr>
          <w:p>
            <w:r/>
            <w:r>
              <w:rPr>
                <w:sz w:val="18"/>
              </w:rPr>
              <w:t>Cover Page Interactive Data File (formatted as Inline XBRL and contained in Exhibit 101)</w:t>
            </w:r>
          </w:p>
        </w:tc>
        <w:tc>
          <w:tcPr>
            <w:tcW w:type="dxa" w:w="1584"/>
          </w:tcPr>
          <w:p>
            <w:r/>
            <w:r>
              <w:rPr>
                <w:sz w:val="18"/>
              </w:rPr>
              <w:t>Filed herewith</w:t>
            </w:r>
          </w:p>
        </w:tc>
      </w:tr>
    </w:tbl>
    <w:p>
      <w:pPr>
        <w:spacing w:after="120"/>
      </w:pPr>
      <w:r>
        <w:rPr>
          <w:b w:val="0"/>
          <w:i w:val="0"/>
        </w:rPr>
      </w:r>
    </w:p>
    <w:p>
      <w:pPr>
        <w:spacing w:after="120"/>
      </w:pPr>
      <w:r>
        <w:rPr>
          <w:b w:val="0"/>
          <w:i w:val="0"/>
          <w:sz w:val="18"/>
        </w:rPr>
        <w:t>† Certain schedules and exhibits have been omitted pursuant to Item 601(a)(5) of Regulation S-K. The registrant agrees to furnish supplementally a copy of any omitted schedule or exhibit to the SEC upon request. [If applicable: Certain identified information has been excluded from this exhibit because it is both not material and is the type that the registrant treats as private or confidential (Item 601(b)(2)(ii) / (b)(10)(iv)).]</w:t>
      </w:r>
    </w:p>
    <w:p>
      <w:pPr>
        <w:spacing w:after="120"/>
      </w:pPr>
      <w:r>
        <w:rPr>
          <w:b w:val="0"/>
          <w:i w:val="0"/>
          <w:sz w:val="18"/>
        </w:rPr>
        <w:t>* This certification is furnished and shall not be deemed “filed” for purposes of Section 18 of the Securities Exchange Act of 1934, or otherwise subject to the liability of that section, nor shall it be deemed incorporated by reference into any filing under the Securities Act of 1933 or the Securities Exchange Act of 1934, except as expressly set forth by specific reference in such filing.</w:t>
      </w:r>
    </w:p>
    <w:p>
      <w:pPr>
        <w:spacing w:after="120"/>
      </w:pPr>
      <w:r>
        <w:rPr>
          <w:b w:val="0"/>
          <w:i w:val="0"/>
          <w:sz w:val="18"/>
        </w:rPr>
        <w:t>If Amendments No. 1 and No. 2 to the Credit Agreement exist and were previously filed, add them as incorporated by reference (with hyperlinks) immediately before the new amendment.</w:t>
      </w:r>
    </w:p>
    <w:p>
      <w:pPr>
        <w:pStyle w:val="Heading1"/>
      </w:pPr>
      <w:r>
        <w:t>Appendix B – Recommended Remediation Timetable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2A44"/>
          </w:tcPr>
          <w:p>
            <w:r/>
            <w:r>
              <w:rPr>
                <w:b/>
                <w:color w:val="FFFFFF"/>
                <w:sz w:val="18"/>
              </w:rPr>
              <w:t>Date (2024)</w:t>
            </w:r>
          </w:p>
        </w:tc>
        <w:tc>
          <w:tcPr>
            <w:tcW w:type="dxa" w:w="5472"/>
            <w:shd w:val="clear" w:color="auto" w:fill="1F2A44"/>
          </w:tcPr>
          <w:p>
            <w:r/>
            <w:r>
              <w:rPr>
                <w:b/>
                <w:color w:val="FFFFFF"/>
                <w:sz w:val="18"/>
              </w:rPr>
              <w:t>Action</w:t>
            </w:r>
          </w:p>
        </w:tc>
        <w:tc>
          <w:tcPr>
            <w:tcW w:type="dxa" w:w="1872"/>
            <w:shd w:val="clear" w:color="auto" w:fill="1F2A44"/>
          </w:tcPr>
          <w:p>
            <w:r/>
            <w:r>
              <w:rPr>
                <w:b/>
                <w:color w:val="FFFFFF"/>
                <w:sz w:val="18"/>
              </w:rPr>
              <w:t>Owner</w:t>
            </w:r>
          </w:p>
        </w:tc>
      </w:tr>
      <w:tr>
        <w:tc>
          <w:tcPr>
            <w:tcW w:type="dxa" w:w="2016"/>
          </w:tcPr>
          <w:p>
            <w:r/>
            <w:r>
              <w:rPr>
                <w:sz w:val="18"/>
              </w:rPr>
              <w:t>Wed., Nov. 6</w:t>
            </w:r>
          </w:p>
        </w:tc>
        <w:tc>
          <w:tcPr>
            <w:tcW w:type="dxa" w:w="5472"/>
          </w:tcPr>
          <w:p>
            <w:r/>
            <w:r>
              <w:rPr>
                <w:sz w:val="18"/>
              </w:rPr>
              <w:t>Memorandum delivered; Company confirms revised target filing date (Nov. 8 target / Nov. 12 outside date)</w:t>
            </w:r>
          </w:p>
        </w:tc>
        <w:tc>
          <w:tcPr>
            <w:tcW w:type="dxa" w:w="1872"/>
          </w:tcPr>
          <w:p>
            <w:r/>
            <w:r>
              <w:rPr>
                <w:sz w:val="18"/>
              </w:rPr>
              <w:t>Hargrove / C. Lindstrom</w:t>
            </w:r>
          </w:p>
        </w:tc>
      </w:tr>
      <w:tr>
        <w:tc>
          <w:tcPr>
            <w:tcW w:type="dxa" w:w="2016"/>
          </w:tcPr>
          <w:p>
            <w:r/>
            <w:r>
              <w:rPr>
                <w:sz w:val="18"/>
              </w:rPr>
              <w:t>Thu., Nov. 7</w:t>
            </w:r>
          </w:p>
        </w:tc>
        <w:tc>
          <w:tcPr>
            <w:tcW w:type="dxa" w:w="5472"/>
          </w:tcPr>
          <w:p>
            <w:r/>
            <w:r>
              <w:rPr>
                <w:sz w:val="18"/>
              </w:rPr>
              <w:t>Working-group call on Critical/High items; Finance and Ridgeline deliver reconciliations (equity, debt, intangibles, EPS, dividend accrual); executed Credit Agreement amendment and Equity Purchase Agreement sent to Hargrove for exhibit preparation and redaction review</w:t>
            </w:r>
          </w:p>
        </w:tc>
        <w:tc>
          <w:tcPr>
            <w:tcW w:type="dxa" w:w="1872"/>
          </w:tcPr>
          <w:p>
            <w:r/>
            <w:r>
              <w:rPr>
                <w:sz w:val="18"/>
              </w:rPr>
              <w:t>All</w:t>
            </w:r>
          </w:p>
        </w:tc>
      </w:tr>
      <w:tr>
        <w:tc>
          <w:tcPr>
            <w:tcW w:type="dxa" w:w="2016"/>
          </w:tcPr>
          <w:p>
            <w:r/>
            <w:r>
              <w:rPr>
                <w:sz w:val="18"/>
              </w:rPr>
              <w:t>Thu., Nov. 7</w:t>
            </w:r>
          </w:p>
        </w:tc>
        <w:tc>
          <w:tcPr>
            <w:tcW w:type="dxa" w:w="5472"/>
          </w:tcPr>
          <w:p>
            <w:r/>
            <w:r>
              <w:rPr>
                <w:sz w:val="18"/>
              </w:rPr>
              <w:t>Hargrove circulates revised narrative sections (cover, Item 4, Notes 3/7 language, MD&amp;A, Part II), conformed certifications and exhibit index</w:t>
            </w:r>
          </w:p>
        </w:tc>
        <w:tc>
          <w:tcPr>
            <w:tcW w:type="dxa" w:w="1872"/>
          </w:tcPr>
          <w:p>
            <w:r/>
            <w:r>
              <w:rPr>
                <w:sz w:val="18"/>
              </w:rPr>
              <w:t>Hargrove</w:t>
            </w:r>
          </w:p>
        </w:tc>
      </w:tr>
      <w:tr>
        <w:tc>
          <w:tcPr>
            <w:tcW w:type="dxa" w:w="2016"/>
          </w:tcPr>
          <w:p>
            <w:r/>
            <w:r>
              <w:rPr>
                <w:sz w:val="18"/>
              </w:rPr>
              <w:t>Fri., Nov. 8</w:t>
            </w:r>
          </w:p>
        </w:tc>
        <w:tc>
          <w:tcPr>
            <w:tcW w:type="dxa" w:w="5472"/>
          </w:tcPr>
          <w:p>
            <w:r/>
            <w:r>
              <w:rPr>
                <w:sz w:val="18"/>
              </w:rPr>
              <w:t>Disclosure committee and Audit Committee review; Ridgeline clears AS 4105 review; XBRL vendor delivers final Inline XBRL; EDGAR test filing</w:t>
            </w:r>
          </w:p>
        </w:tc>
        <w:tc>
          <w:tcPr>
            <w:tcW w:type="dxa" w:w="1872"/>
          </w:tcPr>
          <w:p>
            <w:r/>
            <w:r>
              <w:rPr>
                <w:sz w:val="18"/>
              </w:rPr>
              <w:t>Company / Ridgeline / vendor</w:t>
            </w:r>
          </w:p>
        </w:tc>
      </w:tr>
      <w:tr>
        <w:tc>
          <w:tcPr>
            <w:tcW w:type="dxa" w:w="2016"/>
          </w:tcPr>
          <w:p>
            <w:r/>
            <w:r>
              <w:rPr>
                <w:sz w:val="18"/>
              </w:rPr>
              <w:t>Fri., Nov. 8 (target) – Tue., Nov. 12 (outside date)</w:t>
            </w:r>
          </w:p>
        </w:tc>
        <w:tc>
          <w:tcPr>
            <w:tcW w:type="dxa" w:w="5472"/>
          </w:tcPr>
          <w:p>
            <w:r/>
            <w:r>
              <w:rPr>
                <w:sz w:val="18"/>
              </w:rPr>
              <w:t>Officers execute signature pages and certifications (Rule 302(b) authentication); live EDGAR filing</w:t>
            </w:r>
          </w:p>
        </w:tc>
        <w:tc>
          <w:tcPr>
            <w:tcW w:type="dxa" w:w="1872"/>
          </w:tcPr>
          <w:p>
            <w:r/>
            <w:r>
              <w:rPr>
                <w:sz w:val="18"/>
              </w:rPr>
              <w:t>Company / financial printer</w:t>
            </w:r>
          </w:p>
        </w:tc>
      </w:tr>
      <w:tr>
        <w:tc>
          <w:tcPr>
            <w:tcW w:type="dxa" w:w="2016"/>
          </w:tcPr>
          <w:p>
            <w:r/>
            <w:r>
              <w:rPr>
                <w:sz w:val="18"/>
              </w:rPr>
              <w:t>Wed., Nov. 13</w:t>
            </w:r>
          </w:p>
        </w:tc>
        <w:tc>
          <w:tcPr>
            <w:tcW w:type="dxa" w:w="5472"/>
          </w:tcPr>
          <w:p>
            <w:r/>
            <w:r>
              <w:rPr>
                <w:sz w:val="18"/>
              </w:rPr>
              <w:t>Contingency only: last day to file Form 12b-25 if, despite best efforts, a filing by November 12 cannot be made (consult Hargrove first)</w:t>
            </w:r>
          </w:p>
        </w:tc>
        <w:tc>
          <w:tcPr>
            <w:tcW w:type="dxa" w:w="1872"/>
          </w:tcPr>
          <w:p>
            <w:r/>
            <w:r>
              <w:rPr>
                <w:sz w:val="18"/>
              </w:rPr>
              <w:t>Hargrove / Company</w:t>
            </w:r>
          </w:p>
        </w:tc>
      </w:tr>
    </w:tbl>
    <w:p>
      <w:pPr>
        <w:spacing w:after="120"/>
      </w:pPr>
      <w:r>
        <w:rPr>
          <w:b w:val="0"/>
          <w:i w:val="0"/>
        </w:rPr>
      </w:r>
    </w:p>
    <w:p>
      <w:pPr>
        <w:spacing w:after="120"/>
      </w:pPr>
      <w:r>
        <w:rPr>
          <w:b w:val="0"/>
          <w:i w:val="0"/>
        </w:rPr>
        <w:t>We are available to discuss any of these items at your convenience. Please call Derek Fontaine or Sarah Okafor with any questions.</w:t>
      </w:r>
    </w:p>
    <w:p>
      <w:pPr>
        <w:spacing w:after="120"/>
      </w:pPr>
      <w:r>
        <w:rPr>
          <w:b w:val="0"/>
          <w:i/>
        </w:rPr>
        <w:t>H&amp;A LLP – D.J.F. / S.O.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