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8"/>
        </w:rPr>
        <w:t>WHITFIELD GREER &amp; ASSOCIATES LLP</w:t>
      </w:r>
    </w:p>
    <w:p>
      <w:pPr>
        <w:spacing w:after="240"/>
        <w:jc w:val="center"/>
      </w:pPr>
      <w:r>
        <w:rPr>
          <w:b w:val="0"/>
          <w:i w:val="0"/>
          <w:sz w:val="19"/>
        </w:rPr>
        <w:t>1285 Avenue of the Americas, 40th Floor  |  New York, New York 10019  |  (212) 555-7200</w:t>
      </w:r>
    </w:p>
    <w:p>
      <w:pPr>
        <w:spacing w:after="240"/>
        <w:jc w:val="center"/>
      </w:pPr>
      <w:r>
        <w:rPr>
          <w:b/>
          <w:i w:val="0"/>
          <w:sz w:val="20"/>
        </w:rPr>
        <w:t>CONFIDENTIAL — FOR NEGOTIATION PURPOSES ONLY</w:t>
      </w:r>
    </w:p>
    <w:p>
      <w:pPr>
        <w:spacing w:after="200"/>
      </w:pPr>
      <w:r>
        <w:rPr>
          <w:b w:val="0"/>
          <w:i w:val="0"/>
        </w:rPr>
        <w:t>May 9, 2025</w:t>
      </w:r>
    </w:p>
    <w:p>
      <w:pPr>
        <w:spacing w:after="160"/>
      </w:pPr>
      <w:r>
        <w:rPr>
          <w:b w:val="0"/>
          <w:i/>
        </w:rPr>
        <w:t>Via Email</w:t>
      </w:r>
    </w:p>
    <w:p>
      <w:pPr>
        <w:spacing w:after="160"/>
      </w:pPr>
      <w:r>
        <w:rPr>
          <w:b w:val="0"/>
          <w:i w:val="0"/>
        </w:rPr>
        <w:t>Sandra M. Fleiss, Esq.</w:t>
        <w:br/>
        <w:t>Brannock Hale Rivers LLP</w:t>
        <w:br/>
        <w:t>750 East Pratt Street, Suite 900</w:t>
        <w:br/>
        <w:t>Baltimore, Maryland 21202</w:t>
        <w:br/>
        <w:t>sfleiss@brannockhalerivers.com; sfleiss@brannock-hale.com</w:t>
      </w:r>
    </w:p>
    <w:p>
      <w:pPr>
        <w:spacing w:after="200"/>
      </w:pPr>
      <w:r>
        <w:rPr>
          <w:b w:val="0"/>
          <w:i w:val="0"/>
        </w:rPr>
        <w:t>James K. Norwood, Esq.</w:t>
        <w:br/>
        <w:t>Senior Vice President &amp; Associate General Counsel</w:t>
        <w:br/>
        <w:t>Tidewater National Trust Company</w:t>
        <w:br/>
        <w:t>100 Light Street, 18th Floor</w:t>
        <w:br/>
        <w:t>Baltimore, Maryland 21202</w:t>
        <w:br/>
        <w:t>jnorwood@tidewaterntc.com; jnorwood@tidewatertrust.com</w:t>
      </w:r>
    </w:p>
    <w:p>
      <w:pPr>
        <w:ind w:left="720"/>
      </w:pPr>
      <w:r>
        <w:rPr>
          <w:b/>
          <w:i w:val="0"/>
        </w:rPr>
        <w:t>Re:</w:t>
        <w:tab/>
      </w:r>
      <w:r>
        <w:rPr>
          <w:b w:val="0"/>
          <w:i w:val="0"/>
        </w:rPr>
        <w:t>Account Control Agreement — Securities Account No. 4491-7283-01 — Orion Capital Lending, LLC Counter-Turn to Tidewater First Markup dated May 2, 2025</w:t>
      </w:r>
    </w:p>
    <w:p>
      <w:pPr>
        <w:spacing w:before="120"/>
      </w:pPr>
      <w:r>
        <w:rPr>
          <w:b w:val="0"/>
          <w:i w:val="0"/>
        </w:rPr>
        <w:t>Dear Sandra and Jim:</w:t>
      </w:r>
    </w:p>
    <w:p>
      <w:pPr>
        <w:jc w:val="both"/>
      </w:pPr>
      <w:r>
        <w:rPr>
          <w:b w:val="0"/>
          <w:i w:val="0"/>
        </w:rPr>
        <w:t>On behalf of our client, Orion Capital Lending, LLC, in its capacity as Administrative Agent for the Secured Parties (“Orion” or the “Secured Party”), thank you for Tidewater National Trust Company’s (“Tidewater”) first markup of the Account Control Agreement (the “ACA”) and for the detailed May 2, 2025 cover letter, which made our review considerably more efficient. Enclosed is Orion’s counter-turn redline. This letter responds to each substantive change in Tidewater’s markup and explains Orion’s position and rationale.</w:t>
      </w:r>
    </w:p>
    <w:p>
      <w:pPr>
        <w:spacing w:after="40" w:before="120"/>
      </w:pPr>
      <w:r>
        <w:rPr>
          <w:b/>
          <w:i w:val="0"/>
        </w:rPr>
        <w:t>How the redline is marked</w:t>
      </w:r>
    </w:p>
    <w:p>
      <w:pPr>
        <w:jc w:val="both"/>
      </w:pPr>
      <w:r>
        <w:rPr>
          <w:b w:val="0"/>
          <w:i w:val="0"/>
        </w:rPr>
        <w:t>The enclosed redline (counter-turn-redline.docx) is marked against Tidewater’s May 2 markup. For readability, all of Tidewater’s changes have been taken in as the base text, and only Orion’s responsive changes appear as tracked changes. Accordingly, (i) where Orion has accepted a Tidewater change, the Tidewater language appears clean; (ii) where Orion has rejected a Tidewater change, the restored Orion Form language appears as a tracked insertion; and (iii) where Orion is counter-proposing, the counter-proposal appears as tracked changes against Tidewater’s text. A cumulative comparison against the April 14 Orion Form is available on request.</w:t>
      </w:r>
    </w:p>
    <w:p>
      <w:pPr>
        <w:spacing w:after="40" w:before="120"/>
      </w:pPr>
      <w:r>
        <w:rPr>
          <w:b/>
          <w:i w:val="0"/>
        </w:rPr>
        <w:t>The framework Orion is working within</w:t>
      </w:r>
    </w:p>
    <w:p>
      <w:pPr>
        <w:jc w:val="both"/>
      </w:pPr>
      <w:r>
        <w:rPr>
          <w:b w:val="0"/>
          <w:i w:val="0"/>
        </w:rPr>
        <w:t>Several of Orion’s positions below are not commercial preferences but requirements of the Loan Documents to which Orion, Halcyon Biosciences, Inc. (“Halcyon” or the “Pledgor”) and the Lenders are already bound, and which must be satisfied before the June 2, 2025 initial funding. In particular, Section 7.14 of the Credit Agreement requires that the ACA (a) be in form and substance satisfactory to the Administrative Agent, (c) provide “control” within the meaning of UCC Sections 8-106 and 9-106, (d) require Tidewater to comply with Orion’s entitlement orders “without further consent of the Borrower or any other person,” (e) contain Tidewater’s acknowledgment that it has not entered into, and will not enter into, any agreement to comply with entitlement orders of any other person, (f) subordinate Tidewater’s liens and set-off rights except as the Administrative Agent may agree, and (g) be governed by New York law. In addition, Section 6.09 of the Credit Agreement makes maintenance of control “of the essence” with no cure period, Section 11.01(m) makes any loss of control an immediate Event of Default, and Section 8.02 and Schedule 8.02 provide that no securities intermediary lien or set-off right that is senior to Orion’s security interest is a Permitted Lien unless Orion expressly consents in writing. We have tried throughout to meet Tidewater’s operational, regulatory and risk-management concerns in ways that do not cross those lines.</w:t>
      </w:r>
    </w:p>
    <w:p>
      <w:pPr>
        <w:spacing w:after="40" w:before="120"/>
      </w:pPr>
      <w:r>
        <w:rPr>
          <w:b/>
          <w:i w:val="0"/>
        </w:rPr>
        <w:t>Summary of Orion’s responses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val="clear" w:color="auto" w:fill="D9E2F3"/>
          </w:tcPr>
          <w:p>
            <w:r/>
            <w:r>
              <w:rPr>
                <w:b/>
                <w:sz w:val="19"/>
              </w:rPr>
              <w:t>Section</w:t>
            </w:r>
          </w:p>
        </w:tc>
        <w:tc>
          <w:tcPr>
            <w:tcW w:type="dxa" w:w="3024"/>
            <w:shd w:val="clear" w:color="auto" w:fill="D9E2F3"/>
          </w:tcPr>
          <w:p>
            <w:r/>
            <w:r>
              <w:rPr>
                <w:b/>
                <w:sz w:val="19"/>
              </w:rPr>
              <w:t>Tidewater change</w:t>
            </w:r>
          </w:p>
        </w:tc>
        <w:tc>
          <w:tcPr>
            <w:tcW w:type="dxa" w:w="1728"/>
            <w:shd w:val="clear" w:color="auto" w:fill="D9E2F3"/>
          </w:tcPr>
          <w:p>
            <w:r/>
            <w:r>
              <w:rPr>
                <w:b/>
                <w:sz w:val="19"/>
              </w:rPr>
              <w:t>Orion response</w:t>
            </w:r>
          </w:p>
        </w:tc>
        <w:tc>
          <w:tcPr>
            <w:tcW w:type="dxa" w:w="3312"/>
            <w:shd w:val="clear" w:color="auto" w:fill="D9E2F3"/>
          </w:tcPr>
          <w:p>
            <w:r/>
            <w:r>
              <w:rPr>
                <w:b/>
                <w:sz w:val="19"/>
              </w:rPr>
              <w:t>Summary</w:t>
            </w:r>
          </w:p>
        </w:tc>
      </w:tr>
      <w:tr>
        <w:tc>
          <w:tcPr>
            <w:tcW w:type="dxa" w:w="1296"/>
          </w:tcPr>
          <w:p>
            <w:pPr>
              <w:spacing w:after="0"/>
            </w:pPr>
            <w:r/>
            <w:r>
              <w:rPr>
                <w:sz w:val="19"/>
              </w:rPr>
              <w:t>§2.1</w:t>
            </w:r>
          </w:p>
        </w:tc>
        <w:tc>
          <w:tcPr>
            <w:tcW w:type="dxa" w:w="3024"/>
          </w:tcPr>
          <w:p>
            <w:pPr>
              <w:spacing w:after="0"/>
            </w:pPr>
            <w:r/>
            <w:r>
              <w:rPr>
                <w:sz w:val="19"/>
              </w:rPr>
              <w:t>Pledgor countersignature on Secured Party entitlement orders; deletion of “without further consent”</w:t>
            </w:r>
          </w:p>
        </w:tc>
        <w:tc>
          <w:tcPr>
            <w:tcW w:type="dxa" w:w="1728"/>
          </w:tcPr>
          <w:p>
            <w:pPr>
              <w:spacing w:after="0"/>
            </w:pPr>
            <w:r/>
            <w:r>
              <w:rPr>
                <w:sz w:val="19"/>
              </w:rPr>
              <w:t>Counter-proposal</w:t>
            </w:r>
          </w:p>
        </w:tc>
        <w:tc>
          <w:tcPr>
            <w:tcW w:type="dxa" w:w="3312"/>
          </w:tcPr>
          <w:p>
            <w:pPr>
              <w:spacing w:after="0"/>
            </w:pPr>
            <w:r/>
            <w:r>
              <w:rPr>
                <w:sz w:val="19"/>
              </w:rPr>
              <w:t>“Without further consent” restored; countersignature permitted pre-NEC as an operational procedure only; deemed-consent window not accepted</w:t>
            </w:r>
          </w:p>
        </w:tc>
      </w:tr>
      <w:tr>
        <w:tc>
          <w:tcPr>
            <w:tcW w:type="dxa" w:w="1296"/>
          </w:tcPr>
          <w:p>
            <w:pPr>
              <w:spacing w:after="0"/>
            </w:pPr>
            <w:r/>
            <w:r>
              <w:rPr>
                <w:sz w:val="19"/>
              </w:rPr>
              <w:t>§2.2</w:t>
            </w:r>
          </w:p>
        </w:tc>
        <w:tc>
          <w:tcPr>
            <w:tcW w:type="dxa" w:w="3024"/>
          </w:tcPr>
          <w:p>
            <w:pPr>
              <w:spacing w:after="0"/>
            </w:pPr>
            <w:r/>
            <w:r>
              <w:rPr>
                <w:sz w:val="19"/>
              </w:rPr>
              <w:t>Joint-instruction priority; right to refrain until conflict resolved</w:t>
            </w:r>
          </w:p>
        </w:tc>
        <w:tc>
          <w:tcPr>
            <w:tcW w:type="dxa" w:w="1728"/>
          </w:tcPr>
          <w:p>
            <w:pPr>
              <w:spacing w:after="0"/>
            </w:pPr>
            <w:r/>
            <w:r>
              <w:rPr>
                <w:sz w:val="19"/>
              </w:rPr>
              <w:t>Counter-proposal</w:t>
            </w:r>
          </w:p>
        </w:tc>
        <w:tc>
          <w:tcPr>
            <w:tcW w:type="dxa" w:w="3312"/>
          </w:tcPr>
          <w:p>
            <w:pPr>
              <w:spacing w:after="0"/>
            </w:pPr>
            <w:r/>
            <w:r>
              <w:rPr>
                <w:sz w:val="19"/>
              </w:rPr>
              <w:t>Secured Party order controls; bounded right to refrain pre-NEC only, ending on NEC, joint instruction or court order</w:t>
            </w:r>
          </w:p>
        </w:tc>
      </w:tr>
      <w:tr>
        <w:tc>
          <w:tcPr>
            <w:tcW w:type="dxa" w:w="1296"/>
          </w:tcPr>
          <w:p>
            <w:pPr>
              <w:spacing w:after="0"/>
            </w:pPr>
            <w:r/>
            <w:r>
              <w:rPr>
                <w:sz w:val="19"/>
              </w:rPr>
              <w:t>§3.1</w:t>
            </w:r>
          </w:p>
        </w:tc>
        <w:tc>
          <w:tcPr>
            <w:tcW w:type="dxa" w:w="3024"/>
          </w:tcPr>
          <w:p>
            <w:pPr>
              <w:spacing w:after="0"/>
            </w:pPr>
            <w:r/>
            <w:r>
              <w:rPr>
                <w:sz w:val="19"/>
              </w:rPr>
              <w:t>Officer’s Certificate</w:t>
            </w:r>
          </w:p>
        </w:tc>
        <w:tc>
          <w:tcPr>
            <w:tcW w:type="dxa" w:w="1728"/>
          </w:tcPr>
          <w:p>
            <w:pPr>
              <w:spacing w:after="0"/>
            </w:pPr>
            <w:r/>
            <w:r>
              <w:rPr>
                <w:sz w:val="19"/>
              </w:rPr>
              <w:t>Accepted, as modified</w:t>
            </w:r>
          </w:p>
        </w:tc>
        <w:tc>
          <w:tcPr>
            <w:tcW w:type="dxa" w:w="3312"/>
          </w:tcPr>
          <w:p>
            <w:pPr>
              <w:spacing w:after="0"/>
            </w:pPr>
            <w:r/>
            <w:r>
              <w:rPr>
                <w:sz w:val="19"/>
              </w:rPr>
              <w:t>Certification may be included in the NEC; no officer-level or evidence requirement; not a condition to effectiveness</w:t>
            </w:r>
          </w:p>
        </w:tc>
      </w:tr>
      <w:tr>
        <w:tc>
          <w:tcPr>
            <w:tcW w:type="dxa" w:w="1296"/>
          </w:tcPr>
          <w:p>
            <w:pPr>
              <w:spacing w:after="0"/>
            </w:pPr>
            <w:r/>
            <w:r>
              <w:rPr>
                <w:sz w:val="19"/>
              </w:rPr>
              <w:t>§3.1</w:t>
            </w:r>
          </w:p>
        </w:tc>
        <w:tc>
          <w:tcPr>
            <w:tcW w:type="dxa" w:w="3024"/>
          </w:tcPr>
          <w:p>
            <w:pPr>
              <w:spacing w:after="0"/>
            </w:pPr>
            <w:r/>
            <w:r>
              <w:rPr>
                <w:sz w:val="19"/>
              </w:rPr>
              <w:t>5-Business-Day cure period, Cure Notice, Control Effective Date</w:t>
            </w:r>
          </w:p>
        </w:tc>
        <w:tc>
          <w:tcPr>
            <w:tcW w:type="dxa" w:w="1728"/>
          </w:tcPr>
          <w:p>
            <w:pPr>
              <w:spacing w:after="0"/>
            </w:pPr>
            <w:r/>
            <w:r>
              <w:rPr>
                <w:sz w:val="19"/>
              </w:rPr>
              <w:t>Rejected</w:t>
            </w:r>
          </w:p>
        </w:tc>
        <w:tc>
          <w:tcPr>
            <w:tcW w:type="dxa" w:w="3312"/>
          </w:tcPr>
          <w:p>
            <w:pPr>
              <w:spacing w:after="0"/>
            </w:pPr>
            <w:r/>
            <w:r>
              <w:rPr>
                <w:sz w:val="19"/>
              </w:rPr>
              <w:t>NEC effective on receipt; copy to Pledgor within one Business Day</w:t>
            </w:r>
          </w:p>
        </w:tc>
      </w:tr>
      <w:tr>
        <w:tc>
          <w:tcPr>
            <w:tcW w:type="dxa" w:w="1296"/>
          </w:tcPr>
          <w:p>
            <w:pPr>
              <w:spacing w:after="0"/>
            </w:pPr>
            <w:r/>
            <w:r>
              <w:rPr>
                <w:sz w:val="19"/>
              </w:rPr>
              <w:t>§3.3</w:t>
            </w:r>
          </w:p>
        </w:tc>
        <w:tc>
          <w:tcPr>
            <w:tcW w:type="dxa" w:w="3024"/>
          </w:tcPr>
          <w:p>
            <w:pPr>
              <w:spacing w:after="0"/>
            </w:pPr>
            <w:r/>
            <w:r>
              <w:rPr>
                <w:sz w:val="19"/>
              </w:rPr>
              <w:t>Conclusive reliance on Officer’s Certificate and Cure Notice</w:t>
            </w:r>
          </w:p>
        </w:tc>
        <w:tc>
          <w:tcPr>
            <w:tcW w:type="dxa" w:w="1728"/>
          </w:tcPr>
          <w:p>
            <w:pPr>
              <w:spacing w:after="0"/>
            </w:pPr>
            <w:r/>
            <w:r>
              <w:rPr>
                <w:sz w:val="19"/>
              </w:rPr>
              <w:t>Accepted, as modified</w:t>
            </w:r>
          </w:p>
        </w:tc>
        <w:tc>
          <w:tcPr>
            <w:tcW w:type="dxa" w:w="3312"/>
          </w:tcPr>
          <w:p>
            <w:pPr>
              <w:spacing w:after="0"/>
            </w:pPr>
            <w:r/>
            <w:r>
              <w:rPr>
                <w:sz w:val="19"/>
              </w:rPr>
              <w:t>Accepted for the Officer’s Certificate; Cure Notice reference deleted as no cure mechanism remains</w:t>
            </w:r>
          </w:p>
        </w:tc>
      </w:tr>
      <w:tr>
        <w:tc>
          <w:tcPr>
            <w:tcW w:type="dxa" w:w="1296"/>
          </w:tcPr>
          <w:p>
            <w:pPr>
              <w:spacing w:after="0"/>
            </w:pPr>
            <w:r/>
            <w:r>
              <w:rPr>
                <w:sz w:val="19"/>
              </w:rPr>
              <w:t>§4.1–4.3</w:t>
            </w:r>
          </w:p>
        </w:tc>
        <w:tc>
          <w:tcPr>
            <w:tcW w:type="dxa" w:w="3024"/>
          </w:tcPr>
          <w:p>
            <w:pPr>
              <w:spacing w:after="0"/>
            </w:pPr>
            <w:r/>
            <w:r>
              <w:rPr>
                <w:sz w:val="19"/>
              </w:rPr>
              <w:t>Senior Custodian Lien for fees, expenses and overdraft advances</w:t>
            </w:r>
          </w:p>
        </w:tc>
        <w:tc>
          <w:tcPr>
            <w:tcW w:type="dxa" w:w="1728"/>
          </w:tcPr>
          <w:p>
            <w:pPr>
              <w:spacing w:after="0"/>
            </w:pPr>
            <w:r/>
            <w:r>
              <w:rPr>
                <w:sz w:val="19"/>
              </w:rPr>
              <w:t>Counter-proposal</w:t>
            </w:r>
          </w:p>
        </w:tc>
        <w:tc>
          <w:tcPr>
            <w:tcW w:type="dxa" w:w="3312"/>
          </w:tcPr>
          <w:p>
            <w:pPr>
              <w:spacing w:after="0"/>
            </w:pPr>
            <w:r/>
            <w:r>
              <w:rPr>
                <w:sz w:val="19"/>
              </w:rPr>
              <w:t>Senior lien for ordinary-course Custodial Fees and Expenses only, capped at $175,000; overdrafts and all other claims subordinated</w:t>
            </w:r>
          </w:p>
        </w:tc>
      </w:tr>
      <w:tr>
        <w:tc>
          <w:tcPr>
            <w:tcW w:type="dxa" w:w="1296"/>
          </w:tcPr>
          <w:p>
            <w:pPr>
              <w:spacing w:after="0"/>
            </w:pPr>
            <w:r/>
            <w:r>
              <w:rPr>
                <w:sz w:val="19"/>
              </w:rPr>
              <w:t>§4.2</w:t>
            </w:r>
          </w:p>
        </w:tc>
        <w:tc>
          <w:tcPr>
            <w:tcW w:type="dxa" w:w="3024"/>
          </w:tcPr>
          <w:p>
            <w:pPr>
              <w:spacing w:after="0"/>
            </w:pPr>
            <w:r/>
            <w:r>
              <w:rPr>
                <w:sz w:val="19"/>
              </w:rPr>
              <w:t>Set-off on 10 Business Days’ notice</w:t>
            </w:r>
          </w:p>
        </w:tc>
        <w:tc>
          <w:tcPr>
            <w:tcW w:type="dxa" w:w="1728"/>
          </w:tcPr>
          <w:p>
            <w:pPr>
              <w:spacing w:after="0"/>
            </w:pPr>
            <w:r/>
            <w:r>
              <w:rPr>
                <w:sz w:val="19"/>
              </w:rPr>
              <w:t>Accepted, as modified</w:t>
            </w:r>
          </w:p>
        </w:tc>
        <w:tc>
          <w:tcPr>
            <w:tcW w:type="dxa" w:w="3312"/>
          </w:tcPr>
          <w:p>
            <w:pPr>
              <w:spacing w:after="0"/>
            </w:pPr>
            <w:r/>
            <w:r>
              <w:rPr>
                <w:sz w:val="19"/>
              </w:rPr>
              <w:t>Limited to capped Custodian Obligations; notice detail, payment right and cash-first application</w:t>
            </w:r>
          </w:p>
        </w:tc>
      </w:tr>
      <w:tr>
        <w:tc>
          <w:tcPr>
            <w:tcW w:type="dxa" w:w="1296"/>
          </w:tcPr>
          <w:p>
            <w:pPr>
              <w:spacing w:after="0"/>
            </w:pPr>
            <w:r/>
            <w:r>
              <w:rPr>
                <w:sz w:val="19"/>
              </w:rPr>
              <w:t>§5.1</w:t>
            </w:r>
          </w:p>
        </w:tc>
        <w:tc>
          <w:tcPr>
            <w:tcW w:type="dxa" w:w="3024"/>
          </w:tcPr>
          <w:p>
            <w:pPr>
              <w:spacing w:after="0"/>
            </w:pPr>
            <w:r/>
            <w:r>
              <w:rPr>
                <w:sz w:val="19"/>
              </w:rPr>
              <w:t>Monthly statements within 15 Business Days</w:t>
            </w:r>
          </w:p>
        </w:tc>
        <w:tc>
          <w:tcPr>
            <w:tcW w:type="dxa" w:w="1728"/>
          </w:tcPr>
          <w:p>
            <w:pPr>
              <w:spacing w:after="0"/>
            </w:pPr>
            <w:r/>
            <w:r>
              <w:rPr>
                <w:sz w:val="19"/>
              </w:rPr>
              <w:t>Accepted, as modified</w:t>
            </w:r>
          </w:p>
        </w:tc>
        <w:tc>
          <w:tcPr>
            <w:tcW w:type="dxa" w:w="3312"/>
          </w:tcPr>
          <w:p>
            <w:pPr>
              <w:spacing w:after="0"/>
            </w:pPr>
            <w:r/>
            <w:r>
              <w:rPr>
                <w:sz w:val="19"/>
              </w:rPr>
              <w:t>Monthly at 10 Business Days (15 outside date) plus weekly copies of existing position and transaction reports</w:t>
            </w:r>
          </w:p>
        </w:tc>
      </w:tr>
      <w:tr>
        <w:tc>
          <w:tcPr>
            <w:tcW w:type="dxa" w:w="1296"/>
          </w:tcPr>
          <w:p>
            <w:pPr>
              <w:spacing w:after="0"/>
            </w:pPr>
            <w:r/>
            <w:r>
              <w:rPr>
                <w:sz w:val="19"/>
              </w:rPr>
              <w:t>§5.2</w:t>
            </w:r>
          </w:p>
        </w:tc>
        <w:tc>
          <w:tcPr>
            <w:tcW w:type="dxa" w:w="3024"/>
          </w:tcPr>
          <w:p>
            <w:pPr>
              <w:spacing w:after="0"/>
            </w:pPr>
            <w:r/>
            <w:r>
              <w:rPr>
                <w:sz w:val="19"/>
              </w:rPr>
              <w:t>Deletion of portal access</w:t>
            </w:r>
          </w:p>
        </w:tc>
        <w:tc>
          <w:tcPr>
            <w:tcW w:type="dxa" w:w="1728"/>
          </w:tcPr>
          <w:p>
            <w:pPr>
              <w:spacing w:after="0"/>
            </w:pPr>
            <w:r/>
            <w:r>
              <w:rPr>
                <w:sz w:val="19"/>
              </w:rPr>
              <w:t>Counter-proposal</w:t>
            </w:r>
          </w:p>
        </w:tc>
        <w:tc>
          <w:tcPr>
            <w:tcW w:type="dxa" w:w="3312"/>
          </w:tcPr>
          <w:p>
            <w:pPr>
              <w:spacing w:after="0"/>
            </w:pPr>
            <w:r/>
            <w:r>
              <w:rPr>
                <w:sz w:val="19"/>
              </w:rPr>
              <w:t>New §5.4: commercially reasonable efforts to provide read-only ClientView access within 90 days</w:t>
            </w:r>
          </w:p>
        </w:tc>
      </w:tr>
      <w:tr>
        <w:tc>
          <w:tcPr>
            <w:tcW w:type="dxa" w:w="1296"/>
          </w:tcPr>
          <w:p>
            <w:pPr>
              <w:spacing w:after="0"/>
            </w:pPr>
            <w:r/>
            <w:r>
              <w:rPr>
                <w:sz w:val="19"/>
              </w:rPr>
              <w:t>§6.1–6.2</w:t>
            </w:r>
          </w:p>
        </w:tc>
        <w:tc>
          <w:tcPr>
            <w:tcW w:type="dxa" w:w="3024"/>
          </w:tcPr>
          <w:p>
            <w:pPr>
              <w:spacing w:after="0"/>
            </w:pPr>
            <w:r/>
            <w:r>
              <w:rPr>
                <w:sz w:val="19"/>
              </w:rPr>
              <w:t>Gross negligence / willful misconduct standard; direct damages only</w:t>
            </w:r>
          </w:p>
        </w:tc>
        <w:tc>
          <w:tcPr>
            <w:tcW w:type="dxa" w:w="1728"/>
          </w:tcPr>
          <w:p>
            <w:pPr>
              <w:spacing w:after="0"/>
            </w:pPr>
            <w:r/>
            <w:r>
              <w:rPr>
                <w:sz w:val="19"/>
              </w:rPr>
              <w:t>Counter-proposal</w:t>
            </w:r>
          </w:p>
        </w:tc>
        <w:tc>
          <w:tcPr>
            <w:tcW w:type="dxa" w:w="3312"/>
          </w:tcPr>
          <w:p>
            <w:pPr>
              <w:spacing w:after="0"/>
            </w:pPr>
            <w:r/>
            <w:r>
              <w:rPr>
                <w:sz w:val="19"/>
              </w:rPr>
              <w:t>Negligence standard of the Custody Agreement (GN/WM for reporting only); direct damages accepted and clarified</w:t>
            </w:r>
          </w:p>
        </w:tc>
      </w:tr>
      <w:tr>
        <w:tc>
          <w:tcPr>
            <w:tcW w:type="dxa" w:w="1296"/>
          </w:tcPr>
          <w:p>
            <w:pPr>
              <w:spacing w:after="0"/>
            </w:pPr>
            <w:r/>
            <w:r>
              <w:rPr>
                <w:sz w:val="19"/>
              </w:rPr>
              <w:t>§6.3</w:t>
            </w:r>
          </w:p>
        </w:tc>
        <w:tc>
          <w:tcPr>
            <w:tcW w:type="dxa" w:w="3024"/>
          </w:tcPr>
          <w:p>
            <w:pPr>
              <w:spacing w:after="0"/>
            </w:pPr>
            <w:r/>
            <w:r>
              <w:rPr>
                <w:sz w:val="19"/>
              </w:rPr>
              <w:t>Consequential damages waiver</w:t>
            </w:r>
          </w:p>
        </w:tc>
        <w:tc>
          <w:tcPr>
            <w:tcW w:type="dxa" w:w="1728"/>
          </w:tcPr>
          <w:p>
            <w:pPr>
              <w:spacing w:after="0"/>
            </w:pPr>
            <w:r/>
            <w:r>
              <w:rPr>
                <w:sz w:val="19"/>
              </w:rPr>
              <w:t>Accepted, as modified</w:t>
            </w:r>
          </w:p>
        </w:tc>
        <w:tc>
          <w:tcPr>
            <w:tcW w:type="dxa" w:w="3312"/>
          </w:tcPr>
          <w:p>
            <w:pPr>
              <w:spacing w:after="0"/>
            </w:pPr>
            <w:r/>
            <w:r>
              <w:rPr>
                <w:sz w:val="19"/>
              </w:rPr>
              <w:t>Made mutual (as Tidewater offered) with customary carve-outs</w:t>
            </w:r>
          </w:p>
        </w:tc>
      </w:tr>
      <w:tr>
        <w:tc>
          <w:tcPr>
            <w:tcW w:type="dxa" w:w="1296"/>
          </w:tcPr>
          <w:p>
            <w:pPr>
              <w:spacing w:after="0"/>
            </w:pPr>
            <w:r/>
            <w:r>
              <w:rPr>
                <w:sz w:val="19"/>
              </w:rPr>
              <w:t>§6.4</w:t>
            </w:r>
          </w:p>
        </w:tc>
        <w:tc>
          <w:tcPr>
            <w:tcW w:type="dxa" w:w="3024"/>
          </w:tcPr>
          <w:p>
            <w:pPr>
              <w:spacing w:after="0"/>
            </w:pPr>
            <w:r/>
            <w:r>
              <w:rPr>
                <w:sz w:val="19"/>
              </w:rPr>
              <w:t>Cap at lesser of 12-month fees and $500,000</w:t>
            </w:r>
          </w:p>
        </w:tc>
        <w:tc>
          <w:tcPr>
            <w:tcW w:type="dxa" w:w="1728"/>
          </w:tcPr>
          <w:p>
            <w:pPr>
              <w:spacing w:after="0"/>
            </w:pPr>
            <w:r/>
            <w:r>
              <w:rPr>
                <w:sz w:val="19"/>
              </w:rPr>
              <w:t>Counter-proposal</w:t>
            </w:r>
          </w:p>
        </w:tc>
        <w:tc>
          <w:tcPr>
            <w:tcW w:type="dxa" w:w="3312"/>
          </w:tcPr>
          <w:p>
            <w:pPr>
              <w:spacing w:after="0"/>
            </w:pPr>
            <w:r/>
            <w:r>
              <w:rPr>
                <w:sz w:val="19"/>
              </w:rPr>
              <w:t>Greater of 12-month fees and $2,500,000; carve-outs for GN/WM/fraud/bad faith and wrongful release of collateral</w:t>
            </w:r>
          </w:p>
        </w:tc>
      </w:tr>
      <w:tr>
        <w:tc>
          <w:tcPr>
            <w:tcW w:type="dxa" w:w="1296"/>
          </w:tcPr>
          <w:p>
            <w:pPr>
              <w:spacing w:after="0"/>
            </w:pPr>
            <w:r/>
            <w:r>
              <w:rPr>
                <w:sz w:val="19"/>
              </w:rPr>
              <w:t>§8.1–8.3</w:t>
            </w:r>
          </w:p>
        </w:tc>
        <w:tc>
          <w:tcPr>
            <w:tcW w:type="dxa" w:w="3024"/>
          </w:tcPr>
          <w:p>
            <w:pPr>
              <w:spacing w:after="0"/>
            </w:pPr>
            <w:r/>
            <w:r>
              <w:rPr>
                <w:sz w:val="19"/>
              </w:rPr>
              <w:t>Joint and several indemnity by Secured Party and Pledgor; broadened scope</w:t>
            </w:r>
          </w:p>
        </w:tc>
        <w:tc>
          <w:tcPr>
            <w:tcW w:type="dxa" w:w="1728"/>
          </w:tcPr>
          <w:p>
            <w:pPr>
              <w:spacing w:after="0"/>
            </w:pPr>
            <w:r/>
            <w:r>
              <w:rPr>
                <w:sz w:val="19"/>
              </w:rPr>
              <w:t>Counter-proposal</w:t>
            </w:r>
          </w:p>
        </w:tc>
        <w:tc>
          <w:tcPr>
            <w:tcW w:type="dxa" w:w="3312"/>
          </w:tcPr>
          <w:p>
            <w:pPr>
              <w:spacing w:after="0"/>
            </w:pPr>
            <w:r/>
            <w:r>
              <w:rPr>
                <w:sz w:val="19"/>
              </w:rPr>
              <w:t>Pledgor primary indemnity; limited, several and secondary Secured Party indemnity (Tidewater’s own alternative); negligence carve-out</w:t>
            </w:r>
          </w:p>
        </w:tc>
      </w:tr>
      <w:tr>
        <w:tc>
          <w:tcPr>
            <w:tcW w:type="dxa" w:w="1296"/>
          </w:tcPr>
          <w:p>
            <w:pPr>
              <w:spacing w:after="0"/>
            </w:pPr>
            <w:r/>
            <w:r>
              <w:rPr>
                <w:sz w:val="19"/>
              </w:rPr>
              <w:t>§10.3</w:t>
            </w:r>
          </w:p>
        </w:tc>
        <w:tc>
          <w:tcPr>
            <w:tcW w:type="dxa" w:w="3024"/>
          </w:tcPr>
          <w:p>
            <w:pPr>
              <w:spacing w:after="0"/>
            </w:pPr>
            <w:r/>
            <w:r>
              <w:rPr>
                <w:sz w:val="19"/>
              </w:rPr>
              <w:t>Termination on 30 days; assets transferred per Pledgor instructions</w:t>
            </w:r>
          </w:p>
        </w:tc>
        <w:tc>
          <w:tcPr>
            <w:tcW w:type="dxa" w:w="1728"/>
          </w:tcPr>
          <w:p>
            <w:pPr>
              <w:spacing w:after="0"/>
            </w:pPr>
            <w:r/>
            <w:r>
              <w:rPr>
                <w:sz w:val="19"/>
              </w:rPr>
              <w:t>Counter-proposal</w:t>
            </w:r>
          </w:p>
        </w:tc>
        <w:tc>
          <w:tcPr>
            <w:tcW w:type="dxa" w:w="3312"/>
          </w:tcPr>
          <w:p>
            <w:pPr>
              <w:spacing w:after="0"/>
            </w:pPr>
            <w:r/>
            <w:r>
              <w:rPr>
                <w:sz w:val="19"/>
              </w:rPr>
              <w:t>Resignation on 90 days, effective only on transfer to a successor intermediary under a replacement control agreement</w:t>
            </w:r>
          </w:p>
        </w:tc>
      </w:tr>
      <w:tr>
        <w:tc>
          <w:tcPr>
            <w:tcW w:type="dxa" w:w="1296"/>
          </w:tcPr>
          <w:p>
            <w:pPr>
              <w:spacing w:after="0"/>
            </w:pPr>
            <w:r/>
            <w:r>
              <w:rPr>
                <w:sz w:val="19"/>
              </w:rPr>
              <w:t>§12.1 / §1.4 / UCC / Sch. A</w:t>
            </w:r>
          </w:p>
        </w:tc>
        <w:tc>
          <w:tcPr>
            <w:tcW w:type="dxa" w:w="3024"/>
          </w:tcPr>
          <w:p>
            <w:pPr>
              <w:spacing w:after="0"/>
            </w:pPr>
            <w:r/>
            <w:r>
              <w:rPr>
                <w:sz w:val="19"/>
              </w:rPr>
              <w:t>Maryland governing law and intermediary’s jurisdiction</w:t>
            </w:r>
          </w:p>
        </w:tc>
        <w:tc>
          <w:tcPr>
            <w:tcW w:type="dxa" w:w="1728"/>
          </w:tcPr>
          <w:p>
            <w:pPr>
              <w:spacing w:after="0"/>
            </w:pPr>
            <w:r/>
            <w:r>
              <w:rPr>
                <w:sz w:val="19"/>
              </w:rPr>
              <w:t>Counter-proposal</w:t>
            </w:r>
          </w:p>
        </w:tc>
        <w:tc>
          <w:tcPr>
            <w:tcW w:type="dxa" w:w="3312"/>
          </w:tcPr>
          <w:p>
            <w:pPr>
              <w:spacing w:after="0"/>
            </w:pPr>
            <w:r/>
            <w:r>
              <w:rPr>
                <w:sz w:val="19"/>
              </w:rPr>
              <w:t>New York governing law retained; Maryland accepted as §8-110(e) securities intermediary’s jurisdiction (Tidewater’s proposed split)</w:t>
            </w:r>
          </w:p>
        </w:tc>
      </w:tr>
      <w:tr>
        <w:tc>
          <w:tcPr>
            <w:tcW w:type="dxa" w:w="1296"/>
          </w:tcPr>
          <w:p>
            <w:pPr>
              <w:spacing w:after="0"/>
            </w:pPr>
            <w:r/>
            <w:r>
              <w:rPr>
                <w:sz w:val="19"/>
              </w:rPr>
              <w:t>§12.2</w:t>
            </w:r>
          </w:p>
        </w:tc>
        <w:tc>
          <w:tcPr>
            <w:tcW w:type="dxa" w:w="3024"/>
          </w:tcPr>
          <w:p>
            <w:pPr>
              <w:spacing w:after="0"/>
            </w:pPr>
            <w:r/>
            <w:r>
              <w:rPr>
                <w:sz w:val="19"/>
              </w:rPr>
              <w:t>Exclusive Maryland courts</w:t>
            </w:r>
          </w:p>
        </w:tc>
        <w:tc>
          <w:tcPr>
            <w:tcW w:type="dxa" w:w="1728"/>
          </w:tcPr>
          <w:p>
            <w:pPr>
              <w:spacing w:after="0"/>
            </w:pPr>
            <w:r/>
            <w:r>
              <w:rPr>
                <w:sz w:val="19"/>
              </w:rPr>
              <w:t>Counter-proposal</w:t>
            </w:r>
          </w:p>
        </w:tc>
        <w:tc>
          <w:tcPr>
            <w:tcW w:type="dxa" w:w="3312"/>
          </w:tcPr>
          <w:p>
            <w:pPr>
              <w:spacing w:after="0"/>
            </w:pPr>
            <w:r/>
            <w:r>
              <w:rPr>
                <w:sz w:val="19"/>
              </w:rPr>
              <w:t>Non-exclusive jurisdiction of New York and Maryland courts</w:t>
            </w:r>
          </w:p>
        </w:tc>
      </w:tr>
      <w:tr>
        <w:tc>
          <w:tcPr>
            <w:tcW w:type="dxa" w:w="1296"/>
          </w:tcPr>
          <w:p>
            <w:pPr>
              <w:spacing w:after="0"/>
            </w:pPr>
            <w:r/>
            <w:r>
              <w:rPr>
                <w:sz w:val="19"/>
              </w:rPr>
              <w:t>§14.1(e)</w:t>
            </w:r>
          </w:p>
        </w:tc>
        <w:tc>
          <w:tcPr>
            <w:tcW w:type="dxa" w:w="3024"/>
          </w:tcPr>
          <w:p>
            <w:pPr>
              <w:spacing w:after="0"/>
            </w:pPr>
            <w:r/>
            <w:r>
              <w:rPr>
                <w:sz w:val="19"/>
              </w:rPr>
              <w:t>Deletion of “no other control agreements” representation</w:t>
            </w:r>
          </w:p>
        </w:tc>
        <w:tc>
          <w:tcPr>
            <w:tcW w:type="dxa" w:w="1728"/>
          </w:tcPr>
          <w:p>
            <w:pPr>
              <w:spacing w:after="0"/>
            </w:pPr>
            <w:r/>
            <w:r>
              <w:rPr>
                <w:sz w:val="19"/>
              </w:rPr>
              <w:t>Rejected; counter-proposal</w:t>
            </w:r>
          </w:p>
        </w:tc>
        <w:tc>
          <w:tcPr>
            <w:tcW w:type="dxa" w:w="3312"/>
          </w:tcPr>
          <w:p>
            <w:pPr>
              <w:spacing w:after="0"/>
            </w:pPr>
            <w:r/>
            <w:r>
              <w:rPr>
                <w:sz w:val="19"/>
              </w:rPr>
              <w:t>Representation restored with knowledge qualifier for pre-signing period and notice covenant; §11.1 conformed</w:t>
            </w:r>
          </w:p>
        </w:tc>
      </w:tr>
      <w:tr>
        <w:tc>
          <w:tcPr>
            <w:tcW w:type="dxa" w:w="1296"/>
          </w:tcPr>
          <w:p>
            <w:pPr>
              <w:spacing w:after="0"/>
            </w:pPr>
            <w:r/>
            <w:r>
              <w:rPr>
                <w:sz w:val="19"/>
              </w:rPr>
              <w:t>§15.3</w:t>
            </w:r>
          </w:p>
        </w:tc>
        <w:tc>
          <w:tcPr>
            <w:tcW w:type="dxa" w:w="3024"/>
          </w:tcPr>
          <w:p>
            <w:pPr>
              <w:spacing w:after="0"/>
            </w:pPr>
            <w:r/>
            <w:r>
              <w:rPr>
                <w:sz w:val="19"/>
              </w:rPr>
              <w:t>Commercially reasonable efforts to act within 2 Business Days; safe harbor</w:t>
            </w:r>
          </w:p>
        </w:tc>
        <w:tc>
          <w:tcPr>
            <w:tcW w:type="dxa" w:w="1728"/>
          </w:tcPr>
          <w:p>
            <w:pPr>
              <w:spacing w:after="0"/>
            </w:pPr>
            <w:r/>
            <w:r>
              <w:rPr>
                <w:sz w:val="19"/>
              </w:rPr>
              <w:t>Counter-proposal</w:t>
            </w:r>
          </w:p>
        </w:tc>
        <w:tc>
          <w:tcPr>
            <w:tcW w:type="dxa" w:w="3312"/>
          </w:tcPr>
          <w:p>
            <w:pPr>
              <w:spacing w:after="0"/>
            </w:pPr>
            <w:r/>
            <w:r>
              <w:rPr>
                <w:sz w:val="19"/>
              </w:rPr>
              <w:t>NEC same day; tiered timing for entitlement orders (cash 1 BD; securities 2 BD); safe harbor limited to defined causes</w:t>
            </w:r>
          </w:p>
        </w:tc>
      </w:tr>
      <w:tr>
        <w:tc>
          <w:tcPr>
            <w:tcW w:type="dxa" w:w="1296"/>
          </w:tcPr>
          <w:p>
            <w:pPr>
              <w:spacing w:after="0"/>
            </w:pPr>
            <w:r/>
            <w:r>
              <w:rPr>
                <w:sz w:val="19"/>
              </w:rPr>
              <w:t>Exhs. A–B</w:t>
            </w:r>
          </w:p>
        </w:tc>
        <w:tc>
          <w:tcPr>
            <w:tcW w:type="dxa" w:w="3024"/>
          </w:tcPr>
          <w:p>
            <w:pPr>
              <w:spacing w:after="0"/>
            </w:pPr>
            <w:r/>
            <w:r>
              <w:rPr>
                <w:sz w:val="19"/>
              </w:rPr>
              <w:t>Conforming changes</w:t>
            </w:r>
          </w:p>
        </w:tc>
        <w:tc>
          <w:tcPr>
            <w:tcW w:type="dxa" w:w="1728"/>
          </w:tcPr>
          <w:p>
            <w:pPr>
              <w:spacing w:after="0"/>
            </w:pPr>
            <w:r/>
            <w:r>
              <w:rPr>
                <w:sz w:val="19"/>
              </w:rPr>
              <w:t>Accepted, as modified</w:t>
            </w:r>
          </w:p>
        </w:tc>
        <w:tc>
          <w:tcPr>
            <w:tcW w:type="dxa" w:w="3312"/>
          </w:tcPr>
          <w:p>
            <w:pPr>
              <w:spacing w:after="0"/>
            </w:pPr>
            <w:r/>
            <w:r>
              <w:rPr>
                <w:sz w:val="19"/>
              </w:rPr>
              <w:t>Conformed to the above; drafting placeholder removed</w:t>
            </w:r>
          </w:p>
        </w:tc>
      </w:tr>
    </w:tbl>
    <w:p>
      <w:pPr>
        <w:spacing w:after="80"/>
      </w:pPr>
    </w:p>
    <w:p>
      <w:pPr>
        <w:spacing w:after="80" w:before="200"/>
      </w:pPr>
      <w:r>
        <w:rPr>
          <w:b/>
          <w:i w:val="0"/>
        </w:rPr>
        <w:t>1. Section 2 — Entitlement Orders</w:t>
      </w:r>
    </w:p>
    <w:p>
      <w:pPr>
        <w:spacing w:after="40" w:before="120"/>
      </w:pPr>
      <w:r>
        <w:rPr>
          <w:b/>
          <w:i w:val="0"/>
        </w:rPr>
        <w:t>Section 2.1 (Pledgor countersignature) — Counter-proposal</w:t>
      </w:r>
    </w:p>
    <w:p>
      <w:pPr>
        <w:ind w:left="432"/>
        <w:jc w:val="both"/>
      </w:pPr>
      <w:r>
        <w:rPr>
          <w:b/>
          <w:i/>
        </w:rPr>
        <w:t xml:space="preserve">Tidewater’s change. </w:t>
      </w:r>
      <w:r>
        <w:rPr>
          <w:b w:val="0"/>
          <w:i w:val="0"/>
        </w:rPr>
        <w:t>Deletes Tidewater’s agreement to comply with Orion’s entitlement orders “without further consent of the Pledgor,” and conditions compliance on a Pledgor countersignature until a Notice of Exclusive Control (“NEC”) has “become effective” under Section 3.</w:t>
      </w:r>
    </w:p>
    <w:p>
      <w:pPr>
        <w:ind w:left="432"/>
        <w:jc w:val="both"/>
      </w:pPr>
      <w:r>
        <w:rPr>
          <w:b/>
          <w:i/>
        </w:rPr>
        <w:t xml:space="preserve">Orion’s response. </w:t>
      </w:r>
      <w:r>
        <w:rPr>
          <w:b w:val="0"/>
          <w:i w:val="0"/>
        </w:rPr>
        <w:t>We have restored the “without further consent” undertaking and the “no certification” sentence, and we accept Tidewater’s countersignature procedure in a narrowed form: until Tidewater has received an NEC, Tidewater may require a Pledgor countersignature on an Orion entitlement order as an operational verification step, unless the order is delivered with or after an NEC. The redline states expressly that this procedure does not condition Tidewater’s underlying agreement and that the parties intend Orion to have control from signing. Exhibit B has been conformed.</w:t>
      </w:r>
    </w:p>
    <w:p>
      <w:pPr>
        <w:ind w:left="432"/>
        <w:jc w:val="both"/>
      </w:pPr>
      <w:r>
        <w:rPr>
          <w:b/>
          <w:i/>
        </w:rPr>
        <w:t xml:space="preserve">Rationale. </w:t>
      </w:r>
      <w:r>
        <w:rPr>
          <w:b w:val="0"/>
          <w:i w:val="0"/>
        </w:rPr>
        <w:t>We agree with Tidewater’s reading that control under UCC §8-106(d)(2) turns on what the intermediary has agreed to do, and that a springing structure is consistent with control. That analysis holds, however, only if Orion can move from the pre-NEC regime to unilateral control on its own and at once. In Tidewater’s markup Orion cannot: under §3.1, an NEC would not take effect for at least five Business Days and would never take effect if the Pledgor delivered a Cure Notice. Combined with the countersignature requirement, that gives the Pledgor a veto at every stage, which is exactly the “further consent” that §8-106(d)(2) and Credit Agreement §7.14(d) exclude. For the same reason we cannot accept the negative-consent or deemed-consent alternative described in your letter: a two-Business-Day objection right is also a Pledgor consent right. Once the NEC is immediately effective (see §3.1 below), Tidewater’s dual-authorization protocol can apply in the ordinary course without putting control at risk, and the revised §2.1 achieves that.</w:t>
      </w:r>
    </w:p>
    <w:p>
      <w:pPr>
        <w:spacing w:after="40" w:before="120"/>
      </w:pPr>
      <w:r>
        <w:rPr>
          <w:b/>
          <w:i w:val="0"/>
        </w:rPr>
        <w:t>Section 2.2 (conflicting instructions) — Counter-proposal</w:t>
      </w:r>
    </w:p>
    <w:p>
      <w:pPr>
        <w:ind w:left="432"/>
        <w:jc w:val="both"/>
      </w:pPr>
      <w:r>
        <w:rPr>
          <w:b/>
          <w:i/>
        </w:rPr>
        <w:t xml:space="preserve">Tidewater’s change. </w:t>
      </w:r>
      <w:r>
        <w:rPr>
          <w:b w:val="0"/>
          <w:i w:val="0"/>
        </w:rPr>
        <w:t>Replaces Secured Party priority with a joint-instruction rule and an open-ended right to refrain until a conflict is resolved to Tidewater’s reasonable satisfaction.</w:t>
      </w:r>
    </w:p>
    <w:p>
      <w:pPr>
        <w:ind w:left="432"/>
        <w:jc w:val="both"/>
      </w:pPr>
      <w:r>
        <w:rPr>
          <w:b/>
          <w:i/>
        </w:rPr>
        <w:t xml:space="preserve">Orion’s response. </w:t>
      </w:r>
      <w:r>
        <w:rPr>
          <w:b w:val="0"/>
          <w:i w:val="0"/>
        </w:rPr>
        <w:t>An Orion order (countersigned, if delivered pre-NEC) prevails over a conflicting Pledgor order. For any conflict not resolved by that rule, we accept a bounded right to refrain before an NEC: Tidewater must notify both parties on the Business Day of receipt, may hold until the earliest of a joint instruction, an NEC or a final court order, and may not execute the conflicting Pledgor order in the meantime. There is no right to refrain from Orion orders after an NEC.</w:t>
      </w:r>
    </w:p>
    <w:p>
      <w:pPr>
        <w:ind w:left="432"/>
        <w:jc w:val="both"/>
      </w:pPr>
      <w:r>
        <w:rPr>
          <w:b/>
          <w:i/>
        </w:rPr>
        <w:t xml:space="preserve">Rationale. </w:t>
      </w:r>
      <w:r>
        <w:rPr>
          <w:b w:val="0"/>
          <w:i w:val="0"/>
        </w:rPr>
        <w:t>This responds to the “maximum period” and dispute-resolution refinements your letter offered while keeping Orion’s priority intact. A refrain right that survived an NEC would be inconsistent with control and with Credit Agreement §§7.14(d) and 11.02(e).</w:t>
      </w:r>
    </w:p>
    <w:p>
      <w:pPr>
        <w:spacing w:after="80" w:before="200"/>
      </w:pPr>
      <w:r>
        <w:rPr>
          <w:b/>
          <w:i w:val="0"/>
        </w:rPr>
        <w:t>2. Section 3 — Notice of Exclusive Control</w:t>
      </w:r>
    </w:p>
    <w:p>
      <w:pPr>
        <w:spacing w:after="40" w:before="120"/>
      </w:pPr>
      <w:r>
        <w:rPr>
          <w:b/>
          <w:i w:val="0"/>
        </w:rPr>
        <w:t>Officer’s Certificate (Section 3.1) — Accepted, as modified</w:t>
      </w:r>
    </w:p>
    <w:p>
      <w:pPr>
        <w:ind w:left="432"/>
        <w:jc w:val="both"/>
      </w:pPr>
      <w:r>
        <w:rPr>
          <w:b/>
          <w:i/>
        </w:rPr>
        <w:t xml:space="preserve">Tidewater’s change. </w:t>
      </w:r>
      <w:r>
        <w:rPr>
          <w:b w:val="0"/>
          <w:i w:val="0"/>
        </w:rPr>
        <w:t>Requires an Officer’s Certificate certifying that an Event of Default has occurred and is continuing and that Orion is entitled to exercise exclusive control.</w:t>
      </w:r>
    </w:p>
    <w:p>
      <w:pPr>
        <w:ind w:left="432"/>
        <w:jc w:val="both"/>
      </w:pPr>
      <w:r>
        <w:rPr>
          <w:b/>
          <w:i/>
        </w:rPr>
        <w:t xml:space="preserve">Orion’s response. </w:t>
      </w:r>
      <w:r>
        <w:rPr>
          <w:b w:val="0"/>
          <w:i w:val="0"/>
        </w:rPr>
        <w:t>Accepted in substance, in recognition of the importance Tidewater attaches to this point. Each NEC will include (or be accompanied by) a certification of an authorized officer of Orion that an Event of Default has occurred and is continuing, or that Orion is otherwise entitled under the Loan Documents to deliver the NEC. Exhibit A now contains the certification in its body, so no separate document or “Enclosure” is needed. Tidewater has no duty to inquire. As between the parties to the ACA, the accuracy of the certification is a matter solely between Orion and Halcyon and does not affect whether the NEC is effective.</w:t>
      </w:r>
    </w:p>
    <w:p>
      <w:pPr>
        <w:ind w:left="432"/>
        <w:jc w:val="both"/>
      </w:pPr>
      <w:r>
        <w:rPr>
          <w:b/>
          <w:i/>
        </w:rPr>
        <w:t xml:space="preserve">Rationale. </w:t>
      </w:r>
      <w:r>
        <w:rPr>
          <w:b w:val="0"/>
          <w:i w:val="0"/>
        </w:rPr>
        <w:t>The certification gives Tidewater the written assurance and reliance protection it asked for. It cannot also become a condition that Tidewater or the Pledgor can test before the NEC takes effect, because that would bring back the consent and delay issues described above. We note that the markup text (a “duly authorized officer”) differs from your letter (an officer at Senior Vice President level or above). Orion has not agreed to an officer-level requirement, since the Administrative Agent’s authorized signatories are not all SVPs and a title test is a ground for dispute at exactly the wrong time.</w:t>
      </w:r>
    </w:p>
    <w:p>
      <w:pPr>
        <w:spacing w:after="40" w:before="120"/>
      </w:pPr>
      <w:r>
        <w:rPr>
          <w:b/>
          <w:i w:val="0"/>
        </w:rPr>
        <w:t>Cure period, Cure Notice and Control Effective Date (Section 3.1) — Rejected</w:t>
      </w:r>
    </w:p>
    <w:p>
      <w:pPr>
        <w:ind w:left="432"/>
        <w:jc w:val="both"/>
      </w:pPr>
      <w:r>
        <w:rPr>
          <w:b/>
          <w:i/>
        </w:rPr>
        <w:t xml:space="preserve">Tidewater’s change. </w:t>
      </w:r>
      <w:r>
        <w:rPr>
          <w:b w:val="0"/>
          <w:i w:val="0"/>
        </w:rPr>
        <w:t>Delays effectiveness of an NEC to five Business Days after Tidewater forwards it to the Pledgor (your letter refers to six), and makes it ineffective if the Pledgor delivers a Cure Notice.</w:t>
      </w:r>
    </w:p>
    <w:p>
      <w:pPr>
        <w:ind w:left="432"/>
        <w:jc w:val="both"/>
      </w:pPr>
      <w:r>
        <w:rPr>
          <w:b/>
          <w:i/>
        </w:rPr>
        <w:t xml:space="preserve">Orion’s response. </w:t>
      </w:r>
      <w:r>
        <w:rPr>
          <w:b w:val="0"/>
          <w:i w:val="0"/>
        </w:rPr>
        <w:t>Rejected. An NEC is effective on receipt, with no cure, grace or waiting period. Tidewater will forward a copy of each NEC to the Pledgor within one Business Day, but a failure to forward does not affect effectiveness. Any claim by the Pledgor that an NEC was improperly delivered lies against Orion under the Loan Documents. Exhibit A has also been conformed. As marked up, Exhibit A still stated that “no cure period, grace period, or waiting period shall apply,” which conflicted with Tidewater’s §3.1.</w:t>
      </w:r>
    </w:p>
    <w:p>
      <w:pPr>
        <w:ind w:left="432"/>
        <w:jc w:val="both"/>
      </w:pPr>
      <w:r>
        <w:rPr>
          <w:b/>
          <w:i/>
        </w:rPr>
        <w:t xml:space="preserve">Rationale. </w:t>
      </w:r>
      <w:r>
        <w:rPr>
          <w:b w:val="0"/>
          <w:i w:val="0"/>
        </w:rPr>
        <w:t>This is a firm position for Orion and the Lenders, for four reasons:</w:t>
      </w:r>
    </w:p>
    <w:p>
      <w:pPr>
        <w:pStyle w:val="ListBullet"/>
        <w:jc w:val="both"/>
      </w:pPr>
      <w:r>
        <w:rPr>
          <w:b/>
          <w:i w:val="0"/>
        </w:rPr>
        <w:t>Control.</w:t>
      </w:r>
      <w:r>
        <w:rPr>
          <w:b w:val="0"/>
          <w:i w:val="0"/>
        </w:rPr>
        <w:t xml:space="preserve"> A mechanism under which the debtor’s notice prevents the secured party’s instruction from taking effect is a consent right. It puts perfection by control, and therefore Orion’s priority, at risk under UCC §§8-106(d)(2), 9-106 and 9-314.</w:t>
      </w:r>
    </w:p>
    <w:p>
      <w:pPr>
        <w:pStyle w:val="ListBullet"/>
        <w:jc w:val="both"/>
      </w:pPr>
      <w:r>
        <w:rPr>
          <w:b/>
          <w:i w:val="0"/>
        </w:rPr>
        <w:t>The Loan Documents already address cure.</w:t>
      </w:r>
      <w:r>
        <w:rPr>
          <w:b w:val="0"/>
          <w:i w:val="0"/>
        </w:rPr>
        <w:t xml:space="preserve"> Whether an Event of Default exists, and any cure rights, are set out in Credit Agreement §11.01. Several defaults have no cure period at all (for example §11.01(a) and §11.01(d), which excludes any cure period for §6.09). A second, intermediary-administered cure process would override the agreed credit terms.</w:t>
      </w:r>
    </w:p>
    <w:p>
      <w:pPr>
        <w:pStyle w:val="ListBullet"/>
        <w:jc w:val="both"/>
      </w:pPr>
      <w:r>
        <w:rPr>
          <w:b/>
          <w:i w:val="0"/>
        </w:rPr>
        <w:t>Dissipation risk.</w:t>
      </w:r>
      <w:r>
        <w:rPr>
          <w:b w:val="0"/>
          <w:i w:val="0"/>
        </w:rPr>
        <w:t xml:space="preserve"> A five-to-six Business Day window after notice to the Pledgor is when collateral is most exposed to withdrawal. It is also when a bankruptcy filing (§11.01(h)) could intervene before control is exercised.</w:t>
      </w:r>
    </w:p>
    <w:p>
      <w:pPr>
        <w:pStyle w:val="ListBullet"/>
        <w:jc w:val="both"/>
      </w:pPr>
      <w:r>
        <w:rPr>
          <w:b/>
          <w:i w:val="0"/>
        </w:rPr>
        <w:t>The Custody Agreement does not require it.</w:t>
      </w:r>
      <w:r>
        <w:rPr>
          <w:b w:val="0"/>
          <w:i w:val="0"/>
        </w:rPr>
        <w:t xml:space="preserve"> Your letter cites Custody Agreement Section 9.3 as requiring notice to the account holder before account activity is restricted. The Custody Agreement we have (including Amendment No. 1 dated September 15, 2023) has no Section 9.3; Article IX consists of Sections 9.1 (indemnification) and 9.2 (survival). In any event, Halcyon is a party to the ACA and consents to the NEC mechanics, and §§11.2 and 21.1 give the ACA precedence. If there is a further amendment or side letter we have not seen, please send it to us. Halcyon has represented in Pledge and Security Agreement §4.05 that the Custody Agreement has not been amended except as disclosed.</w:t>
      </w:r>
    </w:p>
    <w:p>
      <w:pPr>
        <w:jc w:val="both"/>
      </w:pPr>
      <w:r>
        <w:rPr>
          <w:b w:val="0"/>
          <w:i w:val="0"/>
        </w:rPr>
        <w:t>For the same reasons, Orion cannot accept the three-Business-Day alternative or a cure mechanism limited to particular categories of default.</w:t>
      </w:r>
    </w:p>
    <w:p>
      <w:pPr>
        <w:spacing w:after="40" w:before="120"/>
      </w:pPr>
      <w:r>
        <w:rPr>
          <w:b/>
          <w:i w:val="0"/>
        </w:rPr>
        <w:t>Section 3.3 (conclusive reliance) — Accepted, as modified</w:t>
      </w:r>
    </w:p>
    <w:p>
      <w:pPr>
        <w:jc w:val="both"/>
      </w:pPr>
      <w:r>
        <w:rPr>
          <w:b w:val="0"/>
          <w:i w:val="0"/>
        </w:rPr>
        <w:t>Orion accepts Tidewater’s conclusive-reliance and no-investigation language for the Officer’s Certificate, which is consistent with the Orion Form’s existing no-inquiry protection. The reference to a Cure Notice has been deleted because no cure mechanism remains.</w:t>
      </w:r>
    </w:p>
    <w:p>
      <w:pPr>
        <w:spacing w:after="80" w:before="200"/>
      </w:pPr>
      <w:r>
        <w:rPr>
          <w:b/>
          <w:i w:val="0"/>
        </w:rPr>
        <w:t>3. Section 4 — Subordination of Securities Intermediary’s Lien</w:t>
      </w:r>
    </w:p>
    <w:p>
      <w:pPr>
        <w:spacing w:after="40" w:before="120"/>
      </w:pPr>
      <w:r>
        <w:rPr>
          <w:b/>
          <w:i w:val="0"/>
        </w:rPr>
        <w:t>Sections 4.1–4.3 (Custodian Lien) — Counter-proposal</w:t>
      </w:r>
    </w:p>
    <w:p>
      <w:pPr>
        <w:ind w:left="432"/>
        <w:jc w:val="both"/>
      </w:pPr>
      <w:r>
        <w:rPr>
          <w:b/>
          <w:i/>
        </w:rPr>
        <w:t xml:space="preserve">Tidewater’s change. </w:t>
      </w:r>
      <w:r>
        <w:rPr>
          <w:b w:val="0"/>
          <w:i w:val="0"/>
        </w:rPr>
        <w:t>Reserves an uncapped Custodian Lien, senior to Orion’s security interest, for Custodial Fees, Expenses and Overdraft Advances. It also permits set-off on 10 Business Days’ notice and allows Tidewater to look to the Account for all Custodian Obligations.</w:t>
      </w:r>
    </w:p>
    <w:p>
      <w:pPr>
        <w:ind w:left="432"/>
        <w:jc w:val="both"/>
      </w:pPr>
      <w:r>
        <w:rPr>
          <w:b/>
          <w:i/>
        </w:rPr>
        <w:t xml:space="preserve">Orion’s response. </w:t>
      </w:r>
      <w:r>
        <w:rPr>
          <w:b w:val="0"/>
          <w:i w:val="0"/>
        </w:rPr>
        <w:t>Orion accepts the principle of a fee carve-out and consents to it for purposes of Credit Agreement §8.02 and Schedule 8.02, within the parameters your letter identified as open for discussion:</w:t>
      </w:r>
    </w:p>
    <w:p>
      <w:pPr>
        <w:pStyle w:val="ListBullet"/>
        <w:jc w:val="both"/>
      </w:pPr>
      <w:r>
        <w:rPr>
          <w:b/>
          <w:i w:val="0"/>
        </w:rPr>
        <w:t>Covered obligations.</w:t>
      </w:r>
      <w:r>
        <w:rPr>
          <w:b w:val="0"/>
          <w:i w:val="0"/>
        </w:rPr>
        <w:t xml:space="preserve"> The senior Custodian Lien secures unpaid Custodial Fees and Expenses (as defined in the Custody Agreement, including standard transaction and settlement charges under its fee schedule) that are attributable to the Account and incurred in the ordinary course. As your letter offered, Overdraft Advances are excluded. So are interest, extraordinary Expenses and amounts relating to other accounts. These remain claims against Halcyon, but they are subordinated to Orion.</w:t>
      </w:r>
    </w:p>
    <w:p>
      <w:pPr>
        <w:pStyle w:val="ListBullet"/>
        <w:jc w:val="both"/>
      </w:pPr>
      <w:r>
        <w:rPr>
          <w:b/>
          <w:i w:val="0"/>
        </w:rPr>
        <w:t>Priority Cap.</w:t>
      </w:r>
      <w:r>
        <w:rPr>
          <w:b w:val="0"/>
          <w:i w:val="0"/>
        </w:rPr>
        <w:t xml:space="preserve"> The lien is senior only up to $175,000 at any time outstanding. That is a full year of the approximately $175,000 annual fees your letter projects, against fees that are billed and payable quarterly in arrears under Custody Agreement §5.1(b). Amounts above the cap are subordinated.</w:t>
      </w:r>
    </w:p>
    <w:p>
      <w:pPr>
        <w:pStyle w:val="ListBullet"/>
        <w:jc w:val="both"/>
      </w:pPr>
      <w:r>
        <w:rPr>
          <w:b/>
          <w:i w:val="0"/>
        </w:rPr>
        <w:t>Set-off (§4.2).</w:t>
      </w:r>
      <w:r>
        <w:rPr>
          <w:b w:val="0"/>
          <w:i w:val="0"/>
        </w:rPr>
        <w:t xml:space="preserve"> We accept the 10-Business-Day notice period, which matches Custody Agreement §5.4(b). The notice must specify the amounts and the assets to be applied. Set-off may not proceed if the past-due amount is paid during the notice period (Orion may pay but is not obliged to), and cash must be applied before Financial Assets are liquidated, as Custody Agreement §5.4(b) already requires.</w:t>
      </w:r>
    </w:p>
    <w:p>
      <w:pPr>
        <w:pStyle w:val="ListBullet"/>
        <w:jc w:val="both"/>
      </w:pPr>
      <w:r>
        <w:rPr>
          <w:b/>
          <w:i w:val="0"/>
        </w:rPr>
        <w:t>Section 4.3.</w:t>
      </w:r>
      <w:r>
        <w:rPr>
          <w:b w:val="0"/>
          <w:i w:val="0"/>
        </w:rPr>
        <w:t xml:space="preserve"> Outside the capped Custodian Lien, Tidewater looks solely to Halcyon and its unencumbered assets, and will not assert any claim against Orion for fees. The “irrevocably” language of the Orion Form has been restored.</w:t>
      </w:r>
    </w:p>
    <w:p>
      <w:pPr>
        <w:ind w:left="432"/>
        <w:jc w:val="both"/>
      </w:pPr>
      <w:r>
        <w:rPr>
          <w:b/>
          <w:i/>
        </w:rPr>
        <w:t xml:space="preserve">Rationale. </w:t>
      </w:r>
      <w:r>
        <w:rPr>
          <w:b w:val="0"/>
          <w:i w:val="0"/>
        </w:rPr>
        <w:t>Credit Agreement §7.14(f) permits exceptions to subordination only as Orion agrees, and Schedule 8.02 requires express written consent to any senior intermediary lien. A capped carve-out for the ordinary-course fees that maintain the collateral is the market accommodation. An uncapped senior lien that includes discretionary credit extensions is not. We understand that a narrower carve-out will need re-approval by Ms. Langston, and we are happy to discuss the cap figure with her directly. Custody Agreement §5.4(d) is satisfied because the ACA expressly acknowledges the Custodian Lien, Tidewater is a party, and Tidewater agrees to the extent of subordination set out in the ACA.</w:t>
      </w:r>
    </w:p>
    <w:p>
      <w:pPr>
        <w:spacing w:after="80" w:before="200"/>
      </w:pPr>
      <w:r>
        <w:rPr>
          <w:b/>
          <w:i w:val="0"/>
        </w:rPr>
        <w:t>4. Section 5 — Account Statements and Reporting</w:t>
      </w:r>
    </w:p>
    <w:p>
      <w:pPr>
        <w:spacing w:after="40" w:before="120"/>
      </w:pPr>
      <w:r>
        <w:rPr>
          <w:b/>
          <w:i w:val="0"/>
        </w:rPr>
        <w:t>Section 5.1 (statement frequency and timing) — Accepted, as modified</w:t>
      </w:r>
    </w:p>
    <w:p>
      <w:pPr>
        <w:ind w:left="432"/>
        <w:jc w:val="both"/>
      </w:pPr>
      <w:r>
        <w:rPr>
          <w:b/>
          <w:i/>
        </w:rPr>
        <w:t xml:space="preserve">Orion’s response. </w:t>
      </w:r>
      <w:r>
        <w:rPr>
          <w:b w:val="0"/>
          <w:i w:val="0"/>
        </w:rPr>
        <w:t>Orion accepts monthly statements. The delivery target is 10 Business Days after month-end, with a firm outside date of 15 Business Days if Tidewater cannot meet the target despite commercially reasonable efforts. In addition, Tidewater will forward to Orion, at least weekly (daily after an NEC), copies of the position and transaction reports it already generates for the Account under the standard reporting package.</w:t>
      </w:r>
    </w:p>
    <w:p>
      <w:pPr>
        <w:ind w:left="432"/>
        <w:jc w:val="both"/>
      </w:pPr>
      <w:r>
        <w:rPr>
          <w:b/>
          <w:i/>
        </w:rPr>
        <w:t xml:space="preserve">Rationale. </w:t>
      </w:r>
      <w:r>
        <w:rPr>
          <w:b w:val="0"/>
          <w:i w:val="0"/>
        </w:rPr>
        <w:t>This follows your letter’s concern about custom programming. Schedule B to the Custody Agreement describes Tidewater’s standard reporting package as including “daily position reports” and “standard transaction reports,” so forwarding copies requires no new development. (For the record, the Orion Form required delivery within two, not five, Business Days of each weekly period.) The 10-Business-Day target is the “stretch” figure your letter offered, backed by the 15-Business-Day standard in Custody Agreement §4.2(b).</w:t>
      </w:r>
    </w:p>
    <w:p>
      <w:pPr>
        <w:spacing w:after="40" w:before="120"/>
      </w:pPr>
      <w:r>
        <w:rPr>
          <w:b/>
          <w:i w:val="0"/>
        </w:rPr>
        <w:t>Section 5.2 (electronic access) — Counter-proposal (new Section 5.4)</w:t>
      </w:r>
    </w:p>
    <w:p>
      <w:pPr>
        <w:ind w:left="432"/>
        <w:jc w:val="both"/>
      </w:pPr>
      <w:r>
        <w:rPr>
          <w:b/>
          <w:i/>
        </w:rPr>
        <w:t xml:space="preserve">Orion’s response. </w:t>
      </w:r>
      <w:r>
        <w:rPr>
          <w:b w:val="0"/>
          <w:i w:val="0"/>
        </w:rPr>
        <w:t>Rather than reinstating real-time access within five Business Days, new §5.4 requires commercially reasonable efforts to give Orion read-only access for up to two designated users within 90 days, through the Tidewater ClientView Portal (the portal defined in Custody Agreement §4.2(c); your letter refers to “TidewaterDirect”). Access is subject to Tidewater’s standard third-party access terms and information-security requirements. The weekly report copies under §5.1 bridge the gap in the meantime. Halcyon authorizes the access and bears any portal fees under the Custody Agreement. We do not think a separate Electronic Access Agreement is necessary, but we will review Tidewater’s standard third-party terms. Tidewater’s renumbering of former §§5.3 and 5.4 is accepted.</w:t>
      </w:r>
    </w:p>
    <w:p>
      <w:pPr>
        <w:ind w:left="432"/>
        <w:jc w:val="both"/>
      </w:pPr>
      <w:r>
        <w:rPr>
          <w:b/>
          <w:i/>
        </w:rPr>
        <w:t xml:space="preserve">Rationale. </w:t>
      </w:r>
      <w:r>
        <w:rPr>
          <w:b w:val="0"/>
          <w:i w:val="0"/>
        </w:rPr>
        <w:t>This adopts the commercially-reasonable-efforts structure Tidewater proposed. The period is shortened from 120 to 90 days, and the information-security process Tidewater described is respected.</w:t>
      </w:r>
    </w:p>
    <w:p>
      <w:pPr>
        <w:spacing w:after="80" w:before="200"/>
      </w:pPr>
      <w:r>
        <w:rPr>
          <w:b/>
          <w:i w:val="0"/>
        </w:rPr>
        <w:t>5. Section 6 — Standard of Care; Limitation of Liability</w:t>
      </w:r>
    </w:p>
    <w:p>
      <w:pPr>
        <w:spacing w:after="40" w:before="120"/>
      </w:pPr>
      <w:r>
        <w:rPr>
          <w:b/>
          <w:i w:val="0"/>
        </w:rPr>
        <w:t>Sections 6.1–6.2 (standard of care; direct damages) — Counter-proposal</w:t>
      </w:r>
    </w:p>
    <w:p>
      <w:pPr>
        <w:ind w:left="432"/>
        <w:jc w:val="both"/>
      </w:pPr>
      <w:r>
        <w:rPr>
          <w:b/>
          <w:i/>
        </w:rPr>
        <w:t xml:space="preserve">Tidewater’s change. </w:t>
      </w:r>
      <w:r>
        <w:rPr>
          <w:b w:val="0"/>
          <w:i w:val="0"/>
        </w:rPr>
        <w:t>Good-faith performance standard; liability only for gross negligence or willful misconduct; direct damages only.</w:t>
      </w:r>
    </w:p>
    <w:p>
      <w:pPr>
        <w:ind w:left="432"/>
        <w:jc w:val="both"/>
      </w:pPr>
      <w:r>
        <w:rPr>
          <w:b/>
          <w:i/>
        </w:rPr>
        <w:t xml:space="preserve">Orion’s response. </w:t>
      </w:r>
      <w:r>
        <w:rPr>
          <w:b w:val="0"/>
          <w:i w:val="0"/>
        </w:rPr>
        <w:t>Tidewater will be liable for negligence, bad faith or willful misconduct, measured against the “Applicable Standard of Care” in Custody Agreement §7.1, and will perform its securities-intermediary duties consistently with UCC §§8-504 to 8-508. As a concession, liability for the §5 reporting obligations, which are the most purely ministerial, is limited to gross negligence, bad faith or willful misconduct. Orion accepts the limitation to direct damages. The redline clarifies that direct damages include the value of collateral released or transferred in breach of the ACA and the amount Orion would have realized had Tidewater complied with an entitlement order or NEC.</w:t>
      </w:r>
    </w:p>
    <w:p>
      <w:pPr>
        <w:ind w:left="432"/>
        <w:jc w:val="both"/>
      </w:pPr>
      <w:r>
        <w:rPr>
          <w:b/>
          <w:i/>
        </w:rPr>
        <w:t xml:space="preserve">Rationale. </w:t>
      </w:r>
      <w:r>
        <w:rPr>
          <w:b w:val="0"/>
          <w:i w:val="0"/>
        </w:rPr>
        <w:t>Your letter states that the Custody Agreement (Section 8.1) “uniformly employ[s] a gross negligence or willful misconduct standard.” It does not. Custody Agreement §8.1(a) makes Tidewater liable for losses resulting from its “negligence, bad faith, or willful misconduct … as measured against the Applicable Standard of Care,” and §7.1 sets a reasonably-prudent-custodian standard. Orion cannot accept, for the secured party whose rights the ACA exists to protect, a lower standard than Tidewater already accepts from Halcyon for the same Account. The counter-proposal deliberately uses Tidewater’s own existing formulation, so it requires no departure from an approved Tidewater standard. Without the clarification of “direct damages,” a wrongful release of collateral, which is the core risk under any ACA, could be characterized as consequential loss or “diminution in value.”</w:t>
      </w:r>
    </w:p>
    <w:p>
      <w:pPr>
        <w:spacing w:after="40" w:before="120"/>
      </w:pPr>
      <w:r>
        <w:rPr>
          <w:b/>
          <w:i w:val="0"/>
        </w:rPr>
        <w:t>Section 6.3 (consequential damages) — Accepted, as modified</w:t>
      </w:r>
    </w:p>
    <w:p>
      <w:pPr>
        <w:jc w:val="both"/>
      </w:pPr>
      <w:r>
        <w:rPr>
          <w:b w:val="0"/>
          <w:i w:val="0"/>
        </w:rPr>
        <w:t>Orion accepts the waiver and has made it mutual, as your letter offered. Two adjustments are made. First, “diminution in value” has been removed from the illustrative list, for the reason just given. Second, the waiver does not limit recovery of the direct damages described in §6.2, liability for fraud, bad faith, gross negligence or willful misconduct, or indemnities for third-party claims. We note that the categories “reputational harm” and “cost of replacement financing” described in your letter do not appear in the markup, and Orion would not agree to add them.</w:t>
      </w:r>
    </w:p>
    <w:p>
      <w:pPr>
        <w:spacing w:after="40" w:before="120"/>
      </w:pPr>
      <w:r>
        <w:rPr>
          <w:b/>
          <w:i w:val="0"/>
        </w:rPr>
        <w:t>Section 6.4 (liability cap) — Counter-proposal</w:t>
      </w:r>
    </w:p>
    <w:p>
      <w:pPr>
        <w:ind w:left="432"/>
        <w:jc w:val="both"/>
      </w:pPr>
      <w:r>
        <w:rPr>
          <w:b/>
          <w:i/>
        </w:rPr>
        <w:t xml:space="preserve">Tidewater’s change. </w:t>
      </w:r>
      <w:r>
        <w:rPr>
          <w:b w:val="0"/>
          <w:i w:val="0"/>
        </w:rPr>
        <w:t>Aggregate annual cap at the lesser of 12-month fees and $500,000.</w:t>
      </w:r>
    </w:p>
    <w:p>
      <w:pPr>
        <w:ind w:left="432"/>
        <w:jc w:val="both"/>
      </w:pPr>
      <w:r>
        <w:rPr>
          <w:b/>
          <w:i/>
        </w:rPr>
        <w:t xml:space="preserve">Orion’s response. </w:t>
      </w:r>
      <w:r>
        <w:rPr>
          <w:b w:val="0"/>
          <w:i w:val="0"/>
        </w:rPr>
        <w:t>Cap at the greater of (a) 12-month fees and (b) $2,500,000. The cap does not apply to gross negligence, bad faith, fraud or willful misconduct, or to any release or transfer of collateral on Pledgor instructions after an NEC or otherwise than pursuant to a permitted entitlement order.</w:t>
      </w:r>
    </w:p>
    <w:p>
      <w:pPr>
        <w:ind w:left="432"/>
        <w:jc w:val="both"/>
      </w:pPr>
      <w:r>
        <w:rPr>
          <w:b/>
          <w:i/>
        </w:rPr>
        <w:t xml:space="preserve">Rationale. </w:t>
      </w:r>
      <w:r>
        <w:rPr>
          <w:b w:val="0"/>
          <w:i w:val="0"/>
        </w:rPr>
        <w:t>Under Custody Agreement §8.2, Tidewater has already agreed with Halcyon to a cap equal to the greater of 12-month fees and $1,000,000. Tidewater’s proposal for the ACA, the lesser of fees and $500,000, would in practice cap Tidewater’s liability to the Secured Party at roughly the annual fee level. That is a small fraction of both Tidewater’s existing commitment to Halcyon and the credit (up to $55 million of commitments) the Account secures. Our counter does not index the cap to the value of the Account, which we understand Tidewater cannot accept. The carve-outs cover only conduct that no cap should protect and the specific failure (release of collateral after control has been exercised) against which the ACA exists to guard.</w:t>
      </w:r>
    </w:p>
    <w:p>
      <w:pPr>
        <w:spacing w:after="80" w:before="200"/>
      </w:pPr>
      <w:r>
        <w:rPr>
          <w:b/>
          <w:i w:val="0"/>
        </w:rPr>
        <w:t>6. Section 8 — Indemnification</w:t>
      </w:r>
    </w:p>
    <w:p>
      <w:pPr>
        <w:spacing w:after="40" w:before="120"/>
      </w:pPr>
      <w:r>
        <w:rPr>
          <w:b/>
          <w:i w:val="0"/>
        </w:rPr>
        <w:t>Sections 8.1–8.3 — Counter-proposal</w:t>
      </w:r>
    </w:p>
    <w:p>
      <w:pPr>
        <w:ind w:left="432"/>
        <w:jc w:val="both"/>
      </w:pPr>
      <w:r>
        <w:rPr>
          <w:b/>
          <w:i/>
        </w:rPr>
        <w:t xml:space="preserve">Tidewater’s change. </w:t>
      </w:r>
      <w:r>
        <w:rPr>
          <w:b w:val="0"/>
          <w:i w:val="0"/>
        </w:rPr>
        <w:t>Makes the Secured Party jointly and severally liable with the Pledgor for a broadened indemnity (including all claims relating to “this Agreement or the transactions contemplated hereby”), with a gross-negligence/willful-misconduct carve-out. It also deletes Orion Form §8.2.</w:t>
      </w:r>
    </w:p>
    <w:p>
      <w:pPr>
        <w:ind w:left="432"/>
        <w:jc w:val="both"/>
      </w:pPr>
      <w:r>
        <w:rPr>
          <w:b/>
          <w:i/>
        </w:rPr>
        <w:t xml:space="preserve">Orion’s response. </w:t>
      </w:r>
      <w:r>
        <w:rPr>
          <w:b w:val="0"/>
          <w:i w:val="0"/>
        </w:rPr>
        <w:t>Orion rejects joint and several liability and accepts the bifurcated structure your letter proposed:</w:t>
      </w:r>
    </w:p>
    <w:p>
      <w:pPr>
        <w:pStyle w:val="ListBullet"/>
        <w:jc w:val="both"/>
      </w:pPr>
      <w:r>
        <w:rPr>
          <w:b/>
          <w:i w:val="0"/>
        </w:rPr>
        <w:t>§8.1 (Pledgor).</w:t>
      </w:r>
      <w:r>
        <w:rPr>
          <w:b w:val="0"/>
          <w:i w:val="0"/>
        </w:rPr>
        <w:t xml:space="preserve"> Halcyon remains the primary indemnitor for clauses (b) through (d) as Tidewater drafted them (including third-party claims relating to the Account). Clause (a) is narrowed to Pledgor breaches, as your letter invited. Clauses (b) and (c) are tied to instructions and performance “in accordance with this Agreement.”</w:t>
      </w:r>
    </w:p>
    <w:p>
      <w:pPr>
        <w:pStyle w:val="ListBullet"/>
        <w:jc w:val="both"/>
      </w:pPr>
      <w:r>
        <w:rPr>
          <w:b/>
          <w:i w:val="0"/>
        </w:rPr>
        <w:t>New §8.2 (Secured Party).</w:t>
      </w:r>
      <w:r>
        <w:rPr>
          <w:b w:val="0"/>
          <w:i w:val="0"/>
        </w:rPr>
        <w:t xml:space="preserve"> Orion indemnifies Tidewater for losses arising directly from Tidewater’s compliance, in accordance with the ACA, with Orion’s own entitlement orders or NECs. This applies only to the extent Halcyon has not paid within 30 days of demand, and not for losses caused by Tidewater’s negligence, bad faith or willful misconduct. Orion’s obligation is several, not joint, and excludes Pledgor-originated instructions, Custody Agreement matters and fees.</w:t>
      </w:r>
    </w:p>
    <w:p>
      <w:pPr>
        <w:pStyle w:val="ListBullet"/>
        <w:jc w:val="both"/>
      </w:pPr>
      <w:r>
        <w:rPr>
          <w:b/>
          <w:i w:val="0"/>
        </w:rPr>
        <w:t>§8.3 (Tidewater).</w:t>
      </w:r>
      <w:r>
        <w:rPr>
          <w:b w:val="0"/>
          <w:i w:val="0"/>
        </w:rPr>
        <w:t xml:space="preserve"> Renumbered and conformed to the §6.1 standard.</w:t>
      </w:r>
    </w:p>
    <w:p>
      <w:pPr>
        <w:ind w:left="432"/>
        <w:jc w:val="both"/>
      </w:pPr>
      <w:r>
        <w:rPr>
          <w:b/>
          <w:i/>
        </w:rPr>
        <w:t xml:space="preserve">Rationale. </w:t>
      </w:r>
      <w:r>
        <w:rPr>
          <w:b w:val="0"/>
          <w:i w:val="0"/>
        </w:rPr>
        <w:t>Orion acts as Administrative Agent for a syndicate. It does not accept open-ended, joint and several exposure for the custodial relationship between Tidewater and its client. Tidewater’s stated objective is recourse to the party whose instructions give rise to the claim, and the limited §8.2 provides exactly that. The carve-out must follow the liability standard in §6.1, which, as noted, is the negligence standard Tidewater already accepts in Custody Agreement §9.1.</w:t>
      </w:r>
    </w:p>
    <w:p>
      <w:pPr>
        <w:spacing w:after="80" w:before="200"/>
      </w:pPr>
      <w:r>
        <w:rPr>
          <w:b/>
          <w:i w:val="0"/>
        </w:rPr>
        <w:t>7. Section 10.3 — Termination by Tidewater</w:t>
      </w:r>
    </w:p>
    <w:p>
      <w:pPr>
        <w:spacing w:after="40" w:before="120"/>
      </w:pPr>
      <w:r>
        <w:rPr>
          <w:b/>
          <w:i w:val="0"/>
        </w:rPr>
        <w:t>Counter-proposal</w:t>
      </w:r>
    </w:p>
    <w:p>
      <w:pPr>
        <w:ind w:left="432"/>
        <w:jc w:val="both"/>
      </w:pPr>
      <w:r>
        <w:rPr>
          <w:b/>
          <w:i/>
        </w:rPr>
        <w:t xml:space="preserve">Tidewater’s change. </w:t>
      </w:r>
      <w:r>
        <w:rPr>
          <w:b w:val="0"/>
          <w:i w:val="0"/>
        </w:rPr>
        <w:t>Unilateral termination on 30 days’ notice. On termination, assets are to be transferred “in accordance with the Custody Agreement and the instructions of the Pledgor” unless an NEC is in effect.</w:t>
      </w:r>
    </w:p>
    <w:p>
      <w:pPr>
        <w:ind w:left="432"/>
        <w:jc w:val="both"/>
      </w:pPr>
      <w:r>
        <w:rPr>
          <w:b/>
          <w:i/>
        </w:rPr>
        <w:t xml:space="preserve">Orion’s response. </w:t>
      </w:r>
      <w:r>
        <w:rPr>
          <w:b w:val="0"/>
          <w:i w:val="0"/>
        </w:rPr>
        <w:t>Orion accepts that Tidewater may resign, but on the following terms:</w:t>
      </w:r>
    </w:p>
    <w:p>
      <w:pPr>
        <w:pStyle w:val="ListBullet"/>
        <w:jc w:val="both"/>
      </w:pPr>
      <w:r>
        <w:rPr>
          <w:b/>
          <w:i w:val="0"/>
        </w:rPr>
        <w:t>Notice.</w:t>
      </w:r>
      <w:r>
        <w:rPr>
          <w:b w:val="0"/>
          <w:i w:val="0"/>
        </w:rPr>
        <w:t xml:space="preserve"> 90 days’ notice, which is the period in Custody Agreement §12.3 for Tidewater’s own termination of the custody relationship. (Your letter cites a 60-day right in §12.2, but that is the Client’s termination right.) A shorter period, of not less than 30 days unless law requires less, applies where continued performance would breach law, Sanctions or a regulatory directive. This reflects the for-cause concept your letter suggested.</w:t>
      </w:r>
    </w:p>
    <w:p>
      <w:pPr>
        <w:pStyle w:val="ListBullet"/>
        <w:jc w:val="both"/>
      </w:pPr>
      <w:r>
        <w:rPr>
          <w:b/>
          <w:i w:val="0"/>
        </w:rPr>
        <w:t>Effectiveness.</w:t>
      </w:r>
      <w:r>
        <w:rPr>
          <w:b w:val="0"/>
          <w:i w:val="0"/>
        </w:rPr>
        <w:t xml:space="preserve"> Resignation takes effect only once the assets have been transferred to a successor intermediary designated by Orion (in consultation with Halcyon) under a replacement control agreement. Orion will use commercially reasonable efforts to designate a successor during the notice period. If none is designated, Tidewater’s duties narrow to safekeeping and complying with Orion’s orders.</w:t>
      </w:r>
    </w:p>
    <w:p>
      <w:pPr>
        <w:pStyle w:val="ListBullet"/>
        <w:jc w:val="both"/>
      </w:pPr>
      <w:r>
        <w:rPr>
          <w:b/>
          <w:i w:val="0"/>
        </w:rPr>
        <w:t>No transfer to the Pledgor.</w:t>
      </w:r>
      <w:r>
        <w:rPr>
          <w:b w:val="0"/>
          <w:i w:val="0"/>
        </w:rPr>
        <w:t xml:space="preserve"> In no event will assets be released to Halcyon or anyone other than the successor without Orion’s order or countersignature. Tidewater may retain capped Custodian Obligations as provided in §4.</w:t>
      </w:r>
    </w:p>
    <w:p>
      <w:pPr>
        <w:ind w:left="432"/>
        <w:jc w:val="both"/>
      </w:pPr>
      <w:r>
        <w:rPr>
          <w:b/>
          <w:i/>
        </w:rPr>
        <w:t xml:space="preserve">Rationale. </w:t>
      </w:r>
      <w:r>
        <w:rPr>
          <w:b w:val="0"/>
          <w:i w:val="0"/>
        </w:rPr>
        <w:t>As drafted in the markup, a Tidewater notice would end Orion’s control and send the collateral to the Pledgor after 30 days. That would trigger Credit Agreement §§6.02(f), 11.01(l) and 11.01(m), and would be at odds with Exhibit E to the Credit Agreement, which contemplates termination only with the Administrative Agent’s consent. The revised §10.3 gives Tidewater the exit right its Legal and Compliance Committee requires while keeping the collateral under control until it is moved. We note also that your letter describes transfer to a successor designated by the Secured Party, which is closer to Orion’s counter-proposal than to the markup text.</w:t>
      </w:r>
    </w:p>
    <w:p>
      <w:pPr>
        <w:spacing w:after="80" w:before="200"/>
      </w:pPr>
      <w:r>
        <w:rPr>
          <w:b/>
          <w:i w:val="0"/>
        </w:rPr>
        <w:t>8. Section 12 and Related Provisions — Governing Law; Jurisdiction</w:t>
      </w:r>
    </w:p>
    <w:p>
      <w:pPr>
        <w:spacing w:after="40" w:before="120"/>
      </w:pPr>
      <w:r>
        <w:rPr>
          <w:b/>
          <w:i w:val="0"/>
        </w:rPr>
        <w:t>Section 12.1, Section 1.4, the “UCC” definition and Schedule A — Counter-proposal</w:t>
      </w:r>
    </w:p>
    <w:p>
      <w:pPr>
        <w:ind w:left="432"/>
        <w:jc w:val="both"/>
      </w:pPr>
      <w:r>
        <w:rPr>
          <w:b/>
          <w:i/>
        </w:rPr>
        <w:t xml:space="preserve">Tidewater’s change. </w:t>
      </w:r>
      <w:r>
        <w:rPr>
          <w:b w:val="0"/>
          <w:i w:val="0"/>
        </w:rPr>
        <w:t>Maryland governing law, Maryland UCC throughout, and Maryland as the securities intermediary’s jurisdiction.</w:t>
      </w:r>
    </w:p>
    <w:p>
      <w:pPr>
        <w:ind w:left="432"/>
        <w:jc w:val="both"/>
      </w:pPr>
      <w:r>
        <w:rPr>
          <w:b/>
          <w:i/>
        </w:rPr>
        <w:t xml:space="preserve">Orion’s response. </w:t>
      </w:r>
      <w:r>
        <w:rPr>
          <w:b w:val="0"/>
          <w:i w:val="0"/>
        </w:rPr>
        <w:t>We accept the compromise your letter proposed. New York law governs the ACA as a contract (with General Obligations Law §§5-1401 and 5-1402 restored). Maryland is designated as the securities intermediary’s jurisdiction under UCC §8-110(e) in §1.4 and Schedule A, consistent with Custody Agreement §§2.2(b) and 14.1. Section 12.1 acknowledges that Maryland law governs the matters in §8-110(b) and the perfection, effect of perfection and priority of Orion’s security interest. The “UCC” definition follows the Credit Agreement formulation: New York UCC, with the Maryland UCC applying where it governs perfection or priority. Tidewater and Halcyon also agree not to change the jurisdiction designation in the Custody Agreement without Orion’s consent. As a technical correction, the reference in §1.4 to “Section 8-110(d)” has been corrected to §8-110(b), the subsection that lists the matters governed by the law of the intermediary’s jurisdiction.</w:t>
      </w:r>
    </w:p>
    <w:p>
      <w:pPr>
        <w:ind w:left="432"/>
        <w:jc w:val="both"/>
      </w:pPr>
      <w:r>
        <w:rPr>
          <w:b/>
          <w:i/>
        </w:rPr>
        <w:t xml:space="preserve">Rationale. </w:t>
      </w:r>
      <w:r>
        <w:rPr>
          <w:b w:val="0"/>
          <w:i w:val="0"/>
        </w:rPr>
        <w:t>Credit Agreement §7.14(g) requires New York governing law for the ACA, so a change in contractual governing law is not available to Orion. We agree with Tidewater that the ACA and the Custody Agreement should designate the same intermediary’s jurisdiction, to avoid any uncertainty about the law governing perfection and priority. Orion’s agreement to the Maryland designation is subject to delivery at closing of a customary opinion of Halcyon’s counsel covering perfection and control under the Maryland UCC (Credit Agreement §7.01(e)). We are coordinating that with Halcyon.</w:t>
      </w:r>
    </w:p>
    <w:p>
      <w:pPr>
        <w:spacing w:after="40" w:before="120"/>
      </w:pPr>
      <w:r>
        <w:rPr>
          <w:b/>
          <w:i w:val="0"/>
        </w:rPr>
        <w:t>Section 12.2 (forum) — Counter-proposal</w:t>
      </w:r>
    </w:p>
    <w:p>
      <w:pPr>
        <w:jc w:val="both"/>
      </w:pPr>
      <w:r>
        <w:rPr>
          <w:b w:val="0"/>
          <w:i w:val="0"/>
        </w:rPr>
        <w:t>Submission to the non-exclusive jurisdiction of both the New York courts (S.D.N.Y. and New York County Supreme Court) and the Maryland courts (D. Md. and the Baltimore City courts). This is one of the alternatives your letter proposed and ensures that Tidewater is never compelled to litigate exclusively outside Maryland. §12.3 operates unchanged against the courts listed in §12.2. We have also added Baltimore bank holidays to the “Business Day” definition so that the processing periods in §15.3 track Tidewater’s operating days.</w:t>
      </w:r>
    </w:p>
    <w:p>
      <w:pPr>
        <w:spacing w:after="80" w:before="200"/>
      </w:pPr>
      <w:r>
        <w:rPr>
          <w:b/>
          <w:i w:val="0"/>
        </w:rPr>
        <w:t>9. Section 14.1(e) — No Other Control Agreements</w:t>
      </w:r>
    </w:p>
    <w:p>
      <w:pPr>
        <w:spacing w:after="40" w:before="120"/>
      </w:pPr>
      <w:r>
        <w:rPr>
          <w:b/>
          <w:i w:val="0"/>
        </w:rPr>
        <w:t>Rejected; counter-proposal</w:t>
      </w:r>
    </w:p>
    <w:p>
      <w:pPr>
        <w:ind w:left="432"/>
        <w:jc w:val="both"/>
      </w:pPr>
      <w:r>
        <w:rPr>
          <w:b/>
          <w:i/>
        </w:rPr>
        <w:t xml:space="preserve">Orion’s response. </w:t>
      </w:r>
      <w:r>
        <w:rPr>
          <w:b w:val="0"/>
          <w:i w:val="0"/>
        </w:rPr>
        <w:t>The representation is restored as new §14.1(e), with the remaining clauses re-lettered (f) and (g). As your letter offered, the representation is qualified, for agreements or authorizations predating the ACA only, by Tidewater’s knowledge after due inquiry of its account records and of the Institutional Custody Services officers responsible for the Account. It is paired with a covenant to notify Orion promptly if Tidewater becomes aware of any such agreement. Section 11.1, which contains the same representation and which Tidewater did not mark, has been conformed so the two provisions are consistent.</w:t>
      </w:r>
    </w:p>
    <w:p>
      <w:pPr>
        <w:ind w:left="432"/>
        <w:jc w:val="both"/>
      </w:pPr>
      <w:r>
        <w:rPr>
          <w:b/>
          <w:i/>
        </w:rPr>
        <w:t xml:space="preserve">Rationale. </w:t>
      </w:r>
      <w:r>
        <w:rPr>
          <w:b w:val="0"/>
          <w:i w:val="0"/>
        </w:rPr>
        <w:t>The acknowledgment is an express requirement of Credit Agreement §7.14(e) and Exhibit E. It concerns agreements to which Tidewater itself would be a party, and Tidewater is better placed than anyone to give it. The Pledgor’s lien representation in §14.2 does not substitute for it. The knowledge qualifier addresses the legacy-records concern in your letter.</w:t>
      </w:r>
    </w:p>
    <w:p>
      <w:pPr>
        <w:spacing w:after="40" w:before="120"/>
      </w:pPr>
      <w:r>
        <w:rPr>
          <w:b/>
          <w:i w:val="0"/>
        </w:rPr>
        <w:t>Conforming changes (Sections 14.1(b), 14.1(g) and 14.2(e))</w:t>
      </w:r>
    </w:p>
    <w:p>
      <w:pPr>
        <w:jc w:val="both"/>
      </w:pPr>
      <w:r>
        <w:rPr>
          <w:b w:val="0"/>
          <w:i w:val="0"/>
        </w:rPr>
        <w:t>References to the “subordinated lien” of Tidewater have been conformed to refer to its lien as described in, and subject to, Section 4 (including the capped Custodian Lien).</w:t>
      </w:r>
    </w:p>
    <w:p>
      <w:pPr>
        <w:spacing w:after="80" w:before="200"/>
      </w:pPr>
      <w:r>
        <w:rPr>
          <w:b/>
          <w:i w:val="0"/>
        </w:rPr>
        <w:t>10. Section 15.3 — Timing of Compliance</w:t>
      </w:r>
    </w:p>
    <w:p>
      <w:pPr>
        <w:spacing w:after="40" w:before="120"/>
      </w:pPr>
      <w:r>
        <w:rPr>
          <w:b/>
          <w:i w:val="0"/>
        </w:rPr>
        <w:t>Counter-proposal</w:t>
      </w:r>
    </w:p>
    <w:p>
      <w:pPr>
        <w:ind w:left="432"/>
        <w:jc w:val="both"/>
      </w:pPr>
      <w:r>
        <w:rPr>
          <w:b/>
          <w:i/>
        </w:rPr>
        <w:t xml:space="preserve">Tidewater’s change. </w:t>
      </w:r>
      <w:r>
        <w:rPr>
          <w:b w:val="0"/>
          <w:i w:val="0"/>
        </w:rPr>
        <w:t>Commercially reasonable efforts to act on entitlement orders and NECs within two Business Days, with a safe harbor whenever such efforts were used.</w:t>
      </w:r>
    </w:p>
    <w:p>
      <w:pPr>
        <w:ind w:left="432"/>
        <w:jc w:val="both"/>
      </w:pPr>
      <w:r>
        <w:rPr>
          <w:b/>
          <w:i/>
        </w:rPr>
        <w:t xml:space="preserve">Orion’s response. </w:t>
      </w:r>
    </w:p>
    <w:p>
      <w:pPr>
        <w:pStyle w:val="ListBullet"/>
        <w:jc w:val="both"/>
      </w:pPr>
      <w:r>
        <w:rPr>
          <w:b/>
          <w:i w:val="0"/>
        </w:rPr>
        <w:t>NECs.</w:t>
      </w:r>
      <w:r>
        <w:rPr>
          <w:b w:val="0"/>
          <w:i w:val="0"/>
        </w:rPr>
        <w:t xml:space="preserve"> An NEC, which requires Tidewater only to stop acting on Pledgor instructions, must be implemented immediately on receipt, and in any event the same Business Day if received before cut-off (otherwise by the opening of business on the next Business Day).</w:t>
      </w:r>
    </w:p>
    <w:p>
      <w:pPr>
        <w:pStyle w:val="ListBullet"/>
        <w:jc w:val="both"/>
      </w:pPr>
      <w:r>
        <w:rPr>
          <w:b/>
          <w:i w:val="0"/>
        </w:rPr>
        <w:t>Entitlement orders.</w:t>
      </w:r>
      <w:r>
        <w:rPr>
          <w:b w:val="0"/>
          <w:i w:val="0"/>
        </w:rPr>
        <w:t xml:space="preserve"> Tidewater will use commercially reasonable efforts to execute on the day of receipt, which is the commitment Tidewater already gives Halcyon in Custody Agreement §6.3(a). Outside dates are one Business Day for cash orders and two Business Days for securities orders (customary settlement cycle for non-U.S., sub-custodian or transfer-agent settlements). This follows the tiered approach your letter proposed.</w:t>
      </w:r>
    </w:p>
    <w:p>
      <w:pPr>
        <w:pStyle w:val="ListBullet"/>
        <w:jc w:val="both"/>
      </w:pPr>
      <w:r>
        <w:rPr>
          <w:b/>
          <w:i w:val="0"/>
        </w:rPr>
        <w:t>Safe harbor.</w:t>
      </w:r>
      <w:r>
        <w:rPr>
          <w:b w:val="0"/>
          <w:i w:val="0"/>
        </w:rPr>
        <w:t xml:space="preserve"> Accepted, but limited to delays caused by Force Majeure Events, legally required authentication and sanctions/AML screening conducted diligently and with prompt notice to Orion, or failures of counterparties, depositories or settlement systems, in each case where Tidewater used commercially reasonable efforts.</w:t>
      </w:r>
    </w:p>
    <w:p>
      <w:pPr>
        <w:pStyle w:val="ListBullet"/>
        <w:jc w:val="both"/>
      </w:pPr>
      <w:r>
        <w:rPr>
          <w:b/>
          <w:i w:val="0"/>
        </w:rPr>
        <w:t>Cut-off times.</w:t>
      </w:r>
      <w:r>
        <w:rPr>
          <w:b w:val="0"/>
          <w:i w:val="0"/>
        </w:rPr>
        <w:t xml:space="preserve"> The cut-off-time mechanics of the Orion Form have been restored.</w:t>
      </w:r>
    </w:p>
    <w:p>
      <w:pPr>
        <w:ind w:left="432"/>
        <w:jc w:val="both"/>
      </w:pPr>
      <w:r>
        <w:rPr>
          <w:b/>
          <w:i/>
        </w:rPr>
        <w:t xml:space="preserve">Rationale. </w:t>
      </w:r>
      <w:r>
        <w:rPr>
          <w:b w:val="0"/>
          <w:i w:val="0"/>
        </w:rPr>
        <w:t>A two-Business-Day window for an NEC would leave the Pledgor free to direct the Account after control has been exercised, and the delay that matters most is the delay in freezing Pledgor activity. Your letter cites Custody Agreement Section 4.5 for a two-Business-Day standard. We do not find a Section 4.5 in the Custody Agreement; the relevant provision, §6.3(a), provides for same-day execution on a commercially-reasonable-efforts basis. We recognize Tidewater’s concern about compressing compliance screening, and the safe harbor expressly protects legally required screening.</w:t>
      </w:r>
    </w:p>
    <w:p>
      <w:pPr>
        <w:spacing w:after="80" w:before="200"/>
      </w:pPr>
      <w:r>
        <w:rPr>
          <w:b/>
          <w:i w:val="0"/>
        </w:rPr>
        <w:t>11. Exhibits A and B</w:t>
      </w:r>
    </w:p>
    <w:p>
      <w:pPr>
        <w:jc w:val="both"/>
      </w:pPr>
      <w:r>
        <w:rPr>
          <w:b w:val="0"/>
          <w:i w:val="0"/>
        </w:rPr>
        <w:t>Exhibit A now contains the Officer’s Certificate language and states that the NEC is effective on receipt. The free-standing “Enclosure” line has been deleted. In Exhibit B, the countersignature block is retained but limited to orders delivered before an NEC, and the “[ADDED: …]” drafting placeholder has been removed.</w:t>
      </w:r>
    </w:p>
    <w:p>
      <w:pPr>
        <w:spacing w:after="80" w:before="200"/>
      </w:pPr>
      <w:r>
        <w:rPr>
          <w:b/>
          <w:i w:val="0"/>
        </w:rPr>
        <w:t>12. Other Points</w:t>
      </w:r>
    </w:p>
    <w:p>
      <w:pPr>
        <w:pStyle w:val="ListBullet"/>
        <w:jc w:val="both"/>
      </w:pPr>
      <w:r>
        <w:rPr>
          <w:b/>
          <w:i w:val="0"/>
        </w:rPr>
        <w:t>Markup versus cover letter.</w:t>
      </w:r>
      <w:r>
        <w:rPr>
          <w:b w:val="0"/>
          <w:i w:val="0"/>
        </w:rPr>
        <w:t xml:space="preserve"> On several points the markup text differs from the description in your letter: officer level and a six-Business-Day period in §3.1; “final, non-appealable judgment” language and Cure Notices in §§6.2 and 8.1; the additional damages categories in §6.3; and the successor-transfer mechanics in §10.3. We have responded to the markup text. Please let us know if Tidewater intended to propose the letter’s formulations instead.</w:t>
      </w:r>
    </w:p>
    <w:p>
      <w:pPr>
        <w:pStyle w:val="ListBullet"/>
        <w:jc w:val="both"/>
      </w:pPr>
      <w:r>
        <w:rPr>
          <w:b/>
          <w:i w:val="0"/>
        </w:rPr>
        <w:t>Contact details.</w:t>
      </w:r>
      <w:r>
        <w:rPr>
          <w:b w:val="0"/>
          <w:i w:val="0"/>
        </w:rPr>
        <w:t xml:space="preserve"> The email addresses in your transmittal email and cover letter (brannock-hale.com and brannockhalerivers.com for Sandra; tidewaterntc.com for Jim) differ from each other and from Schedule B (tidewatertrust.com for Jim). We have sent this letter to every address. Please confirm the correct notice details, and we will conform Schedule B in the next turn.</w:t>
      </w:r>
    </w:p>
    <w:p>
      <w:pPr>
        <w:pStyle w:val="ListBullet"/>
        <w:jc w:val="both"/>
      </w:pPr>
      <w:r>
        <w:rPr>
          <w:b/>
          <w:i w:val="0"/>
        </w:rPr>
        <w:t>Remaining provisions.</w:t>
      </w:r>
      <w:r>
        <w:rPr>
          <w:b w:val="0"/>
          <w:i w:val="0"/>
        </w:rPr>
        <w:t xml:space="preserve"> Orion accepts Tidewater’s ministerial and renumbering changes except as reflected in the redline. Provisions that Tidewater did not mark are treated as agreed.</w:t>
      </w:r>
    </w:p>
    <w:p>
      <w:pPr>
        <w:spacing w:after="80" w:before="200"/>
      </w:pPr>
      <w:r>
        <w:rPr>
          <w:b/>
          <w:i w:val="0"/>
        </w:rPr>
        <w:t>Next Steps</w:t>
      </w:r>
    </w:p>
    <w:p>
      <w:pPr>
        <w:jc w:val="both"/>
      </w:pPr>
      <w:r>
        <w:rPr>
          <w:b w:val="0"/>
          <w:i w:val="0"/>
        </w:rPr>
        <w:t>We welcome the call you proposed and agree that a discussion with Jim and the deal principals is the best way to close the remaining points. We are available on Tuesday, May 13 at 2:00 p.m., Wednesday, May 14 at 10:00 a.m. or Thursday, May 15 at 3:00 p.m. (Eastern). It would be helpful if Jim could address on the call the Custody Agreement references noted above and the internal approvals (Chief Risk Officer, Trust Operations Committee) that the revised §§4, 6 and 10 will require. To keep the ACA on track for signing well before the June 2, 2025 initial funding date, we would be grateful for Tidewater’s responses by Friday, May 16.</w:t>
      </w:r>
    </w:p>
    <w:p>
      <w:pPr>
        <w:jc w:val="both"/>
      </w:pPr>
      <w:r>
        <w:rPr>
          <w:b w:val="0"/>
          <w:i w:val="0"/>
        </w:rPr>
        <w:t>This letter and the enclosed redline are delivered for discussion purposes only. They are subject to further review and comment by Halcyon, to Orion’s and the Lenders’ final approval, and to the negotiation and execution of definitive documentation. Orion reserves all of its rights, including the right to propose further changes in response to any revisions.</w:t>
      </w:r>
    </w:p>
    <w:p>
      <w:pPr>
        <w:spacing w:after="40" w:before="160"/>
      </w:pPr>
      <w:r>
        <w:rPr>
          <w:b w:val="0"/>
          <w:i w:val="0"/>
        </w:rPr>
        <w:t>Very truly yours,</w:t>
      </w:r>
    </w:p>
    <w:p>
      <w:pPr>
        <w:spacing w:after="360"/>
      </w:pPr>
      <w:r>
        <w:rPr>
          <w:b/>
          <w:i w:val="0"/>
        </w:rPr>
        <w:t>WHITFIELD GREER &amp; ASSOCIATES LLP</w:t>
      </w:r>
    </w:p>
    <w:p>
      <w:pPr>
        <w:spacing w:after="200"/>
      </w:pPr>
      <w:r>
        <w:rPr>
          <w:b w:val="0"/>
          <w:i w:val="0"/>
        </w:rPr>
        <w:t>Margaret S. Yun</w:t>
        <w:br/>
        <w:t>Partner</w:t>
        <w:br/>
        <w:t>myun@whitfieldgreer.com  |  (212) 555-7200</w:t>
      </w:r>
    </w:p>
    <w:p>
      <w:pPr>
        <w:spacing w:after="40"/>
      </w:pPr>
      <w:r>
        <w:rPr>
          <w:b/>
          <w:i w:val="0"/>
        </w:rPr>
        <w:t>Enclosure:</w:t>
      </w:r>
      <w:r>
        <w:rPr>
          <w:b w:val="0"/>
          <w:i w:val="0"/>
        </w:rPr>
        <w:t xml:space="preserve"> Orion counter-turn redline of the Account Control Agreement (marked against Tidewater first markup dated May 2, 2025) — counter-turn-redline.docx</w:t>
      </w:r>
    </w:p>
    <w:p>
      <w:pPr>
        <w:spacing w:after="0"/>
      </w:pPr>
      <w:r>
        <w:rPr>
          <w:b/>
          <w:i w:val="0"/>
        </w:rPr>
        <w:t>cc:</w:t>
      </w:r>
    </w:p>
    <w:p>
      <w:pPr>
        <w:ind w:left="720"/>
      </w:pPr>
      <w:r>
        <w:rPr>
          <w:b w:val="0"/>
          <w:i w:val="0"/>
        </w:rPr>
        <w:t>David R. Okonkwo, Esq., Whitfield Greer &amp; Associates LLP</w:t>
        <w:br/>
        <w:t>Priya Chandrasekaran, Vice President, Credit Administration, Orion Capital Lending, LLC</w:t>
        <w:br/>
        <w:t>Thomas Whitaker, General Counsel, Halcyon Biosciences, Inc.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Confidential — For Negotiation Purposes Only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