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18"/>
        </w:rPr>
        <w:t>PRIVILEGED &amp; CONFIDENTIAL — ATTORNEY-CLIENT COMMUNICATION / ATTORNEY WORK PRODUCT</w:t>
      </w:r>
    </w:p>
    <w:p>
      <w:pPr>
        <w:spacing w:after="80"/>
        <w:jc w:val="center"/>
      </w:pPr>
      <w:r>
        <w:rPr>
          <w:b w:val="0"/>
          <w:i/>
          <w:sz w:val="18"/>
        </w:rPr>
        <w:t>Ceritas Internal — Not for distribution to Pinnacle (Playbook QA-PB-2024-003 §2.3, step 5)</w:t>
      </w:r>
    </w:p>
    <w:p>
      <w:pPr>
        <w:spacing w:after="160"/>
        <w:jc w:val="center"/>
      </w:pPr>
      <w:r>
        <w:rPr>
          <w:b/>
          <w:i w:val="0"/>
          <w:sz w:val="30"/>
        </w:rPr>
        <w:t>ISSUES / RISK MEMORANDUM</w:t>
      </w:r>
    </w:p>
    <w:tbl>
      <w:tblPr>
        <w:tblStyle w:val="TableGrid"/>
        <w:tblW w:type="auto" w:w="0"/>
        <w:jc w:val="center"/>
        <w:tblLook w:firstColumn="1" w:firstRow="1" w:lastColumn="0" w:lastRow="0" w:noHBand="0" w:noVBand="1" w:val="04A0"/>
      </w:tblPr>
      <w:tblGrid>
        <w:gridCol w:w="4824"/>
        <w:gridCol w:w="4824"/>
      </w:tblGrid>
      <w:tr>
        <w:tc>
          <w:tcPr>
            <w:tcW w:type="dxa" w:w="2016"/>
          </w:tcPr>
          <w:p>
            <w:r/>
            <w:r>
              <w:rPr>
                <w:sz w:val="18"/>
              </w:rPr>
              <w:t>To:</w:t>
            </w:r>
          </w:p>
        </w:tc>
        <w:tc>
          <w:tcPr>
            <w:tcW w:type="dxa" w:w="7632"/>
          </w:tcPr>
          <w:p>
            <w:r/>
            <w:r>
              <w:rPr>
                <w:sz w:val="18"/>
              </w:rPr>
              <w:t>Dr. Mariel Castaño-Webb, Vice President, Quality Assurance (Playbook Owner)</w:t>
              <w:br/>
              <w:t>Jonathan R. Hadley, Associate General Counsel, Commercial Transactions (Legal Reviewer)</w:t>
            </w:r>
          </w:p>
        </w:tc>
      </w:tr>
      <w:tr>
        <w:tc>
          <w:tcPr>
            <w:tcW w:type="dxa" w:w="2016"/>
          </w:tcPr>
          <w:p>
            <w:r/>
            <w:r>
              <w:rPr>
                <w:sz w:val="18"/>
              </w:rPr>
              <w:t>cc (escalation):</w:t>
            </w:r>
          </w:p>
        </w:tc>
        <w:tc>
          <w:tcPr>
            <w:tcW w:type="dxa" w:w="7632"/>
          </w:tcPr>
          <w:p>
            <w:r/>
            <w:r>
              <w:rPr>
                <w:sz w:val="18"/>
              </w:rPr>
              <w:t>Dr. Priya Rajaram, SVP, Quality &amp; Regulatory; SVP, Regulatory Affairs; Chief Quality Officer; General Counsel and SVP, Pharmaceutical Operations (Rubric §9.5, if Critical items remain open on April 28, 2025)</w:t>
            </w:r>
          </w:p>
        </w:tc>
      </w:tr>
      <w:tr>
        <w:tc>
          <w:tcPr>
            <w:tcW w:type="dxa" w:w="2016"/>
          </w:tcPr>
          <w:p>
            <w:r/>
            <w:r>
              <w:rPr>
                <w:sz w:val="18"/>
              </w:rPr>
              <w:t>From:</w:t>
            </w:r>
          </w:p>
        </w:tc>
        <w:tc>
          <w:tcPr>
            <w:tcW w:type="dxa" w:w="7632"/>
          </w:tcPr>
          <w:p>
            <w:r/>
            <w:r>
              <w:rPr>
                <w:sz w:val="18"/>
              </w:rPr>
              <w:t>Quality Agreement Review Team (lead quality reviewer and legal reviewer)</w:t>
            </w:r>
          </w:p>
        </w:tc>
      </w:tr>
      <w:tr>
        <w:tc>
          <w:tcPr>
            <w:tcW w:type="dxa" w:w="2016"/>
          </w:tcPr>
          <w:p>
            <w:r/>
            <w:r>
              <w:rPr>
                <w:sz w:val="18"/>
              </w:rPr>
              <w:t>Date:</w:t>
            </w:r>
          </w:p>
        </w:tc>
        <w:tc>
          <w:tcPr>
            <w:tcW w:type="dxa" w:w="7632"/>
          </w:tcPr>
          <w:p>
            <w:r/>
            <w:r>
              <w:rPr>
                <w:sz w:val="18"/>
              </w:rPr>
              <w:t>April 21, 2025</w:t>
            </w:r>
          </w:p>
        </w:tc>
      </w:tr>
      <w:tr>
        <w:tc>
          <w:tcPr>
            <w:tcW w:type="dxa" w:w="2016"/>
          </w:tcPr>
          <w:p>
            <w:r/>
            <w:r>
              <w:rPr>
                <w:sz w:val="18"/>
              </w:rPr>
              <w:t>Re:</w:t>
            </w:r>
          </w:p>
        </w:tc>
        <w:tc>
          <w:tcPr>
            <w:tcW w:type="dxa" w:w="7632"/>
          </w:tcPr>
          <w:p>
            <w:r/>
            <w:r>
              <w:rPr>
                <w:sz w:val="18"/>
              </w:rPr>
              <w:t>Pinnacle PharmaSolutions GmbH draft Quality Agreement v1.0 (April 4, 2025): Velorantib Tablets 25 mg / 100 mg (Tier 1). Clause-by-clause review against Playbook QA-PB-2024-003 Rev. 4, scored under Rubric QA-RB-2024-010 Rev. 2, and checked against the executed MSA of March 14, 2025</w:t>
            </w:r>
          </w:p>
        </w:tc>
      </w:tr>
      <w:tr>
        <w:tc>
          <w:tcPr>
            <w:tcW w:type="dxa" w:w="2016"/>
          </w:tcPr>
          <w:p>
            <w:r/>
            <w:r>
              <w:rPr>
                <w:sz w:val="18"/>
              </w:rPr>
              <w:t>Companion document:</w:t>
            </w:r>
          </w:p>
        </w:tc>
        <w:tc>
          <w:tcPr>
            <w:tcW w:type="dxa" w:w="7632"/>
          </w:tcPr>
          <w:p>
            <w:r/>
            <w:r>
              <w:rPr>
                <w:sz w:val="18"/>
              </w:rPr>
              <w:t>pinnacle-qa-redline.docx: full tracked-changes redline of Pinnacle’s draft (author “Ceritas Therapeutics (QA/Legal)”) implementing the Recommended Positions below</w:t>
            </w:r>
          </w:p>
        </w:tc>
      </w:tr>
    </w:tbl>
    <w:p>
      <w:pPr>
        <w:spacing w:after="40"/>
      </w:pPr>
    </w:p>
    <w:p>
      <w:pPr>
        <w:pStyle w:val="Heading1"/>
      </w:pPr>
      <w:r>
        <w:t>1. Aggregate Scoring Summary (Rubric §10.2)</w:t>
      </w:r>
    </w:p>
    <w:tbl>
      <w:tblPr>
        <w:tblStyle w:val="TableGrid"/>
        <w:tblW w:type="auto" w:w="0"/>
        <w:jc w:val="center"/>
        <w:tblLook w:firstColumn="1" w:firstRow="1" w:lastColumn="0" w:lastRow="0" w:noHBand="0" w:noVBand="1" w:val="04A0"/>
      </w:tblPr>
      <w:tblGrid>
        <w:gridCol w:w="3216"/>
        <w:gridCol w:w="3216"/>
        <w:gridCol w:w="3216"/>
      </w:tblGrid>
      <w:tr>
        <w:tc>
          <w:tcPr>
            <w:tcW w:type="dxa" w:w="3456"/>
            <w:shd w:val="clear" w:color="auto" w:fill="1F3A5F"/>
          </w:tcPr>
          <w:p>
            <w:r/>
            <w:r>
              <w:rPr>
                <w:b/>
                <w:color w:val="FFFFFF"/>
                <w:sz w:val="18"/>
              </w:rPr>
              <w:t>Risk Rating</w:t>
            </w:r>
          </w:p>
        </w:tc>
        <w:tc>
          <w:tcPr>
            <w:tcW w:type="dxa" w:w="2304"/>
            <w:shd w:val="clear" w:color="auto" w:fill="1F3A5F"/>
          </w:tcPr>
          <w:p>
            <w:r/>
            <w:r>
              <w:rPr>
                <w:b/>
                <w:color w:val="FFFFFF"/>
                <w:sz w:val="18"/>
              </w:rPr>
              <w:t>CRS band</w:t>
            </w:r>
          </w:p>
        </w:tc>
        <w:tc>
          <w:tcPr>
            <w:tcW w:type="dxa" w:w="1440"/>
            <w:shd w:val="clear" w:color="auto" w:fill="1F3A5F"/>
          </w:tcPr>
          <w:p>
            <w:r/>
            <w:r>
              <w:rPr>
                <w:b/>
                <w:color w:val="FFFFFF"/>
                <w:sz w:val="18"/>
              </w:rPr>
              <w:t>Count</w:t>
            </w:r>
          </w:p>
        </w:tc>
      </w:tr>
      <w:tr>
        <w:tc>
          <w:tcPr>
            <w:tcW w:type="dxa" w:w="3456"/>
            <w:shd w:val="clear" w:color="auto" w:fill="C00000"/>
          </w:tcPr>
          <w:p>
            <w:r/>
            <w:r>
              <w:rPr>
                <w:sz w:val="18"/>
              </w:rPr>
              <w:t>Critical Risk (Red)</w:t>
            </w:r>
          </w:p>
        </w:tc>
        <w:tc>
          <w:tcPr>
            <w:tcW w:type="dxa" w:w="2304"/>
          </w:tcPr>
          <w:p>
            <w:r/>
            <w:r>
              <w:rPr>
                <w:sz w:val="18"/>
              </w:rPr>
              <w:t>≥ 48.0</w:t>
            </w:r>
          </w:p>
        </w:tc>
        <w:tc>
          <w:tcPr>
            <w:tcW w:type="dxa" w:w="1440"/>
          </w:tcPr>
          <w:p>
            <w:r/>
            <w:r>
              <w:rPr>
                <w:sz w:val="18"/>
              </w:rPr>
              <w:t>22</w:t>
            </w:r>
          </w:p>
        </w:tc>
      </w:tr>
      <w:tr>
        <w:tc>
          <w:tcPr>
            <w:tcW w:type="dxa" w:w="3456"/>
            <w:shd w:val="clear" w:color="auto" w:fill="ED7D31"/>
          </w:tcPr>
          <w:p>
            <w:r/>
            <w:r>
              <w:rPr>
                <w:sz w:val="18"/>
              </w:rPr>
              <w:t>High Risk (Orange)</w:t>
            </w:r>
          </w:p>
        </w:tc>
        <w:tc>
          <w:tcPr>
            <w:tcW w:type="dxa" w:w="2304"/>
          </w:tcPr>
          <w:p>
            <w:r/>
            <w:r>
              <w:rPr>
                <w:sz w:val="18"/>
              </w:rPr>
              <w:t>24.0 – 47.9</w:t>
            </w:r>
          </w:p>
        </w:tc>
        <w:tc>
          <w:tcPr>
            <w:tcW w:type="dxa" w:w="1440"/>
          </w:tcPr>
          <w:p>
            <w:r/>
            <w:r>
              <w:rPr>
                <w:sz w:val="18"/>
              </w:rPr>
              <w:t>19</w:t>
            </w:r>
          </w:p>
        </w:tc>
      </w:tr>
      <w:tr>
        <w:tc>
          <w:tcPr>
            <w:tcW w:type="dxa" w:w="3456"/>
            <w:shd w:val="clear" w:color="auto" w:fill="FFD966"/>
          </w:tcPr>
          <w:p>
            <w:r/>
            <w:r>
              <w:rPr>
                <w:sz w:val="18"/>
              </w:rPr>
              <w:t>Medium Risk (Yellow)</w:t>
            </w:r>
          </w:p>
        </w:tc>
        <w:tc>
          <w:tcPr>
            <w:tcW w:type="dxa" w:w="2304"/>
          </w:tcPr>
          <w:p>
            <w:r/>
            <w:r>
              <w:rPr>
                <w:sz w:val="18"/>
              </w:rPr>
              <w:t>10.0 – 23.9</w:t>
            </w:r>
          </w:p>
        </w:tc>
        <w:tc>
          <w:tcPr>
            <w:tcW w:type="dxa" w:w="1440"/>
          </w:tcPr>
          <w:p>
            <w:r/>
            <w:r>
              <w:rPr>
                <w:sz w:val="18"/>
              </w:rPr>
              <w:t>9</w:t>
            </w:r>
          </w:p>
        </w:tc>
      </w:tr>
      <w:tr>
        <w:tc>
          <w:tcPr>
            <w:tcW w:type="dxa" w:w="3456"/>
            <w:shd w:val="clear" w:color="auto" w:fill="A9D08E"/>
          </w:tcPr>
          <w:p>
            <w:r/>
            <w:r>
              <w:rPr>
                <w:sz w:val="18"/>
              </w:rPr>
              <w:t>Low Risk (Green)</w:t>
            </w:r>
          </w:p>
        </w:tc>
        <w:tc>
          <w:tcPr>
            <w:tcW w:type="dxa" w:w="2304"/>
          </w:tcPr>
          <w:p>
            <w:r/>
            <w:r>
              <w:rPr>
                <w:sz w:val="18"/>
              </w:rPr>
              <w:t>&lt; 10.0</w:t>
            </w:r>
          </w:p>
        </w:tc>
        <w:tc>
          <w:tcPr>
            <w:tcW w:type="dxa" w:w="1440"/>
          </w:tcPr>
          <w:p>
            <w:r/>
            <w:r>
              <w:rPr>
                <w:sz w:val="18"/>
              </w:rPr>
              <w:t>3</w:t>
            </w:r>
          </w:p>
        </w:tc>
      </w:tr>
      <w:tr>
        <w:tc>
          <w:tcPr>
            <w:tcW w:type="dxa" w:w="3456"/>
          </w:tcPr>
          <w:p>
            <w:r>
              <w:rPr>
                <w:b/>
              </w:rPr>
            </w:r>
            <w:r>
              <w:rPr>
                <w:b/>
                <w:sz w:val="18"/>
              </w:rPr>
              <w:t>Total Deviations</w:t>
            </w:r>
          </w:p>
        </w:tc>
        <w:tc>
          <w:tcPr>
            <w:tcW w:type="dxa" w:w="2304"/>
          </w:tcPr>
          <w:p>
            <w:r>
              <w:rPr>
                <w:b/>
              </w:rPr>
            </w:r>
            <w:r>
              <w:rPr>
                <w:b/>
                <w:sz w:val="18"/>
              </w:rPr>
            </w:r>
          </w:p>
        </w:tc>
        <w:tc>
          <w:tcPr>
            <w:tcW w:type="dxa" w:w="1440"/>
          </w:tcPr>
          <w:p>
            <w:r>
              <w:rPr>
                <w:b/>
              </w:rPr>
            </w:r>
            <w:r>
              <w:rPr>
                <w:b/>
                <w:sz w:val="18"/>
              </w:rPr>
              <w:t>53</w:t>
            </w:r>
          </w:p>
        </w:tc>
      </w:tr>
    </w:tbl>
    <w:p>
      <w:pPr>
        <w:spacing w:after="40"/>
      </w:pPr>
    </w:p>
    <w:p>
      <w:pPr>
        <w:spacing w:after="80"/>
      </w:pPr>
      <w:r>
        <w:rPr>
          <w:b w:val="0"/>
          <w:i/>
          <w:sz w:val="18"/>
        </w:rPr>
        <w:t>All scores use CRS = Severity Value × Impact Value × Likelihood Score × Product-Tier Multiplier. PTM = 1.5 because Velorantib is Tier 1 (Rubric §7.2.1). Missing Protections on Mandatory topics are presumptively SV 4 (Rubric §3.5). Ambiguous tiers were resolved upward (Rubric §4.3).</w:t>
      </w:r>
    </w:p>
    <w:p>
      <w:pPr>
        <w:pStyle w:val="Heading1"/>
      </w:pPr>
      <w:r>
        <w:t>2. Bottom Line</w:t>
      </w:r>
    </w:p>
    <w:p>
      <w:pPr>
        <w:spacing w:after="80"/>
      </w:pPr>
      <w:r>
        <w:rPr>
          <w:b w:val="0"/>
          <w:i w:val="0"/>
        </w:rPr>
        <w:t>Pinnacle’s draft cannot be executed in its current form. It is a CDMO-favorable template that falls below Ceritas’s Mandatory Position on almost every core quality control and, in at least eleven places, contradicts terms Pinnacle already accepted in the executed MSA. The redline returns the draft to the Playbook positions. The memorandum below explains each change, how it is scored, and how to negotiate it.</w:t>
      </w:r>
    </w:p>
    <w:p>
      <w:pPr>
        <w:pStyle w:val="ListBullet"/>
        <w:spacing w:after="40"/>
      </w:pPr>
      <w:r>
        <w:rPr>
          <w:b/>
        </w:rPr>
        <w:t>Authority allocation is inverted.</w:t>
      </w:r>
      <w:r>
        <w:t xml:space="preserve"> Pinnacle’s QP holds final EU disposition and Ceritas has no override (§7.1(a)). Changes are notify-and-comment on 30 days’ notice (§5.2). CAPA approval sits solely with Pinnacle (§6.3). Recall decisions are joint, giving Pinnacle a veto (§10.1). Ceritas is expressly denied any right to participate in regulatory inspections (§9.3). Subcontractors can be used without Ceritas consent or audit (§11). Each of these is a Mandatory Position, and most are named examples of Critical deviations in Rubric §4.2.1.</w:t>
      </w:r>
    </w:p>
    <w:p>
      <w:pPr>
        <w:pStyle w:val="ListBullet"/>
        <w:spacing w:after="40"/>
      </w:pPr>
      <w:r>
        <w:rPr>
          <w:b/>
        </w:rPr>
        <w:t>Event-driven visibility is missing.</w:t>
      </w:r>
      <w:r>
        <w:t xml:space="preserve"> Critical deviations are notified 72 hours after classification, Major deviations only monthly, and Minor deviations never (§6.1). There are no root-cause timelines (§6.2) and no OOS/OOT provisions outside stability. Stability data is reported quarterly (§13.2), and inspections are notified within 5 business days (§9.3). Under these timelines Ceritas cannot meet the 3-working-day FDA Field Alert Report clock (21 CFR 314.81(b)(1)).</w:t>
      </w:r>
    </w:p>
    <w:p>
      <w:pPr>
        <w:pStyle w:val="ListBullet"/>
        <w:spacing w:after="40"/>
      </w:pPr>
      <w:r>
        <w:rPr>
          <w:b/>
        </w:rPr>
        <w:t>Legal terms try to re-trade the MSA.</w:t>
      </w:r>
      <w:r>
        <w:t xml:space="preserve"> The draft caps Pinnacle’s liability at EUR 2M per year with no carve-outs (§14.1). It splits recall costs 50/50 unless there is willful misconduct (§10.2), excuses all obligations under force majeure (§14.3), applies German law with a Frankfurt seat (§16.1), runs an independent 5-year term (§15.1), and keeps records for only 7 years with 5-year survival (§12.3, §15.3). Each conflicts with MSA Articles 4, 11, 13, 14 or 15, and MSA §4.3 already makes the MSA control liability and dispute resolution.</w:t>
      </w:r>
    </w:p>
    <w:p>
      <w:pPr>
        <w:pStyle w:val="ListBullet"/>
        <w:spacing w:after="40"/>
      </w:pPr>
      <w:r>
        <w:rPr>
          <w:b/>
        </w:rPr>
        <w:t>Required annexes are absent.</w:t>
      </w:r>
      <w:r>
        <w:t xml:space="preserve"> The complaint-handling section and Annex D are missing. Annex C (Approved Test Methods) is missing; Pinnacle used the Annex C slot for a subcontractor list. Annex B (Specifications) is blank. Annex A is incomplete and inconsistent. Annexes B and C depend on Ceritas’s own inputs, so they are on Ceritas’s critical path.</w:t>
      </w:r>
    </w:p>
    <w:p>
      <w:pPr>
        <w:pStyle w:val="ListBullet"/>
        <w:spacing w:after="40"/>
      </w:pPr>
      <w:r>
        <w:rPr>
          <w:b/>
        </w:rPr>
        <w:t>Recommended approach.</w:t>
      </w:r>
      <w:r>
        <w:t xml:space="preserve"> The strongest lever is conformity with the MSA, which Pinnacle’s General Counsel signed on March 14, 2025. Hold firm on the non-negotiables (Section 8.1 of this memo). Concede only the pre-authorized Playbook Fallbacks, with the required approvals (Section 8.2). Offer Ceritas service-level commitments (30-day change-control and APQR decisions) to answer Pinnacle’s operational concerns.</w:t>
      </w:r>
    </w:p>
    <w:p>
      <w:pPr>
        <w:pStyle w:val="ListBullet"/>
        <w:spacing w:after="40"/>
      </w:pPr>
      <w:r>
        <w:rPr>
          <w:b/>
        </w:rPr>
        <w:t>Timeline.</w:t>
      </w:r>
      <w:r>
        <w:t xml:space="preserve"> The MSA §4.1 deadline is May 13, 2025, and Pinnacle may not begin commercial manufacture until the QA is executed. Pinnacle asked for comments by April 25. Under Rubric §9.5, any Critical item still open on April 28, 2025 (15 calendar days before the deadline) goes to the General Counsel and the SVP, Pharmaceutical Operations. If Critical items remain open in early May, extend the deadline by written MSA amendment. Do not execute with Critical items unresolved (Rubric §8.3.1).</w:t>
      </w:r>
    </w:p>
    <w:p>
      <w:pPr>
        <w:spacing w:after="80"/>
      </w:pPr>
      <w:r>
        <w:rPr>
          <w:b/>
          <w:i w:val="0"/>
        </w:rPr>
        <w:t>Highest-scoring items (CRS):</w:t>
      </w:r>
    </w:p>
    <w:p>
      <w:pPr>
        <w:pStyle w:val="ListBullet"/>
        <w:spacing w:after="40"/>
      </w:pPr>
      <w:r>
        <w:rPr>
          <w:b/>
        </w:rPr>
        <w:t>#8 (§5.2 ¶1–3)</w:t>
      </w:r>
      <w:r>
        <w:t xml:space="preserve"> Change control is “notify and comment” with 30 days’ notice; Pinnacle may implement over Ceritas objection; “commercially reasonable efforts” qualifier — CRS 96.0</w:t>
      </w:r>
    </w:p>
    <w:p>
      <w:pPr>
        <w:pStyle w:val="ListBullet"/>
        <w:spacing w:after="40"/>
      </w:pPr>
      <w:r>
        <w:rPr>
          <w:b/>
        </w:rPr>
        <w:t>#16 (§7.1(a), §3.2(g))</w:t>
      </w:r>
      <w:r>
        <w:t xml:space="preserve"> Pinnacle’s QP given “final batch disposition authority” for the EU; no Ceritas override; Ceritas disposition limited to U.S. — CRS 96.0</w:t>
      </w:r>
    </w:p>
    <w:p>
      <w:pPr>
        <w:pStyle w:val="ListBullet"/>
        <w:spacing w:after="40"/>
      </w:pPr>
      <w:r>
        <w:rPr>
          <w:b/>
        </w:rPr>
        <w:t>#28 (§9.3 ¶2–3)</w:t>
      </w:r>
      <w:r>
        <w:t xml:space="preserve"> Ceritas expressly denied any right to participate in, observe or receive updates during inspections; observations provided only “upon request” in a “reasonable timeframe” — CRS 96.0</w:t>
      </w:r>
    </w:p>
    <w:p>
      <w:pPr>
        <w:pStyle w:val="ListBullet"/>
        <w:spacing w:after="40"/>
      </w:pPr>
      <w:r>
        <w:rPr>
          <w:b/>
        </w:rPr>
        <w:t>#50 (New §17; Annex D; §3.2(e))</w:t>
      </w:r>
      <w:r>
        <w:t xml:space="preserve"> No complaint-handling provisions or Annex D; draft expressly disclaims a complaint-handling annex — CRS 96.0</w:t>
      </w:r>
    </w:p>
    <w:p>
      <w:pPr>
        <w:pStyle w:val="ListBullet"/>
        <w:spacing w:after="40"/>
      </w:pPr>
      <w:r>
        <w:rPr>
          <w:b/>
        </w:rPr>
        <w:t>#11 (§6.1(a))</w:t>
      </w:r>
      <w:r>
        <w:t xml:space="preserve"> Critical Deviations notified within 72 hours of classification (not 24 hours of detection) — CRS 72.0</w:t>
      </w:r>
    </w:p>
    <w:p>
      <w:pPr>
        <w:pStyle w:val="ListBullet"/>
        <w:spacing w:after="40"/>
      </w:pPr>
      <w:r>
        <w:rPr>
          <w:b/>
        </w:rPr>
        <w:t>#13 (§6.2)</w:t>
      </w:r>
      <w:r>
        <w:t xml:space="preserve"> No root-cause analysis or investigation completion timelines; expressly deferred to Pinnacle SOPs — CRS 72.0</w:t>
      </w:r>
    </w:p>
    <w:p>
      <w:pPr>
        <w:pStyle w:val="ListBullet"/>
        <w:spacing w:after="40"/>
      </w:pPr>
      <w:r>
        <w:rPr>
          <w:b/>
        </w:rPr>
        <w:t>#15 (New §6.4 (not in draft))</w:t>
      </w:r>
      <w:r>
        <w:t xml:space="preserve"> No OOS/OOT investigation or notification provisions for release, in-process or incoming-material testing — CRS 72.0</w:t>
      </w:r>
    </w:p>
    <w:p>
      <w:pPr>
        <w:pStyle w:val="ListBullet"/>
        <w:spacing w:after="40"/>
      </w:pPr>
      <w:r>
        <w:rPr>
          <w:b/>
        </w:rPr>
        <w:t>#24 (§9.1 ¶2)</w:t>
      </w:r>
      <w:r>
        <w:t xml:space="preserve"> For-cause audits require Pinnacle’s agreement on timing, scope and logistics; Pinnacle commits only “commercially reasonable efforts” — CRS 72.0</w:t>
      </w:r>
    </w:p>
    <w:p>
      <w:pPr>
        <w:pStyle w:val="ListBullet"/>
        <w:spacing w:after="40"/>
      </w:pPr>
      <w:r>
        <w:rPr>
          <w:b/>
        </w:rPr>
        <w:t>#30 (§10.1)</w:t>
      </w:r>
      <w:r>
        <w:t xml:space="preserve"> Recall and field-alert decisions are “joint”; neither Party may act without the other’s consent (Pinnacle veto); no FAR-enabling notification timeline — CRS 72.0</w:t>
      </w:r>
    </w:p>
    <w:p>
      <w:pPr>
        <w:pStyle w:val="ListBullet"/>
        <w:spacing w:after="40"/>
      </w:pPr>
      <w:r>
        <w:rPr>
          <w:b/>
        </w:rPr>
        <w:t>#41 (§14.1)</w:t>
      </w:r>
      <w:r>
        <w:t xml:space="preserve"> Pinnacle liability capped at EUR 2,000,000 per year with no quality/regulatory/IP/confidentiality carve-outs; broad consequential-damages exclusion; cap is one-sided — CRS 72.0</w:t>
      </w:r>
    </w:p>
    <w:p>
      <w:pPr>
        <w:pStyle w:val="Heading1"/>
      </w:pPr>
      <w:r>
        <w:t>3. Required Escalations (Rubric §9) and Timetable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736"/>
            <w:shd w:val="clear" w:color="auto" w:fill="1F3A5F"/>
          </w:tcPr>
          <w:p>
            <w:r/>
            <w:r>
              <w:rPr>
                <w:b/>
                <w:color w:val="FFFFFF"/>
                <w:sz w:val="16"/>
              </w:rPr>
              <w:t>Trigger</w:t>
            </w:r>
          </w:p>
        </w:tc>
        <w:tc>
          <w:tcPr>
            <w:tcW w:type="dxa" w:w="2448"/>
            <w:shd w:val="clear" w:color="auto" w:fill="1F3A5F"/>
          </w:tcPr>
          <w:p>
            <w:r/>
            <w:r>
              <w:rPr>
                <w:b/>
                <w:color w:val="FFFFFF"/>
                <w:sz w:val="16"/>
              </w:rPr>
              <w:t>Items</w:t>
            </w:r>
          </w:p>
        </w:tc>
        <w:tc>
          <w:tcPr>
            <w:tcW w:type="dxa" w:w="2016"/>
            <w:shd w:val="clear" w:color="auto" w:fill="1F3A5F"/>
          </w:tcPr>
          <w:p>
            <w:r/>
            <w:r>
              <w:rPr>
                <w:b/>
                <w:color w:val="FFFFFF"/>
                <w:sz w:val="16"/>
              </w:rPr>
              <w:t>Escalate to</w:t>
            </w:r>
          </w:p>
        </w:tc>
        <w:tc>
          <w:tcPr>
            <w:tcW w:type="dxa" w:w="2448"/>
            <w:shd w:val="clear" w:color="auto" w:fill="1F3A5F"/>
          </w:tcPr>
          <w:p>
            <w:r/>
            <w:r>
              <w:rPr>
                <w:b/>
                <w:color w:val="FFFFFF"/>
                <w:sz w:val="16"/>
              </w:rPr>
              <w:t>When / status</w:t>
            </w:r>
          </w:p>
        </w:tc>
      </w:tr>
      <w:tr>
        <w:tc>
          <w:tcPr>
            <w:tcW w:type="dxa" w:w="2736"/>
          </w:tcPr>
          <w:p>
            <w:r/>
            <w:r>
              <w:rPr>
                <w:sz w:val="16"/>
              </w:rPr>
              <w:t>§9.1(a) Critical Risk deviations</w:t>
            </w:r>
          </w:p>
        </w:tc>
        <w:tc>
          <w:tcPr>
            <w:tcW w:type="dxa" w:w="2448"/>
          </w:tcPr>
          <w:p>
            <w:r/>
            <w:r>
              <w:rPr>
                <w:sz w:val="16"/>
              </w:rPr>
              <w:t>#8, #9, #11, #12, #13, #14, #15, #16, #23, #24, #27, #28, #30, #32, #33, #39, #40, #41, #42, #50, #51, #52</w:t>
            </w:r>
          </w:p>
        </w:tc>
        <w:tc>
          <w:tcPr>
            <w:tcW w:type="dxa" w:w="2016"/>
          </w:tcPr>
          <w:p>
            <w:r/>
            <w:r>
              <w:rPr>
                <w:sz w:val="16"/>
              </w:rPr>
              <w:t>VP QA (Dr. Castaño-Webb)</w:t>
            </w:r>
          </w:p>
        </w:tc>
        <w:tc>
          <w:tcPr>
            <w:tcW w:type="dxa" w:w="2448"/>
          </w:tcPr>
          <w:p>
            <w:r/>
            <w:r>
              <w:rPr>
                <w:sz w:val="16"/>
              </w:rPr>
              <w:t>Immediately; VP QA and AGC must approve redline positions before transmittal (Rubric §8.3.1)</w:t>
            </w:r>
          </w:p>
        </w:tc>
      </w:tr>
      <w:tr>
        <w:tc>
          <w:tcPr>
            <w:tcW w:type="dxa" w:w="2736"/>
          </w:tcPr>
          <w:p>
            <w:r/>
            <w:r>
              <w:rPr>
                <w:sz w:val="16"/>
              </w:rPr>
              <w:t>§9.1(b) ≥3 High Risk deviations</w:t>
            </w:r>
          </w:p>
        </w:tc>
        <w:tc>
          <w:tcPr>
            <w:tcW w:type="dxa" w:w="2448"/>
          </w:tcPr>
          <w:p>
            <w:r/>
            <w:r>
              <w:rPr>
                <w:sz w:val="16"/>
              </w:rPr>
              <w:t>19 High Risk items</w:t>
            </w:r>
          </w:p>
        </w:tc>
        <w:tc>
          <w:tcPr>
            <w:tcW w:type="dxa" w:w="2016"/>
          </w:tcPr>
          <w:p>
            <w:r/>
            <w:r>
              <w:rPr>
                <w:sz w:val="16"/>
              </w:rPr>
              <w:t>VP QA</w:t>
            </w:r>
          </w:p>
        </w:tc>
        <w:tc>
          <w:tcPr>
            <w:tcW w:type="dxa" w:w="2448"/>
          </w:tcPr>
          <w:p>
            <w:r/>
            <w:r>
              <w:rPr>
                <w:sz w:val="16"/>
              </w:rPr>
              <w:t>Triggered</w:t>
            </w:r>
          </w:p>
        </w:tc>
      </w:tr>
      <w:tr>
        <w:tc>
          <w:tcPr>
            <w:tcW w:type="dxa" w:w="2736"/>
          </w:tcPr>
          <w:p>
            <w:r/>
            <w:r>
              <w:rPr>
                <w:sz w:val="16"/>
              </w:rPr>
              <w:t>§9.1(c) Missing Protections on Mandatory topics</w:t>
            </w:r>
          </w:p>
        </w:tc>
        <w:tc>
          <w:tcPr>
            <w:tcW w:type="dxa" w:w="2448"/>
          </w:tcPr>
          <w:p>
            <w:r/>
            <w:r>
              <w:rPr>
                <w:sz w:val="16"/>
              </w:rPr>
              <w:t>#13, #15, #50, #51, #52</w:t>
            </w:r>
          </w:p>
        </w:tc>
        <w:tc>
          <w:tcPr>
            <w:tcW w:type="dxa" w:w="2016"/>
          </w:tcPr>
          <w:p>
            <w:r/>
            <w:r>
              <w:rPr>
                <w:sz w:val="16"/>
              </w:rPr>
              <w:t>VP QA</w:t>
            </w:r>
          </w:p>
        </w:tc>
        <w:tc>
          <w:tcPr>
            <w:tcW w:type="dxa" w:w="2448"/>
          </w:tcPr>
          <w:p>
            <w:r/>
            <w:r>
              <w:rPr>
                <w:sz w:val="16"/>
              </w:rPr>
              <w:t>Triggered</w:t>
            </w:r>
          </w:p>
        </w:tc>
      </w:tr>
      <w:tr>
        <w:tc>
          <w:tcPr>
            <w:tcW w:type="dxa" w:w="2736"/>
          </w:tcPr>
          <w:p>
            <w:r/>
            <w:r>
              <w:rPr>
                <w:sz w:val="16"/>
              </w:rPr>
              <w:t>§9.2(a) liability, indemnity, governing law, dispute resolution, confidentiality</w:t>
            </w:r>
          </w:p>
        </w:tc>
        <w:tc>
          <w:tcPr>
            <w:tcW w:type="dxa" w:w="2448"/>
          </w:tcPr>
          <w:p>
            <w:r/>
            <w:r>
              <w:rPr>
                <w:sz w:val="16"/>
              </w:rPr>
              <w:t>#3, #25, #31, #41, #47, #48, #49</w:t>
            </w:r>
          </w:p>
        </w:tc>
        <w:tc>
          <w:tcPr>
            <w:tcW w:type="dxa" w:w="2016"/>
          </w:tcPr>
          <w:p>
            <w:r/>
            <w:r>
              <w:rPr>
                <w:sz w:val="16"/>
              </w:rPr>
              <w:t>AGC (J. Hadley)</w:t>
            </w:r>
          </w:p>
        </w:tc>
        <w:tc>
          <w:tcPr>
            <w:tcW w:type="dxa" w:w="2448"/>
          </w:tcPr>
          <w:p>
            <w:r/>
            <w:r>
              <w:rPr>
                <w:sz w:val="16"/>
              </w:rPr>
              <w:t>Before any position is communicated to Pinnacle</w:t>
            </w:r>
          </w:p>
        </w:tc>
      </w:tr>
      <w:tr>
        <w:tc>
          <w:tcPr>
            <w:tcW w:type="dxa" w:w="2736"/>
          </w:tcPr>
          <w:p>
            <w:r/>
            <w:r>
              <w:rPr>
                <w:sz w:val="16"/>
              </w:rPr>
              <w:t>§9.2(b) Critical Risk deviations</w:t>
            </w:r>
          </w:p>
        </w:tc>
        <w:tc>
          <w:tcPr>
            <w:tcW w:type="dxa" w:w="2448"/>
          </w:tcPr>
          <w:p>
            <w:r/>
            <w:r>
              <w:rPr>
                <w:sz w:val="16"/>
              </w:rPr>
              <w:t>As §9.1(a)</w:t>
            </w:r>
          </w:p>
        </w:tc>
        <w:tc>
          <w:tcPr>
            <w:tcW w:type="dxa" w:w="2016"/>
          </w:tcPr>
          <w:p>
            <w:r/>
            <w:r>
              <w:rPr>
                <w:sz w:val="16"/>
              </w:rPr>
              <w:t>AGC</w:t>
            </w:r>
          </w:p>
        </w:tc>
        <w:tc>
          <w:tcPr>
            <w:tcW w:type="dxa" w:w="2448"/>
          </w:tcPr>
          <w:p>
            <w:r/>
            <w:r>
              <w:rPr>
                <w:sz w:val="16"/>
              </w:rPr>
              <w:t>Immediately</w:t>
            </w:r>
          </w:p>
        </w:tc>
      </w:tr>
      <w:tr>
        <w:tc>
          <w:tcPr>
            <w:tcW w:type="dxa" w:w="2736"/>
          </w:tcPr>
          <w:p>
            <w:r/>
            <w:r>
              <w:rPr>
                <w:sz w:val="16"/>
              </w:rPr>
              <w:t>§9.2(c) Off-Market Terms</w:t>
            </w:r>
          </w:p>
        </w:tc>
        <w:tc>
          <w:tcPr>
            <w:tcW w:type="dxa" w:w="2448"/>
          </w:tcPr>
          <w:p>
            <w:r/>
            <w:r>
              <w:rPr>
                <w:sz w:val="16"/>
              </w:rPr>
              <w:t>#3, #28, #41, #48</w:t>
            </w:r>
          </w:p>
        </w:tc>
        <w:tc>
          <w:tcPr>
            <w:tcW w:type="dxa" w:w="2016"/>
          </w:tcPr>
          <w:p>
            <w:r/>
            <w:r>
              <w:rPr>
                <w:sz w:val="16"/>
              </w:rPr>
              <w:t>AGC</w:t>
            </w:r>
          </w:p>
        </w:tc>
        <w:tc>
          <w:tcPr>
            <w:tcW w:type="dxa" w:w="2448"/>
          </w:tcPr>
          <w:p>
            <w:r/>
            <w:r>
              <w:rPr>
                <w:sz w:val="16"/>
              </w:rPr>
              <w:t>Triggered</w:t>
            </w:r>
          </w:p>
        </w:tc>
      </w:tr>
      <w:tr>
        <w:tc>
          <w:tcPr>
            <w:tcW w:type="dxa" w:w="2736"/>
          </w:tcPr>
          <w:p>
            <w:r/>
            <w:r>
              <w:rPr>
                <w:sz w:val="16"/>
              </w:rPr>
              <w:t>§9.3 Regulatory Compliance Impact = 4</w:t>
            </w:r>
          </w:p>
        </w:tc>
        <w:tc>
          <w:tcPr>
            <w:tcW w:type="dxa" w:w="2448"/>
          </w:tcPr>
          <w:p>
            <w:r/>
            <w:r>
              <w:rPr>
                <w:sz w:val="16"/>
              </w:rPr>
              <w:t>#8, #16, #28, #30, #33, #50, #52</w:t>
            </w:r>
          </w:p>
        </w:tc>
        <w:tc>
          <w:tcPr>
            <w:tcW w:type="dxa" w:w="2016"/>
          </w:tcPr>
          <w:p>
            <w:r/>
            <w:r>
              <w:rPr>
                <w:sz w:val="16"/>
              </w:rPr>
              <w:t>SVP, Regulatory Affairs</w:t>
            </w:r>
          </w:p>
        </w:tc>
        <w:tc>
          <w:tcPr>
            <w:tcW w:type="dxa" w:w="2448"/>
          </w:tcPr>
          <w:p>
            <w:r/>
            <w:r>
              <w:rPr>
                <w:sz w:val="16"/>
              </w:rPr>
              <w:t>Triggered; RA input needed on lab registration and EU QP model</w:t>
            </w:r>
          </w:p>
        </w:tc>
      </w:tr>
      <w:tr>
        <w:tc>
          <w:tcPr>
            <w:tcW w:type="dxa" w:w="2736"/>
          </w:tcPr>
          <w:p>
            <w:r/>
            <w:r>
              <w:rPr>
                <w:sz w:val="16"/>
              </w:rPr>
              <w:t>§9.4 Critical + High ≥ 5</w:t>
            </w:r>
          </w:p>
        </w:tc>
        <w:tc>
          <w:tcPr>
            <w:tcW w:type="dxa" w:w="2448"/>
          </w:tcPr>
          <w:p>
            <w:r/>
            <w:r>
              <w:rPr>
                <w:sz w:val="16"/>
              </w:rPr>
              <w:t>41 items</w:t>
            </w:r>
          </w:p>
        </w:tc>
        <w:tc>
          <w:tcPr>
            <w:tcW w:type="dxa" w:w="2016"/>
          </w:tcPr>
          <w:p>
            <w:r/>
            <w:r>
              <w:rPr>
                <w:sz w:val="16"/>
              </w:rPr>
              <w:t>Chief Quality Officer</w:t>
            </w:r>
          </w:p>
        </w:tc>
        <w:tc>
          <w:tcPr>
            <w:tcW w:type="dxa" w:w="2448"/>
          </w:tcPr>
          <w:p>
            <w:r/>
            <w:r>
              <w:rPr>
                <w:sz w:val="16"/>
              </w:rPr>
              <w:t>Triggered; consider executive-to-executive engagement</w:t>
            </w:r>
          </w:p>
        </w:tc>
      </w:tr>
      <w:tr>
        <w:tc>
          <w:tcPr>
            <w:tcW w:type="dxa" w:w="2736"/>
          </w:tcPr>
          <w:p>
            <w:r/>
            <w:r>
              <w:rPr>
                <w:sz w:val="16"/>
              </w:rPr>
              <w:t>§9.5 Deadline sensitivity (May 13, 2025)</w:t>
            </w:r>
          </w:p>
        </w:tc>
        <w:tc>
          <w:tcPr>
            <w:tcW w:type="dxa" w:w="2448"/>
          </w:tcPr>
          <w:p>
            <w:r/>
            <w:r>
              <w:rPr>
                <w:sz w:val="16"/>
              </w:rPr>
              <w:t>Any Critical item open on April 28, 2025</w:t>
            </w:r>
          </w:p>
        </w:tc>
        <w:tc>
          <w:tcPr>
            <w:tcW w:type="dxa" w:w="2016"/>
          </w:tcPr>
          <w:p>
            <w:r/>
            <w:r>
              <w:rPr>
                <w:sz w:val="16"/>
              </w:rPr>
              <w:t>General Counsel and SVP, Pharmaceutical Operations</w:t>
            </w:r>
          </w:p>
        </w:tc>
        <w:tc>
          <w:tcPr>
            <w:tcW w:type="dxa" w:w="2448"/>
          </w:tcPr>
          <w:p>
            <w:r/>
            <w:r>
              <w:rPr>
                <w:sz w:val="16"/>
              </w:rPr>
              <w:t>Diary for April 28, 2025; remediation-path decision (extension vs. interim arrangement)</w:t>
            </w:r>
          </w:p>
        </w:tc>
      </w:tr>
    </w:tbl>
    <w:p>
      <w:pPr>
        <w:spacing w:after="40"/>
      </w:pPr>
    </w:p>
    <w:p>
      <w:pPr>
        <w:spacing w:after="80"/>
      </w:pPr>
      <w:r>
        <w:rPr>
          <w:b w:val="0"/>
          <w:i/>
          <w:sz w:val="18"/>
        </w:rPr>
        <w:t>Note on approval authorities: Playbook §1.4 and §20.1 require Mandatory-Position exceptions to be signed by the VP QA and the Associate General Counsel. Rubric §3.2 refers to the “General Counsel” (or designee). Until the documents are aligned, obtain both signatures for any Mandatory exception and log it in the Quality Agreement Negotiation Log (Playbook §20.3; Rubric §9.6).</w:t>
      </w:r>
    </w:p>
    <w:p>
      <w:pPr>
        <w:pStyle w:val="Heading1"/>
      </w:pPr>
      <w:r>
        <w:t>4. Scope, Sources, Method and Limitations</w:t>
      </w:r>
    </w:p>
    <w:p>
      <w:pPr>
        <w:spacing w:after="80"/>
      </w:pPr>
      <w:r>
        <w:rPr>
          <w:b/>
          <w:i w:val="0"/>
        </w:rPr>
        <w:t>Documents reviewed in full:</w:t>
      </w:r>
    </w:p>
    <w:p>
      <w:pPr>
        <w:pStyle w:val="ListBullet"/>
        <w:spacing w:after="40"/>
      </w:pPr>
      <w:r>
        <w:t xml:space="preserve"> Pinnacle draft Quality Agreement v1.0 dated April 4, 2025 (quality-agreement-draft-v1.docx), including Annexes A–C and the closing note disclaiming further annexes.</w:t>
      </w:r>
    </w:p>
    <w:p>
      <w:pPr>
        <w:pStyle w:val="ListBullet"/>
        <w:spacing w:after="40"/>
      </w:pPr>
      <w:r>
        <w:t xml:space="preserve"> Pinnacle transmittal email, Dr. Lukas Eitner to Dr. Castaño-Webb, April 7, 2025 (cc F. Reinhardt, J. Hadley).</w:t>
      </w:r>
    </w:p>
    <w:p>
      <w:pPr>
        <w:pStyle w:val="ListBullet"/>
        <w:spacing w:after="40"/>
      </w:pPr>
      <w:r>
        <w:t xml:space="preserve"> Executed Master Services Agreement between Ceritas and Pinnacle dated March 14, 2025, with Exhibits A–E.</w:t>
      </w:r>
    </w:p>
    <w:p>
      <w:pPr>
        <w:pStyle w:val="ListBullet"/>
        <w:spacing w:after="40"/>
      </w:pPr>
      <w:r>
        <w:t xml:space="preserve"> Ceritas Quality Agreement Negotiation Playbook QA-PB-2024-003 Rev. 4 (effective January 15, 2025).</w:t>
      </w:r>
    </w:p>
    <w:p>
      <w:pPr>
        <w:pStyle w:val="ListBullet"/>
        <w:spacing w:after="40"/>
      </w:pPr>
      <w:r>
        <w:t xml:space="preserve"> Ceritas Contract Deviation Risk Rating Rubric QA-RB-2024-010 Rev. 2 (effective February 1, 2025).</w:t>
      </w:r>
    </w:p>
    <w:p>
      <w:pPr>
        <w:spacing w:after="80"/>
      </w:pPr>
      <w:r>
        <w:rPr>
          <w:b/>
          <w:i w:val="0"/>
        </w:rPr>
        <w:t>Limitations:</w:t>
      </w:r>
    </w:p>
    <w:p>
      <w:pPr>
        <w:pStyle w:val="ListBullet"/>
        <w:spacing w:after="40"/>
      </w:pPr>
      <w:r>
        <w:rPr>
          <w:b/>
        </w:rPr>
        <w:t>Materials not in file.</w:t>
      </w:r>
      <w:r>
        <w:t xml:space="preserve"> The file did not include a Ceritas standard quality agreement template, prior correspondence beyond the April 7 transmittal, Pinnacle inspection history (FDA Form 483s/EIRs, EudraGMDP GMP certificates or non-compliance reports), or a regulatory cross-reference matrix. The redline’s preferred language was therefore drafted from the Playbook positions and the MSA. If a Ceritas template exists, conform the wording before transmittal; the substance should not change.</w:t>
      </w:r>
    </w:p>
    <w:p>
      <w:pPr>
        <w:pStyle w:val="ListBullet"/>
        <w:spacing w:after="40"/>
      </w:pPr>
      <w:r>
        <w:rPr>
          <w:b/>
        </w:rPr>
        <w:t>Likelihood without inspection history.</w:t>
      </w:r>
      <w:r>
        <w:t xml:space="preserve"> Likelihood Scores reflect Rubric §6 defaults for a commercial-scale oral-solid-dose CDMO (e.g., deviations, change controls and inspections Almost Certain; OOS and field actions Likely; recalls Possible). Nothing in the file indicates Pinnacle’s compliance history. Obtain its FDA and EU inspection history before finalizing, and raise LS where adverse history exists (Rubric §6.2.2).</w:t>
      </w:r>
    </w:p>
    <w:p>
      <w:pPr>
        <w:pStyle w:val="ListBullet"/>
        <w:spacing w:after="40"/>
      </w:pPr>
      <w:r>
        <w:rPr>
          <w:b/>
        </w:rPr>
        <w:t>Unverified facts.</w:t>
      </w:r>
      <w:r>
        <w:t xml:space="preserve"> Ceritas audit status of the three proposed laboratories and their registration as testing sites in NDA 215-847 and the EU MA could not be verified from the file. Both are assumed open and need confirmation from QA and Regulatory Affairs.</w:t>
      </w:r>
    </w:p>
    <w:p>
      <w:pPr>
        <w:pStyle w:val="ListBullet"/>
        <w:spacing w:after="40"/>
      </w:pPr>
      <w:r>
        <w:rPr>
          <w:b/>
        </w:rPr>
        <w:t>Sign-off.</w:t>
      </w:r>
      <w:r>
        <w:t xml:space="preserve"> Reviewer initials are to be entered by the lead quality reviewer on finalization (Rubric §10.1(k)). The assessment date is April 21, 2025.</w:t>
      </w:r>
    </w:p>
    <w:p>
      <w:pPr>
        <w:pStyle w:val="Heading1"/>
      </w:pPr>
      <w:r>
        <w:t>5. MSA Conformity Map: Where Pinnacle’s Draft Contradicts the Executed MSA</w:t>
      </w:r>
    </w:p>
    <w:p>
      <w:pPr>
        <w:spacing w:after="80"/>
      </w:pPr>
      <w:r>
        <w:rPr>
          <w:b w:val="0"/>
          <w:i w:val="0"/>
        </w:rPr>
        <w:t>MSA §4.3 makes the QA control quality, cGMP and technical matters, and the MSA control commercial terms, financial terms, IP, confidentiality, indemnification, limitation of liability and dispute resolution. MSA §4.1–4.2 require a QA consistent with ICH Q10, 21 CFR 210/211 and EU GMP, and list its mandatory content. The conflicts below are Ceritas’s strongest negotiating points because Pinnacle has already agreed to them.</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color="auto" w:fill="1F3A5F"/>
          </w:tcPr>
          <w:p>
            <w:r/>
            <w:r>
              <w:rPr>
                <w:b/>
                <w:color w:val="FFFFFF"/>
                <w:sz w:val="16"/>
              </w:rPr>
              <w:t>Draft provision</w:t>
            </w:r>
          </w:p>
        </w:tc>
        <w:tc>
          <w:tcPr>
            <w:tcW w:type="dxa" w:w="4320"/>
            <w:shd w:val="clear" w:color="auto" w:fill="1F3A5F"/>
          </w:tcPr>
          <w:p>
            <w:r/>
            <w:r>
              <w:rPr>
                <w:b/>
                <w:color w:val="FFFFFF"/>
                <w:sz w:val="16"/>
              </w:rPr>
              <w:t>Executed MSA term</w:t>
            </w:r>
          </w:p>
        </w:tc>
        <w:tc>
          <w:tcPr>
            <w:tcW w:type="dxa" w:w="2592"/>
            <w:shd w:val="clear" w:color="auto" w:fill="1F3A5F"/>
          </w:tcPr>
          <w:p>
            <w:r/>
            <w:r>
              <w:rPr>
                <w:b/>
                <w:color w:val="FFFFFF"/>
                <w:sz w:val="16"/>
              </w:rPr>
              <w:t>Use in negotiation</w:t>
            </w:r>
          </w:p>
        </w:tc>
      </w:tr>
      <w:tr>
        <w:tc>
          <w:tcPr>
            <w:tcW w:type="dxa" w:w="2736"/>
          </w:tcPr>
          <w:p>
            <w:r/>
            <w:r>
              <w:rPr>
                <w:sz w:val="16"/>
              </w:rPr>
              <w:t>§1.4, §14.1 (EUR 2M cap; no carve-outs)</w:t>
            </w:r>
          </w:p>
        </w:tc>
        <w:tc>
          <w:tcPr>
            <w:tcW w:type="dxa" w:w="4320"/>
          </w:tcPr>
          <w:p>
            <w:r/>
            <w:r>
              <w:rPr>
                <w:sz w:val="16"/>
              </w:rPr>
              <w:t>§4.3 (MSA governs liability); §11.2 (2x annual fees, $16.8M Year 1); §11.3(d) (no cap for quality/cGMP failures incl. recalls)</w:t>
            </w:r>
          </w:p>
        </w:tc>
        <w:tc>
          <w:tcPr>
            <w:tcW w:type="dxa" w:w="2592"/>
          </w:tcPr>
          <w:p>
            <w:r/>
            <w:r>
              <w:rPr>
                <w:sz w:val="16"/>
              </w:rPr>
              <w:t>Delete; defer to MSA Article 11</w:t>
            </w:r>
          </w:p>
        </w:tc>
      </w:tr>
      <w:tr>
        <w:tc>
          <w:tcPr>
            <w:tcW w:type="dxa" w:w="2736"/>
          </w:tcPr>
          <w:p>
            <w:r/>
            <w:r>
              <w:rPr>
                <w:sz w:val="16"/>
              </w:rPr>
              <w:t>§5.2, §6.3 (Pinnacle decides changes and CAPAs)</w:t>
            </w:r>
          </w:p>
        </w:tc>
        <w:tc>
          <w:tcPr>
            <w:tcW w:type="dxa" w:w="4320"/>
          </w:tcPr>
          <w:p>
            <w:r/>
            <w:r>
              <w:rPr>
                <w:sz w:val="16"/>
              </w:rPr>
              <w:t>§3.5 (Ceritas reviews and approves change-control requests, deviation reports, OOS reports, CAPA plans)</w:t>
            </w:r>
          </w:p>
        </w:tc>
        <w:tc>
          <w:tcPr>
            <w:tcW w:type="dxa" w:w="2592"/>
          </w:tcPr>
          <w:p>
            <w:r/>
            <w:r>
              <w:rPr>
                <w:sz w:val="16"/>
              </w:rPr>
              <w:t>MSA already contemplates Ceritas approval</w:t>
            </w:r>
          </w:p>
        </w:tc>
      </w:tr>
      <w:tr>
        <w:tc>
          <w:tcPr>
            <w:tcW w:type="dxa" w:w="2736"/>
          </w:tcPr>
          <w:p>
            <w:r/>
            <w:r>
              <w:rPr>
                <w:sz w:val="16"/>
              </w:rPr>
              <w:t>§7.1(b) (batch record “summaries”)</w:t>
            </w:r>
          </w:p>
        </w:tc>
        <w:tc>
          <w:tcPr>
            <w:tcW w:type="dxa" w:w="4320"/>
          </w:tcPr>
          <w:p>
            <w:r/>
            <w:r>
              <w:rPr>
                <w:sz w:val="16"/>
              </w:rPr>
              <w:t>§3.4 (Ceritas reviews and approves Batch records, CoAs and deviation reports before release)</w:t>
            </w:r>
          </w:p>
        </w:tc>
        <w:tc>
          <w:tcPr>
            <w:tcW w:type="dxa" w:w="2592"/>
          </w:tcPr>
          <w:p>
            <w:r/>
            <w:r>
              <w:rPr>
                <w:sz w:val="16"/>
              </w:rPr>
              <w:t>Conform</w:t>
            </w:r>
          </w:p>
        </w:tc>
      </w:tr>
      <w:tr>
        <w:tc>
          <w:tcPr>
            <w:tcW w:type="dxa" w:w="2736"/>
          </w:tcPr>
          <w:p>
            <w:r/>
            <w:r>
              <w:rPr>
                <w:sz w:val="16"/>
              </w:rPr>
              <w:t>§9.3 (5 BD notice; no participation)</w:t>
            </w:r>
          </w:p>
        </w:tc>
        <w:tc>
          <w:tcPr>
            <w:tcW w:type="dxa" w:w="4320"/>
          </w:tcPr>
          <w:p>
            <w:r/>
            <w:r>
              <w:rPr>
                <w:sz w:val="16"/>
              </w:rPr>
              <w:t>§5.3 (24-hour notice of 483s, findings, inquiries); §5.4 and §4.2(j) (QA to set escort, back-room support, responses)</w:t>
            </w:r>
          </w:p>
        </w:tc>
        <w:tc>
          <w:tcPr>
            <w:tcW w:type="dxa" w:w="2592"/>
          </w:tcPr>
          <w:p>
            <w:r/>
            <w:r>
              <w:rPr>
                <w:sz w:val="16"/>
              </w:rPr>
              <w:t>Conform; Pinnacle accepted 24 hours</w:t>
            </w:r>
          </w:p>
        </w:tc>
      </w:tr>
      <w:tr>
        <w:tc>
          <w:tcPr>
            <w:tcW w:type="dxa" w:w="2736"/>
          </w:tcPr>
          <w:p>
            <w:r/>
            <w:r>
              <w:rPr>
                <w:sz w:val="16"/>
              </w:rPr>
              <w:t>§10.2 (50/50 recall costs)</w:t>
            </w:r>
          </w:p>
        </w:tc>
        <w:tc>
          <w:tcPr>
            <w:tcW w:type="dxa" w:w="4320"/>
          </w:tcPr>
          <w:p>
            <w:r/>
            <w:r>
              <w:rPr>
                <w:sz w:val="16"/>
              </w:rPr>
              <w:t>§10.1(c) (Pinnacle indemnifies cGMP failures); §11.3(d)</w:t>
            </w:r>
          </w:p>
        </w:tc>
        <w:tc>
          <w:tcPr>
            <w:tcW w:type="dxa" w:w="2592"/>
          </w:tcPr>
          <w:p>
            <w:r/>
            <w:r>
              <w:rPr>
                <w:sz w:val="16"/>
              </w:rPr>
              <w:t>Conform</w:t>
            </w:r>
          </w:p>
        </w:tc>
      </w:tr>
      <w:tr>
        <w:tc>
          <w:tcPr>
            <w:tcW w:type="dxa" w:w="2736"/>
          </w:tcPr>
          <w:p>
            <w:r/>
            <w:r>
              <w:rPr>
                <w:sz w:val="16"/>
              </w:rPr>
              <w:t>§11.1–11.2 (no consent, no audit)</w:t>
            </w:r>
          </w:p>
        </w:tc>
        <w:tc>
          <w:tcPr>
            <w:tcW w:type="dxa" w:w="4320"/>
          </w:tcPr>
          <w:p>
            <w:r/>
            <w:r>
              <w:rPr>
                <w:sz w:val="16"/>
              </w:rPr>
              <w:t>§2.3 (prior written consent; subject to Ceritas audit and qualification)</w:t>
            </w:r>
          </w:p>
        </w:tc>
        <w:tc>
          <w:tcPr>
            <w:tcW w:type="dxa" w:w="2592"/>
          </w:tcPr>
          <w:p>
            <w:r/>
            <w:r>
              <w:rPr>
                <w:sz w:val="16"/>
              </w:rPr>
              <w:t>Conform</w:t>
            </w:r>
          </w:p>
        </w:tc>
      </w:tr>
      <w:tr>
        <w:tc>
          <w:tcPr>
            <w:tcW w:type="dxa" w:w="2736"/>
          </w:tcPr>
          <w:p>
            <w:r/>
            <w:r>
              <w:rPr>
                <w:sz w:val="16"/>
              </w:rPr>
              <w:t>§12.1 (Part 11 only)</w:t>
            </w:r>
          </w:p>
        </w:tc>
        <w:tc>
          <w:tcPr>
            <w:tcW w:type="dxa" w:w="4320"/>
          </w:tcPr>
          <w:p>
            <w:r/>
            <w:r>
              <w:rPr>
                <w:sz w:val="16"/>
              </w:rPr>
              <w:t>§1.3 (“Data Integrity Requirements (as defined in the Quality Agreement)”); §4.2(k)</w:t>
            </w:r>
          </w:p>
        </w:tc>
        <w:tc>
          <w:tcPr>
            <w:tcW w:type="dxa" w:w="2592"/>
          </w:tcPr>
          <w:p>
            <w:r/>
            <w:r>
              <w:rPr>
                <w:sz w:val="16"/>
              </w:rPr>
              <w:t>The MSA needs the definition</w:t>
            </w:r>
          </w:p>
        </w:tc>
      </w:tr>
      <w:tr>
        <w:tc>
          <w:tcPr>
            <w:tcW w:type="dxa" w:w="2736"/>
          </w:tcPr>
          <w:p>
            <w:r/>
            <w:r>
              <w:rPr>
                <w:sz w:val="16"/>
              </w:rPr>
              <w:t>§14.3 (FM excuses everything)</w:t>
            </w:r>
          </w:p>
        </w:tc>
        <w:tc>
          <w:tcPr>
            <w:tcW w:type="dxa" w:w="4320"/>
          </w:tcPr>
          <w:p>
            <w:r/>
            <w:r>
              <w:rPr>
                <w:sz w:val="16"/>
              </w:rPr>
              <w:t>§14.3 (FM never relieves quality, DI, safety or regulatory obligations); §14.4 (90-day termination)</w:t>
            </w:r>
          </w:p>
        </w:tc>
        <w:tc>
          <w:tcPr>
            <w:tcW w:type="dxa" w:w="2592"/>
          </w:tcPr>
          <w:p>
            <w:r/>
            <w:r>
              <w:rPr>
                <w:sz w:val="16"/>
              </w:rPr>
              <w:t>Conform</w:t>
            </w:r>
          </w:p>
        </w:tc>
      </w:tr>
      <w:tr>
        <w:tc>
          <w:tcPr>
            <w:tcW w:type="dxa" w:w="2736"/>
          </w:tcPr>
          <w:p>
            <w:r/>
            <w:r>
              <w:rPr>
                <w:sz w:val="16"/>
              </w:rPr>
              <w:t>§15.1 (independent term)</w:t>
            </w:r>
          </w:p>
        </w:tc>
        <w:tc>
          <w:tcPr>
            <w:tcW w:type="dxa" w:w="4320"/>
          </w:tcPr>
          <w:p>
            <w:r/>
            <w:r>
              <w:rPr>
                <w:sz w:val="16"/>
              </w:rPr>
              <w:t>§13.7 (QA runs with MSA, renewals and Transition Period); §13.1–13.2</w:t>
            </w:r>
          </w:p>
        </w:tc>
        <w:tc>
          <w:tcPr>
            <w:tcW w:type="dxa" w:w="2592"/>
          </w:tcPr>
          <w:p>
            <w:r/>
            <w:r>
              <w:rPr>
                <w:sz w:val="16"/>
              </w:rPr>
              <w:t>Conform</w:t>
            </w:r>
          </w:p>
        </w:tc>
      </w:tr>
      <w:tr>
        <w:tc>
          <w:tcPr>
            <w:tcW w:type="dxa" w:w="2736"/>
          </w:tcPr>
          <w:p>
            <w:r/>
            <w:r>
              <w:rPr>
                <w:sz w:val="16"/>
              </w:rPr>
              <w:t>§16.1 (German law; Frankfurt)</w:t>
            </w:r>
          </w:p>
        </w:tc>
        <w:tc>
          <w:tcPr>
            <w:tcW w:type="dxa" w:w="4320"/>
          </w:tcPr>
          <w:p>
            <w:r/>
            <w:r>
              <w:rPr>
                <w:sz w:val="16"/>
              </w:rPr>
              <w:t>§15.1–15.3 (New York law for MSA and QA disputes; ICC seated in New York)</w:t>
            </w:r>
          </w:p>
        </w:tc>
        <w:tc>
          <w:tcPr>
            <w:tcW w:type="dxa" w:w="2592"/>
          </w:tcPr>
          <w:p>
            <w:r/>
            <w:r>
              <w:rPr>
                <w:sz w:val="16"/>
              </w:rPr>
              <w:t>Conform</w:t>
            </w:r>
          </w:p>
        </w:tc>
      </w:tr>
      <w:tr>
        <w:tc>
          <w:tcPr>
            <w:tcW w:type="dxa" w:w="2736"/>
          </w:tcPr>
          <w:p>
            <w:r/>
            <w:r>
              <w:rPr>
                <w:sz w:val="16"/>
              </w:rPr>
              <w:t>No complaint or OOS/OOT provisions</w:t>
            </w:r>
          </w:p>
        </w:tc>
        <w:tc>
          <w:tcPr>
            <w:tcW w:type="dxa" w:w="4320"/>
          </w:tcPr>
          <w:p>
            <w:r/>
            <w:r>
              <w:rPr>
                <w:sz w:val="16"/>
              </w:rPr>
              <w:t>§4.2(c) and (f) (QA must address OOS/OOT and complaint handling)</w:t>
            </w:r>
          </w:p>
        </w:tc>
        <w:tc>
          <w:tcPr>
            <w:tcW w:type="dxa" w:w="2592"/>
          </w:tcPr>
          <w:p>
            <w:r/>
            <w:r>
              <w:rPr>
                <w:sz w:val="16"/>
              </w:rPr>
              <w:t>Required content</w:t>
            </w:r>
          </w:p>
        </w:tc>
      </w:tr>
      <w:tr>
        <w:tc>
          <w:tcPr>
            <w:tcW w:type="dxa" w:w="2736"/>
          </w:tcPr>
          <w:p>
            <w:r/>
            <w:r>
              <w:rPr>
                <w:sz w:val="16"/>
              </w:rPr>
              <w:t>§1.2 scope gaps</w:t>
            </w:r>
          </w:p>
        </w:tc>
        <w:tc>
          <w:tcPr>
            <w:tcW w:type="dxa" w:w="4320"/>
          </w:tcPr>
          <w:p>
            <w:r/>
            <w:r>
              <w:rPr>
                <w:sz w:val="16"/>
              </w:rPr>
              <w:t>§2.2 (incoming testing, tertiary packaging, serialization, validated shipping)</w:t>
            </w:r>
          </w:p>
        </w:tc>
        <w:tc>
          <w:tcPr>
            <w:tcW w:type="dxa" w:w="2592"/>
          </w:tcPr>
          <w:p>
            <w:r/>
            <w:r>
              <w:rPr>
                <w:sz w:val="16"/>
              </w:rPr>
              <w:t>Conform</w:t>
            </w:r>
          </w:p>
        </w:tc>
      </w:tr>
      <w:tr>
        <w:tc>
          <w:tcPr>
            <w:tcW w:type="dxa" w:w="2736"/>
          </w:tcPr>
          <w:p>
            <w:r/>
            <w:r>
              <w:rPr>
                <w:sz w:val="16"/>
              </w:rPr>
              <w:t>Annex A gaps</w:t>
            </w:r>
          </w:p>
        </w:tc>
        <w:tc>
          <w:tcPr>
            <w:tcW w:type="dxa" w:w="4320"/>
          </w:tcPr>
          <w:p>
            <w:r/>
            <w:r>
              <w:rPr>
                <w:sz w:val="16"/>
              </w:rPr>
              <w:t>Exhibit E (named contacts); §16.1 (notice addresses)</w:t>
            </w:r>
          </w:p>
        </w:tc>
        <w:tc>
          <w:tcPr>
            <w:tcW w:type="dxa" w:w="2592"/>
          </w:tcPr>
          <w:p>
            <w:r/>
            <w:r>
              <w:rPr>
                <w:sz w:val="16"/>
              </w:rPr>
              <w:t>Populate</w:t>
            </w:r>
          </w:p>
        </w:tc>
      </w:tr>
    </w:tbl>
    <w:p>
      <w:pPr>
        <w:spacing w:after="40"/>
      </w:pPr>
    </w:p>
    <w:p>
      <w:pPr>
        <w:spacing w:after="80"/>
      </w:pPr>
      <w:r>
        <w:rPr>
          <w:b/>
          <w:i w:val="0"/>
        </w:rPr>
        <w:t>MSA terms Pinnacle may cite against Ceritas (prepare responses):</w:t>
      </w:r>
    </w:p>
    <w:p>
      <w:pPr>
        <w:pStyle w:val="ListBullet"/>
        <w:spacing w:after="40"/>
      </w:pPr>
      <w:r>
        <w:rPr>
          <w:b/>
        </w:rPr>
        <w:t>Stability protocols.</w:t>
      </w:r>
      <w:r>
        <w:t xml:space="preserve"> MSA §2.2(e) refers to a stability protocol “agreed upon by the Parties”. Response: MSA §4.3 gives the QA control of technical matters, and the redline preserves Pinnacle’s technical input.</w:t>
      </w:r>
    </w:p>
    <w:p>
      <w:pPr>
        <w:pStyle w:val="ListBullet"/>
        <w:spacing w:after="40"/>
      </w:pPr>
      <w:r>
        <w:rPr>
          <w:b/>
        </w:rPr>
        <w:t>Subcontracting.</w:t>
      </w:r>
      <w:r>
        <w:t xml:space="preserve"> MSA §2.3 consent is “not to be unreasonably withheld”. Response: accept that standard for the consent decision, but Ceritas audit qualification remains a condition, as §2.3 itself provides.</w:t>
      </w:r>
    </w:p>
    <w:p>
      <w:pPr>
        <w:pStyle w:val="ListBullet"/>
        <w:spacing w:after="40"/>
      </w:pPr>
      <w:r>
        <w:rPr>
          <w:b/>
        </w:rPr>
        <w:t>Ceritas response times.</w:t>
      </w:r>
      <w:r>
        <w:t xml:space="preserve"> MSA §3.5 commits Ceritas only to commercially reasonable efforts to respond within QA timeframes. Pinnacle may ask for deemed approval if Ceritas is silent. Resist deemed approval for Critical/Major changes and CAPAs, and offer an escalation path to the VP QA instead.</w:t>
      </w:r>
    </w:p>
    <w:p>
      <w:pPr>
        <w:pStyle w:val="ListBullet"/>
        <w:spacing w:after="40"/>
      </w:pPr>
      <w:r>
        <w:rPr>
          <w:b/>
        </w:rPr>
        <w:t>Confidentiality term.</w:t>
      </w:r>
      <w:r>
        <w:t xml:space="preserve"> MSA §8.2 protects confidential information for 7 years from disclosure. The Playbook prefers 10 years post-termination, which is a Preferred position and can be conceded with justification.</w:t>
      </w:r>
    </w:p>
    <w:p>
      <w:pPr>
        <w:pStyle w:val="Heading1"/>
      </w:pPr>
      <w:r>
        <w:t>6. Issues List: Summary (clause order)</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432"/>
            <w:shd w:val="clear" w:color="auto" w:fill="1F3A5F"/>
          </w:tcPr>
          <w:p>
            <w:r/>
            <w:r>
              <w:rPr>
                <w:b/>
                <w:color w:val="FFFFFF"/>
                <w:sz w:val="15"/>
              </w:rPr>
              <w:t>#</w:t>
            </w:r>
          </w:p>
        </w:tc>
        <w:tc>
          <w:tcPr>
            <w:tcW w:type="dxa" w:w="1296"/>
            <w:shd w:val="clear" w:color="auto" w:fill="1F3A5F"/>
          </w:tcPr>
          <w:p>
            <w:r/>
            <w:r>
              <w:rPr>
                <w:b/>
                <w:color w:val="FFFFFF"/>
                <w:sz w:val="15"/>
              </w:rPr>
              <w:t>Draft §</w:t>
            </w:r>
          </w:p>
        </w:tc>
        <w:tc>
          <w:tcPr>
            <w:tcW w:type="dxa" w:w="3888"/>
            <w:shd w:val="clear" w:color="auto" w:fill="1F3A5F"/>
          </w:tcPr>
          <w:p>
            <w:r/>
            <w:r>
              <w:rPr>
                <w:b/>
                <w:color w:val="FFFFFF"/>
                <w:sz w:val="15"/>
              </w:rPr>
              <w:t>Deviation</w:t>
            </w:r>
          </w:p>
        </w:tc>
        <w:tc>
          <w:tcPr>
            <w:tcW w:type="dxa" w:w="1440"/>
            <w:shd w:val="clear" w:color="auto" w:fill="1F3A5F"/>
          </w:tcPr>
          <w:p>
            <w:r/>
            <w:r>
              <w:rPr>
                <w:b/>
                <w:color w:val="FFFFFF"/>
                <w:sz w:val="15"/>
              </w:rPr>
              <w:t>Playbook tier</w:t>
            </w:r>
          </w:p>
        </w:tc>
        <w:tc>
          <w:tcPr>
            <w:tcW w:type="dxa" w:w="432"/>
            <w:shd w:val="clear" w:color="auto" w:fill="1F3A5F"/>
          </w:tcPr>
          <w:p>
            <w:r/>
            <w:r>
              <w:rPr>
                <w:b/>
                <w:color w:val="FFFFFF"/>
                <w:sz w:val="15"/>
              </w:rPr>
              <w:t>SV</w:t>
            </w:r>
          </w:p>
        </w:tc>
        <w:tc>
          <w:tcPr>
            <w:tcW w:type="dxa" w:w="432"/>
            <w:shd w:val="clear" w:color="auto" w:fill="1F3A5F"/>
          </w:tcPr>
          <w:p>
            <w:r/>
            <w:r>
              <w:rPr>
                <w:b/>
                <w:color w:val="FFFFFF"/>
                <w:sz w:val="15"/>
              </w:rPr>
              <w:t>IV</w:t>
            </w:r>
          </w:p>
        </w:tc>
        <w:tc>
          <w:tcPr>
            <w:tcW w:type="dxa" w:w="432"/>
            <w:shd w:val="clear" w:color="auto" w:fill="1F3A5F"/>
          </w:tcPr>
          <w:p>
            <w:r/>
            <w:r>
              <w:rPr>
                <w:b/>
                <w:color w:val="FFFFFF"/>
                <w:sz w:val="15"/>
              </w:rPr>
              <w:t>LS</w:t>
            </w:r>
          </w:p>
        </w:tc>
        <w:tc>
          <w:tcPr>
            <w:tcW w:type="dxa" w:w="648"/>
            <w:shd w:val="clear" w:color="auto" w:fill="1F3A5F"/>
          </w:tcPr>
          <w:p>
            <w:r/>
            <w:r>
              <w:rPr>
                <w:b/>
                <w:color w:val="FFFFFF"/>
                <w:sz w:val="15"/>
              </w:rPr>
              <w:t>CRS</w:t>
            </w:r>
          </w:p>
        </w:tc>
        <w:tc>
          <w:tcPr>
            <w:tcW w:type="dxa" w:w="864"/>
            <w:shd w:val="clear" w:color="auto" w:fill="1F3A5F"/>
          </w:tcPr>
          <w:p>
            <w:r/>
            <w:r>
              <w:rPr>
                <w:b/>
                <w:color w:val="FFFFFF"/>
                <w:sz w:val="15"/>
              </w:rPr>
              <w:t>Rating</w:t>
            </w:r>
          </w:p>
        </w:tc>
      </w:tr>
      <w:tr>
        <w:tc>
          <w:tcPr>
            <w:tcW w:type="dxa" w:w="432"/>
          </w:tcPr>
          <w:p>
            <w:r/>
            <w:r>
              <w:rPr>
                <w:sz w:val="15"/>
              </w:rPr>
              <w:t>1</w:t>
            </w:r>
          </w:p>
        </w:tc>
        <w:tc>
          <w:tcPr>
            <w:tcW w:type="dxa" w:w="1296"/>
          </w:tcPr>
          <w:p>
            <w:r/>
            <w:r>
              <w:rPr>
                <w:sz w:val="15"/>
              </w:rPr>
              <w:t>Front matter; §1.1; §3.2(c)</w:t>
            </w:r>
          </w:p>
        </w:tc>
        <w:tc>
          <w:tcPr>
            <w:tcW w:type="dxa" w:w="3888"/>
          </w:tcPr>
          <w:p>
            <w:r/>
            <w:r>
              <w:rPr>
                <w:sz w:val="15"/>
              </w:rPr>
              <w:t>Ceritas not expressly identified as NDA holder with ultimate quality oversight; Ceritas Ireland’s role as EU MAH not delineated</w:t>
            </w:r>
          </w:p>
        </w:tc>
        <w:tc>
          <w:tcPr>
            <w:tcW w:type="dxa" w:w="1440"/>
          </w:tcPr>
          <w:p>
            <w:r/>
            <w:r>
              <w:rPr>
                <w:sz w:val="15"/>
              </w:rPr>
              <w:t>Mandatory (drafting principle)</w:t>
            </w:r>
          </w:p>
        </w:tc>
        <w:tc>
          <w:tcPr>
            <w:tcW w:type="dxa" w:w="432"/>
          </w:tcPr>
          <w:p>
            <w:r/>
            <w:r>
              <w:rPr>
                <w:sz w:val="15"/>
              </w:rPr>
              <w:t>2</w:t>
            </w:r>
          </w:p>
        </w:tc>
        <w:tc>
          <w:tcPr>
            <w:tcW w:type="dxa" w:w="432"/>
          </w:tcPr>
          <w:p>
            <w:r/>
            <w:r>
              <w:rPr>
                <w:sz w:val="15"/>
              </w:rPr>
              <w:t>3</w:t>
            </w:r>
          </w:p>
        </w:tc>
        <w:tc>
          <w:tcPr>
            <w:tcW w:type="dxa" w:w="432"/>
          </w:tcPr>
          <w:p>
            <w:r/>
            <w:r>
              <w:rPr>
                <w:sz w:val="15"/>
              </w:rPr>
              <w:t>3</w:t>
            </w:r>
          </w:p>
        </w:tc>
        <w:tc>
          <w:tcPr>
            <w:tcW w:type="dxa" w:w="648"/>
          </w:tcPr>
          <w:p>
            <w:r/>
            <w:r>
              <w:rPr>
                <w:sz w:val="15"/>
              </w:rPr>
              <w:t>27.0</w:t>
            </w:r>
          </w:p>
        </w:tc>
        <w:tc>
          <w:tcPr>
            <w:tcW w:type="dxa" w:w="864"/>
            <w:shd w:val="clear" w:color="auto" w:fill="ED7D31"/>
          </w:tcPr>
          <w:p>
            <w:r/>
            <w:r>
              <w:rPr>
                <w:sz w:val="15"/>
              </w:rPr>
              <w:t>High</w:t>
            </w:r>
          </w:p>
        </w:tc>
      </w:tr>
      <w:tr>
        <w:tc>
          <w:tcPr>
            <w:tcW w:type="dxa" w:w="432"/>
          </w:tcPr>
          <w:p>
            <w:r/>
            <w:r>
              <w:rPr>
                <w:sz w:val="15"/>
              </w:rPr>
              <w:t>2</w:t>
            </w:r>
          </w:p>
        </w:tc>
        <w:tc>
          <w:tcPr>
            <w:tcW w:type="dxa" w:w="1296"/>
          </w:tcPr>
          <w:p>
            <w:r/>
            <w:r>
              <w:rPr>
                <w:sz w:val="15"/>
              </w:rPr>
              <w:t>§1.2 Scope</w:t>
            </w:r>
          </w:p>
        </w:tc>
        <w:tc>
          <w:tcPr>
            <w:tcW w:type="dxa" w:w="3888"/>
          </w:tcPr>
          <w:p>
            <w:r/>
            <w:r>
              <w:rPr>
                <w:sz w:val="15"/>
              </w:rPr>
              <w:t>Scope omits incoming-material testing, tertiary packaging, serialization, validated shipping and investigations required by the MSA</w:t>
            </w:r>
          </w:p>
        </w:tc>
        <w:tc>
          <w:tcPr>
            <w:tcW w:type="dxa" w:w="1440"/>
          </w:tcPr>
          <w:p>
            <w:r/>
            <w:r>
              <w:rPr>
                <w:sz w:val="15"/>
              </w:rPr>
              <w:t>Missing Protection</w:t>
            </w:r>
          </w:p>
        </w:tc>
        <w:tc>
          <w:tcPr>
            <w:tcW w:type="dxa" w:w="432"/>
          </w:tcPr>
          <w:p>
            <w:r/>
            <w:r>
              <w:rPr>
                <w:sz w:val="15"/>
              </w:rPr>
              <w:t>2</w:t>
            </w:r>
          </w:p>
        </w:tc>
        <w:tc>
          <w:tcPr>
            <w:tcW w:type="dxa" w:w="432"/>
          </w:tcPr>
          <w:p>
            <w:r/>
            <w:r>
              <w:rPr>
                <w:sz w:val="15"/>
              </w:rPr>
              <w:t>3</w:t>
            </w:r>
          </w:p>
        </w:tc>
        <w:tc>
          <w:tcPr>
            <w:tcW w:type="dxa" w:w="432"/>
          </w:tcPr>
          <w:p>
            <w:r/>
            <w:r>
              <w:rPr>
                <w:sz w:val="15"/>
              </w:rPr>
              <w:t>3</w:t>
            </w:r>
          </w:p>
        </w:tc>
        <w:tc>
          <w:tcPr>
            <w:tcW w:type="dxa" w:w="648"/>
          </w:tcPr>
          <w:p>
            <w:r/>
            <w:r>
              <w:rPr>
                <w:sz w:val="15"/>
              </w:rPr>
              <w:t>27.0</w:t>
            </w:r>
          </w:p>
        </w:tc>
        <w:tc>
          <w:tcPr>
            <w:tcW w:type="dxa" w:w="864"/>
            <w:shd w:val="clear" w:color="auto" w:fill="ED7D31"/>
          </w:tcPr>
          <w:p>
            <w:r/>
            <w:r>
              <w:rPr>
                <w:sz w:val="15"/>
              </w:rPr>
              <w:t>High</w:t>
            </w:r>
          </w:p>
        </w:tc>
      </w:tr>
      <w:tr>
        <w:tc>
          <w:tcPr>
            <w:tcW w:type="dxa" w:w="432"/>
          </w:tcPr>
          <w:p>
            <w:r/>
            <w:r>
              <w:rPr>
                <w:sz w:val="15"/>
              </w:rPr>
              <w:t>3</w:t>
            </w:r>
          </w:p>
        </w:tc>
        <w:tc>
          <w:tcPr>
            <w:tcW w:type="dxa" w:w="1296"/>
          </w:tcPr>
          <w:p>
            <w:r/>
            <w:r>
              <w:rPr>
                <w:sz w:val="15"/>
              </w:rPr>
              <w:t>§1.4 Conflict with MSA; §14.2</w:t>
            </w:r>
          </w:p>
        </w:tc>
        <w:tc>
          <w:tcPr>
            <w:tcW w:type="dxa" w:w="3888"/>
          </w:tcPr>
          <w:p>
            <w:r/>
            <w:r>
              <w:rPr>
                <w:sz w:val="15"/>
              </w:rPr>
              <w:t>Order-of-precedence clause would let the QA’s liability terms override the MSA; indemnity “taken into account” language dilutes MSA Article 10</w:t>
            </w:r>
          </w:p>
        </w:tc>
        <w:tc>
          <w:tcPr>
            <w:tcW w:type="dxa" w:w="1440"/>
          </w:tcPr>
          <w:p>
            <w:r/>
            <w:r>
              <w:rPr>
                <w:sz w:val="15"/>
              </w:rPr>
              <w:t>Off-Market</w:t>
            </w:r>
          </w:p>
        </w:tc>
        <w:tc>
          <w:tcPr>
            <w:tcW w:type="dxa" w:w="432"/>
          </w:tcPr>
          <w:p>
            <w:r/>
            <w:r>
              <w:rPr>
                <w:sz w:val="15"/>
              </w:rPr>
              <w:t>3</w:t>
            </w:r>
          </w:p>
        </w:tc>
        <w:tc>
          <w:tcPr>
            <w:tcW w:type="dxa" w:w="432"/>
          </w:tcPr>
          <w:p>
            <w:r/>
            <w:r>
              <w:rPr>
                <w:sz w:val="15"/>
              </w:rPr>
              <w:t>4</w:t>
            </w:r>
          </w:p>
        </w:tc>
        <w:tc>
          <w:tcPr>
            <w:tcW w:type="dxa" w:w="432"/>
          </w:tcPr>
          <w:p>
            <w:r/>
            <w:r>
              <w:rPr>
                <w:sz w:val="15"/>
              </w:rPr>
              <w:t>2</w:t>
            </w:r>
          </w:p>
        </w:tc>
        <w:tc>
          <w:tcPr>
            <w:tcW w:type="dxa" w:w="648"/>
          </w:tcPr>
          <w:p>
            <w:r/>
            <w:r>
              <w:rPr>
                <w:sz w:val="15"/>
              </w:rPr>
              <w:t>36.0</w:t>
            </w:r>
          </w:p>
        </w:tc>
        <w:tc>
          <w:tcPr>
            <w:tcW w:type="dxa" w:w="864"/>
            <w:shd w:val="clear" w:color="auto" w:fill="ED7D31"/>
          </w:tcPr>
          <w:p>
            <w:r/>
            <w:r>
              <w:rPr>
                <w:sz w:val="15"/>
              </w:rPr>
              <w:t>High</w:t>
            </w:r>
          </w:p>
        </w:tc>
      </w:tr>
      <w:tr>
        <w:tc>
          <w:tcPr>
            <w:tcW w:type="dxa" w:w="432"/>
          </w:tcPr>
          <w:p>
            <w:r/>
            <w:r>
              <w:rPr>
                <w:sz w:val="15"/>
              </w:rPr>
              <w:t>4</w:t>
            </w:r>
          </w:p>
        </w:tc>
        <w:tc>
          <w:tcPr>
            <w:tcW w:type="dxa" w:w="1296"/>
          </w:tcPr>
          <w:p>
            <w:r/>
            <w:r>
              <w:rPr>
                <w:sz w:val="15"/>
              </w:rPr>
              <w:t>§2.5, §2.9, §6.1 ¶1</w:t>
            </w:r>
          </w:p>
        </w:tc>
        <w:tc>
          <w:tcPr>
            <w:tcW w:type="dxa" w:w="3888"/>
          </w:tcPr>
          <w:p>
            <w:r/>
            <w:r>
              <w:rPr>
                <w:sz w:val="15"/>
              </w:rPr>
              <w:t>Deviation classification controlled solely by Pinnacle SOP; Critical Deviation definition omits recall/field-alert and OOS triggers</w:t>
            </w:r>
          </w:p>
        </w:tc>
        <w:tc>
          <w:tcPr>
            <w:tcW w:type="dxa" w:w="1440"/>
          </w:tcPr>
          <w:p>
            <w:r/>
            <w:r>
              <w:rPr>
                <w:sz w:val="15"/>
              </w:rPr>
              <w:t>Mandatory</w:t>
            </w:r>
          </w:p>
        </w:tc>
        <w:tc>
          <w:tcPr>
            <w:tcW w:type="dxa" w:w="432"/>
          </w:tcPr>
          <w:p>
            <w:r/>
            <w:r>
              <w:rPr>
                <w:sz w:val="15"/>
              </w:rPr>
              <w:t>2</w:t>
            </w:r>
          </w:p>
        </w:tc>
        <w:tc>
          <w:tcPr>
            <w:tcW w:type="dxa" w:w="432"/>
          </w:tcPr>
          <w:p>
            <w:r/>
            <w:r>
              <w:rPr>
                <w:sz w:val="15"/>
              </w:rPr>
              <w:t>3</w:t>
            </w:r>
          </w:p>
        </w:tc>
        <w:tc>
          <w:tcPr>
            <w:tcW w:type="dxa" w:w="432"/>
          </w:tcPr>
          <w:p>
            <w:r/>
            <w:r>
              <w:rPr>
                <w:sz w:val="15"/>
              </w:rPr>
              <w:t>3</w:t>
            </w:r>
          </w:p>
        </w:tc>
        <w:tc>
          <w:tcPr>
            <w:tcW w:type="dxa" w:w="648"/>
          </w:tcPr>
          <w:p>
            <w:r/>
            <w:r>
              <w:rPr>
                <w:sz w:val="15"/>
              </w:rPr>
              <w:t>27.0</w:t>
            </w:r>
          </w:p>
        </w:tc>
        <w:tc>
          <w:tcPr>
            <w:tcW w:type="dxa" w:w="864"/>
            <w:shd w:val="clear" w:color="auto" w:fill="ED7D31"/>
          </w:tcPr>
          <w:p>
            <w:r/>
            <w:r>
              <w:rPr>
                <w:sz w:val="15"/>
              </w:rPr>
              <w:t>High</w:t>
            </w:r>
          </w:p>
        </w:tc>
      </w:tr>
      <w:tr>
        <w:tc>
          <w:tcPr>
            <w:tcW w:type="dxa" w:w="432"/>
          </w:tcPr>
          <w:p>
            <w:r/>
            <w:r>
              <w:rPr>
                <w:sz w:val="15"/>
              </w:rPr>
              <w:t>5</w:t>
            </w:r>
          </w:p>
        </w:tc>
        <w:tc>
          <w:tcPr>
            <w:tcW w:type="dxa" w:w="1296"/>
          </w:tcPr>
          <w:p>
            <w:r/>
            <w:r>
              <w:rPr>
                <w:sz w:val="15"/>
              </w:rPr>
              <w:t>§2.6, §3.1(b)</w:t>
            </w:r>
          </w:p>
        </w:tc>
        <w:tc>
          <w:tcPr>
            <w:tcW w:type="dxa" w:w="3888"/>
          </w:tcPr>
          <w:p>
            <w:r/>
            <w:r>
              <w:rPr>
                <w:sz w:val="15"/>
              </w:rPr>
              <w:t>Facility described as “EMA-authorized”</w:t>
            </w:r>
          </w:p>
        </w:tc>
        <w:tc>
          <w:tcPr>
            <w:tcW w:type="dxa" w:w="1440"/>
          </w:tcPr>
          <w:p>
            <w:r/>
            <w:r>
              <w:rPr>
                <w:sz w:val="15"/>
              </w:rPr>
              <w:t>Minor</w:t>
            </w:r>
          </w:p>
        </w:tc>
        <w:tc>
          <w:tcPr>
            <w:tcW w:type="dxa" w:w="432"/>
          </w:tcPr>
          <w:p>
            <w:r/>
            <w:r>
              <w:rPr>
                <w:sz w:val="15"/>
              </w:rPr>
              <w:t>1</w:t>
            </w:r>
          </w:p>
        </w:tc>
        <w:tc>
          <w:tcPr>
            <w:tcW w:type="dxa" w:w="432"/>
          </w:tcPr>
          <w:p>
            <w:r/>
            <w:r>
              <w:rPr>
                <w:sz w:val="15"/>
              </w:rPr>
              <w:t>2</w:t>
            </w:r>
          </w:p>
        </w:tc>
        <w:tc>
          <w:tcPr>
            <w:tcW w:type="dxa" w:w="432"/>
          </w:tcPr>
          <w:p>
            <w:r/>
            <w:r>
              <w:rPr>
                <w:sz w:val="15"/>
              </w:rPr>
              <w:t>2</w:t>
            </w:r>
          </w:p>
        </w:tc>
        <w:tc>
          <w:tcPr>
            <w:tcW w:type="dxa" w:w="648"/>
          </w:tcPr>
          <w:p>
            <w:r/>
            <w:r>
              <w:rPr>
                <w:sz w:val="15"/>
              </w:rPr>
              <w:t>6.0</w:t>
            </w:r>
          </w:p>
        </w:tc>
        <w:tc>
          <w:tcPr>
            <w:tcW w:type="dxa" w:w="864"/>
            <w:shd w:val="clear" w:color="auto" w:fill="A9D08E"/>
          </w:tcPr>
          <w:p>
            <w:r/>
            <w:r>
              <w:rPr>
                <w:sz w:val="15"/>
              </w:rPr>
              <w:t>Low</w:t>
            </w:r>
          </w:p>
        </w:tc>
      </w:tr>
      <w:tr>
        <w:tc>
          <w:tcPr>
            <w:tcW w:type="dxa" w:w="432"/>
          </w:tcPr>
          <w:p>
            <w:r/>
            <w:r>
              <w:rPr>
                <w:sz w:val="15"/>
              </w:rPr>
              <w:t>6</w:t>
            </w:r>
          </w:p>
        </w:tc>
        <w:tc>
          <w:tcPr>
            <w:tcW w:type="dxa" w:w="1296"/>
          </w:tcPr>
          <w:p>
            <w:r/>
            <w:r>
              <w:rPr>
                <w:sz w:val="15"/>
              </w:rPr>
              <w:t>§3.3(c), §3.3 (monthly report)</w:t>
            </w:r>
          </w:p>
        </w:tc>
        <w:tc>
          <w:tcPr>
            <w:tcW w:type="dxa" w:w="3888"/>
          </w:tcPr>
          <w:p>
            <w:r/>
            <w:r>
              <w:rPr>
                <w:sz w:val="15"/>
              </w:rPr>
              <w:t>Quality review meeting frequency “mutually agreed”; monthly quality summary report referenced but never defined</w:t>
            </w:r>
          </w:p>
        </w:tc>
        <w:tc>
          <w:tcPr>
            <w:tcW w:type="dxa" w:w="1440"/>
          </w:tcPr>
          <w:p>
            <w:r/>
            <w:r>
              <w:rPr>
                <w:sz w:val="15"/>
              </w:rPr>
              <w:t>Preferred</w:t>
            </w:r>
          </w:p>
        </w:tc>
        <w:tc>
          <w:tcPr>
            <w:tcW w:type="dxa" w:w="432"/>
          </w:tcPr>
          <w:p>
            <w:r/>
            <w:r>
              <w:rPr>
                <w:sz w:val="15"/>
              </w:rPr>
              <w:t>1</w:t>
            </w:r>
          </w:p>
        </w:tc>
        <w:tc>
          <w:tcPr>
            <w:tcW w:type="dxa" w:w="432"/>
          </w:tcPr>
          <w:p>
            <w:r/>
            <w:r>
              <w:rPr>
                <w:sz w:val="15"/>
              </w:rPr>
              <w:t>2</w:t>
            </w:r>
          </w:p>
        </w:tc>
        <w:tc>
          <w:tcPr>
            <w:tcW w:type="dxa" w:w="432"/>
          </w:tcPr>
          <w:p>
            <w:r/>
            <w:r>
              <w:rPr>
                <w:sz w:val="15"/>
              </w:rPr>
              <w:t>3</w:t>
            </w:r>
          </w:p>
        </w:tc>
        <w:tc>
          <w:tcPr>
            <w:tcW w:type="dxa" w:w="648"/>
          </w:tcPr>
          <w:p>
            <w:r/>
            <w:r>
              <w:rPr>
                <w:sz w:val="15"/>
              </w:rPr>
              <w:t>9.0</w:t>
            </w:r>
          </w:p>
        </w:tc>
        <w:tc>
          <w:tcPr>
            <w:tcW w:type="dxa" w:w="864"/>
            <w:shd w:val="clear" w:color="auto" w:fill="A9D08E"/>
          </w:tcPr>
          <w:p>
            <w:r/>
            <w:r>
              <w:rPr>
                <w:sz w:val="15"/>
              </w:rPr>
              <w:t>Low</w:t>
            </w:r>
          </w:p>
        </w:tc>
      </w:tr>
      <w:tr>
        <w:tc>
          <w:tcPr>
            <w:tcW w:type="dxa" w:w="432"/>
          </w:tcPr>
          <w:p>
            <w:r/>
            <w:r>
              <w:rPr>
                <w:sz w:val="15"/>
              </w:rPr>
              <w:t>7</w:t>
            </w:r>
          </w:p>
        </w:tc>
        <w:tc>
          <w:tcPr>
            <w:tcW w:type="dxa" w:w="1296"/>
          </w:tcPr>
          <w:p>
            <w:r/>
            <w:r>
              <w:rPr>
                <w:sz w:val="15"/>
              </w:rPr>
              <w:t>§4.3 Qualified Persons</w:t>
            </w:r>
          </w:p>
        </w:tc>
        <w:tc>
          <w:tcPr>
            <w:tcW w:type="dxa" w:w="3888"/>
          </w:tcPr>
          <w:p>
            <w:r/>
            <w:r>
              <w:rPr>
                <w:sz w:val="15"/>
              </w:rPr>
              <w:t>QP replacement at Pinnacle’s sole discretion with no advance notice or Ceritas objection right; annual list only</w:t>
            </w:r>
          </w:p>
        </w:tc>
        <w:tc>
          <w:tcPr>
            <w:tcW w:type="dxa" w:w="1440"/>
          </w:tcPr>
          <w:p>
            <w:r/>
            <w:r>
              <w:rPr>
                <w:sz w:val="15"/>
              </w:rPr>
              <w:t>Mandatory</w:t>
            </w:r>
          </w:p>
        </w:tc>
        <w:tc>
          <w:tcPr>
            <w:tcW w:type="dxa" w:w="432"/>
          </w:tcPr>
          <w:p>
            <w:r/>
            <w:r>
              <w:rPr>
                <w:sz w:val="15"/>
              </w:rPr>
              <w:t>3</w:t>
            </w:r>
          </w:p>
        </w:tc>
        <w:tc>
          <w:tcPr>
            <w:tcW w:type="dxa" w:w="432"/>
          </w:tcPr>
          <w:p>
            <w:r/>
            <w:r>
              <w:rPr>
                <w:sz w:val="15"/>
              </w:rPr>
              <w:t>3</w:t>
            </w:r>
          </w:p>
        </w:tc>
        <w:tc>
          <w:tcPr>
            <w:tcW w:type="dxa" w:w="432"/>
          </w:tcPr>
          <w:p>
            <w:r/>
            <w:r>
              <w:rPr>
                <w:sz w:val="15"/>
              </w:rPr>
              <w:t>3</w:t>
            </w:r>
          </w:p>
        </w:tc>
        <w:tc>
          <w:tcPr>
            <w:tcW w:type="dxa" w:w="648"/>
          </w:tcPr>
          <w:p>
            <w:r/>
            <w:r>
              <w:rPr>
                <w:sz w:val="15"/>
              </w:rPr>
              <w:t>40.5</w:t>
            </w:r>
          </w:p>
        </w:tc>
        <w:tc>
          <w:tcPr>
            <w:tcW w:type="dxa" w:w="864"/>
            <w:shd w:val="clear" w:color="auto" w:fill="ED7D31"/>
          </w:tcPr>
          <w:p>
            <w:r/>
            <w:r>
              <w:rPr>
                <w:sz w:val="15"/>
              </w:rPr>
              <w:t>High</w:t>
            </w:r>
          </w:p>
        </w:tc>
      </w:tr>
      <w:tr>
        <w:tc>
          <w:tcPr>
            <w:tcW w:type="dxa" w:w="432"/>
          </w:tcPr>
          <w:p>
            <w:r/>
            <w:r>
              <w:rPr>
                <w:sz w:val="15"/>
              </w:rPr>
              <w:t>8</w:t>
            </w:r>
          </w:p>
        </w:tc>
        <w:tc>
          <w:tcPr>
            <w:tcW w:type="dxa" w:w="1296"/>
          </w:tcPr>
          <w:p>
            <w:r/>
            <w:r>
              <w:rPr>
                <w:sz w:val="15"/>
              </w:rPr>
              <w:t>§5.2 ¶1–3</w:t>
            </w:r>
          </w:p>
        </w:tc>
        <w:tc>
          <w:tcPr>
            <w:tcW w:type="dxa" w:w="3888"/>
          </w:tcPr>
          <w:p>
            <w:r/>
            <w:r>
              <w:rPr>
                <w:sz w:val="15"/>
              </w:rPr>
              <w:t>Change control is “notify and comment” with 30 days’ notice; Pinnacle may implement over Ceritas objection; “commercially reasonable efforts” qualifier</w:t>
            </w:r>
          </w:p>
        </w:tc>
        <w:tc>
          <w:tcPr>
            <w:tcW w:type="dxa" w:w="1440"/>
          </w:tcPr>
          <w:p>
            <w:r/>
            <w:r>
              <w:rPr>
                <w:sz w:val="15"/>
              </w:rPr>
              <w:t>Mandatory</w:t>
            </w:r>
          </w:p>
        </w:tc>
        <w:tc>
          <w:tcPr>
            <w:tcW w:type="dxa" w:w="432"/>
          </w:tcPr>
          <w:p>
            <w:r/>
            <w:r>
              <w:rPr>
                <w:sz w:val="15"/>
              </w:rPr>
              <w:t>4</w:t>
            </w:r>
          </w:p>
        </w:tc>
        <w:tc>
          <w:tcPr>
            <w:tcW w:type="dxa" w:w="432"/>
          </w:tcPr>
          <w:p>
            <w:r/>
            <w:r>
              <w:rPr>
                <w:sz w:val="15"/>
              </w:rPr>
              <w:t>4</w:t>
            </w:r>
          </w:p>
        </w:tc>
        <w:tc>
          <w:tcPr>
            <w:tcW w:type="dxa" w:w="432"/>
          </w:tcPr>
          <w:p>
            <w:r/>
            <w:r>
              <w:rPr>
                <w:sz w:val="15"/>
              </w:rPr>
              <w:t>4</w:t>
            </w:r>
          </w:p>
        </w:tc>
        <w:tc>
          <w:tcPr>
            <w:tcW w:type="dxa" w:w="648"/>
          </w:tcPr>
          <w:p>
            <w:r/>
            <w:r>
              <w:rPr>
                <w:sz w:val="15"/>
              </w:rPr>
              <w:t>96.0</w:t>
            </w:r>
          </w:p>
        </w:tc>
        <w:tc>
          <w:tcPr>
            <w:tcW w:type="dxa" w:w="864"/>
            <w:shd w:val="clear" w:color="auto" w:fill="C00000"/>
          </w:tcPr>
          <w:p>
            <w:r/>
            <w:r>
              <w:rPr>
                <w:sz w:val="15"/>
              </w:rPr>
              <w:t>Critical</w:t>
            </w:r>
          </w:p>
        </w:tc>
      </w:tr>
      <w:tr>
        <w:tc>
          <w:tcPr>
            <w:tcW w:type="dxa" w:w="432"/>
          </w:tcPr>
          <w:p>
            <w:r/>
            <w:r>
              <w:rPr>
                <w:sz w:val="15"/>
              </w:rPr>
              <w:t>9</w:t>
            </w:r>
          </w:p>
        </w:tc>
        <w:tc>
          <w:tcPr>
            <w:tcW w:type="dxa" w:w="1296"/>
          </w:tcPr>
          <w:p>
            <w:r/>
            <w:r>
              <w:rPr>
                <w:sz w:val="15"/>
              </w:rPr>
              <w:t>§5.2 ¶4; §5.1 ¶2</w:t>
            </w:r>
          </w:p>
        </w:tc>
        <w:tc>
          <w:tcPr>
            <w:tcW w:type="dxa" w:w="3888"/>
          </w:tcPr>
          <w:p>
            <w:r/>
            <w:r>
              <w:rPr>
                <w:sz w:val="15"/>
              </w:rPr>
              <w:t>Pinnacle alone defines “significant”; like-for-like replacements and “minor” changes exempt from any notice; no change classification matrix</w:t>
            </w:r>
          </w:p>
        </w:tc>
        <w:tc>
          <w:tcPr>
            <w:tcW w:type="dxa" w:w="1440"/>
          </w:tcPr>
          <w:p>
            <w:r/>
            <w:r>
              <w:rPr>
                <w:sz w:val="15"/>
              </w:rPr>
              <w:t>Mandatory</w:t>
            </w:r>
          </w:p>
        </w:tc>
        <w:tc>
          <w:tcPr>
            <w:tcW w:type="dxa" w:w="432"/>
          </w:tcPr>
          <w:p>
            <w:r/>
            <w:r>
              <w:rPr>
                <w:sz w:val="15"/>
              </w:rPr>
              <w:t>3</w:t>
            </w:r>
          </w:p>
        </w:tc>
        <w:tc>
          <w:tcPr>
            <w:tcW w:type="dxa" w:w="432"/>
          </w:tcPr>
          <w:p>
            <w:r/>
            <w:r>
              <w:rPr>
                <w:sz w:val="15"/>
              </w:rPr>
              <w:t>3</w:t>
            </w:r>
          </w:p>
        </w:tc>
        <w:tc>
          <w:tcPr>
            <w:tcW w:type="dxa" w:w="432"/>
          </w:tcPr>
          <w:p>
            <w:r/>
            <w:r>
              <w:rPr>
                <w:sz w:val="15"/>
              </w:rPr>
              <w:t>4</w:t>
            </w:r>
          </w:p>
        </w:tc>
        <w:tc>
          <w:tcPr>
            <w:tcW w:type="dxa" w:w="648"/>
          </w:tcPr>
          <w:p>
            <w:r/>
            <w:r>
              <w:rPr>
                <w:sz w:val="15"/>
              </w:rPr>
              <w:t>54.0</w:t>
            </w:r>
          </w:p>
        </w:tc>
        <w:tc>
          <w:tcPr>
            <w:tcW w:type="dxa" w:w="864"/>
            <w:shd w:val="clear" w:color="auto" w:fill="C00000"/>
          </w:tcPr>
          <w:p>
            <w:r/>
            <w:r>
              <w:rPr>
                <w:sz w:val="15"/>
              </w:rPr>
              <w:t>Critical</w:t>
            </w:r>
          </w:p>
        </w:tc>
      </w:tr>
      <w:tr>
        <w:tc>
          <w:tcPr>
            <w:tcW w:type="dxa" w:w="432"/>
          </w:tcPr>
          <w:p>
            <w:r/>
            <w:r>
              <w:rPr>
                <w:sz w:val="15"/>
              </w:rPr>
              <w:t>10</w:t>
            </w:r>
          </w:p>
        </w:tc>
        <w:tc>
          <w:tcPr>
            <w:tcW w:type="dxa" w:w="1296"/>
          </w:tcPr>
          <w:p>
            <w:r/>
            <w:r>
              <w:rPr>
                <w:sz w:val="15"/>
              </w:rPr>
              <w:t>§5.3, §5.4</w:t>
            </w:r>
          </w:p>
        </w:tc>
        <w:tc>
          <w:tcPr>
            <w:tcW w:type="dxa" w:w="3888"/>
          </w:tcPr>
          <w:p>
            <w:r/>
            <w:r>
              <w:rPr>
                <w:sz w:val="15"/>
              </w:rPr>
              <w:t>Pinnacle may refuse Ceritas-initiated changes (including regulator-mandated ones); assessment and regulatory-support deliverables due “within a reasonable timeframe”</w:t>
            </w:r>
          </w:p>
        </w:tc>
        <w:tc>
          <w:tcPr>
            <w:tcW w:type="dxa" w:w="1440"/>
          </w:tcPr>
          <w:p>
            <w:r/>
            <w:r>
              <w:rPr>
                <w:sz w:val="15"/>
              </w:rPr>
              <w:t>Preferred</w:t>
            </w:r>
          </w:p>
        </w:tc>
        <w:tc>
          <w:tcPr>
            <w:tcW w:type="dxa" w:w="432"/>
          </w:tcPr>
          <w:p>
            <w:r/>
            <w:r>
              <w:rPr>
                <w:sz w:val="15"/>
              </w:rPr>
              <w:t>2</w:t>
            </w:r>
          </w:p>
        </w:tc>
        <w:tc>
          <w:tcPr>
            <w:tcW w:type="dxa" w:w="432"/>
          </w:tcPr>
          <w:p>
            <w:r/>
            <w:r>
              <w:rPr>
                <w:sz w:val="15"/>
              </w:rPr>
              <w:t>3</w:t>
            </w:r>
          </w:p>
        </w:tc>
        <w:tc>
          <w:tcPr>
            <w:tcW w:type="dxa" w:w="432"/>
          </w:tcPr>
          <w:p>
            <w:r/>
            <w:r>
              <w:rPr>
                <w:sz w:val="15"/>
              </w:rPr>
              <w:t>2</w:t>
            </w:r>
          </w:p>
        </w:tc>
        <w:tc>
          <w:tcPr>
            <w:tcW w:type="dxa" w:w="648"/>
          </w:tcPr>
          <w:p>
            <w:r/>
            <w:r>
              <w:rPr>
                <w:sz w:val="15"/>
              </w:rPr>
              <w:t>18.0</w:t>
            </w:r>
          </w:p>
        </w:tc>
        <w:tc>
          <w:tcPr>
            <w:tcW w:type="dxa" w:w="864"/>
            <w:shd w:val="clear" w:color="auto" w:fill="FFD966"/>
          </w:tcPr>
          <w:p>
            <w:r/>
            <w:r>
              <w:rPr>
                <w:sz w:val="15"/>
              </w:rPr>
              <w:t>Medium</w:t>
            </w:r>
          </w:p>
        </w:tc>
      </w:tr>
      <w:tr>
        <w:tc>
          <w:tcPr>
            <w:tcW w:type="dxa" w:w="432"/>
          </w:tcPr>
          <w:p>
            <w:r/>
            <w:r>
              <w:rPr>
                <w:sz w:val="15"/>
              </w:rPr>
              <w:t>11</w:t>
            </w:r>
          </w:p>
        </w:tc>
        <w:tc>
          <w:tcPr>
            <w:tcW w:type="dxa" w:w="1296"/>
          </w:tcPr>
          <w:p>
            <w:r/>
            <w:r>
              <w:rPr>
                <w:sz w:val="15"/>
              </w:rPr>
              <w:t>§6.1(a)</w:t>
            </w:r>
          </w:p>
        </w:tc>
        <w:tc>
          <w:tcPr>
            <w:tcW w:type="dxa" w:w="3888"/>
          </w:tcPr>
          <w:p>
            <w:r/>
            <w:r>
              <w:rPr>
                <w:sz w:val="15"/>
              </w:rPr>
              <w:t>Critical Deviations notified within 72 hours of classification (not 24 hours of detection)</w:t>
            </w:r>
          </w:p>
        </w:tc>
        <w:tc>
          <w:tcPr>
            <w:tcW w:type="dxa" w:w="1440"/>
          </w:tcPr>
          <w:p>
            <w:r/>
            <w:r>
              <w:rPr>
                <w:sz w:val="15"/>
              </w:rPr>
              <w:t>Mandatory</w:t>
            </w:r>
          </w:p>
        </w:tc>
        <w:tc>
          <w:tcPr>
            <w:tcW w:type="dxa" w:w="432"/>
          </w:tcPr>
          <w:p>
            <w:r/>
            <w:r>
              <w:rPr>
                <w:sz w:val="15"/>
              </w:rPr>
              <w:t>4</w:t>
            </w:r>
          </w:p>
        </w:tc>
        <w:tc>
          <w:tcPr>
            <w:tcW w:type="dxa" w:w="432"/>
          </w:tcPr>
          <w:p>
            <w:r/>
            <w:r>
              <w:rPr>
                <w:sz w:val="15"/>
              </w:rPr>
              <w:t>4</w:t>
            </w:r>
          </w:p>
        </w:tc>
        <w:tc>
          <w:tcPr>
            <w:tcW w:type="dxa" w:w="432"/>
          </w:tcPr>
          <w:p>
            <w:r/>
            <w:r>
              <w:rPr>
                <w:sz w:val="15"/>
              </w:rPr>
              <w:t>3</w:t>
            </w:r>
          </w:p>
        </w:tc>
        <w:tc>
          <w:tcPr>
            <w:tcW w:type="dxa" w:w="648"/>
          </w:tcPr>
          <w:p>
            <w:r/>
            <w:r>
              <w:rPr>
                <w:sz w:val="15"/>
              </w:rPr>
              <w:t>72.0</w:t>
            </w:r>
          </w:p>
        </w:tc>
        <w:tc>
          <w:tcPr>
            <w:tcW w:type="dxa" w:w="864"/>
            <w:shd w:val="clear" w:color="auto" w:fill="C00000"/>
          </w:tcPr>
          <w:p>
            <w:r/>
            <w:r>
              <w:rPr>
                <w:sz w:val="15"/>
              </w:rPr>
              <w:t>Critical</w:t>
            </w:r>
          </w:p>
        </w:tc>
      </w:tr>
      <w:tr>
        <w:tc>
          <w:tcPr>
            <w:tcW w:type="dxa" w:w="432"/>
          </w:tcPr>
          <w:p>
            <w:r/>
            <w:r>
              <w:rPr>
                <w:sz w:val="15"/>
              </w:rPr>
              <w:t>12</w:t>
            </w:r>
          </w:p>
        </w:tc>
        <w:tc>
          <w:tcPr>
            <w:tcW w:type="dxa" w:w="1296"/>
          </w:tcPr>
          <w:p>
            <w:r/>
            <w:r>
              <w:rPr>
                <w:sz w:val="15"/>
              </w:rPr>
              <w:t>§6.1(b), §6.1(c)</w:t>
            </w:r>
          </w:p>
        </w:tc>
        <w:tc>
          <w:tcPr>
            <w:tcW w:type="dxa" w:w="3888"/>
          </w:tcPr>
          <w:p>
            <w:r/>
            <w:r>
              <w:rPr>
                <w:sz w:val="15"/>
              </w:rPr>
              <w:t>Major Deviations reported only in monthly summary; Minor Deviations never notified</w:t>
            </w:r>
          </w:p>
        </w:tc>
        <w:tc>
          <w:tcPr>
            <w:tcW w:type="dxa" w:w="1440"/>
          </w:tcPr>
          <w:p>
            <w:r/>
            <w:r>
              <w:rPr>
                <w:sz w:val="15"/>
              </w:rPr>
              <w:t>Mandatory</w:t>
            </w:r>
          </w:p>
        </w:tc>
        <w:tc>
          <w:tcPr>
            <w:tcW w:type="dxa" w:w="432"/>
          </w:tcPr>
          <w:p>
            <w:r/>
            <w:r>
              <w:rPr>
                <w:sz w:val="15"/>
              </w:rPr>
              <w:t>3</w:t>
            </w:r>
          </w:p>
        </w:tc>
        <w:tc>
          <w:tcPr>
            <w:tcW w:type="dxa" w:w="432"/>
          </w:tcPr>
          <w:p>
            <w:r/>
            <w:r>
              <w:rPr>
                <w:sz w:val="15"/>
              </w:rPr>
              <w:t>3</w:t>
            </w:r>
          </w:p>
        </w:tc>
        <w:tc>
          <w:tcPr>
            <w:tcW w:type="dxa" w:w="432"/>
          </w:tcPr>
          <w:p>
            <w:r/>
            <w:r>
              <w:rPr>
                <w:sz w:val="15"/>
              </w:rPr>
              <w:t>4</w:t>
            </w:r>
          </w:p>
        </w:tc>
        <w:tc>
          <w:tcPr>
            <w:tcW w:type="dxa" w:w="648"/>
          </w:tcPr>
          <w:p>
            <w:r/>
            <w:r>
              <w:rPr>
                <w:sz w:val="15"/>
              </w:rPr>
              <w:t>54.0</w:t>
            </w:r>
          </w:p>
        </w:tc>
        <w:tc>
          <w:tcPr>
            <w:tcW w:type="dxa" w:w="864"/>
            <w:shd w:val="clear" w:color="auto" w:fill="C00000"/>
          </w:tcPr>
          <w:p>
            <w:r/>
            <w:r>
              <w:rPr>
                <w:sz w:val="15"/>
              </w:rPr>
              <w:t>Critical</w:t>
            </w:r>
          </w:p>
        </w:tc>
      </w:tr>
      <w:tr>
        <w:tc>
          <w:tcPr>
            <w:tcW w:type="dxa" w:w="432"/>
          </w:tcPr>
          <w:p>
            <w:r/>
            <w:r>
              <w:rPr>
                <w:sz w:val="15"/>
              </w:rPr>
              <w:t>13</w:t>
            </w:r>
          </w:p>
        </w:tc>
        <w:tc>
          <w:tcPr>
            <w:tcW w:type="dxa" w:w="1296"/>
          </w:tcPr>
          <w:p>
            <w:r/>
            <w:r>
              <w:rPr>
                <w:sz w:val="15"/>
              </w:rPr>
              <w:t>§6.2</w:t>
            </w:r>
          </w:p>
        </w:tc>
        <w:tc>
          <w:tcPr>
            <w:tcW w:type="dxa" w:w="3888"/>
          </w:tcPr>
          <w:p>
            <w:r/>
            <w:r>
              <w:rPr>
                <w:sz w:val="15"/>
              </w:rPr>
              <w:t>No root-cause analysis or investigation completion timelines; expressly deferred to Pinnacle SOPs</w:t>
            </w:r>
          </w:p>
        </w:tc>
        <w:tc>
          <w:tcPr>
            <w:tcW w:type="dxa" w:w="1440"/>
          </w:tcPr>
          <w:p>
            <w:r/>
            <w:r>
              <w:rPr>
                <w:sz w:val="15"/>
              </w:rPr>
              <w:t>Missing Protection</w:t>
            </w:r>
          </w:p>
        </w:tc>
        <w:tc>
          <w:tcPr>
            <w:tcW w:type="dxa" w:w="432"/>
          </w:tcPr>
          <w:p>
            <w:r/>
            <w:r>
              <w:rPr>
                <w:sz w:val="15"/>
              </w:rPr>
              <w:t>4</w:t>
            </w:r>
          </w:p>
        </w:tc>
        <w:tc>
          <w:tcPr>
            <w:tcW w:type="dxa" w:w="432"/>
          </w:tcPr>
          <w:p>
            <w:r/>
            <w:r>
              <w:rPr>
                <w:sz w:val="15"/>
              </w:rPr>
              <w:t>3</w:t>
            </w:r>
          </w:p>
        </w:tc>
        <w:tc>
          <w:tcPr>
            <w:tcW w:type="dxa" w:w="432"/>
          </w:tcPr>
          <w:p>
            <w:r/>
            <w:r>
              <w:rPr>
                <w:sz w:val="15"/>
              </w:rPr>
              <w:t>4</w:t>
            </w:r>
          </w:p>
        </w:tc>
        <w:tc>
          <w:tcPr>
            <w:tcW w:type="dxa" w:w="648"/>
          </w:tcPr>
          <w:p>
            <w:r/>
            <w:r>
              <w:rPr>
                <w:sz w:val="15"/>
              </w:rPr>
              <w:t>72.0</w:t>
            </w:r>
          </w:p>
        </w:tc>
        <w:tc>
          <w:tcPr>
            <w:tcW w:type="dxa" w:w="864"/>
            <w:shd w:val="clear" w:color="auto" w:fill="C00000"/>
          </w:tcPr>
          <w:p>
            <w:r/>
            <w:r>
              <w:rPr>
                <w:sz w:val="15"/>
              </w:rPr>
              <w:t>Critical</w:t>
            </w:r>
          </w:p>
        </w:tc>
      </w:tr>
      <w:tr>
        <w:tc>
          <w:tcPr>
            <w:tcW w:type="dxa" w:w="432"/>
          </w:tcPr>
          <w:p>
            <w:r/>
            <w:r>
              <w:rPr>
                <w:sz w:val="15"/>
              </w:rPr>
              <w:t>14</w:t>
            </w:r>
          </w:p>
        </w:tc>
        <w:tc>
          <w:tcPr>
            <w:tcW w:type="dxa" w:w="1296"/>
          </w:tcPr>
          <w:p>
            <w:r/>
            <w:r>
              <w:rPr>
                <w:sz w:val="15"/>
              </w:rPr>
              <w:t>§6.3</w:t>
            </w:r>
          </w:p>
        </w:tc>
        <w:tc>
          <w:tcPr>
            <w:tcW w:type="dxa" w:w="3888"/>
          </w:tcPr>
          <w:p>
            <w:r/>
            <w:r>
              <w:rPr>
                <w:sz w:val="15"/>
              </w:rPr>
              <w:t>Pinnacle has sole CAPA approval authority for all deviations, including Critical; Ceritas limited to “input”</w:t>
            </w:r>
          </w:p>
        </w:tc>
        <w:tc>
          <w:tcPr>
            <w:tcW w:type="dxa" w:w="1440"/>
          </w:tcPr>
          <w:p>
            <w:r/>
            <w:r>
              <w:rPr>
                <w:sz w:val="15"/>
              </w:rPr>
              <w:t>Mandatory</w:t>
            </w:r>
          </w:p>
        </w:tc>
        <w:tc>
          <w:tcPr>
            <w:tcW w:type="dxa" w:w="432"/>
          </w:tcPr>
          <w:p>
            <w:r/>
            <w:r>
              <w:rPr>
                <w:sz w:val="15"/>
              </w:rPr>
              <w:t>3</w:t>
            </w:r>
          </w:p>
        </w:tc>
        <w:tc>
          <w:tcPr>
            <w:tcW w:type="dxa" w:w="432"/>
          </w:tcPr>
          <w:p>
            <w:r/>
            <w:r>
              <w:rPr>
                <w:sz w:val="15"/>
              </w:rPr>
              <w:t>3</w:t>
            </w:r>
          </w:p>
        </w:tc>
        <w:tc>
          <w:tcPr>
            <w:tcW w:type="dxa" w:w="432"/>
          </w:tcPr>
          <w:p>
            <w:r/>
            <w:r>
              <w:rPr>
                <w:sz w:val="15"/>
              </w:rPr>
              <w:t>4</w:t>
            </w:r>
          </w:p>
        </w:tc>
        <w:tc>
          <w:tcPr>
            <w:tcW w:type="dxa" w:w="648"/>
          </w:tcPr>
          <w:p>
            <w:r/>
            <w:r>
              <w:rPr>
                <w:sz w:val="15"/>
              </w:rPr>
              <w:t>54.0</w:t>
            </w:r>
          </w:p>
        </w:tc>
        <w:tc>
          <w:tcPr>
            <w:tcW w:type="dxa" w:w="864"/>
            <w:shd w:val="clear" w:color="auto" w:fill="C00000"/>
          </w:tcPr>
          <w:p>
            <w:r/>
            <w:r>
              <w:rPr>
                <w:sz w:val="15"/>
              </w:rPr>
              <w:t>Critical</w:t>
            </w:r>
          </w:p>
        </w:tc>
      </w:tr>
      <w:tr>
        <w:tc>
          <w:tcPr>
            <w:tcW w:type="dxa" w:w="432"/>
          </w:tcPr>
          <w:p>
            <w:r/>
            <w:r>
              <w:rPr>
                <w:sz w:val="15"/>
              </w:rPr>
              <w:t>15</w:t>
            </w:r>
          </w:p>
        </w:tc>
        <w:tc>
          <w:tcPr>
            <w:tcW w:type="dxa" w:w="1296"/>
          </w:tcPr>
          <w:p>
            <w:r/>
            <w:r>
              <w:rPr>
                <w:sz w:val="15"/>
              </w:rPr>
              <w:t>New §6.4 (not in draft)</w:t>
            </w:r>
          </w:p>
        </w:tc>
        <w:tc>
          <w:tcPr>
            <w:tcW w:type="dxa" w:w="3888"/>
          </w:tcPr>
          <w:p>
            <w:r/>
            <w:r>
              <w:rPr>
                <w:sz w:val="15"/>
              </w:rPr>
              <w:t>No OOS/OOT investigation or notification provisions for release, in-process or incoming-material testing</w:t>
            </w:r>
          </w:p>
        </w:tc>
        <w:tc>
          <w:tcPr>
            <w:tcW w:type="dxa" w:w="1440"/>
          </w:tcPr>
          <w:p>
            <w:r/>
            <w:r>
              <w:rPr>
                <w:sz w:val="15"/>
              </w:rPr>
              <w:t>Missing Protection</w:t>
            </w:r>
          </w:p>
        </w:tc>
        <w:tc>
          <w:tcPr>
            <w:tcW w:type="dxa" w:w="432"/>
          </w:tcPr>
          <w:p>
            <w:r/>
            <w:r>
              <w:rPr>
                <w:sz w:val="15"/>
              </w:rPr>
              <w:t>4</w:t>
            </w:r>
          </w:p>
        </w:tc>
        <w:tc>
          <w:tcPr>
            <w:tcW w:type="dxa" w:w="432"/>
          </w:tcPr>
          <w:p>
            <w:r/>
            <w:r>
              <w:rPr>
                <w:sz w:val="15"/>
              </w:rPr>
              <w:t>4</w:t>
            </w:r>
          </w:p>
        </w:tc>
        <w:tc>
          <w:tcPr>
            <w:tcW w:type="dxa" w:w="432"/>
          </w:tcPr>
          <w:p>
            <w:r/>
            <w:r>
              <w:rPr>
                <w:sz w:val="15"/>
              </w:rPr>
              <w:t>3</w:t>
            </w:r>
          </w:p>
        </w:tc>
        <w:tc>
          <w:tcPr>
            <w:tcW w:type="dxa" w:w="648"/>
          </w:tcPr>
          <w:p>
            <w:r/>
            <w:r>
              <w:rPr>
                <w:sz w:val="15"/>
              </w:rPr>
              <w:t>72.0</w:t>
            </w:r>
          </w:p>
        </w:tc>
        <w:tc>
          <w:tcPr>
            <w:tcW w:type="dxa" w:w="864"/>
            <w:shd w:val="clear" w:color="auto" w:fill="C00000"/>
          </w:tcPr>
          <w:p>
            <w:r/>
            <w:r>
              <w:rPr>
                <w:sz w:val="15"/>
              </w:rPr>
              <w:t>Critical</w:t>
            </w:r>
          </w:p>
        </w:tc>
      </w:tr>
      <w:tr>
        <w:tc>
          <w:tcPr>
            <w:tcW w:type="dxa" w:w="432"/>
          </w:tcPr>
          <w:p>
            <w:r/>
            <w:r>
              <w:rPr>
                <w:sz w:val="15"/>
              </w:rPr>
              <w:t>16</w:t>
            </w:r>
          </w:p>
        </w:tc>
        <w:tc>
          <w:tcPr>
            <w:tcW w:type="dxa" w:w="1296"/>
          </w:tcPr>
          <w:p>
            <w:r/>
            <w:r>
              <w:rPr>
                <w:sz w:val="15"/>
              </w:rPr>
              <w:t>§7.1(a), §3.2(g)</w:t>
            </w:r>
          </w:p>
        </w:tc>
        <w:tc>
          <w:tcPr>
            <w:tcW w:type="dxa" w:w="3888"/>
          </w:tcPr>
          <w:p>
            <w:r/>
            <w:r>
              <w:rPr>
                <w:sz w:val="15"/>
              </w:rPr>
              <w:t>Pinnacle’s QP given “final batch disposition authority” for the EU; no Ceritas override; Ceritas disposition limited to U.S.</w:t>
            </w:r>
          </w:p>
        </w:tc>
        <w:tc>
          <w:tcPr>
            <w:tcW w:type="dxa" w:w="1440"/>
          </w:tcPr>
          <w:p>
            <w:r/>
            <w:r>
              <w:rPr>
                <w:sz w:val="15"/>
              </w:rPr>
              <w:t>Mandatory</w:t>
            </w:r>
          </w:p>
        </w:tc>
        <w:tc>
          <w:tcPr>
            <w:tcW w:type="dxa" w:w="432"/>
          </w:tcPr>
          <w:p>
            <w:r/>
            <w:r>
              <w:rPr>
                <w:sz w:val="15"/>
              </w:rPr>
              <w:t>4</w:t>
            </w:r>
          </w:p>
        </w:tc>
        <w:tc>
          <w:tcPr>
            <w:tcW w:type="dxa" w:w="432"/>
          </w:tcPr>
          <w:p>
            <w:r/>
            <w:r>
              <w:rPr>
                <w:sz w:val="15"/>
              </w:rPr>
              <w:t>4</w:t>
            </w:r>
          </w:p>
        </w:tc>
        <w:tc>
          <w:tcPr>
            <w:tcW w:type="dxa" w:w="432"/>
          </w:tcPr>
          <w:p>
            <w:r/>
            <w:r>
              <w:rPr>
                <w:sz w:val="15"/>
              </w:rPr>
              <w:t>4</w:t>
            </w:r>
          </w:p>
        </w:tc>
        <w:tc>
          <w:tcPr>
            <w:tcW w:type="dxa" w:w="648"/>
          </w:tcPr>
          <w:p>
            <w:r/>
            <w:r>
              <w:rPr>
                <w:sz w:val="15"/>
              </w:rPr>
              <w:t>96.0</w:t>
            </w:r>
          </w:p>
        </w:tc>
        <w:tc>
          <w:tcPr>
            <w:tcW w:type="dxa" w:w="864"/>
            <w:shd w:val="clear" w:color="auto" w:fill="C00000"/>
          </w:tcPr>
          <w:p>
            <w:r/>
            <w:r>
              <w:rPr>
                <w:sz w:val="15"/>
              </w:rPr>
              <w:t>Critical</w:t>
            </w:r>
          </w:p>
        </w:tc>
      </w:tr>
      <w:tr>
        <w:tc>
          <w:tcPr>
            <w:tcW w:type="dxa" w:w="432"/>
          </w:tcPr>
          <w:p>
            <w:r/>
            <w:r>
              <w:rPr>
                <w:sz w:val="15"/>
              </w:rPr>
              <w:t>17</w:t>
            </w:r>
          </w:p>
        </w:tc>
        <w:tc>
          <w:tcPr>
            <w:tcW w:type="dxa" w:w="1296"/>
          </w:tcPr>
          <w:p>
            <w:r/>
            <w:r>
              <w:rPr>
                <w:sz w:val="15"/>
              </w:rPr>
              <w:t>§7.1(b)</w:t>
            </w:r>
          </w:p>
        </w:tc>
        <w:tc>
          <w:tcPr>
            <w:tcW w:type="dxa" w:w="3888"/>
          </w:tcPr>
          <w:p>
            <w:r/>
            <w:r>
              <w:rPr>
                <w:sz w:val="15"/>
              </w:rPr>
              <w:t>U.S. disposition based on batch records “or summaries thereof”; non-EU/non-US markets unallocated</w:t>
            </w:r>
          </w:p>
        </w:tc>
        <w:tc>
          <w:tcPr>
            <w:tcW w:type="dxa" w:w="1440"/>
          </w:tcPr>
          <w:p>
            <w:r/>
            <w:r>
              <w:rPr>
                <w:sz w:val="15"/>
              </w:rPr>
              <w:t>Mandatory</w:t>
            </w:r>
          </w:p>
        </w:tc>
        <w:tc>
          <w:tcPr>
            <w:tcW w:type="dxa" w:w="432"/>
          </w:tcPr>
          <w:p>
            <w:r/>
            <w:r>
              <w:rPr>
                <w:sz w:val="15"/>
              </w:rPr>
              <w:t>2</w:t>
            </w:r>
          </w:p>
        </w:tc>
        <w:tc>
          <w:tcPr>
            <w:tcW w:type="dxa" w:w="432"/>
          </w:tcPr>
          <w:p>
            <w:r/>
            <w:r>
              <w:rPr>
                <w:sz w:val="15"/>
              </w:rPr>
              <w:t>3</w:t>
            </w:r>
          </w:p>
        </w:tc>
        <w:tc>
          <w:tcPr>
            <w:tcW w:type="dxa" w:w="432"/>
          </w:tcPr>
          <w:p>
            <w:r/>
            <w:r>
              <w:rPr>
                <w:sz w:val="15"/>
              </w:rPr>
              <w:t>3</w:t>
            </w:r>
          </w:p>
        </w:tc>
        <w:tc>
          <w:tcPr>
            <w:tcW w:type="dxa" w:w="648"/>
          </w:tcPr>
          <w:p>
            <w:r/>
            <w:r>
              <w:rPr>
                <w:sz w:val="15"/>
              </w:rPr>
              <w:t>27.0</w:t>
            </w:r>
          </w:p>
        </w:tc>
        <w:tc>
          <w:tcPr>
            <w:tcW w:type="dxa" w:w="864"/>
            <w:shd w:val="clear" w:color="auto" w:fill="ED7D31"/>
          </w:tcPr>
          <w:p>
            <w:r/>
            <w:r>
              <w:rPr>
                <w:sz w:val="15"/>
              </w:rPr>
              <w:t>High</w:t>
            </w:r>
          </w:p>
        </w:tc>
      </w:tr>
      <w:tr>
        <w:tc>
          <w:tcPr>
            <w:tcW w:type="dxa" w:w="432"/>
          </w:tcPr>
          <w:p>
            <w:r/>
            <w:r>
              <w:rPr>
                <w:sz w:val="15"/>
              </w:rPr>
              <w:t>18</w:t>
            </w:r>
          </w:p>
        </w:tc>
        <w:tc>
          <w:tcPr>
            <w:tcW w:type="dxa" w:w="1296"/>
          </w:tcPr>
          <w:p>
            <w:r/>
            <w:r>
              <w:rPr>
                <w:sz w:val="15"/>
              </w:rPr>
              <w:t>§2.2, §7.1(c)</w:t>
            </w:r>
          </w:p>
        </w:tc>
        <w:tc>
          <w:tcPr>
            <w:tcW w:type="dxa" w:w="3888"/>
          </w:tcPr>
          <w:p>
            <w:r/>
            <w:r>
              <w:rPr>
                <w:sz w:val="15"/>
              </w:rPr>
              <w:t>CoA lacks reference to Ceritas-approved test methods and a disposition statement; issued per shipment rather than per batch</w:t>
            </w:r>
          </w:p>
        </w:tc>
        <w:tc>
          <w:tcPr>
            <w:tcW w:type="dxa" w:w="1440"/>
          </w:tcPr>
          <w:p>
            <w:r/>
            <w:r>
              <w:rPr>
                <w:sz w:val="15"/>
              </w:rPr>
              <w:t>Mandatory</w:t>
            </w:r>
          </w:p>
        </w:tc>
        <w:tc>
          <w:tcPr>
            <w:tcW w:type="dxa" w:w="432"/>
          </w:tcPr>
          <w:p>
            <w:r/>
            <w:r>
              <w:rPr>
                <w:sz w:val="15"/>
              </w:rPr>
              <w:t>2</w:t>
            </w:r>
          </w:p>
        </w:tc>
        <w:tc>
          <w:tcPr>
            <w:tcW w:type="dxa" w:w="432"/>
          </w:tcPr>
          <w:p>
            <w:r/>
            <w:r>
              <w:rPr>
                <w:sz w:val="15"/>
              </w:rPr>
              <w:t>3</w:t>
            </w:r>
          </w:p>
        </w:tc>
        <w:tc>
          <w:tcPr>
            <w:tcW w:type="dxa" w:w="432"/>
          </w:tcPr>
          <w:p>
            <w:r/>
            <w:r>
              <w:rPr>
                <w:sz w:val="15"/>
              </w:rPr>
              <w:t>4</w:t>
            </w:r>
          </w:p>
        </w:tc>
        <w:tc>
          <w:tcPr>
            <w:tcW w:type="dxa" w:w="648"/>
          </w:tcPr>
          <w:p>
            <w:r/>
            <w:r>
              <w:rPr>
                <w:sz w:val="15"/>
              </w:rPr>
              <w:t>36.0</w:t>
            </w:r>
          </w:p>
        </w:tc>
        <w:tc>
          <w:tcPr>
            <w:tcW w:type="dxa" w:w="864"/>
            <w:shd w:val="clear" w:color="auto" w:fill="ED7D31"/>
          </w:tcPr>
          <w:p>
            <w:r/>
            <w:r>
              <w:rPr>
                <w:sz w:val="15"/>
              </w:rPr>
              <w:t>High</w:t>
            </w:r>
          </w:p>
        </w:tc>
      </w:tr>
      <w:tr>
        <w:tc>
          <w:tcPr>
            <w:tcW w:type="dxa" w:w="432"/>
          </w:tcPr>
          <w:p>
            <w:r/>
            <w:r>
              <w:rPr>
                <w:sz w:val="15"/>
              </w:rPr>
              <w:t>19</w:t>
            </w:r>
          </w:p>
        </w:tc>
        <w:tc>
          <w:tcPr>
            <w:tcW w:type="dxa" w:w="1296"/>
          </w:tcPr>
          <w:p>
            <w:r/>
            <w:r>
              <w:rPr>
                <w:sz w:val="15"/>
              </w:rPr>
              <w:t>§7.1(d)</w:t>
            </w:r>
          </w:p>
        </w:tc>
        <w:tc>
          <w:tcPr>
            <w:tcW w:type="dxa" w:w="3888"/>
          </w:tcPr>
          <w:p>
            <w:r/>
            <w:r>
              <w:rPr>
                <w:sz w:val="15"/>
              </w:rPr>
              <w:t>Raw data turnaround 10 business days “upon reasonable request”</w:t>
            </w:r>
          </w:p>
        </w:tc>
        <w:tc>
          <w:tcPr>
            <w:tcW w:type="dxa" w:w="1440"/>
          </w:tcPr>
          <w:p>
            <w:r/>
            <w:r>
              <w:rPr>
                <w:sz w:val="15"/>
              </w:rPr>
              <w:t>Preferred / below Fallback</w:t>
            </w:r>
          </w:p>
        </w:tc>
        <w:tc>
          <w:tcPr>
            <w:tcW w:type="dxa" w:w="432"/>
          </w:tcPr>
          <w:p>
            <w:r/>
            <w:r>
              <w:rPr>
                <w:sz w:val="15"/>
              </w:rPr>
              <w:t>3</w:t>
            </w:r>
          </w:p>
        </w:tc>
        <w:tc>
          <w:tcPr>
            <w:tcW w:type="dxa" w:w="432"/>
          </w:tcPr>
          <w:p>
            <w:r/>
            <w:r>
              <w:rPr>
                <w:sz w:val="15"/>
              </w:rPr>
              <w:t>3</w:t>
            </w:r>
          </w:p>
        </w:tc>
        <w:tc>
          <w:tcPr>
            <w:tcW w:type="dxa" w:w="432"/>
          </w:tcPr>
          <w:p>
            <w:r/>
            <w:r>
              <w:rPr>
                <w:sz w:val="15"/>
              </w:rPr>
              <w:t>3</w:t>
            </w:r>
          </w:p>
        </w:tc>
        <w:tc>
          <w:tcPr>
            <w:tcW w:type="dxa" w:w="648"/>
          </w:tcPr>
          <w:p>
            <w:r/>
            <w:r>
              <w:rPr>
                <w:sz w:val="15"/>
              </w:rPr>
              <w:t>40.5</w:t>
            </w:r>
          </w:p>
        </w:tc>
        <w:tc>
          <w:tcPr>
            <w:tcW w:type="dxa" w:w="864"/>
            <w:shd w:val="clear" w:color="auto" w:fill="ED7D31"/>
          </w:tcPr>
          <w:p>
            <w:r/>
            <w:r>
              <w:rPr>
                <w:sz w:val="15"/>
              </w:rPr>
              <w:t>High</w:t>
            </w:r>
          </w:p>
        </w:tc>
      </w:tr>
      <w:tr>
        <w:tc>
          <w:tcPr>
            <w:tcW w:type="dxa" w:w="432"/>
          </w:tcPr>
          <w:p>
            <w:r/>
            <w:r>
              <w:rPr>
                <w:sz w:val="15"/>
              </w:rPr>
              <w:t>20</w:t>
            </w:r>
          </w:p>
        </w:tc>
        <w:tc>
          <w:tcPr>
            <w:tcW w:type="dxa" w:w="1296"/>
          </w:tcPr>
          <w:p>
            <w:r/>
            <w:r>
              <w:rPr>
                <w:sz w:val="15"/>
              </w:rPr>
              <w:t>§7.2</w:t>
            </w:r>
          </w:p>
        </w:tc>
        <w:tc>
          <w:tcPr>
            <w:tcW w:type="dxa" w:w="3888"/>
          </w:tcPr>
          <w:p>
            <w:r/>
            <w:r>
              <w:rPr>
                <w:sz w:val="15"/>
              </w:rPr>
              <w:t>Disposition of rejected batches (including reprocessing/rework) decided “in consultation”; no requirement that reprocessing be MA-approved</w:t>
            </w:r>
          </w:p>
        </w:tc>
        <w:tc>
          <w:tcPr>
            <w:tcW w:type="dxa" w:w="1440"/>
          </w:tcPr>
          <w:p>
            <w:r/>
            <w:r>
              <w:rPr>
                <w:sz w:val="15"/>
              </w:rPr>
              <w:t>Preferred</w:t>
            </w:r>
          </w:p>
        </w:tc>
        <w:tc>
          <w:tcPr>
            <w:tcW w:type="dxa" w:w="432"/>
          </w:tcPr>
          <w:p>
            <w:r/>
            <w:r>
              <w:rPr>
                <w:sz w:val="15"/>
              </w:rPr>
              <w:t>2</w:t>
            </w:r>
          </w:p>
        </w:tc>
        <w:tc>
          <w:tcPr>
            <w:tcW w:type="dxa" w:w="432"/>
          </w:tcPr>
          <w:p>
            <w:r/>
            <w:r>
              <w:rPr>
                <w:sz w:val="15"/>
              </w:rPr>
              <w:t>3</w:t>
            </w:r>
          </w:p>
        </w:tc>
        <w:tc>
          <w:tcPr>
            <w:tcW w:type="dxa" w:w="432"/>
          </w:tcPr>
          <w:p>
            <w:r/>
            <w:r>
              <w:rPr>
                <w:sz w:val="15"/>
              </w:rPr>
              <w:t>2</w:t>
            </w:r>
          </w:p>
        </w:tc>
        <w:tc>
          <w:tcPr>
            <w:tcW w:type="dxa" w:w="648"/>
          </w:tcPr>
          <w:p>
            <w:r/>
            <w:r>
              <w:rPr>
                <w:sz w:val="15"/>
              </w:rPr>
              <w:t>18.0</w:t>
            </w:r>
          </w:p>
        </w:tc>
        <w:tc>
          <w:tcPr>
            <w:tcW w:type="dxa" w:w="864"/>
            <w:shd w:val="clear" w:color="auto" w:fill="FFD966"/>
          </w:tcPr>
          <w:p>
            <w:r/>
            <w:r>
              <w:rPr>
                <w:sz w:val="15"/>
              </w:rPr>
              <w:t>Medium</w:t>
            </w:r>
          </w:p>
        </w:tc>
      </w:tr>
      <w:tr>
        <w:tc>
          <w:tcPr>
            <w:tcW w:type="dxa" w:w="432"/>
          </w:tcPr>
          <w:p>
            <w:r/>
            <w:r>
              <w:rPr>
                <w:sz w:val="15"/>
              </w:rPr>
              <w:t>21</w:t>
            </w:r>
          </w:p>
        </w:tc>
        <w:tc>
          <w:tcPr>
            <w:tcW w:type="dxa" w:w="1296"/>
          </w:tcPr>
          <w:p>
            <w:r/>
            <w:r>
              <w:rPr>
                <w:sz w:val="15"/>
              </w:rPr>
              <w:t>§8.1</w:t>
            </w:r>
          </w:p>
        </w:tc>
        <w:tc>
          <w:tcPr>
            <w:tcW w:type="dxa" w:w="3888"/>
          </w:tcPr>
          <w:p>
            <w:r/>
            <w:r>
              <w:rPr>
                <w:sz w:val="15"/>
              </w:rPr>
              <w:t>Draft APQR due 90 calendar days after year-end (March 31)</w:t>
            </w:r>
          </w:p>
        </w:tc>
        <w:tc>
          <w:tcPr>
            <w:tcW w:type="dxa" w:w="1440"/>
          </w:tcPr>
          <w:p>
            <w:r/>
            <w:r>
              <w:rPr>
                <w:sz w:val="15"/>
              </w:rPr>
              <w:t>Mandatory</w:t>
            </w:r>
          </w:p>
        </w:tc>
        <w:tc>
          <w:tcPr>
            <w:tcW w:type="dxa" w:w="432"/>
          </w:tcPr>
          <w:p>
            <w:r/>
            <w:r>
              <w:rPr>
                <w:sz w:val="15"/>
              </w:rPr>
              <w:t>3</w:t>
            </w:r>
          </w:p>
        </w:tc>
        <w:tc>
          <w:tcPr>
            <w:tcW w:type="dxa" w:w="432"/>
          </w:tcPr>
          <w:p>
            <w:r/>
            <w:r>
              <w:rPr>
                <w:sz w:val="15"/>
              </w:rPr>
              <w:t>2</w:t>
            </w:r>
          </w:p>
        </w:tc>
        <w:tc>
          <w:tcPr>
            <w:tcW w:type="dxa" w:w="432"/>
          </w:tcPr>
          <w:p>
            <w:r/>
            <w:r>
              <w:rPr>
                <w:sz w:val="15"/>
              </w:rPr>
              <w:t>4</w:t>
            </w:r>
          </w:p>
        </w:tc>
        <w:tc>
          <w:tcPr>
            <w:tcW w:type="dxa" w:w="648"/>
          </w:tcPr>
          <w:p>
            <w:r/>
            <w:r>
              <w:rPr>
                <w:sz w:val="15"/>
              </w:rPr>
              <w:t>36.0</w:t>
            </w:r>
          </w:p>
        </w:tc>
        <w:tc>
          <w:tcPr>
            <w:tcW w:type="dxa" w:w="864"/>
            <w:shd w:val="clear" w:color="auto" w:fill="ED7D31"/>
          </w:tcPr>
          <w:p>
            <w:r/>
            <w:r>
              <w:rPr>
                <w:sz w:val="15"/>
              </w:rPr>
              <w:t>High</w:t>
            </w:r>
          </w:p>
        </w:tc>
      </w:tr>
      <w:tr>
        <w:tc>
          <w:tcPr>
            <w:tcW w:type="dxa" w:w="432"/>
          </w:tcPr>
          <w:p>
            <w:r/>
            <w:r>
              <w:rPr>
                <w:sz w:val="15"/>
              </w:rPr>
              <w:t>22</w:t>
            </w:r>
          </w:p>
        </w:tc>
        <w:tc>
          <w:tcPr>
            <w:tcW w:type="dxa" w:w="1296"/>
          </w:tcPr>
          <w:p>
            <w:r/>
            <w:r>
              <w:rPr>
                <w:sz w:val="15"/>
              </w:rPr>
              <w:t>§8.1(a)–(i), §8.2</w:t>
            </w:r>
          </w:p>
        </w:tc>
        <w:tc>
          <w:tcPr>
            <w:tcW w:type="dxa" w:w="3888"/>
          </w:tcPr>
          <w:p>
            <w:r/>
            <w:r>
              <w:rPr>
                <w:sz w:val="15"/>
              </w:rPr>
              <w:t>APQR content omits rejected/reprocessed batches, OOS/OOT, validation status and post-approval commitments; no revision deadline; Ceritas comment period open-ended</w:t>
            </w:r>
          </w:p>
        </w:tc>
        <w:tc>
          <w:tcPr>
            <w:tcW w:type="dxa" w:w="1440"/>
          </w:tcPr>
          <w:p>
            <w:r/>
            <w:r>
              <w:rPr>
                <w:sz w:val="15"/>
              </w:rPr>
              <w:t>Mandatory</w:t>
            </w:r>
          </w:p>
        </w:tc>
        <w:tc>
          <w:tcPr>
            <w:tcW w:type="dxa" w:w="432"/>
          </w:tcPr>
          <w:p>
            <w:r/>
            <w:r>
              <w:rPr>
                <w:sz w:val="15"/>
              </w:rPr>
              <w:t>2</w:t>
            </w:r>
          </w:p>
        </w:tc>
        <w:tc>
          <w:tcPr>
            <w:tcW w:type="dxa" w:w="432"/>
          </w:tcPr>
          <w:p>
            <w:r/>
            <w:r>
              <w:rPr>
                <w:sz w:val="15"/>
              </w:rPr>
              <w:t>2</w:t>
            </w:r>
          </w:p>
        </w:tc>
        <w:tc>
          <w:tcPr>
            <w:tcW w:type="dxa" w:w="432"/>
          </w:tcPr>
          <w:p>
            <w:r/>
            <w:r>
              <w:rPr>
                <w:sz w:val="15"/>
              </w:rPr>
              <w:t>3</w:t>
            </w:r>
          </w:p>
        </w:tc>
        <w:tc>
          <w:tcPr>
            <w:tcW w:type="dxa" w:w="648"/>
          </w:tcPr>
          <w:p>
            <w:r/>
            <w:r>
              <w:rPr>
                <w:sz w:val="15"/>
              </w:rPr>
              <w:t>18.0</w:t>
            </w:r>
          </w:p>
        </w:tc>
        <w:tc>
          <w:tcPr>
            <w:tcW w:type="dxa" w:w="864"/>
            <w:shd w:val="clear" w:color="auto" w:fill="FFD966"/>
          </w:tcPr>
          <w:p>
            <w:r/>
            <w:r>
              <w:rPr>
                <w:sz w:val="15"/>
              </w:rPr>
              <w:t>Medium</w:t>
            </w:r>
          </w:p>
        </w:tc>
      </w:tr>
      <w:tr>
        <w:tc>
          <w:tcPr>
            <w:tcW w:type="dxa" w:w="432"/>
          </w:tcPr>
          <w:p>
            <w:r/>
            <w:r>
              <w:rPr>
                <w:sz w:val="15"/>
              </w:rPr>
              <w:t>23</w:t>
            </w:r>
          </w:p>
        </w:tc>
        <w:tc>
          <w:tcPr>
            <w:tcW w:type="dxa" w:w="1296"/>
          </w:tcPr>
          <w:p>
            <w:r/>
            <w:r>
              <w:rPr>
                <w:sz w:val="15"/>
              </w:rPr>
              <w:t>§9.1 ¶1</w:t>
            </w:r>
          </w:p>
        </w:tc>
        <w:tc>
          <w:tcPr>
            <w:tcW w:type="dxa" w:w="3888"/>
          </w:tcPr>
          <w:p>
            <w:r/>
            <w:r>
              <w:rPr>
                <w:sz w:val="15"/>
              </w:rPr>
              <w:t>Routine audits capped at one per year on 20 business days’ notice; scope limited to areas relating “directly” to the Product</w:t>
            </w:r>
          </w:p>
        </w:tc>
        <w:tc>
          <w:tcPr>
            <w:tcW w:type="dxa" w:w="1440"/>
          </w:tcPr>
          <w:p>
            <w:r/>
            <w:r>
              <w:rPr>
                <w:sz w:val="15"/>
              </w:rPr>
              <w:t>Mandatory</w:t>
            </w:r>
          </w:p>
        </w:tc>
        <w:tc>
          <w:tcPr>
            <w:tcW w:type="dxa" w:w="432"/>
          </w:tcPr>
          <w:p>
            <w:r/>
            <w:r>
              <w:rPr>
                <w:sz w:val="15"/>
              </w:rPr>
              <w:t>4</w:t>
            </w:r>
          </w:p>
        </w:tc>
        <w:tc>
          <w:tcPr>
            <w:tcW w:type="dxa" w:w="432"/>
          </w:tcPr>
          <w:p>
            <w:r/>
            <w:r>
              <w:rPr>
                <w:sz w:val="15"/>
              </w:rPr>
              <w:t>3</w:t>
            </w:r>
          </w:p>
        </w:tc>
        <w:tc>
          <w:tcPr>
            <w:tcW w:type="dxa" w:w="432"/>
          </w:tcPr>
          <w:p>
            <w:r/>
            <w:r>
              <w:rPr>
                <w:sz w:val="15"/>
              </w:rPr>
              <w:t>3</w:t>
            </w:r>
          </w:p>
        </w:tc>
        <w:tc>
          <w:tcPr>
            <w:tcW w:type="dxa" w:w="648"/>
          </w:tcPr>
          <w:p>
            <w:r/>
            <w:r>
              <w:rPr>
                <w:sz w:val="15"/>
              </w:rPr>
              <w:t>54.0</w:t>
            </w:r>
          </w:p>
        </w:tc>
        <w:tc>
          <w:tcPr>
            <w:tcW w:type="dxa" w:w="864"/>
            <w:shd w:val="clear" w:color="auto" w:fill="C00000"/>
          </w:tcPr>
          <w:p>
            <w:r/>
            <w:r>
              <w:rPr>
                <w:sz w:val="15"/>
              </w:rPr>
              <w:t>Critical</w:t>
            </w:r>
          </w:p>
        </w:tc>
      </w:tr>
      <w:tr>
        <w:tc>
          <w:tcPr>
            <w:tcW w:type="dxa" w:w="432"/>
          </w:tcPr>
          <w:p>
            <w:r/>
            <w:r>
              <w:rPr>
                <w:sz w:val="15"/>
              </w:rPr>
              <w:t>24</w:t>
            </w:r>
          </w:p>
        </w:tc>
        <w:tc>
          <w:tcPr>
            <w:tcW w:type="dxa" w:w="1296"/>
          </w:tcPr>
          <w:p>
            <w:r/>
            <w:r>
              <w:rPr>
                <w:sz w:val="15"/>
              </w:rPr>
              <w:t>§9.1 ¶2</w:t>
            </w:r>
          </w:p>
        </w:tc>
        <w:tc>
          <w:tcPr>
            <w:tcW w:type="dxa" w:w="3888"/>
          </w:tcPr>
          <w:p>
            <w:r/>
            <w:r>
              <w:rPr>
                <w:sz w:val="15"/>
              </w:rPr>
              <w:t>For-cause audits require Pinnacle’s agreement on timing, scope and logistics; Pinnacle commits only “commercially reasonable efforts”</w:t>
            </w:r>
          </w:p>
        </w:tc>
        <w:tc>
          <w:tcPr>
            <w:tcW w:type="dxa" w:w="1440"/>
          </w:tcPr>
          <w:p>
            <w:r/>
            <w:r>
              <w:rPr>
                <w:sz w:val="15"/>
              </w:rPr>
              <w:t>Mandatory</w:t>
            </w:r>
          </w:p>
        </w:tc>
        <w:tc>
          <w:tcPr>
            <w:tcW w:type="dxa" w:w="432"/>
          </w:tcPr>
          <w:p>
            <w:r/>
            <w:r>
              <w:rPr>
                <w:sz w:val="15"/>
              </w:rPr>
              <w:t>4</w:t>
            </w:r>
          </w:p>
        </w:tc>
        <w:tc>
          <w:tcPr>
            <w:tcW w:type="dxa" w:w="432"/>
          </w:tcPr>
          <w:p>
            <w:r/>
            <w:r>
              <w:rPr>
                <w:sz w:val="15"/>
              </w:rPr>
              <w:t>4</w:t>
            </w:r>
          </w:p>
        </w:tc>
        <w:tc>
          <w:tcPr>
            <w:tcW w:type="dxa" w:w="432"/>
          </w:tcPr>
          <w:p>
            <w:r/>
            <w:r>
              <w:rPr>
                <w:sz w:val="15"/>
              </w:rPr>
              <w:t>3</w:t>
            </w:r>
          </w:p>
        </w:tc>
        <w:tc>
          <w:tcPr>
            <w:tcW w:type="dxa" w:w="648"/>
          </w:tcPr>
          <w:p>
            <w:r/>
            <w:r>
              <w:rPr>
                <w:sz w:val="15"/>
              </w:rPr>
              <w:t>72.0</w:t>
            </w:r>
          </w:p>
        </w:tc>
        <w:tc>
          <w:tcPr>
            <w:tcW w:type="dxa" w:w="864"/>
            <w:shd w:val="clear" w:color="auto" w:fill="C00000"/>
          </w:tcPr>
          <w:p>
            <w:r/>
            <w:r>
              <w:rPr>
                <w:sz w:val="15"/>
              </w:rPr>
              <w:t>Critical</w:t>
            </w:r>
          </w:p>
        </w:tc>
      </w:tr>
      <w:tr>
        <w:tc>
          <w:tcPr>
            <w:tcW w:type="dxa" w:w="432"/>
          </w:tcPr>
          <w:p>
            <w:r/>
            <w:r>
              <w:rPr>
                <w:sz w:val="15"/>
              </w:rPr>
              <w:t>25</w:t>
            </w:r>
          </w:p>
        </w:tc>
        <w:tc>
          <w:tcPr>
            <w:tcW w:type="dxa" w:w="1296"/>
          </w:tcPr>
          <w:p>
            <w:r/>
            <w:r>
              <w:rPr>
                <w:sz w:val="15"/>
              </w:rPr>
              <w:t>§9.1 ¶3</w:t>
            </w:r>
          </w:p>
        </w:tc>
        <w:tc>
          <w:tcPr>
            <w:tcW w:type="dxa" w:w="3888"/>
          </w:tcPr>
          <w:p>
            <w:r/>
            <w:r>
              <w:rPr>
                <w:sz w:val="15"/>
              </w:rPr>
              <w:t>Third-party auditors must sign confidentiality agreements “reasonably acceptable to Pinnacle”</w:t>
            </w:r>
          </w:p>
        </w:tc>
        <w:tc>
          <w:tcPr>
            <w:tcW w:type="dxa" w:w="1440"/>
          </w:tcPr>
          <w:p>
            <w:r/>
            <w:r>
              <w:rPr>
                <w:sz w:val="15"/>
              </w:rPr>
              <w:t>Preferred</w:t>
            </w:r>
          </w:p>
        </w:tc>
        <w:tc>
          <w:tcPr>
            <w:tcW w:type="dxa" w:w="432"/>
          </w:tcPr>
          <w:p>
            <w:r/>
            <w:r>
              <w:rPr>
                <w:sz w:val="15"/>
              </w:rPr>
              <w:t>2</w:t>
            </w:r>
          </w:p>
        </w:tc>
        <w:tc>
          <w:tcPr>
            <w:tcW w:type="dxa" w:w="432"/>
          </w:tcPr>
          <w:p>
            <w:r/>
            <w:r>
              <w:rPr>
                <w:sz w:val="15"/>
              </w:rPr>
              <w:t>2</w:t>
            </w:r>
          </w:p>
        </w:tc>
        <w:tc>
          <w:tcPr>
            <w:tcW w:type="dxa" w:w="432"/>
          </w:tcPr>
          <w:p>
            <w:r/>
            <w:r>
              <w:rPr>
                <w:sz w:val="15"/>
              </w:rPr>
              <w:t>2</w:t>
            </w:r>
          </w:p>
        </w:tc>
        <w:tc>
          <w:tcPr>
            <w:tcW w:type="dxa" w:w="648"/>
          </w:tcPr>
          <w:p>
            <w:r/>
            <w:r>
              <w:rPr>
                <w:sz w:val="15"/>
              </w:rPr>
              <w:t>12.0</w:t>
            </w:r>
          </w:p>
        </w:tc>
        <w:tc>
          <w:tcPr>
            <w:tcW w:type="dxa" w:w="864"/>
            <w:shd w:val="clear" w:color="auto" w:fill="FFD966"/>
          </w:tcPr>
          <w:p>
            <w:r/>
            <w:r>
              <w:rPr>
                <w:sz w:val="15"/>
              </w:rPr>
              <w:t>Medium</w:t>
            </w:r>
          </w:p>
        </w:tc>
      </w:tr>
      <w:tr>
        <w:tc>
          <w:tcPr>
            <w:tcW w:type="dxa" w:w="432"/>
          </w:tcPr>
          <w:p>
            <w:r/>
            <w:r>
              <w:rPr>
                <w:sz w:val="15"/>
              </w:rPr>
              <w:t>26</w:t>
            </w:r>
          </w:p>
        </w:tc>
        <w:tc>
          <w:tcPr>
            <w:tcW w:type="dxa" w:w="1296"/>
          </w:tcPr>
          <w:p>
            <w:r/>
            <w:r>
              <w:rPr>
                <w:sz w:val="15"/>
              </w:rPr>
              <w:t>§9.2 ¶2</w:t>
            </w:r>
          </w:p>
        </w:tc>
        <w:tc>
          <w:tcPr>
            <w:tcW w:type="dxa" w:w="3888"/>
          </w:tcPr>
          <w:p>
            <w:r/>
            <w:r>
              <w:rPr>
                <w:sz w:val="15"/>
              </w:rPr>
              <w:t>Pinnacle’s response to audit findings due within a “mutually agreed” timeframe</w:t>
            </w:r>
          </w:p>
        </w:tc>
        <w:tc>
          <w:tcPr>
            <w:tcW w:type="dxa" w:w="1440"/>
          </w:tcPr>
          <w:p>
            <w:r/>
            <w:r>
              <w:rPr>
                <w:sz w:val="15"/>
              </w:rPr>
              <w:t>Preferred</w:t>
            </w:r>
          </w:p>
        </w:tc>
        <w:tc>
          <w:tcPr>
            <w:tcW w:type="dxa" w:w="432"/>
          </w:tcPr>
          <w:p>
            <w:r/>
            <w:r>
              <w:rPr>
                <w:sz w:val="15"/>
              </w:rPr>
              <w:t>2</w:t>
            </w:r>
          </w:p>
        </w:tc>
        <w:tc>
          <w:tcPr>
            <w:tcW w:type="dxa" w:w="432"/>
          </w:tcPr>
          <w:p>
            <w:r/>
            <w:r>
              <w:rPr>
                <w:sz w:val="15"/>
              </w:rPr>
              <w:t>2</w:t>
            </w:r>
          </w:p>
        </w:tc>
        <w:tc>
          <w:tcPr>
            <w:tcW w:type="dxa" w:w="432"/>
          </w:tcPr>
          <w:p>
            <w:r/>
            <w:r>
              <w:rPr>
                <w:sz w:val="15"/>
              </w:rPr>
              <w:t>3</w:t>
            </w:r>
          </w:p>
        </w:tc>
        <w:tc>
          <w:tcPr>
            <w:tcW w:type="dxa" w:w="648"/>
          </w:tcPr>
          <w:p>
            <w:r/>
            <w:r>
              <w:rPr>
                <w:sz w:val="15"/>
              </w:rPr>
              <w:t>18.0</w:t>
            </w:r>
          </w:p>
        </w:tc>
        <w:tc>
          <w:tcPr>
            <w:tcW w:type="dxa" w:w="864"/>
            <w:shd w:val="clear" w:color="auto" w:fill="FFD966"/>
          </w:tcPr>
          <w:p>
            <w:r/>
            <w:r>
              <w:rPr>
                <w:sz w:val="15"/>
              </w:rPr>
              <w:t>Medium</w:t>
            </w:r>
          </w:p>
        </w:tc>
      </w:tr>
      <w:tr>
        <w:tc>
          <w:tcPr>
            <w:tcW w:type="dxa" w:w="432"/>
          </w:tcPr>
          <w:p>
            <w:r/>
            <w:r>
              <w:rPr>
                <w:sz w:val="15"/>
              </w:rPr>
              <w:t>27</w:t>
            </w:r>
          </w:p>
        </w:tc>
        <w:tc>
          <w:tcPr>
            <w:tcW w:type="dxa" w:w="1296"/>
          </w:tcPr>
          <w:p>
            <w:r/>
            <w:r>
              <w:rPr>
                <w:sz w:val="15"/>
              </w:rPr>
              <w:t>§9.3 ¶1</w:t>
            </w:r>
          </w:p>
        </w:tc>
        <w:tc>
          <w:tcPr>
            <w:tcW w:type="dxa" w:w="3888"/>
          </w:tcPr>
          <w:p>
            <w:r/>
            <w:r>
              <w:rPr>
                <w:sz w:val="15"/>
              </w:rPr>
              <w:t>Regulatory inspection notification within 5 business days</w:t>
            </w:r>
          </w:p>
        </w:tc>
        <w:tc>
          <w:tcPr>
            <w:tcW w:type="dxa" w:w="1440"/>
          </w:tcPr>
          <w:p>
            <w:r/>
            <w:r>
              <w:rPr>
                <w:sz w:val="15"/>
              </w:rPr>
              <w:t>Mandatory</w:t>
            </w:r>
          </w:p>
        </w:tc>
        <w:tc>
          <w:tcPr>
            <w:tcW w:type="dxa" w:w="432"/>
          </w:tcPr>
          <w:p>
            <w:r/>
            <w:r>
              <w:rPr>
                <w:sz w:val="15"/>
              </w:rPr>
              <w:t>3</w:t>
            </w:r>
          </w:p>
        </w:tc>
        <w:tc>
          <w:tcPr>
            <w:tcW w:type="dxa" w:w="432"/>
          </w:tcPr>
          <w:p>
            <w:r/>
            <w:r>
              <w:rPr>
                <w:sz w:val="15"/>
              </w:rPr>
              <w:t>3</w:t>
            </w:r>
          </w:p>
        </w:tc>
        <w:tc>
          <w:tcPr>
            <w:tcW w:type="dxa" w:w="432"/>
          </w:tcPr>
          <w:p>
            <w:r/>
            <w:r>
              <w:rPr>
                <w:sz w:val="15"/>
              </w:rPr>
              <w:t>4</w:t>
            </w:r>
          </w:p>
        </w:tc>
        <w:tc>
          <w:tcPr>
            <w:tcW w:type="dxa" w:w="648"/>
          </w:tcPr>
          <w:p>
            <w:r/>
            <w:r>
              <w:rPr>
                <w:sz w:val="15"/>
              </w:rPr>
              <w:t>54.0</w:t>
            </w:r>
          </w:p>
        </w:tc>
        <w:tc>
          <w:tcPr>
            <w:tcW w:type="dxa" w:w="864"/>
            <w:shd w:val="clear" w:color="auto" w:fill="C00000"/>
          </w:tcPr>
          <w:p>
            <w:r/>
            <w:r>
              <w:rPr>
                <w:sz w:val="15"/>
              </w:rPr>
              <w:t>Critical</w:t>
            </w:r>
          </w:p>
        </w:tc>
      </w:tr>
      <w:tr>
        <w:tc>
          <w:tcPr>
            <w:tcW w:type="dxa" w:w="432"/>
          </w:tcPr>
          <w:p>
            <w:r/>
            <w:r>
              <w:rPr>
                <w:sz w:val="15"/>
              </w:rPr>
              <w:t>28</w:t>
            </w:r>
          </w:p>
        </w:tc>
        <w:tc>
          <w:tcPr>
            <w:tcW w:type="dxa" w:w="1296"/>
          </w:tcPr>
          <w:p>
            <w:r/>
            <w:r>
              <w:rPr>
                <w:sz w:val="15"/>
              </w:rPr>
              <w:t>§9.3 ¶2–3</w:t>
            </w:r>
          </w:p>
        </w:tc>
        <w:tc>
          <w:tcPr>
            <w:tcW w:type="dxa" w:w="3888"/>
          </w:tcPr>
          <w:p>
            <w:r/>
            <w:r>
              <w:rPr>
                <w:sz w:val="15"/>
              </w:rPr>
              <w:t>Ceritas expressly denied any right to participate in, observe or receive updates during inspections; observations provided only “upon request” in a “reasonable timeframe”</w:t>
            </w:r>
          </w:p>
        </w:tc>
        <w:tc>
          <w:tcPr>
            <w:tcW w:type="dxa" w:w="1440"/>
          </w:tcPr>
          <w:p>
            <w:r/>
            <w:r>
              <w:rPr>
                <w:sz w:val="15"/>
              </w:rPr>
              <w:t>Mandatory / Off-Market</w:t>
            </w:r>
          </w:p>
        </w:tc>
        <w:tc>
          <w:tcPr>
            <w:tcW w:type="dxa" w:w="432"/>
          </w:tcPr>
          <w:p>
            <w:r/>
            <w:r>
              <w:rPr>
                <w:sz w:val="15"/>
              </w:rPr>
              <w:t>4</w:t>
            </w:r>
          </w:p>
        </w:tc>
        <w:tc>
          <w:tcPr>
            <w:tcW w:type="dxa" w:w="432"/>
          </w:tcPr>
          <w:p>
            <w:r/>
            <w:r>
              <w:rPr>
                <w:sz w:val="15"/>
              </w:rPr>
              <w:t>4</w:t>
            </w:r>
          </w:p>
        </w:tc>
        <w:tc>
          <w:tcPr>
            <w:tcW w:type="dxa" w:w="432"/>
          </w:tcPr>
          <w:p>
            <w:r/>
            <w:r>
              <w:rPr>
                <w:sz w:val="15"/>
              </w:rPr>
              <w:t>4</w:t>
            </w:r>
          </w:p>
        </w:tc>
        <w:tc>
          <w:tcPr>
            <w:tcW w:type="dxa" w:w="648"/>
          </w:tcPr>
          <w:p>
            <w:r/>
            <w:r>
              <w:rPr>
                <w:sz w:val="15"/>
              </w:rPr>
              <w:t>96.0</w:t>
            </w:r>
          </w:p>
        </w:tc>
        <w:tc>
          <w:tcPr>
            <w:tcW w:type="dxa" w:w="864"/>
            <w:shd w:val="clear" w:color="auto" w:fill="C00000"/>
          </w:tcPr>
          <w:p>
            <w:r/>
            <w:r>
              <w:rPr>
                <w:sz w:val="15"/>
              </w:rPr>
              <w:t>Critical</w:t>
            </w:r>
          </w:p>
        </w:tc>
      </w:tr>
      <w:tr>
        <w:tc>
          <w:tcPr>
            <w:tcW w:type="dxa" w:w="432"/>
          </w:tcPr>
          <w:p>
            <w:r/>
            <w:r>
              <w:rPr>
                <w:sz w:val="15"/>
              </w:rPr>
              <w:t>29</w:t>
            </w:r>
          </w:p>
        </w:tc>
        <w:tc>
          <w:tcPr>
            <w:tcW w:type="dxa" w:w="1296"/>
          </w:tcPr>
          <w:p>
            <w:r/>
            <w:r>
              <w:rPr>
                <w:sz w:val="15"/>
              </w:rPr>
              <w:t>§9.3 ¶2</w:t>
            </w:r>
          </w:p>
        </w:tc>
        <w:tc>
          <w:tcPr>
            <w:tcW w:type="dxa" w:w="3888"/>
          </w:tcPr>
          <w:p>
            <w:r/>
            <w:r>
              <w:rPr>
                <w:sz w:val="15"/>
              </w:rPr>
              <w:t>No Ceritas review or approval of Pinnacle’s responses to inspection observations</w:t>
            </w:r>
          </w:p>
        </w:tc>
        <w:tc>
          <w:tcPr>
            <w:tcW w:type="dxa" w:w="1440"/>
          </w:tcPr>
          <w:p>
            <w:r/>
            <w:r>
              <w:rPr>
                <w:sz w:val="15"/>
              </w:rPr>
              <w:t>Preferred</w:t>
            </w:r>
          </w:p>
        </w:tc>
        <w:tc>
          <w:tcPr>
            <w:tcW w:type="dxa" w:w="432"/>
          </w:tcPr>
          <w:p>
            <w:r/>
            <w:r>
              <w:rPr>
                <w:sz w:val="15"/>
              </w:rPr>
              <w:t>3</w:t>
            </w:r>
          </w:p>
        </w:tc>
        <w:tc>
          <w:tcPr>
            <w:tcW w:type="dxa" w:w="432"/>
          </w:tcPr>
          <w:p>
            <w:r/>
            <w:r>
              <w:rPr>
                <w:sz w:val="15"/>
              </w:rPr>
              <w:t>3</w:t>
            </w:r>
          </w:p>
        </w:tc>
        <w:tc>
          <w:tcPr>
            <w:tcW w:type="dxa" w:w="432"/>
          </w:tcPr>
          <w:p>
            <w:r/>
            <w:r>
              <w:rPr>
                <w:sz w:val="15"/>
              </w:rPr>
              <w:t>3</w:t>
            </w:r>
          </w:p>
        </w:tc>
        <w:tc>
          <w:tcPr>
            <w:tcW w:type="dxa" w:w="648"/>
          </w:tcPr>
          <w:p>
            <w:r/>
            <w:r>
              <w:rPr>
                <w:sz w:val="15"/>
              </w:rPr>
              <w:t>40.5</w:t>
            </w:r>
          </w:p>
        </w:tc>
        <w:tc>
          <w:tcPr>
            <w:tcW w:type="dxa" w:w="864"/>
            <w:shd w:val="clear" w:color="auto" w:fill="ED7D31"/>
          </w:tcPr>
          <w:p>
            <w:r/>
            <w:r>
              <w:rPr>
                <w:sz w:val="15"/>
              </w:rPr>
              <w:t>High</w:t>
            </w:r>
          </w:p>
        </w:tc>
      </w:tr>
      <w:tr>
        <w:tc>
          <w:tcPr>
            <w:tcW w:type="dxa" w:w="432"/>
          </w:tcPr>
          <w:p>
            <w:r/>
            <w:r>
              <w:rPr>
                <w:sz w:val="15"/>
              </w:rPr>
              <w:t>30</w:t>
            </w:r>
          </w:p>
        </w:tc>
        <w:tc>
          <w:tcPr>
            <w:tcW w:type="dxa" w:w="1296"/>
          </w:tcPr>
          <w:p>
            <w:r/>
            <w:r>
              <w:rPr>
                <w:sz w:val="15"/>
              </w:rPr>
              <w:t>§10.1</w:t>
            </w:r>
          </w:p>
        </w:tc>
        <w:tc>
          <w:tcPr>
            <w:tcW w:type="dxa" w:w="3888"/>
          </w:tcPr>
          <w:p>
            <w:r/>
            <w:r>
              <w:rPr>
                <w:sz w:val="15"/>
              </w:rPr>
              <w:t>Recall and field-alert decisions are “joint”; neither Party may act without the other’s consent (Pinnacle veto); no FAR-enabling notification timeline</w:t>
            </w:r>
          </w:p>
        </w:tc>
        <w:tc>
          <w:tcPr>
            <w:tcW w:type="dxa" w:w="1440"/>
          </w:tcPr>
          <w:p>
            <w:r/>
            <w:r>
              <w:rPr>
                <w:sz w:val="15"/>
              </w:rPr>
              <w:t>Mandatory</w:t>
            </w:r>
          </w:p>
        </w:tc>
        <w:tc>
          <w:tcPr>
            <w:tcW w:type="dxa" w:w="432"/>
          </w:tcPr>
          <w:p>
            <w:r/>
            <w:r>
              <w:rPr>
                <w:sz w:val="15"/>
              </w:rPr>
              <w:t>4</w:t>
            </w:r>
          </w:p>
        </w:tc>
        <w:tc>
          <w:tcPr>
            <w:tcW w:type="dxa" w:w="432"/>
          </w:tcPr>
          <w:p>
            <w:r/>
            <w:r>
              <w:rPr>
                <w:sz w:val="15"/>
              </w:rPr>
              <w:t>4</w:t>
            </w:r>
          </w:p>
        </w:tc>
        <w:tc>
          <w:tcPr>
            <w:tcW w:type="dxa" w:w="432"/>
          </w:tcPr>
          <w:p>
            <w:r/>
            <w:r>
              <w:rPr>
                <w:sz w:val="15"/>
              </w:rPr>
              <w:t>3</w:t>
            </w:r>
          </w:p>
        </w:tc>
        <w:tc>
          <w:tcPr>
            <w:tcW w:type="dxa" w:w="648"/>
          </w:tcPr>
          <w:p>
            <w:r/>
            <w:r>
              <w:rPr>
                <w:sz w:val="15"/>
              </w:rPr>
              <w:t>72.0</w:t>
            </w:r>
          </w:p>
        </w:tc>
        <w:tc>
          <w:tcPr>
            <w:tcW w:type="dxa" w:w="864"/>
            <w:shd w:val="clear" w:color="auto" w:fill="C00000"/>
          </w:tcPr>
          <w:p>
            <w:r/>
            <w:r>
              <w:rPr>
                <w:sz w:val="15"/>
              </w:rPr>
              <w:t>Critical</w:t>
            </w:r>
          </w:p>
        </w:tc>
      </w:tr>
      <w:tr>
        <w:tc>
          <w:tcPr>
            <w:tcW w:type="dxa" w:w="432"/>
          </w:tcPr>
          <w:p>
            <w:r/>
            <w:r>
              <w:rPr>
                <w:sz w:val="15"/>
              </w:rPr>
              <w:t>31</w:t>
            </w:r>
          </w:p>
        </w:tc>
        <w:tc>
          <w:tcPr>
            <w:tcW w:type="dxa" w:w="1296"/>
          </w:tcPr>
          <w:p>
            <w:r/>
            <w:r>
              <w:rPr>
                <w:sz w:val="15"/>
              </w:rPr>
              <w:t>§10.2</w:t>
            </w:r>
          </w:p>
        </w:tc>
        <w:tc>
          <w:tcPr>
            <w:tcW w:type="dxa" w:w="3888"/>
          </w:tcPr>
          <w:p>
            <w:r/>
            <w:r>
              <w:rPr>
                <w:sz w:val="15"/>
              </w:rPr>
              <w:t>Recall costs split 50/50 unless one Party’s willful misconduct caused the recall</w:t>
            </w:r>
          </w:p>
        </w:tc>
        <w:tc>
          <w:tcPr>
            <w:tcW w:type="dxa" w:w="1440"/>
          </w:tcPr>
          <w:p>
            <w:r/>
            <w:r>
              <w:rPr>
                <w:sz w:val="15"/>
              </w:rPr>
              <w:t>Mandatory</w:t>
            </w:r>
          </w:p>
        </w:tc>
        <w:tc>
          <w:tcPr>
            <w:tcW w:type="dxa" w:w="432"/>
          </w:tcPr>
          <w:p>
            <w:r/>
            <w:r>
              <w:rPr>
                <w:sz w:val="15"/>
              </w:rPr>
              <w:t>3</w:t>
            </w:r>
          </w:p>
        </w:tc>
        <w:tc>
          <w:tcPr>
            <w:tcW w:type="dxa" w:w="432"/>
          </w:tcPr>
          <w:p>
            <w:r/>
            <w:r>
              <w:rPr>
                <w:sz w:val="15"/>
              </w:rPr>
              <w:t>4</w:t>
            </w:r>
          </w:p>
        </w:tc>
        <w:tc>
          <w:tcPr>
            <w:tcW w:type="dxa" w:w="432"/>
          </w:tcPr>
          <w:p>
            <w:r/>
            <w:r>
              <w:rPr>
                <w:sz w:val="15"/>
              </w:rPr>
              <w:t>2</w:t>
            </w:r>
          </w:p>
        </w:tc>
        <w:tc>
          <w:tcPr>
            <w:tcW w:type="dxa" w:w="648"/>
          </w:tcPr>
          <w:p>
            <w:r/>
            <w:r>
              <w:rPr>
                <w:sz w:val="15"/>
              </w:rPr>
              <w:t>36.0</w:t>
            </w:r>
          </w:p>
        </w:tc>
        <w:tc>
          <w:tcPr>
            <w:tcW w:type="dxa" w:w="864"/>
            <w:shd w:val="clear" w:color="auto" w:fill="ED7D31"/>
          </w:tcPr>
          <w:p>
            <w:r/>
            <w:r>
              <w:rPr>
                <w:sz w:val="15"/>
              </w:rPr>
              <w:t>High</w:t>
            </w:r>
          </w:p>
        </w:tc>
      </w:tr>
      <w:tr>
        <w:tc>
          <w:tcPr>
            <w:tcW w:type="dxa" w:w="432"/>
          </w:tcPr>
          <w:p>
            <w:r/>
            <w:r>
              <w:rPr>
                <w:sz w:val="15"/>
              </w:rPr>
              <w:t>32</w:t>
            </w:r>
          </w:p>
        </w:tc>
        <w:tc>
          <w:tcPr>
            <w:tcW w:type="dxa" w:w="1296"/>
          </w:tcPr>
          <w:p>
            <w:r/>
            <w:r>
              <w:rPr>
                <w:sz w:val="15"/>
              </w:rPr>
              <w:t>§11.1, Annex C (now Annex E)</w:t>
            </w:r>
          </w:p>
        </w:tc>
        <w:tc>
          <w:tcPr>
            <w:tcW w:type="dxa" w:w="3888"/>
          </w:tcPr>
          <w:p>
            <w:r/>
            <w:r>
              <w:rPr>
                <w:sz w:val="15"/>
              </w:rPr>
              <w:t>Three “pre-approved” third-country laboratories usable without Ceritas consent, audit or even notice</w:t>
            </w:r>
          </w:p>
        </w:tc>
        <w:tc>
          <w:tcPr>
            <w:tcW w:type="dxa" w:w="1440"/>
          </w:tcPr>
          <w:p>
            <w:r/>
            <w:r>
              <w:rPr>
                <w:sz w:val="15"/>
              </w:rPr>
              <w:t>Mandatory</w:t>
            </w:r>
          </w:p>
        </w:tc>
        <w:tc>
          <w:tcPr>
            <w:tcW w:type="dxa" w:w="432"/>
          </w:tcPr>
          <w:p>
            <w:r/>
            <w:r>
              <w:rPr>
                <w:sz w:val="15"/>
              </w:rPr>
              <w:t>3</w:t>
            </w:r>
          </w:p>
        </w:tc>
        <w:tc>
          <w:tcPr>
            <w:tcW w:type="dxa" w:w="432"/>
          </w:tcPr>
          <w:p>
            <w:r/>
            <w:r>
              <w:rPr>
                <w:sz w:val="15"/>
              </w:rPr>
              <w:t>3</w:t>
            </w:r>
          </w:p>
        </w:tc>
        <w:tc>
          <w:tcPr>
            <w:tcW w:type="dxa" w:w="432"/>
          </w:tcPr>
          <w:p>
            <w:r/>
            <w:r>
              <w:rPr>
                <w:sz w:val="15"/>
              </w:rPr>
              <w:t>4</w:t>
            </w:r>
          </w:p>
        </w:tc>
        <w:tc>
          <w:tcPr>
            <w:tcW w:type="dxa" w:w="648"/>
          </w:tcPr>
          <w:p>
            <w:r/>
            <w:r>
              <w:rPr>
                <w:sz w:val="15"/>
              </w:rPr>
              <w:t>54.0</w:t>
            </w:r>
          </w:p>
        </w:tc>
        <w:tc>
          <w:tcPr>
            <w:tcW w:type="dxa" w:w="864"/>
            <w:shd w:val="clear" w:color="auto" w:fill="C00000"/>
          </w:tcPr>
          <w:p>
            <w:r/>
            <w:r>
              <w:rPr>
                <w:sz w:val="15"/>
              </w:rPr>
              <w:t>Critical</w:t>
            </w:r>
          </w:p>
        </w:tc>
      </w:tr>
      <w:tr>
        <w:tc>
          <w:tcPr>
            <w:tcW w:type="dxa" w:w="432"/>
          </w:tcPr>
          <w:p>
            <w:r/>
            <w:r>
              <w:rPr>
                <w:sz w:val="15"/>
              </w:rPr>
              <w:t>33</w:t>
            </w:r>
          </w:p>
        </w:tc>
        <w:tc>
          <w:tcPr>
            <w:tcW w:type="dxa" w:w="1296"/>
          </w:tcPr>
          <w:p>
            <w:r/>
            <w:r>
              <w:rPr>
                <w:sz w:val="15"/>
              </w:rPr>
              <w:t>§11.2</w:t>
            </w:r>
          </w:p>
        </w:tc>
        <w:tc>
          <w:tcPr>
            <w:tcW w:type="dxa" w:w="3888"/>
          </w:tcPr>
          <w:p>
            <w:r/>
            <w:r>
              <w:rPr>
                <w:sz w:val="15"/>
              </w:rPr>
              <w:t>New subcontractors engaged on Pinnacle’s own qualification with notice up to 15 business days after engagement; Ceritas qualification audit expressly excluded</w:t>
            </w:r>
          </w:p>
        </w:tc>
        <w:tc>
          <w:tcPr>
            <w:tcW w:type="dxa" w:w="1440"/>
          </w:tcPr>
          <w:p>
            <w:r/>
            <w:r>
              <w:rPr>
                <w:sz w:val="15"/>
              </w:rPr>
              <w:t>Mandatory</w:t>
            </w:r>
          </w:p>
        </w:tc>
        <w:tc>
          <w:tcPr>
            <w:tcW w:type="dxa" w:w="432"/>
          </w:tcPr>
          <w:p>
            <w:r/>
            <w:r>
              <w:rPr>
                <w:sz w:val="15"/>
              </w:rPr>
              <w:t>3</w:t>
            </w:r>
          </w:p>
        </w:tc>
        <w:tc>
          <w:tcPr>
            <w:tcW w:type="dxa" w:w="432"/>
          </w:tcPr>
          <w:p>
            <w:r/>
            <w:r>
              <w:rPr>
                <w:sz w:val="15"/>
              </w:rPr>
              <w:t>4</w:t>
            </w:r>
          </w:p>
        </w:tc>
        <w:tc>
          <w:tcPr>
            <w:tcW w:type="dxa" w:w="432"/>
          </w:tcPr>
          <w:p>
            <w:r/>
            <w:r>
              <w:rPr>
                <w:sz w:val="15"/>
              </w:rPr>
              <w:t>3</w:t>
            </w:r>
          </w:p>
        </w:tc>
        <w:tc>
          <w:tcPr>
            <w:tcW w:type="dxa" w:w="648"/>
          </w:tcPr>
          <w:p>
            <w:r/>
            <w:r>
              <w:rPr>
                <w:sz w:val="15"/>
              </w:rPr>
              <w:t>54.0</w:t>
            </w:r>
          </w:p>
        </w:tc>
        <w:tc>
          <w:tcPr>
            <w:tcW w:type="dxa" w:w="864"/>
            <w:shd w:val="clear" w:color="auto" w:fill="C00000"/>
          </w:tcPr>
          <w:p>
            <w:r/>
            <w:r>
              <w:rPr>
                <w:sz w:val="15"/>
              </w:rPr>
              <w:t>Critical</w:t>
            </w:r>
          </w:p>
        </w:tc>
      </w:tr>
      <w:tr>
        <w:tc>
          <w:tcPr>
            <w:tcW w:type="dxa" w:w="432"/>
          </w:tcPr>
          <w:p>
            <w:r/>
            <w:r>
              <w:rPr>
                <w:sz w:val="15"/>
              </w:rPr>
              <w:t>34</w:t>
            </w:r>
          </w:p>
        </w:tc>
        <w:tc>
          <w:tcPr>
            <w:tcW w:type="dxa" w:w="1296"/>
          </w:tcPr>
          <w:p>
            <w:r/>
            <w:r>
              <w:rPr>
                <w:sz w:val="15"/>
              </w:rPr>
              <w:t>§11 (generally)</w:t>
            </w:r>
          </w:p>
        </w:tc>
        <w:tc>
          <w:tcPr>
            <w:tcW w:type="dxa" w:w="3888"/>
          </w:tcPr>
          <w:p>
            <w:r/>
            <w:r>
              <w:rPr>
                <w:sz w:val="15"/>
              </w:rPr>
              <w:t>No Ceritas approval of subcontractor quality agreements; no direct Ceritas audit rights over subcontractors</w:t>
            </w:r>
          </w:p>
        </w:tc>
        <w:tc>
          <w:tcPr>
            <w:tcW w:type="dxa" w:w="1440"/>
          </w:tcPr>
          <w:p>
            <w:r/>
            <w:r>
              <w:rPr>
                <w:sz w:val="15"/>
              </w:rPr>
              <w:t>Preferred</w:t>
            </w:r>
          </w:p>
        </w:tc>
        <w:tc>
          <w:tcPr>
            <w:tcW w:type="dxa" w:w="432"/>
          </w:tcPr>
          <w:p>
            <w:r/>
            <w:r>
              <w:rPr>
                <w:sz w:val="15"/>
              </w:rPr>
              <w:t>2</w:t>
            </w:r>
          </w:p>
        </w:tc>
        <w:tc>
          <w:tcPr>
            <w:tcW w:type="dxa" w:w="432"/>
          </w:tcPr>
          <w:p>
            <w:r/>
            <w:r>
              <w:rPr>
                <w:sz w:val="15"/>
              </w:rPr>
              <w:t>3</w:t>
            </w:r>
          </w:p>
        </w:tc>
        <w:tc>
          <w:tcPr>
            <w:tcW w:type="dxa" w:w="432"/>
          </w:tcPr>
          <w:p>
            <w:r/>
            <w:r>
              <w:rPr>
                <w:sz w:val="15"/>
              </w:rPr>
              <w:t>3</w:t>
            </w:r>
          </w:p>
        </w:tc>
        <w:tc>
          <w:tcPr>
            <w:tcW w:type="dxa" w:w="648"/>
          </w:tcPr>
          <w:p>
            <w:r/>
            <w:r>
              <w:rPr>
                <w:sz w:val="15"/>
              </w:rPr>
              <w:t>27.0</w:t>
            </w:r>
          </w:p>
        </w:tc>
        <w:tc>
          <w:tcPr>
            <w:tcW w:type="dxa" w:w="864"/>
            <w:shd w:val="clear" w:color="auto" w:fill="ED7D31"/>
          </w:tcPr>
          <w:p>
            <w:r/>
            <w:r>
              <w:rPr>
                <w:sz w:val="15"/>
              </w:rPr>
              <w:t>High</w:t>
            </w:r>
          </w:p>
        </w:tc>
      </w:tr>
      <w:tr>
        <w:tc>
          <w:tcPr>
            <w:tcW w:type="dxa" w:w="432"/>
          </w:tcPr>
          <w:p>
            <w:r/>
            <w:r>
              <w:rPr>
                <w:sz w:val="15"/>
              </w:rPr>
              <w:t>35</w:t>
            </w:r>
          </w:p>
        </w:tc>
        <w:tc>
          <w:tcPr>
            <w:tcW w:type="dxa" w:w="1296"/>
          </w:tcPr>
          <w:p>
            <w:r/>
            <w:r>
              <w:rPr>
                <w:sz w:val="15"/>
              </w:rPr>
              <w:t>§12.1</w:t>
            </w:r>
          </w:p>
        </w:tc>
        <w:tc>
          <w:tcPr>
            <w:tcW w:type="dxa" w:w="3888"/>
          </w:tcPr>
          <w:p>
            <w:r/>
            <w:r>
              <w:rPr>
                <w:sz w:val="15"/>
              </w:rPr>
              <w:t>Data integrity limited to 21 CFR Part 11 and ALCOA; no FDA/MHRA-based DI program; MSA-referenced “Data Integrity Requirements” never defined</w:t>
            </w:r>
          </w:p>
        </w:tc>
        <w:tc>
          <w:tcPr>
            <w:tcW w:type="dxa" w:w="1440"/>
          </w:tcPr>
          <w:p>
            <w:r/>
            <w:r>
              <w:rPr>
                <w:sz w:val="15"/>
              </w:rPr>
              <w:t>Mandatory</w:t>
            </w:r>
          </w:p>
        </w:tc>
        <w:tc>
          <w:tcPr>
            <w:tcW w:type="dxa" w:w="432"/>
          </w:tcPr>
          <w:p>
            <w:r/>
            <w:r>
              <w:rPr>
                <w:sz w:val="15"/>
              </w:rPr>
              <w:t>3</w:t>
            </w:r>
          </w:p>
        </w:tc>
        <w:tc>
          <w:tcPr>
            <w:tcW w:type="dxa" w:w="432"/>
          </w:tcPr>
          <w:p>
            <w:r/>
            <w:r>
              <w:rPr>
                <w:sz w:val="15"/>
              </w:rPr>
              <w:t>3</w:t>
            </w:r>
          </w:p>
        </w:tc>
        <w:tc>
          <w:tcPr>
            <w:tcW w:type="dxa" w:w="432"/>
          </w:tcPr>
          <w:p>
            <w:r/>
            <w:r>
              <w:rPr>
                <w:sz w:val="15"/>
              </w:rPr>
              <w:t>3</w:t>
            </w:r>
          </w:p>
        </w:tc>
        <w:tc>
          <w:tcPr>
            <w:tcW w:type="dxa" w:w="648"/>
          </w:tcPr>
          <w:p>
            <w:r/>
            <w:r>
              <w:rPr>
                <w:sz w:val="15"/>
              </w:rPr>
              <w:t>40.5</w:t>
            </w:r>
          </w:p>
        </w:tc>
        <w:tc>
          <w:tcPr>
            <w:tcW w:type="dxa" w:w="864"/>
            <w:shd w:val="clear" w:color="auto" w:fill="ED7D31"/>
          </w:tcPr>
          <w:p>
            <w:r/>
            <w:r>
              <w:rPr>
                <w:sz w:val="15"/>
              </w:rPr>
              <w:t>High</w:t>
            </w:r>
          </w:p>
        </w:tc>
      </w:tr>
      <w:tr>
        <w:tc>
          <w:tcPr>
            <w:tcW w:type="dxa" w:w="432"/>
          </w:tcPr>
          <w:p>
            <w:r/>
            <w:r>
              <w:rPr>
                <w:sz w:val="15"/>
              </w:rPr>
              <w:t>36</w:t>
            </w:r>
          </w:p>
        </w:tc>
        <w:tc>
          <w:tcPr>
            <w:tcW w:type="dxa" w:w="1296"/>
          </w:tcPr>
          <w:p>
            <w:r/>
            <w:r>
              <w:rPr>
                <w:sz w:val="15"/>
              </w:rPr>
              <w:t>§12 (generally)</w:t>
            </w:r>
          </w:p>
        </w:tc>
        <w:tc>
          <w:tcPr>
            <w:tcW w:type="dxa" w:w="3888"/>
          </w:tcPr>
          <w:p>
            <w:r/>
            <w:r>
              <w:rPr>
                <w:sz w:val="15"/>
              </w:rPr>
              <w:t>No annual data-integrity self-assessment report</w:t>
            </w:r>
          </w:p>
        </w:tc>
        <w:tc>
          <w:tcPr>
            <w:tcW w:type="dxa" w:w="1440"/>
          </w:tcPr>
          <w:p>
            <w:r/>
            <w:r>
              <w:rPr>
                <w:sz w:val="15"/>
              </w:rPr>
              <w:t>Preferred</w:t>
            </w:r>
          </w:p>
        </w:tc>
        <w:tc>
          <w:tcPr>
            <w:tcW w:type="dxa" w:w="432"/>
          </w:tcPr>
          <w:p>
            <w:r/>
            <w:r>
              <w:rPr>
                <w:sz w:val="15"/>
              </w:rPr>
              <w:t>2</w:t>
            </w:r>
          </w:p>
        </w:tc>
        <w:tc>
          <w:tcPr>
            <w:tcW w:type="dxa" w:w="432"/>
          </w:tcPr>
          <w:p>
            <w:r/>
            <w:r>
              <w:rPr>
                <w:sz w:val="15"/>
              </w:rPr>
              <w:t>2</w:t>
            </w:r>
          </w:p>
        </w:tc>
        <w:tc>
          <w:tcPr>
            <w:tcW w:type="dxa" w:w="432"/>
          </w:tcPr>
          <w:p>
            <w:r/>
            <w:r>
              <w:rPr>
                <w:sz w:val="15"/>
              </w:rPr>
              <w:t>2</w:t>
            </w:r>
          </w:p>
        </w:tc>
        <w:tc>
          <w:tcPr>
            <w:tcW w:type="dxa" w:w="648"/>
          </w:tcPr>
          <w:p>
            <w:r/>
            <w:r>
              <w:rPr>
                <w:sz w:val="15"/>
              </w:rPr>
              <w:t>12.0</w:t>
            </w:r>
          </w:p>
        </w:tc>
        <w:tc>
          <w:tcPr>
            <w:tcW w:type="dxa" w:w="864"/>
            <w:shd w:val="clear" w:color="auto" w:fill="FFD966"/>
          </w:tcPr>
          <w:p>
            <w:r/>
            <w:r>
              <w:rPr>
                <w:sz w:val="15"/>
              </w:rPr>
              <w:t>Medium</w:t>
            </w:r>
          </w:p>
        </w:tc>
      </w:tr>
      <w:tr>
        <w:tc>
          <w:tcPr>
            <w:tcW w:type="dxa" w:w="432"/>
          </w:tcPr>
          <w:p>
            <w:r/>
            <w:r>
              <w:rPr>
                <w:sz w:val="15"/>
              </w:rPr>
              <w:t>37</w:t>
            </w:r>
          </w:p>
        </w:tc>
        <w:tc>
          <w:tcPr>
            <w:tcW w:type="dxa" w:w="1296"/>
          </w:tcPr>
          <w:p>
            <w:r/>
            <w:r>
              <w:rPr>
                <w:sz w:val="15"/>
              </w:rPr>
              <w:t>§12.3</w:t>
            </w:r>
          </w:p>
        </w:tc>
        <w:tc>
          <w:tcPr>
            <w:tcW w:type="dxa" w:w="3888"/>
          </w:tcPr>
          <w:p>
            <w:r/>
            <w:r>
              <w:rPr>
                <w:sz w:val="15"/>
              </w:rPr>
              <w:t>GMP record retention 7 years from batch release</w:t>
            </w:r>
          </w:p>
        </w:tc>
        <w:tc>
          <w:tcPr>
            <w:tcW w:type="dxa" w:w="1440"/>
          </w:tcPr>
          <w:p>
            <w:r/>
            <w:r>
              <w:rPr>
                <w:sz w:val="15"/>
              </w:rPr>
              <w:t>Mandatory</w:t>
            </w:r>
          </w:p>
        </w:tc>
        <w:tc>
          <w:tcPr>
            <w:tcW w:type="dxa" w:w="432"/>
          </w:tcPr>
          <w:p>
            <w:r/>
            <w:r>
              <w:rPr>
                <w:sz w:val="15"/>
              </w:rPr>
              <w:t>3</w:t>
            </w:r>
          </w:p>
        </w:tc>
        <w:tc>
          <w:tcPr>
            <w:tcW w:type="dxa" w:w="432"/>
          </w:tcPr>
          <w:p>
            <w:r/>
            <w:r>
              <w:rPr>
                <w:sz w:val="15"/>
              </w:rPr>
              <w:t>3</w:t>
            </w:r>
          </w:p>
        </w:tc>
        <w:tc>
          <w:tcPr>
            <w:tcW w:type="dxa" w:w="432"/>
          </w:tcPr>
          <w:p>
            <w:r/>
            <w:r>
              <w:rPr>
                <w:sz w:val="15"/>
              </w:rPr>
              <w:t>3</w:t>
            </w:r>
          </w:p>
        </w:tc>
        <w:tc>
          <w:tcPr>
            <w:tcW w:type="dxa" w:w="648"/>
          </w:tcPr>
          <w:p>
            <w:r/>
            <w:r>
              <w:rPr>
                <w:sz w:val="15"/>
              </w:rPr>
              <w:t>40.5</w:t>
            </w:r>
          </w:p>
        </w:tc>
        <w:tc>
          <w:tcPr>
            <w:tcW w:type="dxa" w:w="864"/>
            <w:shd w:val="clear" w:color="auto" w:fill="ED7D31"/>
          </w:tcPr>
          <w:p>
            <w:r/>
            <w:r>
              <w:rPr>
                <w:sz w:val="15"/>
              </w:rPr>
              <w:t>High</w:t>
            </w:r>
          </w:p>
        </w:tc>
      </w:tr>
      <w:tr>
        <w:tc>
          <w:tcPr>
            <w:tcW w:type="dxa" w:w="432"/>
          </w:tcPr>
          <w:p>
            <w:r/>
            <w:r>
              <w:rPr>
                <w:sz w:val="15"/>
              </w:rPr>
              <w:t>38</w:t>
            </w:r>
          </w:p>
        </w:tc>
        <w:tc>
          <w:tcPr>
            <w:tcW w:type="dxa" w:w="1296"/>
          </w:tcPr>
          <w:p>
            <w:r/>
            <w:r>
              <w:rPr>
                <w:sz w:val="15"/>
              </w:rPr>
              <w:t>§13.2 ¶1</w:t>
            </w:r>
          </w:p>
        </w:tc>
        <w:tc>
          <w:tcPr>
            <w:tcW w:type="dxa" w:w="3888"/>
          </w:tcPr>
          <w:p>
            <w:r/>
            <w:r>
              <w:rPr>
                <w:sz w:val="15"/>
              </w:rPr>
              <w:t>Stability protocols “mutually agreed”</w:t>
            </w:r>
          </w:p>
        </w:tc>
        <w:tc>
          <w:tcPr>
            <w:tcW w:type="dxa" w:w="1440"/>
          </w:tcPr>
          <w:p>
            <w:r/>
            <w:r>
              <w:rPr>
                <w:sz w:val="15"/>
              </w:rPr>
              <w:t>Mandatory</w:t>
            </w:r>
          </w:p>
        </w:tc>
        <w:tc>
          <w:tcPr>
            <w:tcW w:type="dxa" w:w="432"/>
          </w:tcPr>
          <w:p>
            <w:r/>
            <w:r>
              <w:rPr>
                <w:sz w:val="15"/>
              </w:rPr>
              <w:t>3</w:t>
            </w:r>
          </w:p>
        </w:tc>
        <w:tc>
          <w:tcPr>
            <w:tcW w:type="dxa" w:w="432"/>
          </w:tcPr>
          <w:p>
            <w:r/>
            <w:r>
              <w:rPr>
                <w:sz w:val="15"/>
              </w:rPr>
              <w:t>3</w:t>
            </w:r>
          </w:p>
        </w:tc>
        <w:tc>
          <w:tcPr>
            <w:tcW w:type="dxa" w:w="432"/>
          </w:tcPr>
          <w:p>
            <w:r/>
            <w:r>
              <w:rPr>
                <w:sz w:val="15"/>
              </w:rPr>
              <w:t>3</w:t>
            </w:r>
          </w:p>
        </w:tc>
        <w:tc>
          <w:tcPr>
            <w:tcW w:type="dxa" w:w="648"/>
          </w:tcPr>
          <w:p>
            <w:r/>
            <w:r>
              <w:rPr>
                <w:sz w:val="15"/>
              </w:rPr>
              <w:t>40.5</w:t>
            </w:r>
          </w:p>
        </w:tc>
        <w:tc>
          <w:tcPr>
            <w:tcW w:type="dxa" w:w="864"/>
            <w:shd w:val="clear" w:color="auto" w:fill="ED7D31"/>
          </w:tcPr>
          <w:p>
            <w:r/>
            <w:r>
              <w:rPr>
                <w:sz w:val="15"/>
              </w:rPr>
              <w:t>High</w:t>
            </w:r>
          </w:p>
        </w:tc>
      </w:tr>
      <w:tr>
        <w:tc>
          <w:tcPr>
            <w:tcW w:type="dxa" w:w="432"/>
          </w:tcPr>
          <w:p>
            <w:r/>
            <w:r>
              <w:rPr>
                <w:sz w:val="15"/>
              </w:rPr>
              <w:t>39</w:t>
            </w:r>
          </w:p>
        </w:tc>
        <w:tc>
          <w:tcPr>
            <w:tcW w:type="dxa" w:w="1296"/>
          </w:tcPr>
          <w:p>
            <w:r/>
            <w:r>
              <w:rPr>
                <w:sz w:val="15"/>
              </w:rPr>
              <w:t>§13.2 ¶2</w:t>
            </w:r>
          </w:p>
        </w:tc>
        <w:tc>
          <w:tcPr>
            <w:tcW w:type="dxa" w:w="3888"/>
          </w:tcPr>
          <w:p>
            <w:r/>
            <w:r>
              <w:rPr>
                <w:sz w:val="15"/>
              </w:rPr>
              <w:t>Stability results reported quarterly only</w:t>
            </w:r>
          </w:p>
        </w:tc>
        <w:tc>
          <w:tcPr>
            <w:tcW w:type="dxa" w:w="1440"/>
          </w:tcPr>
          <w:p>
            <w:r/>
            <w:r>
              <w:rPr>
                <w:sz w:val="15"/>
              </w:rPr>
              <w:t>Mandatory</w:t>
            </w:r>
          </w:p>
        </w:tc>
        <w:tc>
          <w:tcPr>
            <w:tcW w:type="dxa" w:w="432"/>
          </w:tcPr>
          <w:p>
            <w:r/>
            <w:r>
              <w:rPr>
                <w:sz w:val="15"/>
              </w:rPr>
              <w:t>3</w:t>
            </w:r>
          </w:p>
        </w:tc>
        <w:tc>
          <w:tcPr>
            <w:tcW w:type="dxa" w:w="432"/>
          </w:tcPr>
          <w:p>
            <w:r/>
            <w:r>
              <w:rPr>
                <w:sz w:val="15"/>
              </w:rPr>
              <w:t>3</w:t>
            </w:r>
          </w:p>
        </w:tc>
        <w:tc>
          <w:tcPr>
            <w:tcW w:type="dxa" w:w="432"/>
          </w:tcPr>
          <w:p>
            <w:r/>
            <w:r>
              <w:rPr>
                <w:sz w:val="15"/>
              </w:rPr>
              <w:t>4</w:t>
            </w:r>
          </w:p>
        </w:tc>
        <w:tc>
          <w:tcPr>
            <w:tcW w:type="dxa" w:w="648"/>
          </w:tcPr>
          <w:p>
            <w:r/>
            <w:r>
              <w:rPr>
                <w:sz w:val="15"/>
              </w:rPr>
              <w:t>54.0</w:t>
            </w:r>
          </w:p>
        </w:tc>
        <w:tc>
          <w:tcPr>
            <w:tcW w:type="dxa" w:w="864"/>
            <w:shd w:val="clear" w:color="auto" w:fill="C00000"/>
          </w:tcPr>
          <w:p>
            <w:r/>
            <w:r>
              <w:rPr>
                <w:sz w:val="15"/>
              </w:rPr>
              <w:t>Critical</w:t>
            </w:r>
          </w:p>
        </w:tc>
      </w:tr>
      <w:tr>
        <w:tc>
          <w:tcPr>
            <w:tcW w:type="dxa" w:w="432"/>
          </w:tcPr>
          <w:p>
            <w:r/>
            <w:r>
              <w:rPr>
                <w:sz w:val="15"/>
              </w:rPr>
              <w:t>40</w:t>
            </w:r>
          </w:p>
        </w:tc>
        <w:tc>
          <w:tcPr>
            <w:tcW w:type="dxa" w:w="1296"/>
          </w:tcPr>
          <w:p>
            <w:r/>
            <w:r>
              <w:rPr>
                <w:sz w:val="15"/>
              </w:rPr>
              <w:t>§13.2 ¶3</w:t>
            </w:r>
          </w:p>
        </w:tc>
        <w:tc>
          <w:tcPr>
            <w:tcW w:type="dxa" w:w="3888"/>
          </w:tcPr>
          <w:p>
            <w:r/>
            <w:r>
              <w:rPr>
                <w:sz w:val="15"/>
              </w:rPr>
              <w:t>Stability OOS/OOT reported “promptly” (no fixed timeline)</w:t>
            </w:r>
          </w:p>
        </w:tc>
        <w:tc>
          <w:tcPr>
            <w:tcW w:type="dxa" w:w="1440"/>
          </w:tcPr>
          <w:p>
            <w:r/>
            <w:r>
              <w:rPr>
                <w:sz w:val="15"/>
              </w:rPr>
              <w:t>Mandatory (§3.2) / Preferred (§13.3)</w:t>
            </w:r>
          </w:p>
        </w:tc>
        <w:tc>
          <w:tcPr>
            <w:tcW w:type="dxa" w:w="432"/>
          </w:tcPr>
          <w:p>
            <w:r/>
            <w:r>
              <w:rPr>
                <w:sz w:val="15"/>
              </w:rPr>
              <w:t>3</w:t>
            </w:r>
          </w:p>
        </w:tc>
        <w:tc>
          <w:tcPr>
            <w:tcW w:type="dxa" w:w="432"/>
          </w:tcPr>
          <w:p>
            <w:r/>
            <w:r>
              <w:rPr>
                <w:sz w:val="15"/>
              </w:rPr>
              <w:t>4</w:t>
            </w:r>
          </w:p>
        </w:tc>
        <w:tc>
          <w:tcPr>
            <w:tcW w:type="dxa" w:w="432"/>
          </w:tcPr>
          <w:p>
            <w:r/>
            <w:r>
              <w:rPr>
                <w:sz w:val="15"/>
              </w:rPr>
              <w:t>3</w:t>
            </w:r>
          </w:p>
        </w:tc>
        <w:tc>
          <w:tcPr>
            <w:tcW w:type="dxa" w:w="648"/>
          </w:tcPr>
          <w:p>
            <w:r/>
            <w:r>
              <w:rPr>
                <w:sz w:val="15"/>
              </w:rPr>
              <w:t>54.0</w:t>
            </w:r>
          </w:p>
        </w:tc>
        <w:tc>
          <w:tcPr>
            <w:tcW w:type="dxa" w:w="864"/>
            <w:shd w:val="clear" w:color="auto" w:fill="C00000"/>
          </w:tcPr>
          <w:p>
            <w:r/>
            <w:r>
              <w:rPr>
                <w:sz w:val="15"/>
              </w:rPr>
              <w:t>Critical</w:t>
            </w:r>
          </w:p>
        </w:tc>
      </w:tr>
      <w:tr>
        <w:tc>
          <w:tcPr>
            <w:tcW w:type="dxa" w:w="432"/>
          </w:tcPr>
          <w:p>
            <w:r/>
            <w:r>
              <w:rPr>
                <w:sz w:val="15"/>
              </w:rPr>
              <w:t>41</w:t>
            </w:r>
          </w:p>
        </w:tc>
        <w:tc>
          <w:tcPr>
            <w:tcW w:type="dxa" w:w="1296"/>
          </w:tcPr>
          <w:p>
            <w:r/>
            <w:r>
              <w:rPr>
                <w:sz w:val="15"/>
              </w:rPr>
              <w:t>§14.1</w:t>
            </w:r>
          </w:p>
        </w:tc>
        <w:tc>
          <w:tcPr>
            <w:tcW w:type="dxa" w:w="3888"/>
          </w:tcPr>
          <w:p>
            <w:r/>
            <w:r>
              <w:rPr>
                <w:sz w:val="15"/>
              </w:rPr>
              <w:t>Pinnacle liability capped at EUR 2,000,000 per year with no quality/regulatory/IP/confidentiality carve-outs; broad consequential-damages exclusion; cap is one-sided</w:t>
            </w:r>
          </w:p>
        </w:tc>
        <w:tc>
          <w:tcPr>
            <w:tcW w:type="dxa" w:w="1440"/>
          </w:tcPr>
          <w:p>
            <w:r/>
            <w:r>
              <w:rPr>
                <w:sz w:val="15"/>
              </w:rPr>
              <w:t>Mandatory / Off-Market</w:t>
            </w:r>
          </w:p>
        </w:tc>
        <w:tc>
          <w:tcPr>
            <w:tcW w:type="dxa" w:w="432"/>
          </w:tcPr>
          <w:p>
            <w:r/>
            <w:r>
              <w:rPr>
                <w:sz w:val="15"/>
              </w:rPr>
              <w:t>4</w:t>
            </w:r>
          </w:p>
        </w:tc>
        <w:tc>
          <w:tcPr>
            <w:tcW w:type="dxa" w:w="432"/>
          </w:tcPr>
          <w:p>
            <w:r/>
            <w:r>
              <w:rPr>
                <w:sz w:val="15"/>
              </w:rPr>
              <w:t>4</w:t>
            </w:r>
          </w:p>
        </w:tc>
        <w:tc>
          <w:tcPr>
            <w:tcW w:type="dxa" w:w="432"/>
          </w:tcPr>
          <w:p>
            <w:r/>
            <w:r>
              <w:rPr>
                <w:sz w:val="15"/>
              </w:rPr>
              <w:t>3</w:t>
            </w:r>
          </w:p>
        </w:tc>
        <w:tc>
          <w:tcPr>
            <w:tcW w:type="dxa" w:w="648"/>
          </w:tcPr>
          <w:p>
            <w:r/>
            <w:r>
              <w:rPr>
                <w:sz w:val="15"/>
              </w:rPr>
              <w:t>72.0</w:t>
            </w:r>
          </w:p>
        </w:tc>
        <w:tc>
          <w:tcPr>
            <w:tcW w:type="dxa" w:w="864"/>
            <w:shd w:val="clear" w:color="auto" w:fill="C00000"/>
          </w:tcPr>
          <w:p>
            <w:r/>
            <w:r>
              <w:rPr>
                <w:sz w:val="15"/>
              </w:rPr>
              <w:t>Critical</w:t>
            </w:r>
          </w:p>
        </w:tc>
      </w:tr>
      <w:tr>
        <w:tc>
          <w:tcPr>
            <w:tcW w:type="dxa" w:w="432"/>
          </w:tcPr>
          <w:p>
            <w:r/>
            <w:r>
              <w:rPr>
                <w:sz w:val="15"/>
              </w:rPr>
              <w:t>42</w:t>
            </w:r>
          </w:p>
        </w:tc>
        <w:tc>
          <w:tcPr>
            <w:tcW w:type="dxa" w:w="1296"/>
          </w:tcPr>
          <w:p>
            <w:r/>
            <w:r>
              <w:rPr>
                <w:sz w:val="15"/>
              </w:rPr>
              <w:t>§14.3 ¶1</w:t>
            </w:r>
          </w:p>
        </w:tc>
        <w:tc>
          <w:tcPr>
            <w:tcW w:type="dxa" w:w="3888"/>
          </w:tcPr>
          <w:p>
            <w:r/>
            <w:r>
              <w:rPr>
                <w:sz w:val="15"/>
              </w:rPr>
              <w:t>Force majeure relieves Pinnacle of all QA obligations, including quality and regulatory duties</w:t>
            </w:r>
          </w:p>
        </w:tc>
        <w:tc>
          <w:tcPr>
            <w:tcW w:type="dxa" w:w="1440"/>
          </w:tcPr>
          <w:p>
            <w:r/>
            <w:r>
              <w:rPr>
                <w:sz w:val="15"/>
              </w:rPr>
              <w:t>Mandatory</w:t>
            </w:r>
          </w:p>
        </w:tc>
        <w:tc>
          <w:tcPr>
            <w:tcW w:type="dxa" w:w="432"/>
          </w:tcPr>
          <w:p>
            <w:r/>
            <w:r>
              <w:rPr>
                <w:sz w:val="15"/>
              </w:rPr>
              <w:t>4</w:t>
            </w:r>
          </w:p>
        </w:tc>
        <w:tc>
          <w:tcPr>
            <w:tcW w:type="dxa" w:w="432"/>
          </w:tcPr>
          <w:p>
            <w:r/>
            <w:r>
              <w:rPr>
                <w:sz w:val="15"/>
              </w:rPr>
              <w:t>4</w:t>
            </w:r>
          </w:p>
        </w:tc>
        <w:tc>
          <w:tcPr>
            <w:tcW w:type="dxa" w:w="432"/>
          </w:tcPr>
          <w:p>
            <w:r/>
            <w:r>
              <w:rPr>
                <w:sz w:val="15"/>
              </w:rPr>
              <w:t>2</w:t>
            </w:r>
          </w:p>
        </w:tc>
        <w:tc>
          <w:tcPr>
            <w:tcW w:type="dxa" w:w="648"/>
          </w:tcPr>
          <w:p>
            <w:r/>
            <w:r>
              <w:rPr>
                <w:sz w:val="15"/>
              </w:rPr>
              <w:t>48.0</w:t>
            </w:r>
          </w:p>
        </w:tc>
        <w:tc>
          <w:tcPr>
            <w:tcW w:type="dxa" w:w="864"/>
            <w:shd w:val="clear" w:color="auto" w:fill="C00000"/>
          </w:tcPr>
          <w:p>
            <w:r/>
            <w:r>
              <w:rPr>
                <w:sz w:val="15"/>
              </w:rPr>
              <w:t>Critical</w:t>
            </w:r>
          </w:p>
        </w:tc>
      </w:tr>
      <w:tr>
        <w:tc>
          <w:tcPr>
            <w:tcW w:type="dxa" w:w="432"/>
          </w:tcPr>
          <w:p>
            <w:r/>
            <w:r>
              <w:rPr>
                <w:sz w:val="15"/>
              </w:rPr>
              <w:t>43</w:t>
            </w:r>
          </w:p>
        </w:tc>
        <w:tc>
          <w:tcPr>
            <w:tcW w:type="dxa" w:w="1296"/>
          </w:tcPr>
          <w:p>
            <w:r/>
            <w:r>
              <w:rPr>
                <w:sz w:val="15"/>
              </w:rPr>
              <w:t>§14.3 ¶2</w:t>
            </w:r>
          </w:p>
        </w:tc>
        <w:tc>
          <w:tcPr>
            <w:tcW w:type="dxa" w:w="3888"/>
          </w:tcPr>
          <w:p>
            <w:r/>
            <w:r>
              <w:rPr>
                <w:sz w:val="15"/>
              </w:rPr>
              <w:t>No business-continuity/disaster-recovery plan; FM notice “promptly”; mitigation on “commercially reasonable efforts”; no 90-day termination link</w:t>
            </w:r>
          </w:p>
        </w:tc>
        <w:tc>
          <w:tcPr>
            <w:tcW w:type="dxa" w:w="1440"/>
          </w:tcPr>
          <w:p>
            <w:r/>
            <w:r>
              <w:rPr>
                <w:sz w:val="15"/>
              </w:rPr>
              <w:t>Mandatory</w:t>
            </w:r>
          </w:p>
        </w:tc>
        <w:tc>
          <w:tcPr>
            <w:tcW w:type="dxa" w:w="432"/>
          </w:tcPr>
          <w:p>
            <w:r/>
            <w:r>
              <w:rPr>
                <w:sz w:val="15"/>
              </w:rPr>
              <w:t>3</w:t>
            </w:r>
          </w:p>
        </w:tc>
        <w:tc>
          <w:tcPr>
            <w:tcW w:type="dxa" w:w="432"/>
          </w:tcPr>
          <w:p>
            <w:r/>
            <w:r>
              <w:rPr>
                <w:sz w:val="15"/>
              </w:rPr>
              <w:t>4</w:t>
            </w:r>
          </w:p>
        </w:tc>
        <w:tc>
          <w:tcPr>
            <w:tcW w:type="dxa" w:w="432"/>
          </w:tcPr>
          <w:p>
            <w:r/>
            <w:r>
              <w:rPr>
                <w:sz w:val="15"/>
              </w:rPr>
              <w:t>2</w:t>
            </w:r>
          </w:p>
        </w:tc>
        <w:tc>
          <w:tcPr>
            <w:tcW w:type="dxa" w:w="648"/>
          </w:tcPr>
          <w:p>
            <w:r/>
            <w:r>
              <w:rPr>
                <w:sz w:val="15"/>
              </w:rPr>
              <w:t>36.0</w:t>
            </w:r>
          </w:p>
        </w:tc>
        <w:tc>
          <w:tcPr>
            <w:tcW w:type="dxa" w:w="864"/>
            <w:shd w:val="clear" w:color="auto" w:fill="ED7D31"/>
          </w:tcPr>
          <w:p>
            <w:r/>
            <w:r>
              <w:rPr>
                <w:sz w:val="15"/>
              </w:rPr>
              <w:t>High</w:t>
            </w:r>
          </w:p>
        </w:tc>
      </w:tr>
      <w:tr>
        <w:tc>
          <w:tcPr>
            <w:tcW w:type="dxa" w:w="432"/>
          </w:tcPr>
          <w:p>
            <w:r/>
            <w:r>
              <w:rPr>
                <w:sz w:val="15"/>
              </w:rPr>
              <w:t>44</w:t>
            </w:r>
          </w:p>
        </w:tc>
        <w:tc>
          <w:tcPr>
            <w:tcW w:type="dxa" w:w="1296"/>
          </w:tcPr>
          <w:p>
            <w:r/>
            <w:r>
              <w:rPr>
                <w:sz w:val="15"/>
              </w:rPr>
              <w:t>§15.1</w:t>
            </w:r>
          </w:p>
        </w:tc>
        <w:tc>
          <w:tcPr>
            <w:tcW w:type="dxa" w:w="3888"/>
          </w:tcPr>
          <w:p>
            <w:r/>
            <w:r>
              <w:rPr>
                <w:sz w:val="15"/>
              </w:rPr>
              <w:t>Independent 5-year term from QA execution with 2-year auto-renewals on 6 months’ notice; not coterminous with MSA</w:t>
            </w:r>
          </w:p>
        </w:tc>
        <w:tc>
          <w:tcPr>
            <w:tcW w:type="dxa" w:w="1440"/>
          </w:tcPr>
          <w:p>
            <w:r/>
            <w:r>
              <w:rPr>
                <w:sz w:val="15"/>
              </w:rPr>
              <w:t>Mandatory</w:t>
            </w:r>
          </w:p>
        </w:tc>
        <w:tc>
          <w:tcPr>
            <w:tcW w:type="dxa" w:w="432"/>
          </w:tcPr>
          <w:p>
            <w:r/>
            <w:r>
              <w:rPr>
                <w:sz w:val="15"/>
              </w:rPr>
              <w:t>3</w:t>
            </w:r>
          </w:p>
        </w:tc>
        <w:tc>
          <w:tcPr>
            <w:tcW w:type="dxa" w:w="432"/>
          </w:tcPr>
          <w:p>
            <w:r/>
            <w:r>
              <w:rPr>
                <w:sz w:val="15"/>
              </w:rPr>
              <w:t>3</w:t>
            </w:r>
          </w:p>
        </w:tc>
        <w:tc>
          <w:tcPr>
            <w:tcW w:type="dxa" w:w="432"/>
          </w:tcPr>
          <w:p>
            <w:r/>
            <w:r>
              <w:rPr>
                <w:sz w:val="15"/>
              </w:rPr>
              <w:t>3</w:t>
            </w:r>
          </w:p>
        </w:tc>
        <w:tc>
          <w:tcPr>
            <w:tcW w:type="dxa" w:w="648"/>
          </w:tcPr>
          <w:p>
            <w:r/>
            <w:r>
              <w:rPr>
                <w:sz w:val="15"/>
              </w:rPr>
              <w:t>40.5</w:t>
            </w:r>
          </w:p>
        </w:tc>
        <w:tc>
          <w:tcPr>
            <w:tcW w:type="dxa" w:w="864"/>
            <w:shd w:val="clear" w:color="auto" w:fill="ED7D31"/>
          </w:tcPr>
          <w:p>
            <w:r/>
            <w:r>
              <w:rPr>
                <w:sz w:val="15"/>
              </w:rPr>
              <w:t>High</w:t>
            </w:r>
          </w:p>
        </w:tc>
      </w:tr>
      <w:tr>
        <w:tc>
          <w:tcPr>
            <w:tcW w:type="dxa" w:w="432"/>
          </w:tcPr>
          <w:p>
            <w:r/>
            <w:r>
              <w:rPr>
                <w:sz w:val="15"/>
              </w:rPr>
              <w:t>45</w:t>
            </w:r>
          </w:p>
        </w:tc>
        <w:tc>
          <w:tcPr>
            <w:tcW w:type="dxa" w:w="1296"/>
          </w:tcPr>
          <w:p>
            <w:r/>
            <w:r>
              <w:rPr>
                <w:sz w:val="15"/>
              </w:rPr>
              <w:t>§15.2</w:t>
            </w:r>
          </w:p>
        </w:tc>
        <w:tc>
          <w:tcPr>
            <w:tcW w:type="dxa" w:w="3888"/>
          </w:tcPr>
          <w:p>
            <w:r/>
            <w:r>
              <w:rPr>
                <w:sz w:val="15"/>
              </w:rPr>
              <w:t>QA terminable on its own for breach (60-day cure) independent of the MSA</w:t>
            </w:r>
          </w:p>
        </w:tc>
        <w:tc>
          <w:tcPr>
            <w:tcW w:type="dxa" w:w="1440"/>
          </w:tcPr>
          <w:p>
            <w:r/>
            <w:r>
              <w:rPr>
                <w:sz w:val="15"/>
              </w:rPr>
              <w:t>Preferred</w:t>
            </w:r>
          </w:p>
        </w:tc>
        <w:tc>
          <w:tcPr>
            <w:tcW w:type="dxa" w:w="432"/>
          </w:tcPr>
          <w:p>
            <w:r/>
            <w:r>
              <w:rPr>
                <w:sz w:val="15"/>
              </w:rPr>
              <w:t>2</w:t>
            </w:r>
          </w:p>
        </w:tc>
        <w:tc>
          <w:tcPr>
            <w:tcW w:type="dxa" w:w="432"/>
          </w:tcPr>
          <w:p>
            <w:r/>
            <w:r>
              <w:rPr>
                <w:sz w:val="15"/>
              </w:rPr>
              <w:t>3</w:t>
            </w:r>
          </w:p>
        </w:tc>
        <w:tc>
          <w:tcPr>
            <w:tcW w:type="dxa" w:w="432"/>
          </w:tcPr>
          <w:p>
            <w:r/>
            <w:r>
              <w:rPr>
                <w:sz w:val="15"/>
              </w:rPr>
              <w:t>2</w:t>
            </w:r>
          </w:p>
        </w:tc>
        <w:tc>
          <w:tcPr>
            <w:tcW w:type="dxa" w:w="648"/>
          </w:tcPr>
          <w:p>
            <w:r/>
            <w:r>
              <w:rPr>
                <w:sz w:val="15"/>
              </w:rPr>
              <w:t>18.0</w:t>
            </w:r>
          </w:p>
        </w:tc>
        <w:tc>
          <w:tcPr>
            <w:tcW w:type="dxa" w:w="864"/>
            <w:shd w:val="clear" w:color="auto" w:fill="FFD966"/>
          </w:tcPr>
          <w:p>
            <w:r/>
            <w:r>
              <w:rPr>
                <w:sz w:val="15"/>
              </w:rPr>
              <w:t>Medium</w:t>
            </w:r>
          </w:p>
        </w:tc>
      </w:tr>
      <w:tr>
        <w:tc>
          <w:tcPr>
            <w:tcW w:type="dxa" w:w="432"/>
          </w:tcPr>
          <w:p>
            <w:r/>
            <w:r>
              <w:rPr>
                <w:sz w:val="15"/>
              </w:rPr>
              <w:t>46</w:t>
            </w:r>
          </w:p>
        </w:tc>
        <w:tc>
          <w:tcPr>
            <w:tcW w:type="dxa" w:w="1296"/>
          </w:tcPr>
          <w:p>
            <w:r/>
            <w:r>
              <w:rPr>
                <w:sz w:val="15"/>
              </w:rPr>
              <w:t>§15.3(a), (c)</w:t>
            </w:r>
          </w:p>
        </w:tc>
        <w:tc>
          <w:tcPr>
            <w:tcW w:type="dxa" w:w="3888"/>
          </w:tcPr>
          <w:p>
            <w:r/>
            <w:r>
              <w:rPr>
                <w:sz w:val="15"/>
              </w:rPr>
              <w:t>Survival limited to records retention for 5 years; Section 14 (including the cap) survives “indefinitely”</w:t>
            </w:r>
          </w:p>
        </w:tc>
        <w:tc>
          <w:tcPr>
            <w:tcW w:type="dxa" w:w="1440"/>
          </w:tcPr>
          <w:p>
            <w:r/>
            <w:r>
              <w:rPr>
                <w:sz w:val="15"/>
              </w:rPr>
              <w:t>Mandatory</w:t>
            </w:r>
          </w:p>
        </w:tc>
        <w:tc>
          <w:tcPr>
            <w:tcW w:type="dxa" w:w="432"/>
          </w:tcPr>
          <w:p>
            <w:r/>
            <w:r>
              <w:rPr>
                <w:sz w:val="15"/>
              </w:rPr>
              <w:t>3</w:t>
            </w:r>
          </w:p>
        </w:tc>
        <w:tc>
          <w:tcPr>
            <w:tcW w:type="dxa" w:w="432"/>
          </w:tcPr>
          <w:p>
            <w:r/>
            <w:r>
              <w:rPr>
                <w:sz w:val="15"/>
              </w:rPr>
              <w:t>3</w:t>
            </w:r>
          </w:p>
        </w:tc>
        <w:tc>
          <w:tcPr>
            <w:tcW w:type="dxa" w:w="432"/>
          </w:tcPr>
          <w:p>
            <w:r/>
            <w:r>
              <w:rPr>
                <w:sz w:val="15"/>
              </w:rPr>
              <w:t>3</w:t>
            </w:r>
          </w:p>
        </w:tc>
        <w:tc>
          <w:tcPr>
            <w:tcW w:type="dxa" w:w="648"/>
          </w:tcPr>
          <w:p>
            <w:r/>
            <w:r>
              <w:rPr>
                <w:sz w:val="15"/>
              </w:rPr>
              <w:t>40.5</w:t>
            </w:r>
          </w:p>
        </w:tc>
        <w:tc>
          <w:tcPr>
            <w:tcW w:type="dxa" w:w="864"/>
            <w:shd w:val="clear" w:color="auto" w:fill="ED7D31"/>
          </w:tcPr>
          <w:p>
            <w:r/>
            <w:r>
              <w:rPr>
                <w:sz w:val="15"/>
              </w:rPr>
              <w:t>High</w:t>
            </w:r>
          </w:p>
        </w:tc>
      </w:tr>
      <w:tr>
        <w:tc>
          <w:tcPr>
            <w:tcW w:type="dxa" w:w="432"/>
          </w:tcPr>
          <w:p>
            <w:r/>
            <w:r>
              <w:rPr>
                <w:sz w:val="15"/>
              </w:rPr>
              <w:t>47</w:t>
            </w:r>
          </w:p>
        </w:tc>
        <w:tc>
          <w:tcPr>
            <w:tcW w:type="dxa" w:w="1296"/>
          </w:tcPr>
          <w:p>
            <w:r/>
            <w:r>
              <w:rPr>
                <w:sz w:val="15"/>
              </w:rPr>
              <w:t>§15.3</w:t>
            </w:r>
          </w:p>
        </w:tc>
        <w:tc>
          <w:tcPr>
            <w:tcW w:type="dxa" w:w="3888"/>
          </w:tcPr>
          <w:p>
            <w:r/>
            <w:r>
              <w:rPr>
                <w:sz w:val="15"/>
              </w:rPr>
              <w:t>No survival of confidentiality obligations</w:t>
            </w:r>
          </w:p>
        </w:tc>
        <w:tc>
          <w:tcPr>
            <w:tcW w:type="dxa" w:w="1440"/>
          </w:tcPr>
          <w:p>
            <w:r/>
            <w:r>
              <w:rPr>
                <w:sz w:val="15"/>
              </w:rPr>
              <w:t>Preferred</w:t>
            </w:r>
          </w:p>
        </w:tc>
        <w:tc>
          <w:tcPr>
            <w:tcW w:type="dxa" w:w="432"/>
          </w:tcPr>
          <w:p>
            <w:r/>
            <w:r>
              <w:rPr>
                <w:sz w:val="15"/>
              </w:rPr>
              <w:t>2</w:t>
            </w:r>
          </w:p>
        </w:tc>
        <w:tc>
          <w:tcPr>
            <w:tcW w:type="dxa" w:w="432"/>
          </w:tcPr>
          <w:p>
            <w:r/>
            <w:r>
              <w:rPr>
                <w:sz w:val="15"/>
              </w:rPr>
              <w:t>2</w:t>
            </w:r>
          </w:p>
        </w:tc>
        <w:tc>
          <w:tcPr>
            <w:tcW w:type="dxa" w:w="432"/>
          </w:tcPr>
          <w:p>
            <w:r/>
            <w:r>
              <w:rPr>
                <w:sz w:val="15"/>
              </w:rPr>
              <w:t>2</w:t>
            </w:r>
          </w:p>
        </w:tc>
        <w:tc>
          <w:tcPr>
            <w:tcW w:type="dxa" w:w="648"/>
          </w:tcPr>
          <w:p>
            <w:r/>
            <w:r>
              <w:rPr>
                <w:sz w:val="15"/>
              </w:rPr>
              <w:t>12.0</w:t>
            </w:r>
          </w:p>
        </w:tc>
        <w:tc>
          <w:tcPr>
            <w:tcW w:type="dxa" w:w="864"/>
            <w:shd w:val="clear" w:color="auto" w:fill="FFD966"/>
          </w:tcPr>
          <w:p>
            <w:r/>
            <w:r>
              <w:rPr>
                <w:sz w:val="15"/>
              </w:rPr>
              <w:t>Medium</w:t>
            </w:r>
          </w:p>
        </w:tc>
      </w:tr>
      <w:tr>
        <w:tc>
          <w:tcPr>
            <w:tcW w:type="dxa" w:w="432"/>
          </w:tcPr>
          <w:p>
            <w:r/>
            <w:r>
              <w:rPr>
                <w:sz w:val="15"/>
              </w:rPr>
              <w:t>48</w:t>
            </w:r>
          </w:p>
        </w:tc>
        <w:tc>
          <w:tcPr>
            <w:tcW w:type="dxa" w:w="1296"/>
          </w:tcPr>
          <w:p>
            <w:r/>
            <w:r>
              <w:rPr>
                <w:sz w:val="15"/>
              </w:rPr>
              <w:t>§16.1</w:t>
            </w:r>
          </w:p>
        </w:tc>
        <w:tc>
          <w:tcPr>
            <w:tcW w:type="dxa" w:w="3888"/>
          </w:tcPr>
          <w:p>
            <w:r/>
            <w:r>
              <w:rPr>
                <w:sz w:val="15"/>
              </w:rPr>
              <w:t>German governing law and ICC arbitration seated in Frankfurt; conflicts with MSA Article 15 (New York law; ICC seated in New York)</w:t>
            </w:r>
          </w:p>
        </w:tc>
        <w:tc>
          <w:tcPr>
            <w:tcW w:type="dxa" w:w="1440"/>
          </w:tcPr>
          <w:p>
            <w:r/>
            <w:r>
              <w:rPr>
                <w:sz w:val="15"/>
              </w:rPr>
              <w:t>Mandatory / Off-Market</w:t>
            </w:r>
          </w:p>
        </w:tc>
        <w:tc>
          <w:tcPr>
            <w:tcW w:type="dxa" w:w="432"/>
          </w:tcPr>
          <w:p>
            <w:r/>
            <w:r>
              <w:rPr>
                <w:sz w:val="15"/>
              </w:rPr>
              <w:t>3</w:t>
            </w:r>
          </w:p>
        </w:tc>
        <w:tc>
          <w:tcPr>
            <w:tcW w:type="dxa" w:w="432"/>
          </w:tcPr>
          <w:p>
            <w:r/>
            <w:r>
              <w:rPr>
                <w:sz w:val="15"/>
              </w:rPr>
              <w:t>3</w:t>
            </w:r>
          </w:p>
        </w:tc>
        <w:tc>
          <w:tcPr>
            <w:tcW w:type="dxa" w:w="432"/>
          </w:tcPr>
          <w:p>
            <w:r/>
            <w:r>
              <w:rPr>
                <w:sz w:val="15"/>
              </w:rPr>
              <w:t>3</w:t>
            </w:r>
          </w:p>
        </w:tc>
        <w:tc>
          <w:tcPr>
            <w:tcW w:type="dxa" w:w="648"/>
          </w:tcPr>
          <w:p>
            <w:r/>
            <w:r>
              <w:rPr>
                <w:sz w:val="15"/>
              </w:rPr>
              <w:t>40.5</w:t>
            </w:r>
          </w:p>
        </w:tc>
        <w:tc>
          <w:tcPr>
            <w:tcW w:type="dxa" w:w="864"/>
            <w:shd w:val="clear" w:color="auto" w:fill="ED7D31"/>
          </w:tcPr>
          <w:p>
            <w:r/>
            <w:r>
              <w:rPr>
                <w:sz w:val="15"/>
              </w:rPr>
              <w:t>High</w:t>
            </w:r>
          </w:p>
        </w:tc>
      </w:tr>
      <w:tr>
        <w:tc>
          <w:tcPr>
            <w:tcW w:type="dxa" w:w="432"/>
          </w:tcPr>
          <w:p>
            <w:r/>
            <w:r>
              <w:rPr>
                <w:sz w:val="15"/>
              </w:rPr>
              <w:t>49</w:t>
            </w:r>
          </w:p>
        </w:tc>
        <w:tc>
          <w:tcPr>
            <w:tcW w:type="dxa" w:w="1296"/>
          </w:tcPr>
          <w:p>
            <w:r/>
            <w:r>
              <w:rPr>
                <w:sz w:val="15"/>
              </w:rPr>
              <w:t>§16.3</w:t>
            </w:r>
          </w:p>
        </w:tc>
        <w:tc>
          <w:tcPr>
            <w:tcW w:type="dxa" w:w="3888"/>
          </w:tcPr>
          <w:p>
            <w:r/>
            <w:r>
              <w:rPr>
                <w:sz w:val="15"/>
              </w:rPr>
              <w:t>Notices go only to Annex A contacts; no copy to MSA §16.1 legal-notice addresses for breach, termination or dispute</w:t>
            </w:r>
          </w:p>
        </w:tc>
        <w:tc>
          <w:tcPr>
            <w:tcW w:type="dxa" w:w="1440"/>
          </w:tcPr>
          <w:p>
            <w:r/>
            <w:r>
              <w:rPr>
                <w:sz w:val="15"/>
              </w:rPr>
              <w:t>Minor</w:t>
            </w:r>
          </w:p>
        </w:tc>
        <w:tc>
          <w:tcPr>
            <w:tcW w:type="dxa" w:w="432"/>
          </w:tcPr>
          <w:p>
            <w:r/>
            <w:r>
              <w:rPr>
                <w:sz w:val="15"/>
              </w:rPr>
              <w:t>1</w:t>
            </w:r>
          </w:p>
        </w:tc>
        <w:tc>
          <w:tcPr>
            <w:tcW w:type="dxa" w:w="432"/>
          </w:tcPr>
          <w:p>
            <w:r/>
            <w:r>
              <w:rPr>
                <w:sz w:val="15"/>
              </w:rPr>
              <w:t>1</w:t>
            </w:r>
          </w:p>
        </w:tc>
        <w:tc>
          <w:tcPr>
            <w:tcW w:type="dxa" w:w="432"/>
          </w:tcPr>
          <w:p>
            <w:r/>
            <w:r>
              <w:rPr>
                <w:sz w:val="15"/>
              </w:rPr>
              <w:t>2</w:t>
            </w:r>
          </w:p>
        </w:tc>
        <w:tc>
          <w:tcPr>
            <w:tcW w:type="dxa" w:w="648"/>
          </w:tcPr>
          <w:p>
            <w:r/>
            <w:r>
              <w:rPr>
                <w:sz w:val="15"/>
              </w:rPr>
              <w:t>3.0</w:t>
            </w:r>
          </w:p>
        </w:tc>
        <w:tc>
          <w:tcPr>
            <w:tcW w:type="dxa" w:w="864"/>
            <w:shd w:val="clear" w:color="auto" w:fill="A9D08E"/>
          </w:tcPr>
          <w:p>
            <w:r/>
            <w:r>
              <w:rPr>
                <w:sz w:val="15"/>
              </w:rPr>
              <w:t>Low</w:t>
            </w:r>
          </w:p>
        </w:tc>
      </w:tr>
      <w:tr>
        <w:tc>
          <w:tcPr>
            <w:tcW w:type="dxa" w:w="432"/>
          </w:tcPr>
          <w:p>
            <w:r/>
            <w:r>
              <w:rPr>
                <w:sz w:val="15"/>
              </w:rPr>
              <w:t>50</w:t>
            </w:r>
          </w:p>
        </w:tc>
        <w:tc>
          <w:tcPr>
            <w:tcW w:type="dxa" w:w="1296"/>
          </w:tcPr>
          <w:p>
            <w:r/>
            <w:r>
              <w:rPr>
                <w:sz w:val="15"/>
              </w:rPr>
              <w:t>New §17; Annex D; §3.2(e)</w:t>
            </w:r>
          </w:p>
        </w:tc>
        <w:tc>
          <w:tcPr>
            <w:tcW w:type="dxa" w:w="3888"/>
          </w:tcPr>
          <w:p>
            <w:r/>
            <w:r>
              <w:rPr>
                <w:sz w:val="15"/>
              </w:rPr>
              <w:t>No complaint-handling provisions or Annex D; draft expressly disclaims a complaint-handling annex</w:t>
            </w:r>
          </w:p>
        </w:tc>
        <w:tc>
          <w:tcPr>
            <w:tcW w:type="dxa" w:w="1440"/>
          </w:tcPr>
          <w:p>
            <w:r/>
            <w:r>
              <w:rPr>
                <w:sz w:val="15"/>
              </w:rPr>
              <w:t>Missing Protection</w:t>
            </w:r>
          </w:p>
        </w:tc>
        <w:tc>
          <w:tcPr>
            <w:tcW w:type="dxa" w:w="432"/>
          </w:tcPr>
          <w:p>
            <w:r/>
            <w:r>
              <w:rPr>
                <w:sz w:val="15"/>
              </w:rPr>
              <w:t>4</w:t>
            </w:r>
          </w:p>
        </w:tc>
        <w:tc>
          <w:tcPr>
            <w:tcW w:type="dxa" w:w="432"/>
          </w:tcPr>
          <w:p>
            <w:r/>
            <w:r>
              <w:rPr>
                <w:sz w:val="15"/>
              </w:rPr>
              <w:t>4</w:t>
            </w:r>
          </w:p>
        </w:tc>
        <w:tc>
          <w:tcPr>
            <w:tcW w:type="dxa" w:w="432"/>
          </w:tcPr>
          <w:p>
            <w:r/>
            <w:r>
              <w:rPr>
                <w:sz w:val="15"/>
              </w:rPr>
              <w:t>4</w:t>
            </w:r>
          </w:p>
        </w:tc>
        <w:tc>
          <w:tcPr>
            <w:tcW w:type="dxa" w:w="648"/>
          </w:tcPr>
          <w:p>
            <w:r/>
            <w:r>
              <w:rPr>
                <w:sz w:val="15"/>
              </w:rPr>
              <w:t>96.0</w:t>
            </w:r>
          </w:p>
        </w:tc>
        <w:tc>
          <w:tcPr>
            <w:tcW w:type="dxa" w:w="864"/>
            <w:shd w:val="clear" w:color="auto" w:fill="C00000"/>
          </w:tcPr>
          <w:p>
            <w:r/>
            <w:r>
              <w:rPr>
                <w:sz w:val="15"/>
              </w:rPr>
              <w:t>Critical</w:t>
            </w:r>
          </w:p>
        </w:tc>
      </w:tr>
      <w:tr>
        <w:tc>
          <w:tcPr>
            <w:tcW w:type="dxa" w:w="432"/>
          </w:tcPr>
          <w:p>
            <w:r/>
            <w:r>
              <w:rPr>
                <w:sz w:val="15"/>
              </w:rPr>
              <w:t>51</w:t>
            </w:r>
          </w:p>
        </w:tc>
        <w:tc>
          <w:tcPr>
            <w:tcW w:type="dxa" w:w="1296"/>
          </w:tcPr>
          <w:p>
            <w:r/>
            <w:r>
              <w:rPr>
                <w:sz w:val="15"/>
              </w:rPr>
              <w:t>Annex C (repurposed); §2.17 new</w:t>
            </w:r>
          </w:p>
        </w:tc>
        <w:tc>
          <w:tcPr>
            <w:tcW w:type="dxa" w:w="3888"/>
          </w:tcPr>
          <w:p>
            <w:r/>
            <w:r>
              <w:rPr>
                <w:sz w:val="15"/>
              </w:rPr>
              <w:t>Required Annex C (Approved Test Methods) missing; the draft’s Annex C is a subcontractor list and the closing note disclaims a test-methods annex</w:t>
            </w:r>
          </w:p>
        </w:tc>
        <w:tc>
          <w:tcPr>
            <w:tcW w:type="dxa" w:w="1440"/>
          </w:tcPr>
          <w:p>
            <w:r/>
            <w:r>
              <w:rPr>
                <w:sz w:val="15"/>
              </w:rPr>
              <w:t>Missing Protection</w:t>
            </w:r>
          </w:p>
        </w:tc>
        <w:tc>
          <w:tcPr>
            <w:tcW w:type="dxa" w:w="432"/>
          </w:tcPr>
          <w:p>
            <w:r/>
            <w:r>
              <w:rPr>
                <w:sz w:val="15"/>
              </w:rPr>
              <w:t>4</w:t>
            </w:r>
          </w:p>
        </w:tc>
        <w:tc>
          <w:tcPr>
            <w:tcW w:type="dxa" w:w="432"/>
          </w:tcPr>
          <w:p>
            <w:r/>
            <w:r>
              <w:rPr>
                <w:sz w:val="15"/>
              </w:rPr>
              <w:t>3</w:t>
            </w:r>
          </w:p>
        </w:tc>
        <w:tc>
          <w:tcPr>
            <w:tcW w:type="dxa" w:w="432"/>
          </w:tcPr>
          <w:p>
            <w:r/>
            <w:r>
              <w:rPr>
                <w:sz w:val="15"/>
              </w:rPr>
              <w:t>3</w:t>
            </w:r>
          </w:p>
        </w:tc>
        <w:tc>
          <w:tcPr>
            <w:tcW w:type="dxa" w:w="648"/>
          </w:tcPr>
          <w:p>
            <w:r/>
            <w:r>
              <w:rPr>
                <w:sz w:val="15"/>
              </w:rPr>
              <w:t>54.0</w:t>
            </w:r>
          </w:p>
        </w:tc>
        <w:tc>
          <w:tcPr>
            <w:tcW w:type="dxa" w:w="864"/>
            <w:shd w:val="clear" w:color="auto" w:fill="C00000"/>
          </w:tcPr>
          <w:p>
            <w:r/>
            <w:r>
              <w:rPr>
                <w:sz w:val="15"/>
              </w:rPr>
              <w:t>Critical</w:t>
            </w:r>
          </w:p>
        </w:tc>
      </w:tr>
      <w:tr>
        <w:tc>
          <w:tcPr>
            <w:tcW w:type="dxa" w:w="432"/>
          </w:tcPr>
          <w:p>
            <w:r/>
            <w:r>
              <w:rPr>
                <w:sz w:val="15"/>
              </w:rPr>
              <w:t>52</w:t>
            </w:r>
          </w:p>
        </w:tc>
        <w:tc>
          <w:tcPr>
            <w:tcW w:type="dxa" w:w="1296"/>
          </w:tcPr>
          <w:p>
            <w:r/>
            <w:r>
              <w:rPr>
                <w:sz w:val="15"/>
              </w:rPr>
              <w:t>Annex B</w:t>
            </w:r>
          </w:p>
        </w:tc>
        <w:tc>
          <w:tcPr>
            <w:tcW w:type="dxa" w:w="3888"/>
          </w:tcPr>
          <w:p>
            <w:r/>
            <w:r>
              <w:rPr>
                <w:sz w:val="15"/>
              </w:rPr>
              <w:t>Specifications annex is a placeholder for both strengths</w:t>
            </w:r>
          </w:p>
        </w:tc>
        <w:tc>
          <w:tcPr>
            <w:tcW w:type="dxa" w:w="1440"/>
          </w:tcPr>
          <w:p>
            <w:r/>
            <w:r>
              <w:rPr>
                <w:sz w:val="15"/>
              </w:rPr>
              <w:t>Missing Protection</w:t>
            </w:r>
          </w:p>
        </w:tc>
        <w:tc>
          <w:tcPr>
            <w:tcW w:type="dxa" w:w="432"/>
          </w:tcPr>
          <w:p>
            <w:r/>
            <w:r>
              <w:rPr>
                <w:sz w:val="15"/>
              </w:rPr>
              <w:t>4</w:t>
            </w:r>
          </w:p>
        </w:tc>
        <w:tc>
          <w:tcPr>
            <w:tcW w:type="dxa" w:w="432"/>
          </w:tcPr>
          <w:p>
            <w:r/>
            <w:r>
              <w:rPr>
                <w:sz w:val="15"/>
              </w:rPr>
              <w:t>4</w:t>
            </w:r>
          </w:p>
        </w:tc>
        <w:tc>
          <w:tcPr>
            <w:tcW w:type="dxa" w:w="432"/>
          </w:tcPr>
          <w:p>
            <w:r/>
            <w:r>
              <w:rPr>
                <w:sz w:val="15"/>
              </w:rPr>
              <w:t>2</w:t>
            </w:r>
          </w:p>
        </w:tc>
        <w:tc>
          <w:tcPr>
            <w:tcW w:type="dxa" w:w="648"/>
          </w:tcPr>
          <w:p>
            <w:r/>
            <w:r>
              <w:rPr>
                <w:sz w:val="15"/>
              </w:rPr>
              <w:t>48.0</w:t>
            </w:r>
          </w:p>
        </w:tc>
        <w:tc>
          <w:tcPr>
            <w:tcW w:type="dxa" w:w="864"/>
            <w:shd w:val="clear" w:color="auto" w:fill="C00000"/>
          </w:tcPr>
          <w:p>
            <w:r/>
            <w:r>
              <w:rPr>
                <w:sz w:val="15"/>
              </w:rPr>
              <w:t>Critical</w:t>
            </w:r>
          </w:p>
        </w:tc>
      </w:tr>
      <w:tr>
        <w:tc>
          <w:tcPr>
            <w:tcW w:type="dxa" w:w="432"/>
          </w:tcPr>
          <w:p>
            <w:r/>
            <w:r>
              <w:rPr>
                <w:sz w:val="15"/>
              </w:rPr>
              <w:t>53</w:t>
            </w:r>
          </w:p>
        </w:tc>
        <w:tc>
          <w:tcPr>
            <w:tcW w:type="dxa" w:w="1296"/>
          </w:tcPr>
          <w:p>
            <w:r/>
            <w:r>
              <w:rPr>
                <w:sz w:val="15"/>
              </w:rPr>
              <w:t>Annex A</w:t>
            </w:r>
          </w:p>
        </w:tc>
        <w:tc>
          <w:tcPr>
            <w:tcW w:type="dxa" w:w="3888"/>
          </w:tcPr>
          <w:p>
            <w:r/>
            <w:r>
              <w:rPr>
                <w:sz w:val="15"/>
              </w:rPr>
              <w:t>Contact annex incomplete and internally inconsistent; no designated deviation/complaint contact or update procedure</w:t>
            </w:r>
          </w:p>
        </w:tc>
        <w:tc>
          <w:tcPr>
            <w:tcW w:type="dxa" w:w="1440"/>
          </w:tcPr>
          <w:p>
            <w:r/>
            <w:r>
              <w:rPr>
                <w:sz w:val="15"/>
              </w:rPr>
              <w:t>Mandatory (annex content)</w:t>
            </w:r>
          </w:p>
        </w:tc>
        <w:tc>
          <w:tcPr>
            <w:tcW w:type="dxa" w:w="432"/>
          </w:tcPr>
          <w:p>
            <w:r/>
            <w:r>
              <w:rPr>
                <w:sz w:val="15"/>
              </w:rPr>
              <w:t>2</w:t>
            </w:r>
          </w:p>
        </w:tc>
        <w:tc>
          <w:tcPr>
            <w:tcW w:type="dxa" w:w="432"/>
          </w:tcPr>
          <w:p>
            <w:r/>
            <w:r>
              <w:rPr>
                <w:sz w:val="15"/>
              </w:rPr>
              <w:t>2</w:t>
            </w:r>
          </w:p>
        </w:tc>
        <w:tc>
          <w:tcPr>
            <w:tcW w:type="dxa" w:w="432"/>
          </w:tcPr>
          <w:p>
            <w:r/>
            <w:r>
              <w:rPr>
                <w:sz w:val="15"/>
              </w:rPr>
              <w:t>3</w:t>
            </w:r>
          </w:p>
        </w:tc>
        <w:tc>
          <w:tcPr>
            <w:tcW w:type="dxa" w:w="648"/>
          </w:tcPr>
          <w:p>
            <w:r/>
            <w:r>
              <w:rPr>
                <w:sz w:val="15"/>
              </w:rPr>
              <w:t>18.0</w:t>
            </w:r>
          </w:p>
        </w:tc>
        <w:tc>
          <w:tcPr>
            <w:tcW w:type="dxa" w:w="864"/>
            <w:shd w:val="clear" w:color="auto" w:fill="FFD966"/>
          </w:tcPr>
          <w:p>
            <w:r/>
            <w:r>
              <w:rPr>
                <w:sz w:val="15"/>
              </w:rPr>
              <w:t>Medium</w:t>
            </w:r>
          </w:p>
        </w:tc>
      </w:tr>
    </w:tbl>
    <w:p>
      <w:pPr>
        <w:spacing w:after="40"/>
      </w:pPr>
    </w:p>
    <w:p>
      <w:pPr>
        <w:pStyle w:val="Heading1"/>
      </w:pPr>
      <w:r>
        <w:t>7. Clause-by-Clause Analysis</w:t>
      </w:r>
    </w:p>
    <w:p>
      <w:pPr>
        <w:spacing w:after="80"/>
      </w:pPr>
      <w:r>
        <w:rPr>
          <w:b w:val="0"/>
          <w:i/>
          <w:sz w:val="18"/>
        </w:rPr>
        <w:t>Each entry follows Rubric §10.1: section reference, description, Playbook position, Severity, domain scores (PS/RC/CF/OO), Impact Value, Likelihood, PTM, CRS, Risk Rating, recommended redline position, and escalation, together with the fallback and negotiation strategy.</w:t>
      </w:r>
    </w:p>
    <w:p>
      <w:pPr>
        <w:pStyle w:val="Heading3"/>
      </w:pPr>
      <w:r>
        <w:t>Issue #1 — Front matter; §1.1; §3.2(c): Ceritas not expressly identified as NDA holder with ultimate quality oversight; Ceritas Ireland’s role as EU MAH not delineated</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§3.1 (General Drafting Principle — “must”) — Mandatory (drafting principle)</w:t>
            </w:r>
          </w:p>
        </w:tc>
      </w:tr>
      <w:tr>
        <w:tc>
          <w:tcPr>
            <w:tcW w:type="dxa" w:w="2160"/>
            <w:shd w:val="clear" w:color="auto" w:fill="DCE6F1"/>
          </w:tcPr>
          <w:p>
            <w:r>
              <w:rPr>
                <w:b/>
              </w:rPr>
            </w:r>
            <w:r>
              <w:rPr>
                <w:b/>
                <w:sz w:val="17"/>
              </w:rPr>
              <w:t>Description of deviation</w:t>
            </w:r>
          </w:p>
        </w:tc>
        <w:tc>
          <w:tcPr>
            <w:tcW w:type="dxa" w:w="7488"/>
          </w:tcPr>
          <w:p>
            <w:r/>
            <w:r>
              <w:rPr>
                <w:sz w:val="17"/>
              </w:rPr>
              <w:t>The draft mentions NDA 215-847 and Ceritas Therapeutics Ireland DAC only in passing (§1.1, §3.2(c)); it describes the NDA as “filed” rather than approved (contrary to MSA Recital A), never states that Ceritas retains ultimate quality oversight, and does not allocate any role to Ceritas Ireland, which is not a signatory. The cover email’s “partnership” framing is not in the draft, but nothing in the draft forecloses a co-equal reading.</w:t>
            </w:r>
          </w:p>
        </w:tc>
      </w:tr>
      <w:tr>
        <w:tc>
          <w:tcPr>
            <w:tcW w:type="dxa" w:w="2160"/>
            <w:shd w:val="clear" w:color="auto" w:fill="DCE6F1"/>
          </w:tcPr>
          <w:p>
            <w:r>
              <w:rPr>
                <w:b/>
              </w:rPr>
            </w:r>
            <w:r>
              <w:rPr>
                <w:b/>
                <w:sz w:val="17"/>
              </w:rPr>
              <w:t>Regulatory / contractual basis</w:t>
            </w:r>
          </w:p>
        </w:tc>
        <w:tc>
          <w:tcPr>
            <w:tcW w:type="dxa" w:w="7488"/>
          </w:tcPr>
          <w:p>
            <w:r/>
            <w:r>
              <w:rPr>
                <w:sz w:val="17"/>
              </w:rPr>
              <w:t>21 CFR 200.10(b) (contract facility is an extension of the manufacturer; NDA holder remains responsible); FDA Guidance, Contract Manufacturing Arrangements for Drugs: Quality Agreements (2016); ICH Q10 §2.7 (management of outsourced activities); Directive 2001/83/EC (MAH obligations); MSA Recitals A–B, §16.8 (independent contractors), §16.9 (Ceritas Ireland as third-party beneficiary).</w:t>
            </w:r>
          </w:p>
        </w:tc>
      </w:tr>
      <w:tr>
        <w:tc>
          <w:tcPr>
            <w:tcW w:type="dxa" w:w="2160"/>
            <w:shd w:val="clear" w:color="auto" w:fill="DCE6F1"/>
          </w:tcPr>
          <w:p>
            <w:r>
              <w:rPr>
                <w:b/>
              </w:rPr>
            </w:r>
            <w:r>
              <w:rPr>
                <w:b/>
                <w:sz w:val="17"/>
              </w:rPr>
              <w:t>Risk scoring</w:t>
            </w:r>
          </w:p>
        </w:tc>
        <w:tc>
          <w:tcPr>
            <w:tcW w:type="dxa" w:w="7488"/>
            <w:shd w:val="clear" w:color="auto" w:fill="FCE4D6"/>
          </w:tcPr>
          <w:p>
            <w:r/>
            <w:r>
              <w:rPr>
                <w:sz w:val="17"/>
              </w:rPr>
              <w:t>SV 2 (Moderate); PS 1 / RC 3 / CF 1 / OO 2 → IV 3; LS 3 (Likely); PTM 1.5 → CRS 27.0 = High Risk. Drafting gap rather than a substantive transfer of authority (SV 2); but absent MAH delineation, EU-market rights may be challenged (RC 3). Relevant to every EU batch (LS 3).</w:t>
            </w:r>
          </w:p>
        </w:tc>
      </w:tr>
      <w:tr>
        <w:tc>
          <w:tcPr>
            <w:tcW w:type="dxa" w:w="2160"/>
            <w:shd w:val="clear" w:color="auto" w:fill="DCE6F1"/>
          </w:tcPr>
          <w:p>
            <w:r>
              <w:rPr>
                <w:b/>
              </w:rPr>
            </w:r>
            <w:r>
              <w:rPr>
                <w:b/>
                <w:sz w:val="17"/>
              </w:rPr>
              <w:t>Recommended position (redline)</w:t>
            </w:r>
          </w:p>
        </w:tc>
        <w:tc>
          <w:tcPr>
            <w:tcW w:type="dxa" w:w="7488"/>
          </w:tcPr>
          <w:p>
            <w:r/>
            <w:r>
              <w:rPr>
                <w:sz w:val="17"/>
              </w:rPr>
              <w:t>Redline adds a new paragraph in §1.1 (NDA holder / EU MAH identification; ultimate quality oversight; no partnership or co-equal authority, tied to MSA §16.8), corrects “filed” to “approved”, adds new §3.4 (Role of Ceritas Ireland; Ceritas may exercise all rights on its behalf; third-party-beneficiary acknowledgment), and adds a Ceritas Ireland acknowledgment block on the signature page.</w:t>
            </w:r>
          </w:p>
        </w:tc>
      </w:tr>
      <w:tr>
        <w:tc>
          <w:tcPr>
            <w:tcW w:type="dxa" w:w="2160"/>
            <w:shd w:val="clear" w:color="auto" w:fill="DCE6F1"/>
          </w:tcPr>
          <w:p>
            <w:r>
              <w:rPr>
                <w:b/>
              </w:rPr>
            </w:r>
            <w:r>
              <w:rPr>
                <w:b/>
                <w:sz w:val="17"/>
              </w:rPr>
              <w:t>Fallback position</w:t>
            </w:r>
          </w:p>
        </w:tc>
        <w:tc>
          <w:tcPr>
            <w:tcW w:type="dxa" w:w="7488"/>
          </w:tcPr>
          <w:p>
            <w:r/>
            <w:r>
              <w:rPr>
                <w:sz w:val="17"/>
              </w:rPr>
              <w:t>No Playbook fallback. If Pinnacle resists a Ceritas Ireland acknowledgment block, accept a recital-level identification plus §3.4, provided the “ultimate oversight” sentence stays.</w:t>
            </w:r>
          </w:p>
        </w:tc>
      </w:tr>
      <w:tr>
        <w:tc>
          <w:tcPr>
            <w:tcW w:type="dxa" w:w="2160"/>
            <w:shd w:val="clear" w:color="auto" w:fill="DCE6F1"/>
          </w:tcPr>
          <w:p>
            <w:r>
              <w:rPr>
                <w:b/>
              </w:rPr>
            </w:r>
            <w:r>
              <w:rPr>
                <w:b/>
                <w:sz w:val="17"/>
              </w:rPr>
              <w:t>Negotiation strategy</w:t>
            </w:r>
          </w:p>
        </w:tc>
        <w:tc>
          <w:tcPr>
            <w:tcW w:type="dxa" w:w="7488"/>
          </w:tcPr>
          <w:p>
            <w:r/>
            <w:r>
              <w:rPr>
                <w:sz w:val="17"/>
              </w:rPr>
              <w:t>Low-friction ask: present as a conformity point with MSA Recitals A–B and §16.9, which Pinnacle has already signed. Use it to anchor the rest of the authority-allocation edits.</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#2 — §1.2 Scope: Scope omits incoming-material testing, tertiary packaging, serialization, validated shipping and investigations required by the MSA</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§1.3 (gap rule: silence on a Playbook topic is a gap); MSA §2.2 — Missing Protection</w:t>
            </w:r>
          </w:p>
        </w:tc>
      </w:tr>
      <w:tr>
        <w:tc>
          <w:tcPr>
            <w:tcW w:type="dxa" w:w="2160"/>
            <w:shd w:val="clear" w:color="auto" w:fill="DCE6F1"/>
          </w:tcPr>
          <w:p>
            <w:r>
              <w:rPr>
                <w:b/>
              </w:rPr>
            </w:r>
            <w:r>
              <w:rPr>
                <w:b/>
                <w:sz w:val="17"/>
              </w:rPr>
              <w:t>Description of deviation</w:t>
            </w:r>
          </w:p>
        </w:tc>
        <w:tc>
          <w:tcPr>
            <w:tcW w:type="dxa" w:w="7488"/>
          </w:tcPr>
          <w:p>
            <w:r/>
            <w:r>
              <w:rPr>
                <w:sz w:val="17"/>
              </w:rPr>
              <w:t>Scope covers manufacture, IPC, release testing, primary/secondary packaging, stability, storage and “shipment arrangements” only. MSA §2.2 also requires receipt testing of incoming materials and API, tertiary packaging, DSCSA and EU FMD serialization/aggregation, validated temperature-controlled shipping, and investigations of deviations and OOS results.</w:t>
            </w:r>
          </w:p>
        </w:tc>
      </w:tr>
      <w:tr>
        <w:tc>
          <w:tcPr>
            <w:tcW w:type="dxa" w:w="2160"/>
            <w:shd w:val="clear" w:color="auto" w:fill="DCE6F1"/>
          </w:tcPr>
          <w:p>
            <w:r>
              <w:rPr>
                <w:b/>
              </w:rPr>
            </w:r>
            <w:r>
              <w:rPr>
                <w:b/>
                <w:sz w:val="17"/>
              </w:rPr>
              <w:t>Regulatory / contractual basis</w:t>
            </w:r>
          </w:p>
        </w:tc>
        <w:tc>
          <w:tcPr>
            <w:tcW w:type="dxa" w:w="7488"/>
          </w:tcPr>
          <w:p>
            <w:r/>
            <w:r>
              <w:rPr>
                <w:sz w:val="17"/>
              </w:rPr>
              <w:t>21 CFR 211.84 (testing of components); DSCSA (21 U.S.C. §360eee-1); Directive 2011/62/EU and Delegated Regulation (EU) 2016/161 (safety features); EU GMP Chapter 5; MSA §2.2(a), (d), (g), (h).</w:t>
            </w:r>
          </w:p>
        </w:tc>
      </w:tr>
      <w:tr>
        <w:tc>
          <w:tcPr>
            <w:tcW w:type="dxa" w:w="2160"/>
            <w:shd w:val="clear" w:color="auto" w:fill="DCE6F1"/>
          </w:tcPr>
          <w:p>
            <w:r>
              <w:rPr>
                <w:b/>
              </w:rPr>
            </w:r>
            <w:r>
              <w:rPr>
                <w:b/>
                <w:sz w:val="17"/>
              </w:rPr>
              <w:t>Risk scoring</w:t>
            </w:r>
          </w:p>
        </w:tc>
        <w:tc>
          <w:tcPr>
            <w:tcW w:type="dxa" w:w="7488"/>
            <w:shd w:val="clear" w:color="auto" w:fill="FCE4D6"/>
          </w:tcPr>
          <w:p>
            <w:r/>
            <w:r>
              <w:rPr>
                <w:sz w:val="17"/>
              </w:rPr>
              <w:t>SV 2 (Moderate); PS 2 / RC 3 / CF 2 / OO 2 → IV 3; LS 3 (Likely); PTM 1.5 → CRS 27.0 = High Risk. Activities are covered commercially by the MSA but not subject to QA-level quality controls (SV 2); serialization non-compliance is a regulatory exposure (RC 3).</w:t>
            </w:r>
          </w:p>
        </w:tc>
      </w:tr>
      <w:tr>
        <w:tc>
          <w:tcPr>
            <w:tcW w:type="dxa" w:w="2160"/>
            <w:shd w:val="clear" w:color="auto" w:fill="DCE6F1"/>
          </w:tcPr>
          <w:p>
            <w:r>
              <w:rPr>
                <w:b/>
              </w:rPr>
            </w:r>
            <w:r>
              <w:rPr>
                <w:b/>
                <w:sz w:val="17"/>
              </w:rPr>
              <w:t>Recommended position (redline)</w:t>
            </w:r>
          </w:p>
        </w:tc>
        <w:tc>
          <w:tcPr>
            <w:tcW w:type="dxa" w:w="7488"/>
          </w:tcPr>
          <w:p>
            <w:r/>
            <w:r>
              <w:rPr>
                <w:sz w:val="17"/>
              </w:rPr>
              <w:t>Expand §1.2 to add tertiary packaging, storage of API/materials/WIP, validated temperature-controlled shipment, incoming-material testing (new (h)), serialization/aggregation (new (i)) and investigations (new (j)).</w:t>
            </w:r>
          </w:p>
        </w:tc>
      </w:tr>
      <w:tr>
        <w:tc>
          <w:tcPr>
            <w:tcW w:type="dxa" w:w="2160"/>
            <w:shd w:val="clear" w:color="auto" w:fill="DCE6F1"/>
          </w:tcPr>
          <w:p>
            <w:r>
              <w:rPr>
                <w:b/>
              </w:rPr>
            </w:r>
            <w:r>
              <w:rPr>
                <w:b/>
                <w:sz w:val="17"/>
              </w:rPr>
              <w:t>Fallback position</w:t>
            </w:r>
          </w:p>
        </w:tc>
        <w:tc>
          <w:tcPr>
            <w:tcW w:type="dxa" w:w="7488"/>
          </w:tcPr>
          <w:p>
            <w:r/>
            <w:r>
              <w:rPr>
                <w:sz w:val="17"/>
              </w:rPr>
              <w:t>Accept cross-reference to MSA §2.2 in lieu of itemization, provided the QA states that all MSA §2.2 Services are cGMP activities within scope.</w:t>
            </w:r>
          </w:p>
        </w:tc>
      </w:tr>
      <w:tr>
        <w:tc>
          <w:tcPr>
            <w:tcW w:type="dxa" w:w="2160"/>
            <w:shd w:val="clear" w:color="auto" w:fill="DCE6F1"/>
          </w:tcPr>
          <w:p>
            <w:r>
              <w:rPr>
                <w:b/>
              </w:rPr>
            </w:r>
            <w:r>
              <w:rPr>
                <w:b/>
                <w:sz w:val="17"/>
              </w:rPr>
              <w:t>Negotiation strategy</w:t>
            </w:r>
          </w:p>
        </w:tc>
        <w:tc>
          <w:tcPr>
            <w:tcW w:type="dxa" w:w="7488"/>
          </w:tcPr>
          <w:p>
            <w:r/>
            <w:r>
              <w:rPr>
                <w:sz w:val="17"/>
              </w:rPr>
              <w:t>Present as conforming the QA to the MSA scope; Pinnacle should not resist since it already performs these services.</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#3 — §1.4 Conflict with MSA; §14.2: Order-of-precedence clause would let the QA’s liability terms override the MSA; indemnity “taken into account” language dilutes MSA Article 10</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§1.3, §15.1; MSA §4.3, §11.3, Article 10 — Off-Market</w:t>
            </w:r>
          </w:p>
        </w:tc>
      </w:tr>
      <w:tr>
        <w:tc>
          <w:tcPr>
            <w:tcW w:type="dxa" w:w="2160"/>
            <w:shd w:val="clear" w:color="auto" w:fill="DCE6F1"/>
          </w:tcPr>
          <w:p>
            <w:r>
              <w:rPr>
                <w:b/>
              </w:rPr>
            </w:r>
            <w:r>
              <w:rPr>
                <w:b/>
                <w:sz w:val="17"/>
              </w:rPr>
              <w:t>Description of deviation</w:t>
            </w:r>
          </w:p>
        </w:tc>
        <w:tc>
          <w:tcPr>
            <w:tcW w:type="dxa" w:w="7488"/>
          </w:tcPr>
          <w:p>
            <w:r/>
            <w:r>
              <w:rPr>
                <w:sz w:val="17"/>
              </w:rPr>
              <w:t>§1.4(a) gives the QA precedence on “quality, cGMP compliance, regulatory compliance” matters. Read with §14.1 (EUR 2M cap) and §14.2, Pinnacle can argue that quality-failure liability is a “quality matter” governed by the QA cap rather than the MSA §11.3(d) carve-out. §14.2 says QA provisions “shall be taken into account” in determining indemnity responsibility, inviting argument that MSA indemnities are qualified.</w:t>
            </w:r>
          </w:p>
        </w:tc>
      </w:tr>
      <w:tr>
        <w:tc>
          <w:tcPr>
            <w:tcW w:type="dxa" w:w="2160"/>
            <w:shd w:val="clear" w:color="auto" w:fill="DCE6F1"/>
          </w:tcPr>
          <w:p>
            <w:r>
              <w:rPr>
                <w:b/>
              </w:rPr>
            </w:r>
            <w:r>
              <w:rPr>
                <w:b/>
                <w:sz w:val="17"/>
              </w:rPr>
              <w:t>Regulatory / contractual basis</w:t>
            </w:r>
          </w:p>
        </w:tc>
        <w:tc>
          <w:tcPr>
            <w:tcW w:type="dxa" w:w="7488"/>
          </w:tcPr>
          <w:p>
            <w:r/>
            <w:r>
              <w:rPr>
                <w:sz w:val="17"/>
              </w:rPr>
              <w:t>MSA §4.3 (MSA controls liability, indemnification, confidentiality, IP and dispute resolution); MSA §11.3(d) (no cap for quality/cGMP failure losses); MSA §10.1(a), (c).</w:t>
            </w:r>
          </w:p>
        </w:tc>
      </w:tr>
      <w:tr>
        <w:tc>
          <w:tcPr>
            <w:tcW w:type="dxa" w:w="2160"/>
            <w:shd w:val="clear" w:color="auto" w:fill="DCE6F1"/>
          </w:tcPr>
          <w:p>
            <w:r>
              <w:rPr>
                <w:b/>
              </w:rPr>
            </w:r>
            <w:r>
              <w:rPr>
                <w:b/>
                <w:sz w:val="17"/>
              </w:rPr>
              <w:t>Risk scoring</w:t>
            </w:r>
          </w:p>
        </w:tc>
        <w:tc>
          <w:tcPr>
            <w:tcW w:type="dxa" w:w="7488"/>
            <w:shd w:val="clear" w:color="auto" w:fill="FCE4D6"/>
          </w:tcPr>
          <w:p>
            <w:r/>
            <w:r>
              <w:rPr>
                <w:sz w:val="17"/>
              </w:rPr>
              <w:t>SV 3 (Major); PS 1 / RC 1 / CF 4 / OO 1 → IV 4; LS 2 (Possible); PTM 1.5 → CRS 36.0 = High Risk. Could neutralize the uncapped MSA quality carve-out (CF 4). Triggered only if a significant quality claim arises (LS 2). Off-Market drafting technique; automatic escalation to AGC.</w:t>
            </w:r>
          </w:p>
        </w:tc>
      </w:tr>
      <w:tr>
        <w:tc>
          <w:tcPr>
            <w:tcW w:type="dxa" w:w="2160"/>
            <w:shd w:val="clear" w:color="auto" w:fill="DCE6F1"/>
          </w:tcPr>
          <w:p>
            <w:r>
              <w:rPr>
                <w:b/>
              </w:rPr>
            </w:r>
            <w:r>
              <w:rPr>
                <w:b/>
                <w:sz w:val="17"/>
              </w:rPr>
              <w:t>Recommended position (redline)</w:t>
            </w:r>
          </w:p>
        </w:tc>
        <w:tc>
          <w:tcPr>
            <w:tcW w:type="dxa" w:w="7488"/>
          </w:tcPr>
          <w:p>
            <w:r/>
            <w:r>
              <w:rPr>
                <w:sz w:val="17"/>
              </w:rPr>
              <w:t>Redline §1.4(b) to list financial terms, confidentiality, indemnification, limitation of liability, governing law and dispute resolution as MSA-governed (mirroring MSA §4.3) and adds §1.4(c): nothing in the QA limits any liability, indemnity or remedy under the MSA. §14.2 revised so QA allocation may be used to establish causation only.</w:t>
            </w:r>
          </w:p>
        </w:tc>
      </w:tr>
      <w:tr>
        <w:tc>
          <w:tcPr>
            <w:tcW w:type="dxa" w:w="2160"/>
            <w:shd w:val="clear" w:color="auto" w:fill="DCE6F1"/>
          </w:tcPr>
          <w:p>
            <w:r>
              <w:rPr>
                <w:b/>
              </w:rPr>
            </w:r>
            <w:r>
              <w:rPr>
                <w:b/>
                <w:sz w:val="17"/>
              </w:rPr>
              <w:t>Fallback position</w:t>
            </w:r>
          </w:p>
        </w:tc>
        <w:tc>
          <w:tcPr>
            <w:tcW w:type="dxa" w:w="7488"/>
          </w:tcPr>
          <w:p>
            <w:r/>
            <w:r>
              <w:rPr>
                <w:sz w:val="17"/>
              </w:rPr>
              <w:t>None; this is a legal-integrity point. Wording can flex, substance cannot.</w:t>
            </w:r>
          </w:p>
        </w:tc>
      </w:tr>
      <w:tr>
        <w:tc>
          <w:tcPr>
            <w:tcW w:type="dxa" w:w="2160"/>
            <w:shd w:val="clear" w:color="auto" w:fill="DCE6F1"/>
          </w:tcPr>
          <w:p>
            <w:r>
              <w:rPr>
                <w:b/>
              </w:rPr>
            </w:r>
            <w:r>
              <w:rPr>
                <w:b/>
                <w:sz w:val="17"/>
              </w:rPr>
              <w:t>Negotiation strategy</w:t>
            </w:r>
          </w:p>
        </w:tc>
        <w:tc>
          <w:tcPr>
            <w:tcW w:type="dxa" w:w="7488"/>
          </w:tcPr>
          <w:p>
            <w:r/>
            <w:r>
              <w:rPr>
                <w:sz w:val="17"/>
              </w:rPr>
              <w:t>Frame as housekeeping that simply restates MSA §4.3. If Pinnacle resists, that reveals intent to use the QA to re-trade the MSA: escalate to GC-to-GC (Hadley/Reinhardt).</w:t>
            </w:r>
          </w:p>
        </w:tc>
      </w:tr>
      <w:tr>
        <w:tc>
          <w:tcPr>
            <w:tcW w:type="dxa" w:w="2160"/>
            <w:shd w:val="clear" w:color="auto" w:fill="DCE6F1"/>
          </w:tcPr>
          <w:p>
            <w:r>
              <w:rPr>
                <w:b/>
              </w:rPr>
            </w:r>
            <w:r>
              <w:rPr>
                <w:b/>
                <w:sz w:val="17"/>
              </w:rPr>
              <w:t>Escalation (Rubric §9)</w:t>
            </w:r>
          </w:p>
        </w:tc>
        <w:tc>
          <w:tcPr>
            <w:tcW w:type="dxa" w:w="7488"/>
          </w:tcPr>
          <w:p>
            <w:r/>
            <w:r>
              <w:rPr>
                <w:sz w:val="17"/>
              </w:rPr>
              <w:t>AGC (Rubric §9.2(a)); AGC — Off-Market Term (Rubric §9.2(c))</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#4 — §2.5, §2.9, §6.1 ¶1: Deviation classification controlled solely by Pinnacle SOP; Critical Deviation definition omits recall/field-alert and OOS triggers</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§5.1 (definitions embedded in Mandatory Position); Rubric §4.3 (higher-tier default) — Mandatory</w:t>
            </w:r>
          </w:p>
        </w:tc>
      </w:tr>
      <w:tr>
        <w:tc>
          <w:tcPr>
            <w:tcW w:type="dxa" w:w="2160"/>
            <w:shd w:val="clear" w:color="auto" w:fill="DCE6F1"/>
          </w:tcPr>
          <w:p>
            <w:r>
              <w:rPr>
                <w:b/>
              </w:rPr>
            </w:r>
            <w:r>
              <w:rPr>
                <w:b/>
                <w:sz w:val="17"/>
              </w:rPr>
              <w:t>Description of deviation</w:t>
            </w:r>
          </w:p>
        </w:tc>
        <w:tc>
          <w:tcPr>
            <w:tcW w:type="dxa" w:w="7488"/>
          </w:tcPr>
          <w:p>
            <w:r/>
            <w:r>
              <w:rPr>
                <w:sz w:val="17"/>
              </w:rPr>
              <w:t>Deviations are classified under “Pinnacle’s deviation classification SOP” with no Ceritas right to review or reclassify. The draft’s Critical Deviation definition lacks the Playbook triggers (potential nonconforming product, patient-safety risk, potential field alert or recall). Under-classification would move events from 24-hour to longer reporting windows.</w:t>
            </w:r>
          </w:p>
        </w:tc>
      </w:tr>
      <w:tr>
        <w:tc>
          <w:tcPr>
            <w:tcW w:type="dxa" w:w="2160"/>
            <w:shd w:val="clear" w:color="auto" w:fill="DCE6F1"/>
          </w:tcPr>
          <w:p>
            <w:r>
              <w:rPr>
                <w:b/>
              </w:rPr>
            </w:r>
            <w:r>
              <w:rPr>
                <w:b/>
                <w:sz w:val="17"/>
              </w:rPr>
              <w:t>Regulatory / contractual basis</w:t>
            </w:r>
          </w:p>
        </w:tc>
        <w:tc>
          <w:tcPr>
            <w:tcW w:type="dxa" w:w="7488"/>
          </w:tcPr>
          <w:p>
            <w:r/>
            <w:r>
              <w:rPr>
                <w:sz w:val="17"/>
              </w:rPr>
              <w:t>21 CFR 211.192 (thorough investigation of unexplained discrepancies; QCU review); 21 CFR 211.22(a); EU GMP Chapter 1 §1.4(xiv), Chapter 8; ICH Q9 (risk-based classification).</w:t>
            </w:r>
          </w:p>
        </w:tc>
      </w:tr>
      <w:tr>
        <w:tc>
          <w:tcPr>
            <w:tcW w:type="dxa" w:w="2160"/>
            <w:shd w:val="clear" w:color="auto" w:fill="DCE6F1"/>
          </w:tcPr>
          <w:p>
            <w:r>
              <w:rPr>
                <w:b/>
              </w:rPr>
            </w:r>
            <w:r>
              <w:rPr>
                <w:b/>
                <w:sz w:val="17"/>
              </w:rPr>
              <w:t>Risk scoring</w:t>
            </w:r>
          </w:p>
        </w:tc>
        <w:tc>
          <w:tcPr>
            <w:tcW w:type="dxa" w:w="7488"/>
            <w:shd w:val="clear" w:color="auto" w:fill="FCE4D6"/>
          </w:tcPr>
          <w:p>
            <w:r/>
            <w:r>
              <w:rPr>
                <w:sz w:val="17"/>
              </w:rPr>
              <w:t>SV 2 (Moderate); PS 3 / RC 2 / CF 1 / OO 3 → IV 3; LS 3 (Likely); PTM 1.5 → CRS 27.0 = High Risk. Classification is the gate for every notification and CAPA right (OO 3, PS 3). Disagreements are likely over a multi-year term (LS 3).</w:t>
            </w:r>
          </w:p>
        </w:tc>
      </w:tr>
      <w:tr>
        <w:tc>
          <w:tcPr>
            <w:tcW w:type="dxa" w:w="2160"/>
            <w:shd w:val="clear" w:color="auto" w:fill="DCE6F1"/>
          </w:tcPr>
          <w:p>
            <w:r>
              <w:rPr>
                <w:b/>
              </w:rPr>
            </w:r>
            <w:r>
              <w:rPr>
                <w:b/>
                <w:sz w:val="17"/>
              </w:rPr>
              <w:t>Recommended position (redline)</w:t>
            </w:r>
          </w:p>
        </w:tc>
        <w:tc>
          <w:tcPr>
            <w:tcW w:type="dxa" w:w="7488"/>
          </w:tcPr>
          <w:p>
            <w:r/>
            <w:r>
              <w:rPr>
                <w:sz w:val="17"/>
              </w:rPr>
              <w:t>Redline adds Playbook triggers to the §2.5 definition, gives Ceritas a right to reclassify (Ceritas prevails), and requires uncertain classifications to be treated as the higher class pending resolution.</w:t>
            </w:r>
          </w:p>
        </w:tc>
      </w:tr>
      <w:tr>
        <w:tc>
          <w:tcPr>
            <w:tcW w:type="dxa" w:w="2160"/>
            <w:shd w:val="clear" w:color="auto" w:fill="DCE6F1"/>
          </w:tcPr>
          <w:p>
            <w:r>
              <w:rPr>
                <w:b/>
              </w:rPr>
            </w:r>
            <w:r>
              <w:rPr>
                <w:b/>
                <w:sz w:val="17"/>
              </w:rPr>
              <w:t>Fallback position</w:t>
            </w:r>
          </w:p>
        </w:tc>
        <w:tc>
          <w:tcPr>
            <w:tcW w:type="dxa" w:w="7488"/>
          </w:tcPr>
          <w:p>
            <w:r/>
            <w:r>
              <w:rPr>
                <w:sz w:val="17"/>
              </w:rPr>
              <w:t>Accept Pinnacle SOP as the initial classification tool if Ceritas retains the reclassification right and the higher-class default.</w:t>
            </w:r>
          </w:p>
        </w:tc>
      </w:tr>
      <w:tr>
        <w:tc>
          <w:tcPr>
            <w:tcW w:type="dxa" w:w="2160"/>
            <w:shd w:val="clear" w:color="auto" w:fill="DCE6F1"/>
          </w:tcPr>
          <w:p>
            <w:r>
              <w:rPr>
                <w:b/>
              </w:rPr>
            </w:r>
            <w:r>
              <w:rPr>
                <w:b/>
                <w:sz w:val="17"/>
              </w:rPr>
              <w:t>Negotiation strategy</w:t>
            </w:r>
          </w:p>
        </w:tc>
        <w:tc>
          <w:tcPr>
            <w:tcW w:type="dxa" w:w="7488"/>
          </w:tcPr>
          <w:p>
            <w:r/>
            <w:r>
              <w:rPr>
                <w:sz w:val="17"/>
              </w:rPr>
              <w:t>Pair with the deviation-timeline asks; argue that a reclassification right costs Pinnacle nothing if its SOP classifies correctly.</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#5 — §2.6, §3.1(b): Facility described as “EMA-authorized”</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Rubric §4.2.4 (terminology) — Minor</w:t>
            </w:r>
          </w:p>
        </w:tc>
      </w:tr>
      <w:tr>
        <w:tc>
          <w:tcPr>
            <w:tcW w:type="dxa" w:w="2160"/>
            <w:shd w:val="clear" w:color="auto" w:fill="DCE6F1"/>
          </w:tcPr>
          <w:p>
            <w:r>
              <w:rPr>
                <w:b/>
              </w:rPr>
            </w:r>
            <w:r>
              <w:rPr>
                <w:b/>
                <w:sz w:val="17"/>
              </w:rPr>
              <w:t>Description of deviation</w:t>
            </w:r>
          </w:p>
        </w:tc>
        <w:tc>
          <w:tcPr>
            <w:tcW w:type="dxa" w:w="7488"/>
          </w:tcPr>
          <w:p>
            <w:r/>
            <w:r>
              <w:rPr>
                <w:sz w:val="17"/>
              </w:rPr>
              <w:t>Manufacturing authorisations are issued by the national competent authority under Directive 2001/83/EC Art 40, not by EMA.</w:t>
            </w:r>
          </w:p>
        </w:tc>
      </w:tr>
      <w:tr>
        <w:tc>
          <w:tcPr>
            <w:tcW w:type="dxa" w:w="2160"/>
            <w:shd w:val="clear" w:color="auto" w:fill="DCE6F1"/>
          </w:tcPr>
          <w:p>
            <w:r>
              <w:rPr>
                <w:b/>
              </w:rPr>
            </w:r>
            <w:r>
              <w:rPr>
                <w:b/>
                <w:sz w:val="17"/>
              </w:rPr>
              <w:t>Regulatory / contractual basis</w:t>
            </w:r>
          </w:p>
        </w:tc>
        <w:tc>
          <w:tcPr>
            <w:tcW w:type="dxa" w:w="7488"/>
          </w:tcPr>
          <w:p>
            <w:r/>
            <w:r>
              <w:rPr>
                <w:sz w:val="17"/>
              </w:rPr>
              <w:t>Directive 2001/83/EC Art 40–41.</w:t>
            </w:r>
          </w:p>
        </w:tc>
      </w:tr>
      <w:tr>
        <w:tc>
          <w:tcPr>
            <w:tcW w:type="dxa" w:w="2160"/>
            <w:shd w:val="clear" w:color="auto" w:fill="DCE6F1"/>
          </w:tcPr>
          <w:p>
            <w:r>
              <w:rPr>
                <w:b/>
              </w:rPr>
            </w:r>
            <w:r>
              <w:rPr>
                <w:b/>
                <w:sz w:val="17"/>
              </w:rPr>
              <w:t>Risk scoring</w:t>
            </w:r>
          </w:p>
        </w:tc>
        <w:tc>
          <w:tcPr>
            <w:tcW w:type="dxa" w:w="7488"/>
            <w:shd w:val="clear" w:color="auto" w:fill="E2EFDA"/>
          </w:tcPr>
          <w:p>
            <w:r/>
            <w:r>
              <w:rPr>
                <w:sz w:val="17"/>
              </w:rPr>
              <w:t>SV 1 (Minor); PS 1 / RC 2 / CF 1 / OO 1 → IV 2; LS 2 (Possible); PTM 1.5 → CRS 6.0 = Low Risk. Terminological only.</w:t>
            </w:r>
          </w:p>
        </w:tc>
      </w:tr>
      <w:tr>
        <w:tc>
          <w:tcPr>
            <w:tcW w:type="dxa" w:w="2160"/>
            <w:shd w:val="clear" w:color="auto" w:fill="DCE6F1"/>
          </w:tcPr>
          <w:p>
            <w:r>
              <w:rPr>
                <w:b/>
              </w:rPr>
            </w:r>
            <w:r>
              <w:rPr>
                <w:b/>
                <w:sz w:val="17"/>
              </w:rPr>
              <w:t>Recommended position (redline)</w:t>
            </w:r>
          </w:p>
        </w:tc>
        <w:tc>
          <w:tcPr>
            <w:tcW w:type="dxa" w:w="7488"/>
          </w:tcPr>
          <w:p>
            <w:r/>
            <w:r>
              <w:rPr>
                <w:sz w:val="17"/>
              </w:rPr>
              <w:t>Redline corrects to an Art 40 manufacturing authorisation issued by the German competent authority.</w:t>
            </w:r>
          </w:p>
        </w:tc>
      </w:tr>
      <w:tr>
        <w:tc>
          <w:tcPr>
            <w:tcW w:type="dxa" w:w="2160"/>
            <w:shd w:val="clear" w:color="auto" w:fill="DCE6F1"/>
          </w:tcPr>
          <w:p>
            <w:r>
              <w:rPr>
                <w:b/>
              </w:rPr>
            </w:r>
            <w:r>
              <w:rPr>
                <w:b/>
                <w:sz w:val="17"/>
              </w:rPr>
              <w:t>Fallback position</w:t>
            </w:r>
          </w:p>
        </w:tc>
        <w:tc>
          <w:tcPr>
            <w:tcW w:type="dxa" w:w="7488"/>
          </w:tcPr>
          <w:p>
            <w:r/>
            <w:r>
              <w:rPr>
                <w:sz w:val="17"/>
              </w:rPr>
              <w:t>N/A.</w:t>
            </w:r>
          </w:p>
        </w:tc>
      </w:tr>
      <w:tr>
        <w:tc>
          <w:tcPr>
            <w:tcW w:type="dxa" w:w="2160"/>
            <w:shd w:val="clear" w:color="auto" w:fill="DCE6F1"/>
          </w:tcPr>
          <w:p>
            <w:r>
              <w:rPr>
                <w:b/>
              </w:rPr>
            </w:r>
            <w:r>
              <w:rPr>
                <w:b/>
                <w:sz w:val="17"/>
              </w:rPr>
              <w:t>Negotiation strategy</w:t>
            </w:r>
          </w:p>
        </w:tc>
        <w:tc>
          <w:tcPr>
            <w:tcW w:type="dxa" w:w="7488"/>
          </w:tcPr>
          <w:p>
            <w:r/>
            <w:r>
              <w:rPr>
                <w:sz w:val="17"/>
              </w:rPr>
              <w:t>Housekeeping.</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#6 — §3.3(c), §3.3 (monthly report): Quality review meeting frequency “mutually agreed”; monthly quality summary report referenced but never defined</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§3.2 (specificity of obligations) — Preferred</w:t>
            </w:r>
          </w:p>
        </w:tc>
      </w:tr>
      <w:tr>
        <w:tc>
          <w:tcPr>
            <w:tcW w:type="dxa" w:w="2160"/>
            <w:shd w:val="clear" w:color="auto" w:fill="DCE6F1"/>
          </w:tcPr>
          <w:p>
            <w:r>
              <w:rPr>
                <w:b/>
              </w:rPr>
            </w:r>
            <w:r>
              <w:rPr>
                <w:b/>
                <w:sz w:val="17"/>
              </w:rPr>
              <w:t>Description of deviation</w:t>
            </w:r>
          </w:p>
        </w:tc>
        <w:tc>
          <w:tcPr>
            <w:tcW w:type="dxa" w:w="7488"/>
          </w:tcPr>
          <w:p>
            <w:r/>
            <w:r>
              <w:rPr>
                <w:sz w:val="17"/>
              </w:rPr>
              <w:t>No minimum meeting cadence. The monthly quality summary report on which §6.1(b) and §6.3 rely has no content or due date.</w:t>
            </w:r>
          </w:p>
        </w:tc>
      </w:tr>
      <w:tr>
        <w:tc>
          <w:tcPr>
            <w:tcW w:type="dxa" w:w="2160"/>
            <w:shd w:val="clear" w:color="auto" w:fill="DCE6F1"/>
          </w:tcPr>
          <w:p>
            <w:r>
              <w:rPr>
                <w:b/>
              </w:rPr>
            </w:r>
            <w:r>
              <w:rPr>
                <w:b/>
                <w:sz w:val="17"/>
              </w:rPr>
              <w:t>Regulatory / contractual basis</w:t>
            </w:r>
          </w:p>
        </w:tc>
        <w:tc>
          <w:tcPr>
            <w:tcW w:type="dxa" w:w="7488"/>
          </w:tcPr>
          <w:p>
            <w:r/>
            <w:r>
              <w:rPr>
                <w:sz w:val="17"/>
              </w:rPr>
              <w:t>ICH Q10 §2.7 (monitoring of outsourced activities); FDA Quality Agreements Guidance (2016) (communication mechanisms).</w:t>
            </w:r>
          </w:p>
        </w:tc>
      </w:tr>
      <w:tr>
        <w:tc>
          <w:tcPr>
            <w:tcW w:type="dxa" w:w="2160"/>
            <w:shd w:val="clear" w:color="auto" w:fill="DCE6F1"/>
          </w:tcPr>
          <w:p>
            <w:r>
              <w:rPr>
                <w:b/>
              </w:rPr>
            </w:r>
            <w:r>
              <w:rPr>
                <w:b/>
                <w:sz w:val="17"/>
              </w:rPr>
              <w:t>Risk scoring</w:t>
            </w:r>
          </w:p>
        </w:tc>
        <w:tc>
          <w:tcPr>
            <w:tcW w:type="dxa" w:w="7488"/>
            <w:shd w:val="clear" w:color="auto" w:fill="E2EFDA"/>
          </w:tcPr>
          <w:p>
            <w:r/>
            <w:r>
              <w:rPr>
                <w:sz w:val="17"/>
              </w:rPr>
              <w:t>SV 1 (Minor); PS 1 / RC 1 / CF 1 / OO 2 → IV 2; LS 3 (Likely); PTM 1.5 → CRS 9.0 = Low Risk. Administrative, but the undefined report undermines other provisions (OO 2).</w:t>
            </w:r>
          </w:p>
        </w:tc>
      </w:tr>
      <w:tr>
        <w:tc>
          <w:tcPr>
            <w:tcW w:type="dxa" w:w="2160"/>
            <w:shd w:val="clear" w:color="auto" w:fill="DCE6F1"/>
          </w:tcPr>
          <w:p>
            <w:r>
              <w:rPr>
                <w:b/>
              </w:rPr>
            </w:r>
            <w:r>
              <w:rPr>
                <w:b/>
                <w:sz w:val="17"/>
              </w:rPr>
              <w:t>Recommended position (redline)</w:t>
            </w:r>
          </w:p>
        </w:tc>
        <w:tc>
          <w:tcPr>
            <w:tcW w:type="dxa" w:w="7488"/>
          </w:tcPr>
          <w:p>
            <w:r/>
            <w:r>
              <w:rPr>
                <w:sz w:val="17"/>
              </w:rPr>
              <w:t>Quarterly minimum meetings; new §3.3(e) defining the monthly quality summary report (content; due 10 business days after month-end; supplements and does not replace event-driven notices).</w:t>
            </w:r>
          </w:p>
        </w:tc>
      </w:tr>
      <w:tr>
        <w:tc>
          <w:tcPr>
            <w:tcW w:type="dxa" w:w="2160"/>
            <w:shd w:val="clear" w:color="auto" w:fill="DCE6F1"/>
          </w:tcPr>
          <w:p>
            <w:r>
              <w:rPr>
                <w:b/>
              </w:rPr>
            </w:r>
            <w:r>
              <w:rPr>
                <w:b/>
                <w:sz w:val="17"/>
              </w:rPr>
              <w:t>Fallback position</w:t>
            </w:r>
          </w:p>
        </w:tc>
        <w:tc>
          <w:tcPr>
            <w:tcW w:type="dxa" w:w="7488"/>
          </w:tcPr>
          <w:p>
            <w:r/>
            <w:r>
              <w:rPr>
                <w:sz w:val="17"/>
              </w:rPr>
              <w:t>Semi-annual meetings acceptable if the monthly report is defined.</w:t>
            </w:r>
          </w:p>
        </w:tc>
      </w:tr>
      <w:tr>
        <w:tc>
          <w:tcPr>
            <w:tcW w:type="dxa" w:w="2160"/>
            <w:shd w:val="clear" w:color="auto" w:fill="DCE6F1"/>
          </w:tcPr>
          <w:p>
            <w:r>
              <w:rPr>
                <w:b/>
              </w:rPr>
            </w:r>
            <w:r>
              <w:rPr>
                <w:b/>
                <w:sz w:val="17"/>
              </w:rPr>
              <w:t>Negotiation strategy</w:t>
            </w:r>
          </w:p>
        </w:tc>
        <w:tc>
          <w:tcPr>
            <w:tcW w:type="dxa" w:w="7488"/>
          </w:tcPr>
          <w:p>
            <w:r/>
            <w:r>
              <w:rPr>
                <w:sz w:val="17"/>
              </w:rPr>
              <w:t>Give-able item; trade if needed.</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#7 — §4.3 Qualified Persons: QP replacement at Pinnacle’s sole discretion with no advance notice or Ceritas objection right; annual list only</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§14.1 (Mandatory), §14.2 (Preferred), §14.3 (Fallback) — Mandatory</w:t>
            </w:r>
          </w:p>
        </w:tc>
      </w:tr>
      <w:tr>
        <w:tc>
          <w:tcPr>
            <w:tcW w:type="dxa" w:w="2160"/>
            <w:shd w:val="clear" w:color="auto" w:fill="DCE6F1"/>
          </w:tcPr>
          <w:p>
            <w:r>
              <w:rPr>
                <w:b/>
              </w:rPr>
            </w:r>
            <w:r>
              <w:rPr>
                <w:b/>
                <w:sz w:val="17"/>
              </w:rPr>
              <w:t>Description of deviation</w:t>
            </w:r>
          </w:p>
        </w:tc>
        <w:tc>
          <w:tcPr>
            <w:tcW w:type="dxa" w:w="7488"/>
          </w:tcPr>
          <w:p>
            <w:r/>
            <w:r>
              <w:rPr>
                <w:sz w:val="17"/>
              </w:rPr>
              <w:t>The draft names Dr. Annika Voß (QP) and Dr. Stefan Meier (alternate) but allows QP changes “at Pinnacle’s sole discretion” with “no advance notice to or approval from Ceritas”, with only an annual list update. Playbook §14.1 expressly states annual list updates alone are unacceptable.</w:t>
            </w:r>
          </w:p>
        </w:tc>
      </w:tr>
      <w:tr>
        <w:tc>
          <w:tcPr>
            <w:tcW w:type="dxa" w:w="2160"/>
            <w:shd w:val="clear" w:color="auto" w:fill="DCE6F1"/>
          </w:tcPr>
          <w:p>
            <w:r>
              <w:rPr>
                <w:b/>
              </w:rPr>
            </w:r>
            <w:r>
              <w:rPr>
                <w:b/>
                <w:sz w:val="17"/>
              </w:rPr>
              <w:t>Regulatory / contractual basis</w:t>
            </w:r>
          </w:p>
        </w:tc>
        <w:tc>
          <w:tcPr>
            <w:tcW w:type="dxa" w:w="7488"/>
          </w:tcPr>
          <w:p>
            <w:r/>
            <w:r>
              <w:rPr>
                <w:sz w:val="17"/>
              </w:rPr>
              <w:t>Directive 2001/83/EC Arts 48–51 (QP qualification and duties; QP named on the manufacturing authorisation, so a change requires a variation of the MIA); EU GMP Annex 16 §1; Directive 2001/83/EC Art 41.</w:t>
            </w:r>
          </w:p>
        </w:tc>
      </w:tr>
      <w:tr>
        <w:tc>
          <w:tcPr>
            <w:tcW w:type="dxa" w:w="2160"/>
            <w:shd w:val="clear" w:color="auto" w:fill="DCE6F1"/>
          </w:tcPr>
          <w:p>
            <w:r>
              <w:rPr>
                <w:b/>
              </w:rPr>
            </w:r>
            <w:r>
              <w:rPr>
                <w:b/>
                <w:sz w:val="17"/>
              </w:rPr>
              <w:t>Risk scoring</w:t>
            </w:r>
          </w:p>
        </w:tc>
        <w:tc>
          <w:tcPr>
            <w:tcW w:type="dxa" w:w="7488"/>
            <w:shd w:val="clear" w:color="auto" w:fill="FCE4D6"/>
          </w:tcPr>
          <w:p>
            <w:r/>
            <w:r>
              <w:rPr>
                <w:sz w:val="17"/>
              </w:rPr>
              <w:t>SV 3 (Major); PS 2 / RC 3 / CF 1 / OO 3 → IV 3; LS 3 (Likely); PTM 1.5 → CRS 40.5 = High Risk. QP certification is the EU release gate; changes without notice impair Ceritas Ireland’s MAH oversight (RC 3, OO 3). Personnel changes are likely over five-plus years (LS 3).</w:t>
            </w:r>
          </w:p>
        </w:tc>
      </w:tr>
      <w:tr>
        <w:tc>
          <w:tcPr>
            <w:tcW w:type="dxa" w:w="2160"/>
            <w:shd w:val="clear" w:color="auto" w:fill="DCE6F1"/>
          </w:tcPr>
          <w:p>
            <w:r>
              <w:rPr>
                <w:b/>
              </w:rPr>
            </w:r>
            <w:r>
              <w:rPr>
                <w:b/>
                <w:sz w:val="17"/>
              </w:rPr>
              <w:t>Recommended position (redline)</w:t>
            </w:r>
          </w:p>
        </w:tc>
        <w:tc>
          <w:tcPr>
            <w:tcW w:type="dxa" w:w="7488"/>
          </w:tcPr>
          <w:p>
            <w:r/>
            <w:r>
              <w:rPr>
                <w:sz w:val="17"/>
              </w:rPr>
              <w:t>Redline: 30 calendar days’ prior written notice with qualifications; Ceritas right to interview/assess (Preferred §14.2) and to object, with no implementation until resolved; unplanned-change mechanism (2 business days’ notice, alternate QP acts in interim).</w:t>
            </w:r>
          </w:p>
        </w:tc>
      </w:tr>
      <w:tr>
        <w:tc>
          <w:tcPr>
            <w:tcW w:type="dxa" w:w="2160"/>
            <w:shd w:val="clear" w:color="auto" w:fill="DCE6F1"/>
          </w:tcPr>
          <w:p>
            <w:r>
              <w:rPr>
                <w:b/>
              </w:rPr>
            </w:r>
            <w:r>
              <w:rPr>
                <w:b/>
                <w:sz w:val="17"/>
              </w:rPr>
              <w:t>Fallback position</w:t>
            </w:r>
          </w:p>
        </w:tc>
        <w:tc>
          <w:tcPr>
            <w:tcW w:type="dxa" w:w="7488"/>
          </w:tcPr>
          <w:p>
            <w:r/>
            <w:r>
              <w:rPr>
                <w:sz w:val="17"/>
              </w:rPr>
              <w:t>Notice may reduce to 15 calendar days only with VP Quality written exception (Playbook §14.3). Objection right is non-negotiable.</w:t>
            </w:r>
          </w:p>
        </w:tc>
      </w:tr>
      <w:tr>
        <w:tc>
          <w:tcPr>
            <w:tcW w:type="dxa" w:w="2160"/>
            <w:shd w:val="clear" w:color="auto" w:fill="DCE6F1"/>
          </w:tcPr>
          <w:p>
            <w:r>
              <w:rPr>
                <w:b/>
              </w:rPr>
            </w:r>
            <w:r>
              <w:rPr>
                <w:b/>
                <w:sz w:val="17"/>
              </w:rPr>
              <w:t>Negotiation strategy</w:t>
            </w:r>
          </w:p>
        </w:tc>
        <w:tc>
          <w:tcPr>
            <w:tcW w:type="dxa" w:w="7488"/>
          </w:tcPr>
          <w:p>
            <w:r/>
            <w:r>
              <w:rPr>
                <w:sz w:val="17"/>
              </w:rPr>
              <w:t>Pinnacle will argue QP appointment is a German regulatory and employment matter. Response: Ceritas is not appointing the QP, only exercising a customer objection right; the unplanned-change carve-out answers the operational concern.</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#8 — §5.2 ¶1–3: Change control is “notify and comment” with 30 days’ notice; Pinnacle may implement over Ceritas objection; “commercially reasonable efforts” qualifier</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§4.1 (Mandatory), §4.3 (Fallback: 60 days, approval still non-negotiable), §3.2 — Mandatory</w:t>
            </w:r>
          </w:p>
        </w:tc>
      </w:tr>
      <w:tr>
        <w:tc>
          <w:tcPr>
            <w:tcW w:type="dxa" w:w="2160"/>
            <w:shd w:val="clear" w:color="auto" w:fill="DCE6F1"/>
          </w:tcPr>
          <w:p>
            <w:r>
              <w:rPr>
                <w:b/>
              </w:rPr>
            </w:r>
            <w:r>
              <w:rPr>
                <w:b/>
                <w:sz w:val="17"/>
              </w:rPr>
              <w:t>Description of deviation</w:t>
            </w:r>
          </w:p>
        </w:tc>
        <w:tc>
          <w:tcPr>
            <w:tcW w:type="dxa" w:w="7488"/>
          </w:tcPr>
          <w:p>
            <w:r/>
            <w:r>
              <w:rPr>
                <w:sz w:val="17"/>
              </w:rPr>
              <w:t>Pinnacle need only notify “significant” changes 30 days ahead, use “commercially reasonable efforts” to accommodate comments, and may implement for “regulatory compliance, product safety, or operational reasons” after considering comments “in good faith”. This is the notify-and-comment model the Playbook prohibits, with a notice period one-third of the Mandatory 90 days and below the 60-day Fallback.</w:t>
            </w:r>
          </w:p>
        </w:tc>
      </w:tr>
      <w:tr>
        <w:tc>
          <w:tcPr>
            <w:tcW w:type="dxa" w:w="2160"/>
            <w:shd w:val="clear" w:color="auto" w:fill="DCE6F1"/>
          </w:tcPr>
          <w:p>
            <w:r>
              <w:rPr>
                <w:b/>
              </w:rPr>
            </w:r>
            <w:r>
              <w:rPr>
                <w:b/>
                <w:sz w:val="17"/>
              </w:rPr>
              <w:t>Regulatory / contractual basis</w:t>
            </w:r>
          </w:p>
        </w:tc>
        <w:tc>
          <w:tcPr>
            <w:tcW w:type="dxa" w:w="7488"/>
          </w:tcPr>
          <w:p>
            <w:r/>
            <w:r>
              <w:rPr>
                <w:sz w:val="17"/>
              </w:rPr>
              <w:t>21 CFR 211.100(a) (changes to procedures drafted, reviewed and approved by the QCU); 21 CFR 314.70 (NDA holder must file supplements before or upon change); Directive 2001/83/EC Art 23 and Regulation (EC) No 1234/2008 (variations); EU GMP Annex 15 §11 (change control); ICH Q10 §3.2.3; MSA §3.5 (Ceritas reviews and approves change-control requests).</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4 (Critical); PS 4 / RC 4 / CF 3 / OO 4 → IV 4; LS 4 (Almost Certain); PTM 1.5 → CRS 96.0 = Critical Risk. Eliminates Ceritas approval of changes to validated processes (Rubric OO 4 example). Unfiled changes create NDA/MA non-compliance (RC 4: SVP RA escalation). Change controls are certain over the term (LS 4).</w:t>
            </w:r>
          </w:p>
        </w:tc>
      </w:tr>
      <w:tr>
        <w:tc>
          <w:tcPr>
            <w:tcW w:type="dxa" w:w="2160"/>
            <w:shd w:val="clear" w:color="auto" w:fill="DCE6F1"/>
          </w:tcPr>
          <w:p>
            <w:r>
              <w:rPr>
                <w:b/>
              </w:rPr>
            </w:r>
            <w:r>
              <w:rPr>
                <w:b/>
                <w:sz w:val="17"/>
              </w:rPr>
              <w:t>Recommended position (redline)</w:t>
            </w:r>
          </w:p>
        </w:tc>
        <w:tc>
          <w:tcPr>
            <w:tcW w:type="dxa" w:w="7488"/>
          </w:tcPr>
          <w:p>
            <w:r/>
            <w:r>
              <w:rPr>
                <w:sz w:val="17"/>
              </w:rPr>
              <w:t>Redline replaces §5.2 with a prior-written-approval regime for “Significant Changes” (Playbook §4.1 list, including like-for-like equipment and computerized systems), a 90-day complete-package requirement (items (a)–(e)), no implementation or release of affected product until regulatory approval or the filing period has run, and a Ceritas 30-day response commitment (consistent with MSA §3.5). New §5.5 adds the Playbook §4.2 emergency-change process (4-hour/24-hour notice, 5-business-day approval, reversal).</w:t>
            </w:r>
          </w:p>
        </w:tc>
      </w:tr>
      <w:tr>
        <w:tc>
          <w:tcPr>
            <w:tcW w:type="dxa" w:w="2160"/>
            <w:shd w:val="clear" w:color="auto" w:fill="DCE6F1"/>
          </w:tcPr>
          <w:p>
            <w:r>
              <w:rPr>
                <w:b/>
              </w:rPr>
            </w:r>
            <w:r>
              <w:rPr>
                <w:b/>
                <w:sz w:val="17"/>
              </w:rPr>
              <w:t>Fallback position</w:t>
            </w:r>
          </w:p>
        </w:tc>
        <w:tc>
          <w:tcPr>
            <w:tcW w:type="dxa" w:w="7488"/>
          </w:tcPr>
          <w:p>
            <w:r/>
            <w:r>
              <w:rPr>
                <w:sz w:val="17"/>
              </w:rPr>
              <w:t>Notice to 60 calendar days only with VP Quality exception and compensating controls (e.g., quarterly Ceritas review of Pinnacle’s change log). Prior written approval is non-negotiable at every tier.</w:t>
            </w:r>
          </w:p>
        </w:tc>
      </w:tr>
      <w:tr>
        <w:tc>
          <w:tcPr>
            <w:tcW w:type="dxa" w:w="2160"/>
            <w:shd w:val="clear" w:color="auto" w:fill="DCE6F1"/>
          </w:tcPr>
          <w:p>
            <w:r>
              <w:rPr>
                <w:b/>
              </w:rPr>
            </w:r>
            <w:r>
              <w:rPr>
                <w:b/>
                <w:sz w:val="17"/>
              </w:rPr>
              <w:t>Negotiation strategy</w:t>
            </w:r>
          </w:p>
        </w:tc>
        <w:tc>
          <w:tcPr>
            <w:tcW w:type="dxa" w:w="7488"/>
          </w:tcPr>
          <w:p>
            <w:r/>
            <w:r>
              <w:rPr>
                <w:sz w:val="17"/>
              </w:rPr>
              <w:t>Lead issue for the working session. Pinnacle’s real concern is speed; answer with the Ceritas 30-day decision SLA, the emergency-change pathway, and Minor-change self-management under Annex F. Point out MSA §3.5 already contemplates Ceritas “approval” of change-control requests.</w:t>
            </w:r>
          </w:p>
        </w:tc>
      </w:tr>
      <w:tr>
        <w:tc>
          <w:tcPr>
            <w:tcW w:type="dxa" w:w="2160"/>
            <w:shd w:val="clear" w:color="auto" w:fill="DCE6F1"/>
          </w:tcPr>
          <w:p>
            <w:r>
              <w:rPr>
                <w:b/>
              </w:rPr>
            </w:r>
            <w:r>
              <w:rPr>
                <w:b/>
                <w:sz w:val="17"/>
              </w:rPr>
              <w:t>Escalation (Rubric §9)</w:t>
            </w:r>
          </w:p>
        </w:tc>
        <w:tc>
          <w:tcPr>
            <w:tcW w:type="dxa" w:w="7488"/>
          </w:tcPr>
          <w:p>
            <w:r/>
            <w:r>
              <w:rPr>
                <w:sz w:val="17"/>
              </w:rPr>
              <w:t>VP QA (Rubric §9.1(a)); AGC (Rubric §9.2(b)); SVP Regulatory Affairs (Rubric §9.3)</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#9 — §5.2 ¶4; §5.1 ¶2: Pinnacle alone defines “significant”; like-for-like replacements and “minor” changes exempt from any notice; no change classification matrix</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§4.1 (like-for-like included), §4.2 (classification matrix; Ceritas classification prevails) — Mandatory</w:t>
            </w:r>
          </w:p>
        </w:tc>
      </w:tr>
      <w:tr>
        <w:tc>
          <w:tcPr>
            <w:tcW w:type="dxa" w:w="2160"/>
            <w:shd w:val="clear" w:color="auto" w:fill="DCE6F1"/>
          </w:tcPr>
          <w:p>
            <w:r>
              <w:rPr>
                <w:b/>
              </w:rPr>
            </w:r>
            <w:r>
              <w:rPr>
                <w:b/>
                <w:sz w:val="17"/>
              </w:rPr>
              <w:t>Description of deviation</w:t>
            </w:r>
          </w:p>
        </w:tc>
        <w:tc>
          <w:tcPr>
            <w:tcW w:type="dxa" w:w="7488"/>
          </w:tcPr>
          <w:p>
            <w:r/>
            <w:r>
              <w:rPr>
                <w:sz w:val="17"/>
              </w:rPr>
              <w:t>Changes Pinnacle deems non-significant, expressly including like-for-like replacements, are handled internally with no notification. Playbook §4.1 specifically includes like-for-like equipment replacements and §4.2 requires a classification matrix with Ceritas classification prevailing.</w:t>
            </w:r>
          </w:p>
        </w:tc>
      </w:tr>
      <w:tr>
        <w:tc>
          <w:tcPr>
            <w:tcW w:type="dxa" w:w="2160"/>
            <w:shd w:val="clear" w:color="auto" w:fill="DCE6F1"/>
          </w:tcPr>
          <w:p>
            <w:r>
              <w:rPr>
                <w:b/>
              </w:rPr>
            </w:r>
            <w:r>
              <w:rPr>
                <w:b/>
                <w:sz w:val="17"/>
              </w:rPr>
              <w:t>Regulatory / contractual basis</w:t>
            </w:r>
          </w:p>
        </w:tc>
        <w:tc>
          <w:tcPr>
            <w:tcW w:type="dxa" w:w="7488"/>
          </w:tcPr>
          <w:p>
            <w:r/>
            <w:r>
              <w:rPr>
                <w:sz w:val="17"/>
              </w:rPr>
              <w:t>21 CFR 211.100; 21 CFR 314.70(d) (annual-report changes still require NDA-holder knowledge); EU GMP Annex 15 §11; ICH Q10 §3.2.3; FDA Guidance, Changes to an Approved NDA or ANDA (2004).</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3 (Major); PS 3 / RC 3 / CF 2 / OO 3 → IV 3; LS 4 (Almost Certain); PTM 1.5 → CRS 54.0 = Critical Risk. Self-classification without visibility lets reportable changes go unreported (RC 3, OO 3); routine (LS 4).</w:t>
            </w:r>
          </w:p>
        </w:tc>
      </w:tr>
      <w:tr>
        <w:tc>
          <w:tcPr>
            <w:tcW w:type="dxa" w:w="2160"/>
            <w:shd w:val="clear" w:color="auto" w:fill="DCE6F1"/>
          </w:tcPr>
          <w:p>
            <w:r>
              <w:rPr>
                <w:b/>
              </w:rPr>
            </w:r>
            <w:r>
              <w:rPr>
                <w:b/>
                <w:sz w:val="17"/>
              </w:rPr>
              <w:t>Recommended position (redline)</w:t>
            </w:r>
          </w:p>
        </w:tc>
        <w:tc>
          <w:tcPr>
            <w:tcW w:type="dxa" w:w="7488"/>
          </w:tcPr>
          <w:p>
            <w:r/>
            <w:r>
              <w:rPr>
                <w:sz w:val="17"/>
              </w:rPr>
              <w:t>Redline adds Annex F (Change Classification Matrix: Critical/Major/Minor with examples and requirements); Ceritas has sole classification authority; only Minor changes with no product impact may be self-managed, and they must be listed in the monthly report; like-for-like replacements not exempt unless Annex F says so.</w:t>
            </w:r>
          </w:p>
        </w:tc>
      </w:tr>
      <w:tr>
        <w:tc>
          <w:tcPr>
            <w:tcW w:type="dxa" w:w="2160"/>
            <w:shd w:val="clear" w:color="auto" w:fill="DCE6F1"/>
          </w:tcPr>
          <w:p>
            <w:r>
              <w:rPr>
                <w:b/>
              </w:rPr>
            </w:r>
            <w:r>
              <w:rPr>
                <w:b/>
                <w:sz w:val="17"/>
              </w:rPr>
              <w:t>Fallback position</w:t>
            </w:r>
          </w:p>
        </w:tc>
        <w:tc>
          <w:tcPr>
            <w:tcW w:type="dxa" w:w="7488"/>
          </w:tcPr>
          <w:p>
            <w:r/>
            <w:r>
              <w:rPr>
                <w:sz w:val="17"/>
              </w:rPr>
              <w:t>Ceritas may agree to classify specified like-for-like, non-product-contact replacements as Minor in Annex F (VP Quality sign-off), but not product-contact or release-testing equipment.</w:t>
            </w:r>
          </w:p>
        </w:tc>
      </w:tr>
      <w:tr>
        <w:tc>
          <w:tcPr>
            <w:tcW w:type="dxa" w:w="2160"/>
            <w:shd w:val="clear" w:color="auto" w:fill="DCE6F1"/>
          </w:tcPr>
          <w:p>
            <w:r>
              <w:rPr>
                <w:b/>
              </w:rPr>
            </w:r>
            <w:r>
              <w:rPr>
                <w:b/>
                <w:sz w:val="17"/>
              </w:rPr>
              <w:t>Negotiation strategy</w:t>
            </w:r>
          </w:p>
        </w:tc>
        <w:tc>
          <w:tcPr>
            <w:tcW w:type="dxa" w:w="7488"/>
          </w:tcPr>
          <w:p>
            <w:r/>
            <w:r>
              <w:rPr>
                <w:sz w:val="17"/>
              </w:rPr>
              <w:t>Use Annex F as the vehicle for compromise: Pinnacle gains certainty on what it can self-manage; Ceritas keeps classification control.</w:t>
            </w:r>
          </w:p>
        </w:tc>
      </w:tr>
      <w:tr>
        <w:tc>
          <w:tcPr>
            <w:tcW w:type="dxa" w:w="2160"/>
            <w:shd w:val="clear" w:color="auto" w:fill="DCE6F1"/>
          </w:tcPr>
          <w:p>
            <w:r>
              <w:rPr>
                <w:b/>
              </w:rPr>
            </w:r>
            <w:r>
              <w:rPr>
                <w:b/>
                <w:sz w:val="17"/>
              </w:rPr>
              <w:t>Escalation (Rubric §9)</w:t>
            </w:r>
          </w:p>
        </w:tc>
        <w:tc>
          <w:tcPr>
            <w:tcW w:type="dxa" w:w="7488"/>
          </w:tcPr>
          <w:p>
            <w:r/>
            <w:r>
              <w:rPr>
                <w:sz w:val="17"/>
              </w:rPr>
              <w:t>VP QA (Rubric §9.1(a)); AGC (Rubric §9.2(b))</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#10 — §5.3, §5.4: Pinnacle may refuse Ceritas-initiated changes (including regulator-mandated ones); assessment and regulatory-support deliverables due “within a reasonable timeframe”</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§3.2 (fixed numeric deadlines; no “reasonable time” qualifiers) — Preferred</w:t>
            </w:r>
          </w:p>
        </w:tc>
      </w:tr>
      <w:tr>
        <w:tc>
          <w:tcPr>
            <w:tcW w:type="dxa" w:w="2160"/>
            <w:shd w:val="clear" w:color="auto" w:fill="DCE6F1"/>
          </w:tcPr>
          <w:p>
            <w:r>
              <w:rPr>
                <w:b/>
              </w:rPr>
            </w:r>
            <w:r>
              <w:rPr>
                <w:b/>
                <w:sz w:val="17"/>
              </w:rPr>
              <w:t>Description of deviation</w:t>
            </w:r>
          </w:p>
        </w:tc>
        <w:tc>
          <w:tcPr>
            <w:tcW w:type="dxa" w:w="7488"/>
          </w:tcPr>
          <w:p>
            <w:r/>
            <w:r>
              <w:rPr>
                <w:sz w:val="17"/>
              </w:rPr>
              <w:t>§5.3 lets either Party decline a change it deems infeasible, with no obligation to implement changes required by FDA, EMA or the MAs. Pinnacle’s feasibility assessment (§5.3) and its supporting documentation for Ceritas filings (§5.4) are due “within a reasonable timeframe”.</w:t>
            </w:r>
          </w:p>
        </w:tc>
      </w:tr>
      <w:tr>
        <w:tc>
          <w:tcPr>
            <w:tcW w:type="dxa" w:w="2160"/>
            <w:shd w:val="clear" w:color="auto" w:fill="DCE6F1"/>
          </w:tcPr>
          <w:p>
            <w:r>
              <w:rPr>
                <w:b/>
              </w:rPr>
            </w:r>
            <w:r>
              <w:rPr>
                <w:b/>
                <w:sz w:val="17"/>
              </w:rPr>
              <w:t>Regulatory / contractual basis</w:t>
            </w:r>
          </w:p>
        </w:tc>
        <w:tc>
          <w:tcPr>
            <w:tcW w:type="dxa" w:w="7488"/>
          </w:tcPr>
          <w:p>
            <w:r/>
            <w:r>
              <w:rPr>
                <w:sz w:val="17"/>
              </w:rPr>
              <w:t>21 CFR 314.70; Directive 2001/83/EC Art 23(1) (MAH must introduce changes required by technical and scientific progress); Regulation (EC) No 1234/2008; MSA §5.2 (cooperation with regulatory filings).</w:t>
            </w:r>
          </w:p>
        </w:tc>
      </w:tr>
      <w:tr>
        <w:tc>
          <w:tcPr>
            <w:tcW w:type="dxa" w:w="2160"/>
            <w:shd w:val="clear" w:color="auto" w:fill="DCE6F1"/>
          </w:tcPr>
          <w:p>
            <w:r>
              <w:rPr>
                <w:b/>
              </w:rPr>
            </w:r>
            <w:r>
              <w:rPr>
                <w:b/>
                <w:sz w:val="17"/>
              </w:rPr>
              <w:t>Risk scoring</w:t>
            </w:r>
          </w:p>
        </w:tc>
        <w:tc>
          <w:tcPr>
            <w:tcW w:type="dxa" w:w="7488"/>
            <w:shd w:val="clear" w:color="auto" w:fill="FFF2CC"/>
          </w:tcPr>
          <w:p>
            <w:r/>
            <w:r>
              <w:rPr>
                <w:sz w:val="17"/>
              </w:rPr>
              <w:t>SV 2 (Moderate); PS 2 / RC 3 / CF 2 / OO 2 → IV 3; LS 2 (Possible); PTM 1.5 → CRS 18.0 = Medium Risk. Could leave Ceritas unable to implement a regulator-mandated change (RC 3); contingent (LS 2).</w:t>
            </w:r>
          </w:p>
        </w:tc>
      </w:tr>
      <w:tr>
        <w:tc>
          <w:tcPr>
            <w:tcW w:type="dxa" w:w="2160"/>
            <w:shd w:val="clear" w:color="auto" w:fill="DCE6F1"/>
          </w:tcPr>
          <w:p>
            <w:r>
              <w:rPr>
                <w:b/>
              </w:rPr>
            </w:r>
            <w:r>
              <w:rPr>
                <w:b/>
                <w:sz w:val="17"/>
              </w:rPr>
              <w:t>Recommended position (redline)</w:t>
            </w:r>
          </w:p>
        </w:tc>
        <w:tc>
          <w:tcPr>
            <w:tcW w:type="dxa" w:w="7488"/>
          </w:tcPr>
          <w:p>
            <w:r/>
            <w:r>
              <w:rPr>
                <w:sz w:val="17"/>
              </w:rPr>
              <w:t>Redline: 15-business-day assessment deadline; Pinnacle must implement changes required by a Regulatory Authority, the MAs or Applicable Law within the required timeline (costs per MSA); regulatory documentation within 10 business days or any shorter regulator-driven deadline.</w:t>
            </w:r>
          </w:p>
        </w:tc>
      </w:tr>
      <w:tr>
        <w:tc>
          <w:tcPr>
            <w:tcW w:type="dxa" w:w="2160"/>
            <w:shd w:val="clear" w:color="auto" w:fill="DCE6F1"/>
          </w:tcPr>
          <w:p>
            <w:r>
              <w:rPr>
                <w:b/>
              </w:rPr>
            </w:r>
            <w:r>
              <w:rPr>
                <w:b/>
                <w:sz w:val="17"/>
              </w:rPr>
              <w:t>Fallback position</w:t>
            </w:r>
          </w:p>
        </w:tc>
        <w:tc>
          <w:tcPr>
            <w:tcW w:type="dxa" w:w="7488"/>
          </w:tcPr>
          <w:p>
            <w:r/>
            <w:r>
              <w:rPr>
                <w:sz w:val="17"/>
              </w:rPr>
              <w:t>Assessment deadline may extend to 20 business days; regulator-mandated implementation duty stays.</w:t>
            </w:r>
          </w:p>
        </w:tc>
      </w:tr>
      <w:tr>
        <w:tc>
          <w:tcPr>
            <w:tcW w:type="dxa" w:w="2160"/>
            <w:shd w:val="clear" w:color="auto" w:fill="DCE6F1"/>
          </w:tcPr>
          <w:p>
            <w:r>
              <w:rPr>
                <w:b/>
              </w:rPr>
            </w:r>
            <w:r>
              <w:rPr>
                <w:b/>
                <w:sz w:val="17"/>
              </w:rPr>
              <w:t>Negotiation strategy</w:t>
            </w:r>
          </w:p>
        </w:tc>
        <w:tc>
          <w:tcPr>
            <w:tcW w:type="dxa" w:w="7488"/>
          </w:tcPr>
          <w:p>
            <w:r/>
            <w:r>
              <w:rPr>
                <w:sz w:val="17"/>
              </w:rPr>
              <w:t>Trade the timeline, hold the mandatory-implementation sentence.</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#11 — §6.1(a): Critical Deviations notified within 72 hours of classification (not 24 hours of detection)</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§5.1 (Mandatory: 24 hours of detection) — Mandatory</w:t>
            </w:r>
          </w:p>
        </w:tc>
      </w:tr>
      <w:tr>
        <w:tc>
          <w:tcPr>
            <w:tcW w:type="dxa" w:w="2160"/>
            <w:shd w:val="clear" w:color="auto" w:fill="DCE6F1"/>
          </w:tcPr>
          <w:p>
            <w:r>
              <w:rPr>
                <w:b/>
              </w:rPr>
            </w:r>
            <w:r>
              <w:rPr>
                <w:b/>
                <w:sz w:val="17"/>
              </w:rPr>
              <w:t>Description of deviation</w:t>
            </w:r>
          </w:p>
        </w:tc>
        <w:tc>
          <w:tcPr>
            <w:tcW w:type="dxa" w:w="7488"/>
          </w:tcPr>
          <w:p>
            <w:r/>
            <w:r>
              <w:rPr>
                <w:sz w:val="17"/>
              </w:rPr>
              <w:t>Notification runs 72 hours from classification, so the clock starts only when Pinnacle chooses to classify. Effective delay is open-ended and in any case triple the Mandatory window.</w:t>
            </w:r>
          </w:p>
        </w:tc>
      </w:tr>
      <w:tr>
        <w:tc>
          <w:tcPr>
            <w:tcW w:type="dxa" w:w="2160"/>
            <w:shd w:val="clear" w:color="auto" w:fill="DCE6F1"/>
          </w:tcPr>
          <w:p>
            <w:r>
              <w:rPr>
                <w:b/>
              </w:rPr>
            </w:r>
            <w:r>
              <w:rPr>
                <w:b/>
                <w:sz w:val="17"/>
              </w:rPr>
              <w:t>Regulatory / contractual basis</w:t>
            </w:r>
          </w:p>
        </w:tc>
        <w:tc>
          <w:tcPr>
            <w:tcW w:type="dxa" w:w="7488"/>
          </w:tcPr>
          <w:p>
            <w:r/>
            <w:r>
              <w:rPr>
                <w:sz w:val="17"/>
              </w:rPr>
              <w:t>21 CFR 211.192; 21 CFR 314.81(b)(1) (Field Alert Report within 3 working days of NDA holder’s receipt of information, which is impossible if Pinnacle reports on day 3+); EU GMP Chapter 8; EU GMP Annex 16 (QP must take deviations into account before certification); MSA §4.4 (prompt notice of quality events).</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4 (Critical); PS 4 / RC 3 / CF 2 / OO 4 → IV 4; LS 3 (Likely); PTM 1.5 → CRS 72.0 = Critical Risk. Timeline so extended that it can defeat the FAR clock and Ceritas impact assessment (Rubric Critical example). Critical deviations likely at commercial scale (LS 3).</w:t>
            </w:r>
          </w:p>
        </w:tc>
      </w:tr>
      <w:tr>
        <w:tc>
          <w:tcPr>
            <w:tcW w:type="dxa" w:w="2160"/>
            <w:shd w:val="clear" w:color="auto" w:fill="DCE6F1"/>
          </w:tcPr>
          <w:p>
            <w:r>
              <w:rPr>
                <w:b/>
              </w:rPr>
            </w:r>
            <w:r>
              <w:rPr>
                <w:b/>
                <w:sz w:val="17"/>
              </w:rPr>
              <w:t>Recommended position (redline)</w:t>
            </w:r>
          </w:p>
        </w:tc>
        <w:tc>
          <w:tcPr>
            <w:tcW w:type="dxa" w:w="7488"/>
          </w:tcPr>
          <w:p>
            <w:r/>
            <w:r>
              <w:rPr>
                <w:sz w:val="17"/>
              </w:rPr>
              <w:t>Redline: 24 hours from Detection (new defined term) of a deviation that is or may reasonably be Critical; written updates at least every 5 business days; email initial notice permitted; no certification, release or shipment of affected Batches without Ceritas approval.</w:t>
            </w:r>
          </w:p>
        </w:tc>
      </w:tr>
      <w:tr>
        <w:tc>
          <w:tcPr>
            <w:tcW w:type="dxa" w:w="2160"/>
            <w:shd w:val="clear" w:color="auto" w:fill="DCE6F1"/>
          </w:tcPr>
          <w:p>
            <w:r>
              <w:rPr>
                <w:b/>
              </w:rPr>
            </w:r>
            <w:r>
              <w:rPr>
                <w:b/>
                <w:sz w:val="17"/>
              </w:rPr>
              <w:t>Fallback position</w:t>
            </w:r>
          </w:p>
        </w:tc>
        <w:tc>
          <w:tcPr>
            <w:tcW w:type="dxa" w:w="7488"/>
          </w:tcPr>
          <w:p>
            <w:r/>
            <w:r>
              <w:rPr>
                <w:sz w:val="17"/>
              </w:rPr>
              <w:t>None (Mandatory, no Fallback tier).</w:t>
            </w:r>
          </w:p>
        </w:tc>
      </w:tr>
      <w:tr>
        <w:tc>
          <w:tcPr>
            <w:tcW w:type="dxa" w:w="2160"/>
            <w:shd w:val="clear" w:color="auto" w:fill="DCE6F1"/>
          </w:tcPr>
          <w:p>
            <w:r>
              <w:rPr>
                <w:b/>
              </w:rPr>
            </w:r>
            <w:r>
              <w:rPr>
                <w:b/>
                <w:sz w:val="17"/>
              </w:rPr>
              <w:t>Negotiation strategy</w:t>
            </w:r>
          </w:p>
        </w:tc>
        <w:tc>
          <w:tcPr>
            <w:tcW w:type="dxa" w:w="7488"/>
          </w:tcPr>
          <w:p>
            <w:r/>
            <w:r>
              <w:rPr>
                <w:sz w:val="17"/>
              </w:rPr>
              <w:t>Non-negotiable; anchor in the FAR 3-working-day clock, which Pinnacle cannot argue with. Defined “Detection” prevents classification-gaming.</w:t>
            </w:r>
          </w:p>
        </w:tc>
      </w:tr>
      <w:tr>
        <w:tc>
          <w:tcPr>
            <w:tcW w:type="dxa" w:w="2160"/>
            <w:shd w:val="clear" w:color="auto" w:fill="DCE6F1"/>
          </w:tcPr>
          <w:p>
            <w:r>
              <w:rPr>
                <w:b/>
              </w:rPr>
            </w:r>
            <w:r>
              <w:rPr>
                <w:b/>
                <w:sz w:val="17"/>
              </w:rPr>
              <w:t>Escalation (Rubric §9)</w:t>
            </w:r>
          </w:p>
        </w:tc>
        <w:tc>
          <w:tcPr>
            <w:tcW w:type="dxa" w:w="7488"/>
          </w:tcPr>
          <w:p>
            <w:r/>
            <w:r>
              <w:rPr>
                <w:sz w:val="17"/>
              </w:rPr>
              <w:t>VP QA (Rubric §9.1(a)); AGC (Rubric §9.2(b))</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#12 — §6.1(b), §6.1(c): Major Deviations reported only in monthly summary; Minor Deviations never notified</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§5.1 (Mandatory: Major and Minor within 5 business days; periodic summaries not acceptable as primary mechanism) — Mandatory</w:t>
            </w:r>
          </w:p>
        </w:tc>
      </w:tr>
      <w:tr>
        <w:tc>
          <w:tcPr>
            <w:tcW w:type="dxa" w:w="2160"/>
            <w:shd w:val="clear" w:color="auto" w:fill="DCE6F1"/>
          </w:tcPr>
          <w:p>
            <w:r>
              <w:rPr>
                <w:b/>
              </w:rPr>
            </w:r>
            <w:r>
              <w:rPr>
                <w:b/>
                <w:sz w:val="17"/>
              </w:rPr>
              <w:t>Description of deviation</w:t>
            </w:r>
          </w:p>
        </w:tc>
        <w:tc>
          <w:tcPr>
            <w:tcW w:type="dxa" w:w="7488"/>
          </w:tcPr>
          <w:p>
            <w:r/>
            <w:r>
              <w:rPr>
                <w:sz w:val="17"/>
              </w:rPr>
              <w:t>Major Deviations surface up to ~6 weeks after occurrence via the monthly report; Minor Deviations are visible only at audit. Playbook §5.1 expressly rejects summary-only reporting.</w:t>
            </w:r>
          </w:p>
        </w:tc>
      </w:tr>
      <w:tr>
        <w:tc>
          <w:tcPr>
            <w:tcW w:type="dxa" w:w="2160"/>
            <w:shd w:val="clear" w:color="auto" w:fill="DCE6F1"/>
          </w:tcPr>
          <w:p>
            <w:r>
              <w:rPr>
                <w:b/>
              </w:rPr>
            </w:r>
            <w:r>
              <w:rPr>
                <w:b/>
                <w:sz w:val="17"/>
              </w:rPr>
              <w:t>Regulatory / contractual basis</w:t>
            </w:r>
          </w:p>
        </w:tc>
        <w:tc>
          <w:tcPr>
            <w:tcW w:type="dxa" w:w="7488"/>
          </w:tcPr>
          <w:p>
            <w:r/>
            <w:r>
              <w:rPr>
                <w:sz w:val="17"/>
              </w:rPr>
              <w:t>21 CFR 211.192; 21 CFR 211.22; EU GMP Chapter 1 §1.4; Rubric §5.5 (OO 3 example: periodic summaries replacing event-driven notice).</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3 (Major); PS 3 / RC 3 / CF 1 / OO 3 → IV 3; LS 4 (Almost Certain); PTM 1.5 → CRS 54.0 = Critical Risk. Substitutes periodic for event-driven reporting (OO 3); Major deviations are certain over the term (LS 4).</w:t>
            </w:r>
          </w:p>
        </w:tc>
      </w:tr>
      <w:tr>
        <w:tc>
          <w:tcPr>
            <w:tcW w:type="dxa" w:w="2160"/>
            <w:shd w:val="clear" w:color="auto" w:fill="DCE6F1"/>
          </w:tcPr>
          <w:p>
            <w:r>
              <w:rPr>
                <w:b/>
              </w:rPr>
            </w:r>
            <w:r>
              <w:rPr>
                <w:b/>
                <w:sz w:val="17"/>
              </w:rPr>
              <w:t>Recommended position (redline)</w:t>
            </w:r>
          </w:p>
        </w:tc>
        <w:tc>
          <w:tcPr>
            <w:tcW w:type="dxa" w:w="7488"/>
          </w:tcPr>
          <w:p>
            <w:r/>
            <w:r>
              <w:rPr>
                <w:sz w:val="17"/>
              </w:rPr>
              <w:t>Redline: Major Deviations within 5 business days of Detection with defined content; Minor Deviations within 5 business days (consolidated log acceptable); monthly report supplements only.</w:t>
            </w:r>
          </w:p>
        </w:tc>
      </w:tr>
      <w:tr>
        <w:tc>
          <w:tcPr>
            <w:tcW w:type="dxa" w:w="2160"/>
            <w:shd w:val="clear" w:color="auto" w:fill="DCE6F1"/>
          </w:tcPr>
          <w:p>
            <w:r>
              <w:rPr>
                <w:b/>
              </w:rPr>
            </w:r>
            <w:r>
              <w:rPr>
                <w:b/>
                <w:sz w:val="17"/>
              </w:rPr>
              <w:t>Fallback position</w:t>
            </w:r>
          </w:p>
        </w:tc>
        <w:tc>
          <w:tcPr>
            <w:tcW w:type="dxa" w:w="7488"/>
          </w:tcPr>
          <w:p>
            <w:r/>
            <w:r>
              <w:rPr>
                <w:sz w:val="17"/>
              </w:rPr>
              <w:t>None for Major. For Minor, the consolidated-log mechanism already in the redline is the practical concession.</w:t>
            </w:r>
          </w:p>
        </w:tc>
      </w:tr>
      <w:tr>
        <w:tc>
          <w:tcPr>
            <w:tcW w:type="dxa" w:w="2160"/>
            <w:shd w:val="clear" w:color="auto" w:fill="DCE6F1"/>
          </w:tcPr>
          <w:p>
            <w:r>
              <w:rPr>
                <w:b/>
              </w:rPr>
            </w:r>
            <w:r>
              <w:rPr>
                <w:b/>
                <w:sz w:val="17"/>
              </w:rPr>
              <w:t>Negotiation strategy</w:t>
            </w:r>
          </w:p>
        </w:tc>
        <w:tc>
          <w:tcPr>
            <w:tcW w:type="dxa" w:w="7488"/>
          </w:tcPr>
          <w:p>
            <w:r/>
            <w:r>
              <w:rPr>
                <w:sz w:val="17"/>
              </w:rPr>
              <w:t>Offer the consolidated weekly/rolling log for Minor deviations as the visible concession; hold Major at 5 business days.</w:t>
            </w:r>
          </w:p>
        </w:tc>
      </w:tr>
      <w:tr>
        <w:tc>
          <w:tcPr>
            <w:tcW w:type="dxa" w:w="2160"/>
            <w:shd w:val="clear" w:color="auto" w:fill="DCE6F1"/>
          </w:tcPr>
          <w:p>
            <w:r>
              <w:rPr>
                <w:b/>
              </w:rPr>
            </w:r>
            <w:r>
              <w:rPr>
                <w:b/>
                <w:sz w:val="17"/>
              </w:rPr>
              <w:t>Escalation (Rubric §9)</w:t>
            </w:r>
          </w:p>
        </w:tc>
        <w:tc>
          <w:tcPr>
            <w:tcW w:type="dxa" w:w="7488"/>
          </w:tcPr>
          <w:p>
            <w:r/>
            <w:r>
              <w:rPr>
                <w:sz w:val="17"/>
              </w:rPr>
              <w:t>VP QA (Rubric §9.1(a)); AGC (Rubric §9.2(b))</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#13 — §6.2: No root-cause analysis or investigation completion timelines; expressly deferred to Pinnacle SOPs</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§5.2 (Mandatory: Critical 15 BD; Major 30 BD; extensions only with prior Ceritas QA approval) — Missing Protection</w:t>
            </w:r>
          </w:p>
        </w:tc>
      </w:tr>
      <w:tr>
        <w:tc>
          <w:tcPr>
            <w:tcW w:type="dxa" w:w="2160"/>
            <w:shd w:val="clear" w:color="auto" w:fill="DCE6F1"/>
          </w:tcPr>
          <w:p>
            <w:r>
              <w:rPr>
                <w:b/>
              </w:rPr>
            </w:r>
            <w:r>
              <w:rPr>
                <w:b/>
                <w:sz w:val="17"/>
              </w:rPr>
              <w:t>Description of deviation</w:t>
            </w:r>
          </w:p>
        </w:tc>
        <w:tc>
          <w:tcPr>
            <w:tcW w:type="dxa" w:w="7488"/>
          </w:tcPr>
          <w:p>
            <w:r/>
            <w:r>
              <w:rPr>
                <w:sz w:val="17"/>
              </w:rPr>
              <w:t>§6.2 ¶2 states that timelines “are not specified in this Quality Agreement and shall be governed by Pinnacle’s internal SOPs”. This is an express Missing Protection on a Mandatory topic.</w:t>
            </w:r>
          </w:p>
        </w:tc>
      </w:tr>
      <w:tr>
        <w:tc>
          <w:tcPr>
            <w:tcW w:type="dxa" w:w="2160"/>
            <w:shd w:val="clear" w:color="auto" w:fill="DCE6F1"/>
          </w:tcPr>
          <w:p>
            <w:r>
              <w:rPr>
                <w:b/>
              </w:rPr>
            </w:r>
            <w:r>
              <w:rPr>
                <w:b/>
                <w:sz w:val="17"/>
              </w:rPr>
              <w:t>Regulatory / contractual basis</w:t>
            </w:r>
          </w:p>
        </w:tc>
        <w:tc>
          <w:tcPr>
            <w:tcW w:type="dxa" w:w="7488"/>
          </w:tcPr>
          <w:p>
            <w:r/>
            <w:r>
              <w:rPr>
                <w:sz w:val="17"/>
              </w:rPr>
              <w:t>21 CFR 211.192 (timely, thorough investigations); EU GMP Chapter 1 §1.4(xiv); FDA Quality Agreements Guidance (2016); Rubric §3.5 (Missing Protection presumptively Critical, SV 4).</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4 (Critical); PS 3 / RC 3 / CF 1 / OO 3 → IV 3; LS 4 (Almost Certain); PTM 1.5 → CRS 72.0 = Critical Risk. Missing mandatory protection (SV 4 presumption; VP QA automatic escalation under Rubric §9.1(c)). Investigations will occur (LS 4).</w:t>
            </w:r>
          </w:p>
        </w:tc>
      </w:tr>
      <w:tr>
        <w:tc>
          <w:tcPr>
            <w:tcW w:type="dxa" w:w="2160"/>
            <w:shd w:val="clear" w:color="auto" w:fill="DCE6F1"/>
          </w:tcPr>
          <w:p>
            <w:r>
              <w:rPr>
                <w:b/>
              </w:rPr>
            </w:r>
            <w:r>
              <w:rPr>
                <w:b/>
                <w:sz w:val="17"/>
              </w:rPr>
              <w:t>Recommended position (redline)</w:t>
            </w:r>
          </w:p>
        </w:tc>
        <w:tc>
          <w:tcPr>
            <w:tcW w:type="dxa" w:w="7488"/>
          </w:tcPr>
          <w:p>
            <w:r/>
            <w:r>
              <w:rPr>
                <w:sz w:val="17"/>
              </w:rPr>
              <w:t>Redline: 15 business days (Critical) and 30 business days (Major) from Detection; prior written Ceritas QA approval for extensions with Playbook items (i)–(iv); structured RCA methodology with objective data.</w:t>
            </w:r>
          </w:p>
        </w:tc>
      </w:tr>
      <w:tr>
        <w:tc>
          <w:tcPr>
            <w:tcW w:type="dxa" w:w="2160"/>
            <w:shd w:val="clear" w:color="auto" w:fill="DCE6F1"/>
          </w:tcPr>
          <w:p>
            <w:r>
              <w:rPr>
                <w:b/>
              </w:rPr>
            </w:r>
            <w:r>
              <w:rPr>
                <w:b/>
                <w:sz w:val="17"/>
              </w:rPr>
              <w:t>Fallback position</w:t>
            </w:r>
          </w:p>
        </w:tc>
        <w:tc>
          <w:tcPr>
            <w:tcW w:type="dxa" w:w="7488"/>
          </w:tcPr>
          <w:p>
            <w:r/>
            <w:r>
              <w:rPr>
                <w:sz w:val="17"/>
              </w:rPr>
              <w:t>None.</w:t>
            </w:r>
          </w:p>
        </w:tc>
      </w:tr>
      <w:tr>
        <w:tc>
          <w:tcPr>
            <w:tcW w:type="dxa" w:w="2160"/>
            <w:shd w:val="clear" w:color="auto" w:fill="DCE6F1"/>
          </w:tcPr>
          <w:p>
            <w:r>
              <w:rPr>
                <w:b/>
              </w:rPr>
            </w:r>
            <w:r>
              <w:rPr>
                <w:b/>
                <w:sz w:val="17"/>
              </w:rPr>
              <w:t>Negotiation strategy</w:t>
            </w:r>
          </w:p>
        </w:tc>
        <w:tc>
          <w:tcPr>
            <w:tcW w:type="dxa" w:w="7488"/>
          </w:tcPr>
          <w:p>
            <w:r/>
            <w:r>
              <w:rPr>
                <w:sz w:val="17"/>
              </w:rPr>
              <w:t>Non-negotiable; note the timelines run from Detection and are maxima. Pinnacle can request extensions case-by-case.</w:t>
            </w:r>
          </w:p>
        </w:tc>
      </w:tr>
      <w:tr>
        <w:tc>
          <w:tcPr>
            <w:tcW w:type="dxa" w:w="2160"/>
            <w:shd w:val="clear" w:color="auto" w:fill="DCE6F1"/>
          </w:tcPr>
          <w:p>
            <w:r>
              <w:rPr>
                <w:b/>
              </w:rPr>
            </w:r>
            <w:r>
              <w:rPr>
                <w:b/>
                <w:sz w:val="17"/>
              </w:rPr>
              <w:t>Escalation (Rubric §9)</w:t>
            </w:r>
          </w:p>
        </w:tc>
        <w:tc>
          <w:tcPr>
            <w:tcW w:type="dxa" w:w="7488"/>
          </w:tcPr>
          <w:p>
            <w:r/>
            <w:r>
              <w:rPr>
                <w:sz w:val="17"/>
              </w:rPr>
              <w:t>VP QA (Rubric §9.1(a), (c)); AGC (Rubric §9.2(b))</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#14 — §6.3: Pinnacle has sole CAPA approval authority for all deviations, including Critical; Ceritas limited to “input”</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§5.3 (Mandatory: Ceritas approval condition precedent for Critical CAPAs), §5.4 (Preferred: Major too; effectiveness checks), §5.5 (Fallback) — Mandatory</w:t>
            </w:r>
          </w:p>
        </w:tc>
      </w:tr>
      <w:tr>
        <w:tc>
          <w:tcPr>
            <w:tcW w:type="dxa" w:w="2160"/>
            <w:shd w:val="clear" w:color="auto" w:fill="DCE6F1"/>
          </w:tcPr>
          <w:p>
            <w:r>
              <w:rPr>
                <w:b/>
              </w:rPr>
            </w:r>
            <w:r>
              <w:rPr>
                <w:b/>
                <w:sz w:val="17"/>
              </w:rPr>
              <w:t>Description of deviation</w:t>
            </w:r>
          </w:p>
        </w:tc>
        <w:tc>
          <w:tcPr>
            <w:tcW w:type="dxa" w:w="7488"/>
          </w:tcPr>
          <w:p>
            <w:r/>
            <w:r>
              <w:rPr>
                <w:sz w:val="17"/>
              </w:rPr>
              <w:t>“Pinnacle retains sole authority to approve and implement CAPA plans for all deviation classifications” and “is not … obligated to adopt Ceritas’s recommendations”. The Playbook calls input or consultation rights insufficient and unacceptable for Critical CAPAs.</w:t>
            </w:r>
          </w:p>
        </w:tc>
      </w:tr>
      <w:tr>
        <w:tc>
          <w:tcPr>
            <w:tcW w:type="dxa" w:w="2160"/>
            <w:shd w:val="clear" w:color="auto" w:fill="DCE6F1"/>
          </w:tcPr>
          <w:p>
            <w:r>
              <w:rPr>
                <w:b/>
              </w:rPr>
            </w:r>
            <w:r>
              <w:rPr>
                <w:b/>
                <w:sz w:val="17"/>
              </w:rPr>
              <w:t>Regulatory / contractual basis</w:t>
            </w:r>
          </w:p>
        </w:tc>
        <w:tc>
          <w:tcPr>
            <w:tcW w:type="dxa" w:w="7488"/>
          </w:tcPr>
          <w:p>
            <w:r/>
            <w:r>
              <w:rPr>
                <w:sz w:val="17"/>
              </w:rPr>
              <w:t>21 CFR 211.22(a), 211.192; ICH Q10 §3.2.2 (CAPA system); EU GMP Chapter 1 §1.4(xiv); MSA §3.5 (Ceritas reviews and approves CAPA plans).</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3 (Major); PS 3 / RC 3 / CF 1 / OO 3 → IV 3; LS 4 (Almost Certain); PTM 1.5 → CRS 54.0 = Critical Risk. Rubric §4.2.2 classifies CAPA authority retained by the counterparty as Major (SV 3); CAPAs are certain (LS 4).</w:t>
            </w:r>
          </w:p>
        </w:tc>
      </w:tr>
      <w:tr>
        <w:tc>
          <w:tcPr>
            <w:tcW w:type="dxa" w:w="2160"/>
            <w:shd w:val="clear" w:color="auto" w:fill="DCE6F1"/>
          </w:tcPr>
          <w:p>
            <w:r>
              <w:rPr>
                <w:b/>
              </w:rPr>
            </w:r>
            <w:r>
              <w:rPr>
                <w:b/>
                <w:sz w:val="17"/>
              </w:rPr>
              <w:t>Recommended position (redline)</w:t>
            </w:r>
          </w:p>
        </w:tc>
        <w:tc>
          <w:tcPr>
            <w:tcW w:type="dxa" w:w="7488"/>
          </w:tcPr>
          <w:p>
            <w:r/>
            <w:r>
              <w:rPr>
                <w:sz w:val="17"/>
              </w:rPr>
              <w:t>Redline: Ceritas written approval as condition precedent for Critical and Major CAPAs (Preferred), with immediate containment permitted; Pinnacle may self-approve Minor CAPAs; effectiveness checks per approved plan, reported with data within 10 business days.</w:t>
            </w:r>
          </w:p>
        </w:tc>
      </w:tr>
      <w:tr>
        <w:tc>
          <w:tcPr>
            <w:tcW w:type="dxa" w:w="2160"/>
            <w:shd w:val="clear" w:color="auto" w:fill="DCE6F1"/>
          </w:tcPr>
          <w:p>
            <w:r>
              <w:rPr>
                <w:b/>
              </w:rPr>
            </w:r>
            <w:r>
              <w:rPr>
                <w:b/>
                <w:sz w:val="17"/>
              </w:rPr>
              <w:t>Fallback position</w:t>
            </w:r>
          </w:p>
        </w:tc>
        <w:tc>
          <w:tcPr>
            <w:tcW w:type="dxa" w:w="7488"/>
          </w:tcPr>
          <w:p>
            <w:r/>
            <w:r>
              <w:rPr>
                <w:sz w:val="17"/>
              </w:rPr>
              <w:t>For Major CAPAs only: Pinnacle implementation authority if Ceritas has prior review-and-comment and Pinnacle must address each comment substantively in good faith (Playbook §5.5 definition). Critical CAPA approval is non-negotiable.</w:t>
            </w:r>
          </w:p>
        </w:tc>
      </w:tr>
      <w:tr>
        <w:tc>
          <w:tcPr>
            <w:tcW w:type="dxa" w:w="2160"/>
            <w:shd w:val="clear" w:color="auto" w:fill="DCE6F1"/>
          </w:tcPr>
          <w:p>
            <w:r>
              <w:rPr>
                <w:b/>
              </w:rPr>
            </w:r>
            <w:r>
              <w:rPr>
                <w:b/>
                <w:sz w:val="17"/>
              </w:rPr>
              <w:t>Negotiation strategy</w:t>
            </w:r>
          </w:p>
        </w:tc>
        <w:tc>
          <w:tcPr>
            <w:tcW w:type="dxa" w:w="7488"/>
          </w:tcPr>
          <w:p>
            <w:r/>
            <w:r>
              <w:rPr>
                <w:sz w:val="17"/>
              </w:rPr>
              <w:t>Open at Preferred (Critical + Major). Concede Major to Fallback in exchange for firm RCA and notification timelines if needed. Cite MSA §3.5, which already speaks of Ceritas approval of CAPA plans.</w:t>
            </w:r>
          </w:p>
        </w:tc>
      </w:tr>
      <w:tr>
        <w:tc>
          <w:tcPr>
            <w:tcW w:type="dxa" w:w="2160"/>
            <w:shd w:val="clear" w:color="auto" w:fill="DCE6F1"/>
          </w:tcPr>
          <w:p>
            <w:r>
              <w:rPr>
                <w:b/>
              </w:rPr>
            </w:r>
            <w:r>
              <w:rPr>
                <w:b/>
                <w:sz w:val="17"/>
              </w:rPr>
              <w:t>Escalation (Rubric §9)</w:t>
            </w:r>
          </w:p>
        </w:tc>
        <w:tc>
          <w:tcPr>
            <w:tcW w:type="dxa" w:w="7488"/>
          </w:tcPr>
          <w:p>
            <w:r/>
            <w:r>
              <w:rPr>
                <w:sz w:val="17"/>
              </w:rPr>
              <w:t>VP QA (Rubric §9.1(a)); AGC (Rubric §9.2(b))</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#15 — New §6.4 (not in draft): No OOS/OOT investigation or notification provisions for release, in-process or incoming-material testing</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Rubric §2.1(c) (Missing Protection: OOS notification); MSA §4.2(c); Playbook §6.2 — Missing Protection</w:t>
            </w:r>
          </w:p>
        </w:tc>
      </w:tr>
      <w:tr>
        <w:tc>
          <w:tcPr>
            <w:tcW w:type="dxa" w:w="2160"/>
            <w:shd w:val="clear" w:color="auto" w:fill="DCE6F1"/>
          </w:tcPr>
          <w:p>
            <w:r>
              <w:rPr>
                <w:b/>
              </w:rPr>
            </w:r>
            <w:r>
              <w:rPr>
                <w:b/>
                <w:sz w:val="17"/>
              </w:rPr>
              <w:t>Description of deviation</w:t>
            </w:r>
          </w:p>
        </w:tc>
        <w:tc>
          <w:tcPr>
            <w:tcW w:type="dxa" w:w="7488"/>
          </w:tcPr>
          <w:p>
            <w:r/>
            <w:r>
              <w:rPr>
                <w:sz w:val="17"/>
              </w:rPr>
              <w:t>OOS/OOT is addressed only for stability (§13.2). MSA §4.2(c) requires the QA to define OOS/OOT investigation procedures. No notification timeline exists for release-test OOS, which is the most common route to a FAR or recall.</w:t>
            </w:r>
          </w:p>
        </w:tc>
      </w:tr>
      <w:tr>
        <w:tc>
          <w:tcPr>
            <w:tcW w:type="dxa" w:w="2160"/>
            <w:shd w:val="clear" w:color="auto" w:fill="DCE6F1"/>
          </w:tcPr>
          <w:p>
            <w:r>
              <w:rPr>
                <w:b/>
              </w:rPr>
            </w:r>
            <w:r>
              <w:rPr>
                <w:b/>
                <w:sz w:val="17"/>
              </w:rPr>
              <w:t>Regulatory / contractual basis</w:t>
            </w:r>
          </w:p>
        </w:tc>
        <w:tc>
          <w:tcPr>
            <w:tcW w:type="dxa" w:w="7488"/>
          </w:tcPr>
          <w:p>
            <w:r/>
            <w:r>
              <w:rPr>
                <w:sz w:val="17"/>
              </w:rPr>
              <w:t>21 CFR 211.165, 211.192; FDA Guidance, Investigating OOS Test Results for Pharmaceutical Production; EU GMP Chapter 6; 21 CFR 314.81(b)(1); MSA §4.2(c).</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4 (Critical); PS 4 / RC 3 / CF 2 / OO 4 → IV 4; LS 3 (Likely); PTM 1.5 → CRS 72.0 = Critical Risk. Missing protection on a patient-safety topic (SV 4); OOS events are Likely at commercial scale (Rubric §6.2.2, LS 3).</w:t>
            </w:r>
          </w:p>
        </w:tc>
      </w:tr>
      <w:tr>
        <w:tc>
          <w:tcPr>
            <w:tcW w:type="dxa" w:w="2160"/>
            <w:shd w:val="clear" w:color="auto" w:fill="DCE6F1"/>
          </w:tcPr>
          <w:p>
            <w:r>
              <w:rPr>
                <w:b/>
              </w:rPr>
            </w:r>
            <w:r>
              <w:rPr>
                <w:b/>
                <w:sz w:val="17"/>
              </w:rPr>
              <w:t>Recommended position (redline)</w:t>
            </w:r>
          </w:p>
        </w:tc>
        <w:tc>
          <w:tcPr>
            <w:tcW w:type="dxa" w:w="7488"/>
          </w:tcPr>
          <w:p>
            <w:r/>
            <w:r>
              <w:rPr>
                <w:sz w:val="17"/>
              </w:rPr>
              <w:t>Redline adds §6.4: investigations per FDA OOS guidance and EU GMP Ch. 6; notice within 24 hours of confirmation (Phase I laboratory assessment), and within 24 hours of Detection for released Batches; Critical-deviation investigation timelines; no release while OOS/OOT open.</w:t>
            </w:r>
          </w:p>
        </w:tc>
      </w:tr>
      <w:tr>
        <w:tc>
          <w:tcPr>
            <w:tcW w:type="dxa" w:w="2160"/>
            <w:shd w:val="clear" w:color="auto" w:fill="DCE6F1"/>
          </w:tcPr>
          <w:p>
            <w:r>
              <w:rPr>
                <w:b/>
              </w:rPr>
            </w:r>
            <w:r>
              <w:rPr>
                <w:b/>
                <w:sz w:val="17"/>
              </w:rPr>
              <w:t>Fallback position</w:t>
            </w:r>
          </w:p>
        </w:tc>
        <w:tc>
          <w:tcPr>
            <w:tcW w:type="dxa" w:w="7488"/>
          </w:tcPr>
          <w:p>
            <w:r/>
            <w:r>
              <w:rPr>
                <w:sz w:val="17"/>
              </w:rPr>
              <w:t>Investigation timelines may default to Major (30 BD) for OOT-only results with Ceritas written agreement case-by-case (built into redline).</w:t>
            </w:r>
          </w:p>
        </w:tc>
      </w:tr>
      <w:tr>
        <w:tc>
          <w:tcPr>
            <w:tcW w:type="dxa" w:w="2160"/>
            <w:shd w:val="clear" w:color="auto" w:fill="DCE6F1"/>
          </w:tcPr>
          <w:p>
            <w:r>
              <w:rPr>
                <w:b/>
              </w:rPr>
            </w:r>
            <w:r>
              <w:rPr>
                <w:b/>
                <w:sz w:val="17"/>
              </w:rPr>
              <w:t>Negotiation strategy</w:t>
            </w:r>
          </w:p>
        </w:tc>
        <w:tc>
          <w:tcPr>
            <w:tcW w:type="dxa" w:w="7488"/>
          </w:tcPr>
          <w:p>
            <w:r/>
            <w:r>
              <w:rPr>
                <w:sz w:val="17"/>
              </w:rPr>
              <w:t>Pinnacle should accept: it mirrors its own regulatory obligations. Mention that MSA §4.2(c) obliges the Parties to include it.</w:t>
            </w:r>
          </w:p>
        </w:tc>
      </w:tr>
      <w:tr>
        <w:tc>
          <w:tcPr>
            <w:tcW w:type="dxa" w:w="2160"/>
            <w:shd w:val="clear" w:color="auto" w:fill="DCE6F1"/>
          </w:tcPr>
          <w:p>
            <w:r>
              <w:rPr>
                <w:b/>
              </w:rPr>
            </w:r>
            <w:r>
              <w:rPr>
                <w:b/>
                <w:sz w:val="17"/>
              </w:rPr>
              <w:t>Escalation (Rubric §9)</w:t>
            </w:r>
          </w:p>
        </w:tc>
        <w:tc>
          <w:tcPr>
            <w:tcW w:type="dxa" w:w="7488"/>
          </w:tcPr>
          <w:p>
            <w:r/>
            <w:r>
              <w:rPr>
                <w:sz w:val="17"/>
              </w:rPr>
              <w:t>VP QA (Rubric §9.1(a), (c)); AGC (Rubric §9.2(b))</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#16 — §7.1(a), §3.2(g): Pinnacle’s QP given “final batch disposition authority” for the EU; no Ceritas override; Ceritas disposition limited to U.S.</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§6.1 (Mandatory: Ceritas final disposition all markets; CDMO QP limited to Annex 16 certification; Ceritas override) — Mandatory</w:t>
            </w:r>
          </w:p>
        </w:tc>
      </w:tr>
      <w:tr>
        <w:tc>
          <w:tcPr>
            <w:tcW w:type="dxa" w:w="2160"/>
            <w:shd w:val="clear" w:color="auto" w:fill="DCE6F1"/>
          </w:tcPr>
          <w:p>
            <w:r>
              <w:rPr>
                <w:b/>
              </w:rPr>
            </w:r>
            <w:r>
              <w:rPr>
                <w:b/>
                <w:sz w:val="17"/>
              </w:rPr>
              <w:t>Description of deviation</w:t>
            </w:r>
          </w:p>
        </w:tc>
        <w:tc>
          <w:tcPr>
            <w:tcW w:type="dxa" w:w="7488"/>
          </w:tcPr>
          <w:p>
            <w:r/>
            <w:r>
              <w:rPr>
                <w:sz w:val="17"/>
              </w:rPr>
              <w:t>The draft vests final EU disposition in Pinnacle’s QP and restricts Ceritas to U.S. disposition. Ceritas Ireland, the EU MAH, would have no contractual right to stop a certified batch. This is the first illustrative Critical Deviation in Rubric §4.2.1.</w:t>
            </w:r>
          </w:p>
        </w:tc>
      </w:tr>
      <w:tr>
        <w:tc>
          <w:tcPr>
            <w:tcW w:type="dxa" w:w="2160"/>
            <w:shd w:val="clear" w:color="auto" w:fill="DCE6F1"/>
          </w:tcPr>
          <w:p>
            <w:r>
              <w:rPr>
                <w:b/>
              </w:rPr>
            </w:r>
            <w:r>
              <w:rPr>
                <w:b/>
                <w:sz w:val="17"/>
              </w:rPr>
              <w:t>Regulatory / contractual basis</w:t>
            </w:r>
          </w:p>
        </w:tc>
        <w:tc>
          <w:tcPr>
            <w:tcW w:type="dxa" w:w="7488"/>
          </w:tcPr>
          <w:p>
            <w:r/>
            <w:r>
              <w:rPr>
                <w:sz w:val="17"/>
              </w:rPr>
              <w:t>Directive 2001/83/EC Art 51 and EU GMP Annex 16 (QP certification is required, but certification does not oblige the MAH to place a batch on the market); 21 CFR 211.22 and 211.165; MSA §3.4.</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4 (Critical); PS 4 / RC 4 / CF 3 / OO 4 → IV 4; LS 4 (Almost Certain); PTM 1.5 → CRS 96.0 = Critical Risk. Absence of Ceritas final disposition authority (Rubric Critical example); affects every EU batch (LS 4); RC 4 → SVP Regulatory Affairs escalation.</w:t>
            </w:r>
          </w:p>
        </w:tc>
      </w:tr>
      <w:tr>
        <w:tc>
          <w:tcPr>
            <w:tcW w:type="dxa" w:w="2160"/>
            <w:shd w:val="clear" w:color="auto" w:fill="DCE6F1"/>
          </w:tcPr>
          <w:p>
            <w:r>
              <w:rPr>
                <w:b/>
              </w:rPr>
            </w:r>
            <w:r>
              <w:rPr>
                <w:b/>
                <w:sz w:val="17"/>
              </w:rPr>
              <w:t>Recommended position (redline)</w:t>
            </w:r>
          </w:p>
        </w:tc>
        <w:tc>
          <w:tcPr>
            <w:tcW w:type="dxa" w:w="7488"/>
          </w:tcPr>
          <w:p>
            <w:r/>
            <w:r>
              <w:rPr>
                <w:sz w:val="17"/>
              </w:rPr>
              <w:t>Redline limits Pinnacle QP authority to the Art 51/Annex 16 certification act; Ceritas QA makes the final EU disposition on behalf of Ceritas Ireland; no EU shipment without QP certificate plus Ceritas written release; Ceritas sole-discretion right to direct non-release of a certified batch. §3.2(g) amended to “all markets”.</w:t>
            </w:r>
          </w:p>
        </w:tc>
      </w:tr>
      <w:tr>
        <w:tc>
          <w:tcPr>
            <w:tcW w:type="dxa" w:w="2160"/>
            <w:shd w:val="clear" w:color="auto" w:fill="DCE6F1"/>
          </w:tcPr>
          <w:p>
            <w:r>
              <w:rPr>
                <w:b/>
              </w:rPr>
            </w:r>
            <w:r>
              <w:rPr>
                <w:b/>
                <w:sz w:val="17"/>
              </w:rPr>
              <w:t>Fallback position</w:t>
            </w:r>
          </w:p>
        </w:tc>
        <w:tc>
          <w:tcPr>
            <w:tcW w:type="dxa" w:w="7488"/>
          </w:tcPr>
          <w:p>
            <w:r/>
            <w:r>
              <w:rPr>
                <w:sz w:val="17"/>
              </w:rPr>
              <w:t>None. Wording may acknowledge that the override operates only to prevent release, never to compel certification.</w:t>
            </w:r>
          </w:p>
        </w:tc>
      </w:tr>
      <w:tr>
        <w:tc>
          <w:tcPr>
            <w:tcW w:type="dxa" w:w="2160"/>
            <w:shd w:val="clear" w:color="auto" w:fill="DCE6F1"/>
          </w:tcPr>
          <w:p>
            <w:r>
              <w:rPr>
                <w:b/>
              </w:rPr>
            </w:r>
            <w:r>
              <w:rPr>
                <w:b/>
                <w:sz w:val="17"/>
              </w:rPr>
              <w:t>Negotiation strategy</w:t>
            </w:r>
          </w:p>
        </w:tc>
        <w:tc>
          <w:tcPr>
            <w:tcW w:type="dxa" w:w="7488"/>
          </w:tcPr>
          <w:p>
            <w:r/>
            <w:r>
              <w:rPr>
                <w:sz w:val="17"/>
              </w:rPr>
              <w:t>Pinnacle will say a QP’s legal duty cannot be overridden. Answer: correct, and the redline never compels a QP to certify. It preserves the MAH’s right to refuse to place product on the market, which Annex 16 does not displace. Offer an Annex-16-compliant two-key release flow diagram at the working session.</w:t>
            </w:r>
          </w:p>
        </w:tc>
      </w:tr>
      <w:tr>
        <w:tc>
          <w:tcPr>
            <w:tcW w:type="dxa" w:w="2160"/>
            <w:shd w:val="clear" w:color="auto" w:fill="DCE6F1"/>
          </w:tcPr>
          <w:p>
            <w:r>
              <w:rPr>
                <w:b/>
              </w:rPr>
            </w:r>
            <w:r>
              <w:rPr>
                <w:b/>
                <w:sz w:val="17"/>
              </w:rPr>
              <w:t>Escalation (Rubric §9)</w:t>
            </w:r>
          </w:p>
        </w:tc>
        <w:tc>
          <w:tcPr>
            <w:tcW w:type="dxa" w:w="7488"/>
          </w:tcPr>
          <w:p>
            <w:r/>
            <w:r>
              <w:rPr>
                <w:sz w:val="17"/>
              </w:rPr>
              <w:t>VP QA (Rubric §9.1(a)); AGC (Rubric §9.2(b)); SVP Regulatory Affairs (Rubric §9.3)</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#17 — §7.1(b): U.S. disposition based on batch records “or summaries thereof”; non-EU/non-US markets unallocated</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§6.1 (Ceritas disposition for U.S. and all other non-EU markets) — Mandatory</w:t>
            </w:r>
          </w:p>
        </w:tc>
      </w:tr>
      <w:tr>
        <w:tc>
          <w:tcPr>
            <w:tcW w:type="dxa" w:w="2160"/>
            <w:shd w:val="clear" w:color="auto" w:fill="DCE6F1"/>
          </w:tcPr>
          <w:p>
            <w:r>
              <w:rPr>
                <w:b/>
              </w:rPr>
            </w:r>
            <w:r>
              <w:rPr>
                <w:b/>
                <w:sz w:val="17"/>
              </w:rPr>
              <w:t>Description of deviation</w:t>
            </w:r>
          </w:p>
        </w:tc>
        <w:tc>
          <w:tcPr>
            <w:tcW w:type="dxa" w:w="7488"/>
          </w:tcPr>
          <w:p>
            <w:r/>
            <w:r>
              <w:rPr>
                <w:sz w:val="17"/>
              </w:rPr>
              <w:t>Ceritas may be given only summaries of batch records, contrary to MSA §3.4 (Ceritas reviews and approves Batch records, CoAs and deviation reports before release). Markets other than U.S./EEA are not addressed.</w:t>
            </w:r>
          </w:p>
        </w:tc>
      </w:tr>
      <w:tr>
        <w:tc>
          <w:tcPr>
            <w:tcW w:type="dxa" w:w="2160"/>
            <w:shd w:val="clear" w:color="auto" w:fill="DCE6F1"/>
          </w:tcPr>
          <w:p>
            <w:r>
              <w:rPr>
                <w:b/>
              </w:rPr>
            </w:r>
            <w:r>
              <w:rPr>
                <w:b/>
                <w:sz w:val="17"/>
              </w:rPr>
              <w:t>Regulatory / contractual basis</w:t>
            </w:r>
          </w:p>
        </w:tc>
        <w:tc>
          <w:tcPr>
            <w:tcW w:type="dxa" w:w="7488"/>
          </w:tcPr>
          <w:p>
            <w:r/>
            <w:r>
              <w:rPr>
                <w:sz w:val="17"/>
              </w:rPr>
              <w:t>21 CFR 211.188, 211.192 (batch record review before release); 21 CFR 211.22; MSA §3.4.</w:t>
            </w:r>
          </w:p>
        </w:tc>
      </w:tr>
      <w:tr>
        <w:tc>
          <w:tcPr>
            <w:tcW w:type="dxa" w:w="2160"/>
            <w:shd w:val="clear" w:color="auto" w:fill="DCE6F1"/>
          </w:tcPr>
          <w:p>
            <w:r>
              <w:rPr>
                <w:b/>
              </w:rPr>
            </w:r>
            <w:r>
              <w:rPr>
                <w:b/>
                <w:sz w:val="17"/>
              </w:rPr>
              <w:t>Risk scoring</w:t>
            </w:r>
          </w:p>
        </w:tc>
        <w:tc>
          <w:tcPr>
            <w:tcW w:type="dxa" w:w="7488"/>
            <w:shd w:val="clear" w:color="auto" w:fill="FCE4D6"/>
          </w:tcPr>
          <w:p>
            <w:r/>
            <w:r>
              <w:rPr>
                <w:sz w:val="17"/>
              </w:rPr>
              <w:t>SV 2 (Moderate); PS 3 / RC 3 / CF 1 / OO 3 → IV 3; LS 3 (Likely); PTM 1.5 → CRS 27.0 = High Risk. Weakens release review (PS 3, OO 3); relevant every U.S. batch, though the disposition right itself is preserved (SV 2).</w:t>
            </w:r>
          </w:p>
        </w:tc>
      </w:tr>
      <w:tr>
        <w:tc>
          <w:tcPr>
            <w:tcW w:type="dxa" w:w="2160"/>
            <w:shd w:val="clear" w:color="auto" w:fill="DCE6F1"/>
          </w:tcPr>
          <w:p>
            <w:r>
              <w:rPr>
                <w:b/>
              </w:rPr>
            </w:r>
            <w:r>
              <w:rPr>
                <w:b/>
                <w:sz w:val="17"/>
              </w:rPr>
              <w:t>Recommended position (redline)</w:t>
            </w:r>
          </w:p>
        </w:tc>
        <w:tc>
          <w:tcPr>
            <w:tcW w:type="dxa" w:w="7488"/>
          </w:tcPr>
          <w:p>
            <w:r/>
            <w:r>
              <w:rPr>
                <w:sz w:val="17"/>
              </w:rPr>
              <w:t>Redline: Ceritas reviews executed batch production and packaging records plus all deviation, OOS and OOT reports; extends to all non-EEA markets; new §7.1(e) batch release package within 10 business days of Pinnacle QA review.</w:t>
            </w:r>
          </w:p>
        </w:tc>
      </w:tr>
      <w:tr>
        <w:tc>
          <w:tcPr>
            <w:tcW w:type="dxa" w:w="2160"/>
            <w:shd w:val="clear" w:color="auto" w:fill="DCE6F1"/>
          </w:tcPr>
          <w:p>
            <w:r>
              <w:rPr>
                <w:b/>
              </w:rPr>
            </w:r>
            <w:r>
              <w:rPr>
                <w:b/>
                <w:sz w:val="17"/>
              </w:rPr>
              <w:t>Fallback position</w:t>
            </w:r>
          </w:p>
        </w:tc>
        <w:tc>
          <w:tcPr>
            <w:tcW w:type="dxa" w:w="7488"/>
          </w:tcPr>
          <w:p>
            <w:r/>
            <w:r>
              <w:rPr>
                <w:sz w:val="17"/>
              </w:rPr>
              <w:t>Electronic access to executed batch records via Pinnacle’s eBR system acceptable in lieu of copies.</w:t>
            </w:r>
          </w:p>
        </w:tc>
      </w:tr>
      <w:tr>
        <w:tc>
          <w:tcPr>
            <w:tcW w:type="dxa" w:w="2160"/>
            <w:shd w:val="clear" w:color="auto" w:fill="DCE6F1"/>
          </w:tcPr>
          <w:p>
            <w:r>
              <w:rPr>
                <w:b/>
              </w:rPr>
            </w:r>
            <w:r>
              <w:rPr>
                <w:b/>
                <w:sz w:val="17"/>
              </w:rPr>
              <w:t>Negotiation strategy</w:t>
            </w:r>
          </w:p>
        </w:tc>
        <w:tc>
          <w:tcPr>
            <w:tcW w:type="dxa" w:w="7488"/>
          </w:tcPr>
          <w:p>
            <w:r/>
            <w:r>
              <w:rPr>
                <w:sz w:val="17"/>
              </w:rPr>
              <w:t>Cite MSA §3.4; easy conformity point.</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#18 — §2.2, §7.1(c): CoA lacks reference to Ceritas-approved test methods and a disposition statement; issued per shipment rather than per batch</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§6.2 (Mandatory CoA content) — Mandatory</w:t>
            </w:r>
          </w:p>
        </w:tc>
      </w:tr>
      <w:tr>
        <w:tc>
          <w:tcPr>
            <w:tcW w:type="dxa" w:w="2160"/>
            <w:shd w:val="clear" w:color="auto" w:fill="DCE6F1"/>
          </w:tcPr>
          <w:p>
            <w:r>
              <w:rPr>
                <w:b/>
              </w:rPr>
            </w:r>
            <w:r>
              <w:rPr>
                <w:b/>
                <w:sz w:val="17"/>
              </w:rPr>
              <w:t>Description of deviation</w:t>
            </w:r>
          </w:p>
        </w:tc>
        <w:tc>
          <w:tcPr>
            <w:tcW w:type="dxa" w:w="7488"/>
          </w:tcPr>
          <w:p>
            <w:r/>
            <w:r>
              <w:rPr>
                <w:sz w:val="17"/>
              </w:rPr>
              <w:t>Draft CoA lists tests, specs and results with pass/fail, but omits batch identifiers/dates, the validated Ceritas-approved method reference and a disposition statement, and is tied to shipments. There is also no Approved Test Methods annex for the CoA to reference (see Annex C issue).</w:t>
            </w:r>
          </w:p>
        </w:tc>
      </w:tr>
      <w:tr>
        <w:tc>
          <w:tcPr>
            <w:tcW w:type="dxa" w:w="2160"/>
            <w:shd w:val="clear" w:color="auto" w:fill="DCE6F1"/>
          </w:tcPr>
          <w:p>
            <w:r>
              <w:rPr>
                <w:b/>
              </w:rPr>
            </w:r>
            <w:r>
              <w:rPr>
                <w:b/>
                <w:sz w:val="17"/>
              </w:rPr>
              <w:t>Regulatory / contractual basis</w:t>
            </w:r>
          </w:p>
        </w:tc>
        <w:tc>
          <w:tcPr>
            <w:tcW w:type="dxa" w:w="7488"/>
          </w:tcPr>
          <w:p>
            <w:r/>
            <w:r>
              <w:rPr>
                <w:sz w:val="17"/>
              </w:rPr>
              <w:t>21 CFR 211.165, 211.194(a)(2) (methods used must be referenced); EU GMP Chapter 6; Annex 16; MSA §1.5 (CoA in form agreed in the QA).</w:t>
            </w:r>
          </w:p>
        </w:tc>
      </w:tr>
      <w:tr>
        <w:tc>
          <w:tcPr>
            <w:tcW w:type="dxa" w:w="2160"/>
            <w:shd w:val="clear" w:color="auto" w:fill="DCE6F1"/>
          </w:tcPr>
          <w:p>
            <w:r>
              <w:rPr>
                <w:b/>
              </w:rPr>
            </w:r>
            <w:r>
              <w:rPr>
                <w:b/>
                <w:sz w:val="17"/>
              </w:rPr>
              <w:t>Risk scoring</w:t>
            </w:r>
          </w:p>
        </w:tc>
        <w:tc>
          <w:tcPr>
            <w:tcW w:type="dxa" w:w="7488"/>
            <w:shd w:val="clear" w:color="auto" w:fill="FCE4D6"/>
          </w:tcPr>
          <w:p>
            <w:r/>
            <w:r>
              <w:rPr>
                <w:sz w:val="17"/>
              </w:rPr>
              <w:t>SV 2 (Moderate); PS 2 / RC 3 / CF 1 / OO 3 → IV 3; LS 4 (Almost Certain); PTM 1.5 → CRS 36.0 = High Risk. Every batch (LS 4); content gaps impair verification against the filed methods (RC 3) but release testing is still documented (SV 2).</w:t>
            </w:r>
          </w:p>
        </w:tc>
      </w:tr>
      <w:tr>
        <w:tc>
          <w:tcPr>
            <w:tcW w:type="dxa" w:w="2160"/>
            <w:shd w:val="clear" w:color="auto" w:fill="DCE6F1"/>
          </w:tcPr>
          <w:p>
            <w:r>
              <w:rPr>
                <w:b/>
              </w:rPr>
            </w:r>
            <w:r>
              <w:rPr>
                <w:b/>
                <w:sz w:val="17"/>
              </w:rPr>
              <w:t>Recommended position (redline)</w:t>
            </w:r>
          </w:p>
        </w:tc>
        <w:tc>
          <w:tcPr>
            <w:tcW w:type="dxa" w:w="7488"/>
          </w:tcPr>
          <w:p>
            <w:r/>
            <w:r>
              <w:rPr>
                <w:sz w:val="17"/>
              </w:rPr>
              <w:t>Redline §2.2 and §7.1(c): full Playbook content (product, batch, dates, all release results, limits, Approved Test Method reference, disposition, signature and date); CoA for each Batch and with each shipment; unapproved or modified methods are a reportable deviation.</w:t>
            </w:r>
          </w:p>
        </w:tc>
      </w:tr>
      <w:tr>
        <w:tc>
          <w:tcPr>
            <w:tcW w:type="dxa" w:w="2160"/>
            <w:shd w:val="clear" w:color="auto" w:fill="DCE6F1"/>
          </w:tcPr>
          <w:p>
            <w:r>
              <w:rPr>
                <w:b/>
              </w:rPr>
            </w:r>
            <w:r>
              <w:rPr>
                <w:b/>
                <w:sz w:val="17"/>
              </w:rPr>
              <w:t>Fallback position</w:t>
            </w:r>
          </w:p>
        </w:tc>
        <w:tc>
          <w:tcPr>
            <w:tcW w:type="dxa" w:w="7488"/>
          </w:tcPr>
          <w:p>
            <w:r/>
            <w:r>
              <w:rPr>
                <w:sz w:val="17"/>
              </w:rPr>
              <w:t>None; content is mandatory, format is flexible.</w:t>
            </w:r>
          </w:p>
        </w:tc>
      </w:tr>
      <w:tr>
        <w:tc>
          <w:tcPr>
            <w:tcW w:type="dxa" w:w="2160"/>
            <w:shd w:val="clear" w:color="auto" w:fill="DCE6F1"/>
          </w:tcPr>
          <w:p>
            <w:r>
              <w:rPr>
                <w:b/>
              </w:rPr>
            </w:r>
            <w:r>
              <w:rPr>
                <w:b/>
                <w:sz w:val="17"/>
              </w:rPr>
              <w:t>Negotiation strategy</w:t>
            </w:r>
          </w:p>
        </w:tc>
        <w:tc>
          <w:tcPr>
            <w:tcW w:type="dxa" w:w="7488"/>
          </w:tcPr>
          <w:p>
            <w:r/>
            <w:r>
              <w:rPr>
                <w:sz w:val="17"/>
              </w:rPr>
              <w:t>Technical clean-up; expect quick acceptance.</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#19 — §7.1(d): Raw data turnaround 10 business days “upon reasonable request”</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§6.3 (Preferred: 2 BD), §6.4 (Fallback: 5 BD, firm) — Preferred / below Fallback</w:t>
            </w:r>
          </w:p>
        </w:tc>
      </w:tr>
      <w:tr>
        <w:tc>
          <w:tcPr>
            <w:tcW w:type="dxa" w:w="2160"/>
            <w:shd w:val="clear" w:color="auto" w:fill="DCE6F1"/>
          </w:tcPr>
          <w:p>
            <w:r>
              <w:rPr>
                <w:b/>
              </w:rPr>
            </w:r>
            <w:r>
              <w:rPr>
                <w:b/>
                <w:sz w:val="17"/>
              </w:rPr>
              <w:t>Description of deviation</w:t>
            </w:r>
          </w:p>
        </w:tc>
        <w:tc>
          <w:tcPr>
            <w:tcW w:type="dxa" w:w="7488"/>
          </w:tcPr>
          <w:p>
            <w:r/>
            <w:r>
              <w:rPr>
                <w:sz w:val="17"/>
              </w:rPr>
              <w:t>10 business days is double the Fallback ceiling, and “reasonable request” introduces a qualifier.</w:t>
            </w:r>
          </w:p>
        </w:tc>
      </w:tr>
      <w:tr>
        <w:tc>
          <w:tcPr>
            <w:tcW w:type="dxa" w:w="2160"/>
            <w:shd w:val="clear" w:color="auto" w:fill="DCE6F1"/>
          </w:tcPr>
          <w:p>
            <w:r>
              <w:rPr>
                <w:b/>
              </w:rPr>
            </w:r>
            <w:r>
              <w:rPr>
                <w:b/>
                <w:sz w:val="17"/>
              </w:rPr>
              <w:t>Regulatory / contractual basis</w:t>
            </w:r>
          </w:p>
        </w:tc>
        <w:tc>
          <w:tcPr>
            <w:tcW w:type="dxa" w:w="7488"/>
          </w:tcPr>
          <w:p>
            <w:r/>
            <w:r>
              <w:rPr>
                <w:sz w:val="17"/>
              </w:rPr>
              <w:t>21 CFR 211.180(c) (records readily available for authorized inspection); 21 CFR 211.194; FDA Data Integrity Guidance (2018) (complete data including audit trails).</w:t>
            </w:r>
          </w:p>
        </w:tc>
      </w:tr>
      <w:tr>
        <w:tc>
          <w:tcPr>
            <w:tcW w:type="dxa" w:w="2160"/>
            <w:shd w:val="clear" w:color="auto" w:fill="DCE6F1"/>
          </w:tcPr>
          <w:p>
            <w:r>
              <w:rPr>
                <w:b/>
              </w:rPr>
            </w:r>
            <w:r>
              <w:rPr>
                <w:b/>
                <w:sz w:val="17"/>
              </w:rPr>
              <w:t>Risk scoring</w:t>
            </w:r>
          </w:p>
        </w:tc>
        <w:tc>
          <w:tcPr>
            <w:tcW w:type="dxa" w:w="7488"/>
            <w:shd w:val="clear" w:color="auto" w:fill="FCE4D6"/>
          </w:tcPr>
          <w:p>
            <w:r/>
            <w:r>
              <w:rPr>
                <w:sz w:val="17"/>
              </w:rPr>
              <w:t>SV 3 (Major); PS 2 / RC 2 / CF 1 / OO 3 → IV 3; LS 3 (Likely); PTM 1.5 → CRS 40.5 = High Risk. Below Fallback (SV 3 per Rubric §4.2.2); slows OOS verification and inspection readiness (OO 3).</w:t>
            </w:r>
          </w:p>
        </w:tc>
      </w:tr>
      <w:tr>
        <w:tc>
          <w:tcPr>
            <w:tcW w:type="dxa" w:w="2160"/>
            <w:shd w:val="clear" w:color="auto" w:fill="DCE6F1"/>
          </w:tcPr>
          <w:p>
            <w:r>
              <w:rPr>
                <w:b/>
              </w:rPr>
            </w:r>
            <w:r>
              <w:rPr>
                <w:b/>
                <w:sz w:val="17"/>
              </w:rPr>
              <w:t>Recommended position (redline)</w:t>
            </w:r>
          </w:p>
        </w:tc>
        <w:tc>
          <w:tcPr>
            <w:tcW w:type="dxa" w:w="7488"/>
          </w:tcPr>
          <w:p>
            <w:r/>
            <w:r>
              <w:rPr>
                <w:sz w:val="17"/>
              </w:rPr>
              <w:t>Redline: complete raw data packages (chromatograms, spectra, instrument data with audit trails, notebook entries) within 2 business days of request.</w:t>
            </w:r>
          </w:p>
        </w:tc>
      </w:tr>
      <w:tr>
        <w:tc>
          <w:tcPr>
            <w:tcW w:type="dxa" w:w="2160"/>
            <w:shd w:val="clear" w:color="auto" w:fill="DCE6F1"/>
          </w:tcPr>
          <w:p>
            <w:r>
              <w:rPr>
                <w:b/>
              </w:rPr>
            </w:r>
            <w:r>
              <w:rPr>
                <w:b/>
                <w:sz w:val="17"/>
              </w:rPr>
              <w:t>Fallback position</w:t>
            </w:r>
          </w:p>
        </w:tc>
        <w:tc>
          <w:tcPr>
            <w:tcW w:type="dxa" w:w="7488"/>
          </w:tcPr>
          <w:p>
            <w:r/>
            <w:r>
              <w:rPr>
                <w:sz w:val="17"/>
              </w:rPr>
              <w:t>5 business days as a firm obligation (Playbook §6.4); anything longer requires SVP-level exception.</w:t>
            </w:r>
          </w:p>
        </w:tc>
      </w:tr>
      <w:tr>
        <w:tc>
          <w:tcPr>
            <w:tcW w:type="dxa" w:w="2160"/>
            <w:shd w:val="clear" w:color="auto" w:fill="DCE6F1"/>
          </w:tcPr>
          <w:p>
            <w:r>
              <w:rPr>
                <w:b/>
              </w:rPr>
            </w:r>
            <w:r>
              <w:rPr>
                <w:b/>
                <w:sz w:val="17"/>
              </w:rPr>
              <w:t>Negotiation strategy</w:t>
            </w:r>
          </w:p>
        </w:tc>
        <w:tc>
          <w:tcPr>
            <w:tcW w:type="dxa" w:w="7488"/>
          </w:tcPr>
          <w:p>
            <w:r/>
            <w:r>
              <w:rPr>
                <w:sz w:val="17"/>
              </w:rPr>
              <w:t>Expected landing zone is 5 BD; concede only in exchange for the audit-trail scope language.</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#20 — §7.2: Disposition of rejected batches (including reprocessing/rework) decided “in consultation”; no requirement that reprocessing be MA-approved</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§6.1 (Ceritas disposition authority) — Preferred</w:t>
            </w:r>
          </w:p>
        </w:tc>
      </w:tr>
      <w:tr>
        <w:tc>
          <w:tcPr>
            <w:tcW w:type="dxa" w:w="2160"/>
            <w:shd w:val="clear" w:color="auto" w:fill="DCE6F1"/>
          </w:tcPr>
          <w:p>
            <w:r>
              <w:rPr>
                <w:b/>
              </w:rPr>
            </w:r>
            <w:r>
              <w:rPr>
                <w:b/>
                <w:sz w:val="17"/>
              </w:rPr>
              <w:t>Description of deviation</w:t>
            </w:r>
          </w:p>
        </w:tc>
        <w:tc>
          <w:tcPr>
            <w:tcW w:type="dxa" w:w="7488"/>
          </w:tcPr>
          <w:p>
            <w:r/>
            <w:r>
              <w:rPr>
                <w:sz w:val="17"/>
              </w:rPr>
              <w:t>Rework or reprocessing could be agreed without confirming the procedure is registered in the NDA/MA. Notification of failure is “prompt” rather than timed.</w:t>
            </w:r>
          </w:p>
        </w:tc>
      </w:tr>
      <w:tr>
        <w:tc>
          <w:tcPr>
            <w:tcW w:type="dxa" w:w="2160"/>
            <w:shd w:val="clear" w:color="auto" w:fill="DCE6F1"/>
          </w:tcPr>
          <w:p>
            <w:r>
              <w:rPr>
                <w:b/>
              </w:rPr>
            </w:r>
            <w:r>
              <w:rPr>
                <w:b/>
                <w:sz w:val="17"/>
              </w:rPr>
              <w:t>Regulatory / contractual basis</w:t>
            </w:r>
          </w:p>
        </w:tc>
        <w:tc>
          <w:tcPr>
            <w:tcW w:type="dxa" w:w="7488"/>
          </w:tcPr>
          <w:p>
            <w:r/>
            <w:r>
              <w:rPr>
                <w:sz w:val="17"/>
              </w:rPr>
              <w:t>21 CFR 211.115 (reprocessing procedures approved by QCU); 21 CFR 314.70(b) (prior approval for new reprocessing); EU GMP Chapter 5 (rejected, recovered and returned materials).</w:t>
            </w:r>
          </w:p>
        </w:tc>
      </w:tr>
      <w:tr>
        <w:tc>
          <w:tcPr>
            <w:tcW w:type="dxa" w:w="2160"/>
            <w:shd w:val="clear" w:color="auto" w:fill="DCE6F1"/>
          </w:tcPr>
          <w:p>
            <w:r>
              <w:rPr>
                <w:b/>
              </w:rPr>
            </w:r>
            <w:r>
              <w:rPr>
                <w:b/>
                <w:sz w:val="17"/>
              </w:rPr>
              <w:t>Risk scoring</w:t>
            </w:r>
          </w:p>
        </w:tc>
        <w:tc>
          <w:tcPr>
            <w:tcW w:type="dxa" w:w="7488"/>
            <w:shd w:val="clear" w:color="auto" w:fill="FFF2CC"/>
          </w:tcPr>
          <w:p>
            <w:r/>
            <w:r>
              <w:rPr>
                <w:sz w:val="17"/>
              </w:rPr>
              <w:t>SV 2 (Moderate); PS 3 / RC 3 / CF 2 / OO 2 → IV 3; LS 2 (Possible); PTM 1.5 → CRS 18.0 = Medium Risk. Unregistered reprocessing would adulterate product (PS 3, RC 3) but is contingent (LS 2).</w:t>
            </w:r>
          </w:p>
        </w:tc>
      </w:tr>
      <w:tr>
        <w:tc>
          <w:tcPr>
            <w:tcW w:type="dxa" w:w="2160"/>
            <w:shd w:val="clear" w:color="auto" w:fill="DCE6F1"/>
          </w:tcPr>
          <w:p>
            <w:r>
              <w:rPr>
                <w:b/>
              </w:rPr>
            </w:r>
            <w:r>
              <w:rPr>
                <w:b/>
                <w:sz w:val="17"/>
              </w:rPr>
              <w:t>Recommended position (redline)</w:t>
            </w:r>
          </w:p>
        </w:tc>
        <w:tc>
          <w:tcPr>
            <w:tcW w:type="dxa" w:w="7488"/>
          </w:tcPr>
          <w:p>
            <w:r/>
            <w:r>
              <w:rPr>
                <w:sz w:val="17"/>
              </w:rPr>
              <w:t>Redline: notice within 24 hours of Detection; Ceritas determines disposition after consultation; no reprocessing/rework except per MA-approved procedure and with Ceritas written approval.</w:t>
            </w:r>
          </w:p>
        </w:tc>
      </w:tr>
      <w:tr>
        <w:tc>
          <w:tcPr>
            <w:tcW w:type="dxa" w:w="2160"/>
            <w:shd w:val="clear" w:color="auto" w:fill="DCE6F1"/>
          </w:tcPr>
          <w:p>
            <w:r>
              <w:rPr>
                <w:b/>
              </w:rPr>
            </w:r>
            <w:r>
              <w:rPr>
                <w:b/>
                <w:sz w:val="17"/>
              </w:rPr>
              <w:t>Fallback position</w:t>
            </w:r>
          </w:p>
        </w:tc>
        <w:tc>
          <w:tcPr>
            <w:tcW w:type="dxa" w:w="7488"/>
          </w:tcPr>
          <w:p>
            <w:r/>
            <w:r>
              <w:rPr>
                <w:sz w:val="17"/>
              </w:rPr>
              <w:t>Joint written agreement on disposition acceptable, provided the MA-procedure condition remains.</w:t>
            </w:r>
          </w:p>
        </w:tc>
      </w:tr>
      <w:tr>
        <w:tc>
          <w:tcPr>
            <w:tcW w:type="dxa" w:w="2160"/>
            <w:shd w:val="clear" w:color="auto" w:fill="DCE6F1"/>
          </w:tcPr>
          <w:p>
            <w:r>
              <w:rPr>
                <w:b/>
              </w:rPr>
            </w:r>
            <w:r>
              <w:rPr>
                <w:b/>
                <w:sz w:val="17"/>
              </w:rPr>
              <w:t>Negotiation strategy</w:t>
            </w:r>
          </w:p>
        </w:tc>
        <w:tc>
          <w:tcPr>
            <w:tcW w:type="dxa" w:w="7488"/>
          </w:tcPr>
          <w:p>
            <w:r/>
            <w:r>
              <w:rPr>
                <w:sz w:val="17"/>
              </w:rPr>
              <w:t>Low-friction.</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#21 — §8.1: Draft APQR due 90 calendar days after year-end (March 31)</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§7.1 (Mandatory 60 days), §7.2 (Preferred 45 days), §7.3 (no extension beyond 60 days even by exception) — Mandatory</w:t>
            </w:r>
          </w:p>
        </w:tc>
      </w:tr>
      <w:tr>
        <w:tc>
          <w:tcPr>
            <w:tcW w:type="dxa" w:w="2160"/>
            <w:shd w:val="clear" w:color="auto" w:fill="DCE6F1"/>
          </w:tcPr>
          <w:p>
            <w:r>
              <w:rPr>
                <w:b/>
              </w:rPr>
            </w:r>
            <w:r>
              <w:rPr>
                <w:b/>
                <w:sz w:val="17"/>
              </w:rPr>
              <w:t>Description of deviation</w:t>
            </w:r>
          </w:p>
        </w:tc>
        <w:tc>
          <w:tcPr>
            <w:tcW w:type="dxa" w:w="7488"/>
          </w:tcPr>
          <w:p>
            <w:r/>
            <w:r>
              <w:rPr>
                <w:sz w:val="17"/>
              </w:rPr>
              <w:t>90 days exceeds the absolute 60-day maximum. Playbook §7.3 names 90 days as an example of an unacceptable term.</w:t>
            </w:r>
          </w:p>
        </w:tc>
      </w:tr>
      <w:tr>
        <w:tc>
          <w:tcPr>
            <w:tcW w:type="dxa" w:w="2160"/>
            <w:shd w:val="clear" w:color="auto" w:fill="DCE6F1"/>
          </w:tcPr>
          <w:p>
            <w:r>
              <w:rPr>
                <w:b/>
              </w:rPr>
            </w:r>
            <w:r>
              <w:rPr>
                <w:b/>
                <w:sz w:val="17"/>
              </w:rPr>
              <w:t>Regulatory / contractual basis</w:t>
            </w:r>
          </w:p>
        </w:tc>
        <w:tc>
          <w:tcPr>
            <w:tcW w:type="dxa" w:w="7488"/>
          </w:tcPr>
          <w:p>
            <w:r/>
            <w:r>
              <w:rPr>
                <w:sz w:val="17"/>
              </w:rPr>
              <w:t>21 CFR 211.180(e) (annual review); EU GMP Chapter 1 §1.10 (PQR); ICH Q10 §3.2.4.</w:t>
            </w:r>
          </w:p>
        </w:tc>
      </w:tr>
      <w:tr>
        <w:tc>
          <w:tcPr>
            <w:tcW w:type="dxa" w:w="2160"/>
            <w:shd w:val="clear" w:color="auto" w:fill="DCE6F1"/>
          </w:tcPr>
          <w:p>
            <w:r>
              <w:rPr>
                <w:b/>
              </w:rPr>
            </w:r>
            <w:r>
              <w:rPr>
                <w:b/>
                <w:sz w:val="17"/>
              </w:rPr>
              <w:t>Risk scoring</w:t>
            </w:r>
          </w:p>
        </w:tc>
        <w:tc>
          <w:tcPr>
            <w:tcW w:type="dxa" w:w="7488"/>
            <w:shd w:val="clear" w:color="auto" w:fill="FCE4D6"/>
          </w:tcPr>
          <w:p>
            <w:r/>
            <w:r>
              <w:rPr>
                <w:sz w:val="17"/>
              </w:rPr>
              <w:t>SV 3 (Major); PS 1 / RC 2 / CF 1 / OO 2 → IV 2; LS 4 (Almost Certain); PTM 1.5 → CRS 36.0 = High Risk. Below Fallback (SV 3), annual certainty (LS 4); regulatory impact moderate (RC 2).</w:t>
            </w:r>
          </w:p>
        </w:tc>
      </w:tr>
      <w:tr>
        <w:tc>
          <w:tcPr>
            <w:tcW w:type="dxa" w:w="2160"/>
            <w:shd w:val="clear" w:color="auto" w:fill="DCE6F1"/>
          </w:tcPr>
          <w:p>
            <w:r>
              <w:rPr>
                <w:b/>
              </w:rPr>
            </w:r>
            <w:r>
              <w:rPr>
                <w:b/>
                <w:sz w:val="17"/>
              </w:rPr>
              <w:t>Recommended position (redline)</w:t>
            </w:r>
          </w:p>
        </w:tc>
        <w:tc>
          <w:tcPr>
            <w:tcW w:type="dxa" w:w="7488"/>
          </w:tcPr>
          <w:p>
            <w:r/>
            <w:r>
              <w:rPr>
                <w:sz w:val="17"/>
              </w:rPr>
              <w:t>Redline: 45 calendar days (February 14).</w:t>
            </w:r>
          </w:p>
        </w:tc>
      </w:tr>
      <w:tr>
        <w:tc>
          <w:tcPr>
            <w:tcW w:type="dxa" w:w="2160"/>
            <w:shd w:val="clear" w:color="auto" w:fill="DCE6F1"/>
          </w:tcPr>
          <w:p>
            <w:r>
              <w:rPr>
                <w:b/>
              </w:rPr>
            </w:r>
            <w:r>
              <w:rPr>
                <w:b/>
                <w:sz w:val="17"/>
              </w:rPr>
              <w:t>Fallback position</w:t>
            </w:r>
          </w:p>
        </w:tc>
        <w:tc>
          <w:tcPr>
            <w:tcW w:type="dxa" w:w="7488"/>
          </w:tcPr>
          <w:p>
            <w:r/>
            <w:r>
              <w:rPr>
                <w:sz w:val="17"/>
              </w:rPr>
              <w:t>60 calendar days (March 1) is the floor; no further concession.</w:t>
            </w:r>
          </w:p>
        </w:tc>
      </w:tr>
      <w:tr>
        <w:tc>
          <w:tcPr>
            <w:tcW w:type="dxa" w:w="2160"/>
            <w:shd w:val="clear" w:color="auto" w:fill="DCE6F1"/>
          </w:tcPr>
          <w:p>
            <w:r>
              <w:rPr>
                <w:b/>
              </w:rPr>
            </w:r>
            <w:r>
              <w:rPr>
                <w:b/>
                <w:sz w:val="17"/>
              </w:rPr>
              <w:t>Negotiation strategy</w:t>
            </w:r>
          </w:p>
        </w:tc>
        <w:tc>
          <w:tcPr>
            <w:tcW w:type="dxa" w:w="7488"/>
          </w:tcPr>
          <w:p>
            <w:r/>
            <w:r>
              <w:rPr>
                <w:sz w:val="17"/>
              </w:rPr>
              <w:t>Open at 45, settle at 60 if necessary.</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#22 — §8.1(a)–(i), §8.2: APQR content omits rejected/reprocessed batches, OOS/OOT, validation status and post-approval commitments; no revision deadline; Ceritas comment period open-ended</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§7.1 (content list; Ceritas may require revisions; 15 BD revision) — Mandatory</w:t>
            </w:r>
          </w:p>
        </w:tc>
      </w:tr>
      <w:tr>
        <w:tc>
          <w:tcPr>
            <w:tcW w:type="dxa" w:w="2160"/>
            <w:shd w:val="clear" w:color="auto" w:fill="DCE6F1"/>
          </w:tcPr>
          <w:p>
            <w:r>
              <w:rPr>
                <w:b/>
              </w:rPr>
            </w:r>
            <w:r>
              <w:rPr>
                <w:b/>
                <w:sz w:val="17"/>
              </w:rPr>
              <w:t>Description of deviation</w:t>
            </w:r>
          </w:p>
        </w:tc>
        <w:tc>
          <w:tcPr>
            <w:tcW w:type="dxa" w:w="7488"/>
          </w:tcPr>
          <w:p>
            <w:r/>
            <w:r>
              <w:rPr>
                <w:sz w:val="17"/>
              </w:rPr>
              <w:t>APQR topics are qualified “to the extent applicable” and omit several Playbook-required elements; there is no obligation on Pinnacle to incorporate Ceritas comments within 15 business days.</w:t>
            </w:r>
          </w:p>
        </w:tc>
      </w:tr>
      <w:tr>
        <w:tc>
          <w:tcPr>
            <w:tcW w:type="dxa" w:w="2160"/>
            <w:shd w:val="clear" w:color="auto" w:fill="DCE6F1"/>
          </w:tcPr>
          <w:p>
            <w:r>
              <w:rPr>
                <w:b/>
              </w:rPr>
            </w:r>
            <w:r>
              <w:rPr>
                <w:b/>
                <w:sz w:val="17"/>
              </w:rPr>
              <w:t>Regulatory / contractual basis</w:t>
            </w:r>
          </w:p>
        </w:tc>
        <w:tc>
          <w:tcPr>
            <w:tcW w:type="dxa" w:w="7488"/>
          </w:tcPr>
          <w:p>
            <w:r/>
            <w:r>
              <w:rPr>
                <w:sz w:val="17"/>
              </w:rPr>
              <w:t>21 CFR 211.180(e)(1)–(2); EU GMP Chapter 1 §1.10(i)–(xii).</w:t>
            </w:r>
          </w:p>
        </w:tc>
      </w:tr>
      <w:tr>
        <w:tc>
          <w:tcPr>
            <w:tcW w:type="dxa" w:w="2160"/>
            <w:shd w:val="clear" w:color="auto" w:fill="DCE6F1"/>
          </w:tcPr>
          <w:p>
            <w:r>
              <w:rPr>
                <w:b/>
              </w:rPr>
            </w:r>
            <w:r>
              <w:rPr>
                <w:b/>
                <w:sz w:val="17"/>
              </w:rPr>
              <w:t>Risk scoring</w:t>
            </w:r>
          </w:p>
        </w:tc>
        <w:tc>
          <w:tcPr>
            <w:tcW w:type="dxa" w:w="7488"/>
            <w:shd w:val="clear" w:color="auto" w:fill="FFF2CC"/>
          </w:tcPr>
          <w:p>
            <w:r/>
            <w:r>
              <w:rPr>
                <w:sz w:val="17"/>
              </w:rPr>
              <w:t>SV 2 (Moderate); PS 2 / RC 2 / CF 1 / OO 2 → IV 2; LS 3 (Likely); PTM 1.5 → CRS 18.0 = Medium Risk. Content gaps reduce trend visibility (Moderate).</w:t>
            </w:r>
          </w:p>
        </w:tc>
      </w:tr>
      <w:tr>
        <w:tc>
          <w:tcPr>
            <w:tcW w:type="dxa" w:w="2160"/>
            <w:shd w:val="clear" w:color="auto" w:fill="DCE6F1"/>
          </w:tcPr>
          <w:p>
            <w:r>
              <w:rPr>
                <w:b/>
              </w:rPr>
            </w:r>
            <w:r>
              <w:rPr>
                <w:b/>
                <w:sz w:val="17"/>
              </w:rPr>
              <w:t>Recommended position (redline)</w:t>
            </w:r>
          </w:p>
        </w:tc>
        <w:tc>
          <w:tcPr>
            <w:tcW w:type="dxa" w:w="7488"/>
          </w:tcPr>
          <w:p>
            <w:r/>
            <w:r>
              <w:rPr>
                <w:sz w:val="17"/>
              </w:rPr>
              <w:t>Redline adds the missing topics (rejected/reprocessed batches, OOS/OOT, critical IPCs, qualification/validation, post-approval commitments), anchors the list in 211.180(e)/EU GMP Ch. 1, sets Ceritas 30-day comment period and Pinnacle 15-business-day revision, and makes the APQR final only on Ceritas written approval.</w:t>
            </w:r>
          </w:p>
        </w:tc>
      </w:tr>
      <w:tr>
        <w:tc>
          <w:tcPr>
            <w:tcW w:type="dxa" w:w="2160"/>
            <w:shd w:val="clear" w:color="auto" w:fill="DCE6F1"/>
          </w:tcPr>
          <w:p>
            <w:r>
              <w:rPr>
                <w:b/>
              </w:rPr>
            </w:r>
            <w:r>
              <w:rPr>
                <w:b/>
                <w:sz w:val="17"/>
              </w:rPr>
              <w:t>Fallback position</w:t>
            </w:r>
          </w:p>
        </w:tc>
        <w:tc>
          <w:tcPr>
            <w:tcW w:type="dxa" w:w="7488"/>
          </w:tcPr>
          <w:p>
            <w:r/>
            <w:r>
              <w:rPr>
                <w:sz w:val="17"/>
              </w:rPr>
              <w:t>Accept dual signature (as drafted) if Ceritas’s right to require revisions is explicit.</w:t>
            </w:r>
          </w:p>
        </w:tc>
      </w:tr>
      <w:tr>
        <w:tc>
          <w:tcPr>
            <w:tcW w:type="dxa" w:w="2160"/>
            <w:shd w:val="clear" w:color="auto" w:fill="DCE6F1"/>
          </w:tcPr>
          <w:p>
            <w:r>
              <w:rPr>
                <w:b/>
              </w:rPr>
            </w:r>
            <w:r>
              <w:rPr>
                <w:b/>
                <w:sz w:val="17"/>
              </w:rPr>
              <w:t>Negotiation strategy</w:t>
            </w:r>
          </w:p>
        </w:tc>
        <w:tc>
          <w:tcPr>
            <w:tcW w:type="dxa" w:w="7488"/>
          </w:tcPr>
          <w:p>
            <w:r/>
            <w:r>
              <w:rPr>
                <w:sz w:val="17"/>
              </w:rPr>
              <w:t>Package with the APQR timing issue.</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#23 — §9.1 ¶1: Routine audits capped at one per year on 20 business days’ notice; scope limited to areas relating “directly” to the Product</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§8.1 (Mandatory: unlimited, 10 BD notice, full GMP access), §8.4 (Fallback: ≥2/yr with VP exception; notice never &gt;10 BD) — Mandatory</w:t>
            </w:r>
          </w:p>
        </w:tc>
      </w:tr>
      <w:tr>
        <w:tc>
          <w:tcPr>
            <w:tcW w:type="dxa" w:w="2160"/>
            <w:shd w:val="clear" w:color="auto" w:fill="DCE6F1"/>
          </w:tcPr>
          <w:p>
            <w:r>
              <w:rPr>
                <w:b/>
              </w:rPr>
            </w:r>
            <w:r>
              <w:rPr>
                <w:b/>
                <w:sz w:val="17"/>
              </w:rPr>
              <w:t>Description of deviation</w:t>
            </w:r>
          </w:p>
        </w:tc>
        <w:tc>
          <w:tcPr>
            <w:tcW w:type="dxa" w:w="7488"/>
          </w:tcPr>
          <w:p>
            <w:r/>
            <w:r>
              <w:rPr>
                <w:sz w:val="17"/>
              </w:rPr>
              <w:t>Both the frequency cap and the 20-business-day notice are expressly unacceptable under Playbook §8.1, and the cap is below even the two-audit Fallback. The “directly relate” scope limitation could exclude site-wide systems (water, HVAC, data-integrity program).</w:t>
            </w:r>
          </w:p>
        </w:tc>
      </w:tr>
      <w:tr>
        <w:tc>
          <w:tcPr>
            <w:tcW w:type="dxa" w:w="2160"/>
            <w:shd w:val="clear" w:color="auto" w:fill="DCE6F1"/>
          </w:tcPr>
          <w:p>
            <w:r>
              <w:rPr>
                <w:b/>
              </w:rPr>
            </w:r>
            <w:r>
              <w:rPr>
                <w:b/>
                <w:sz w:val="17"/>
              </w:rPr>
              <w:t>Regulatory / contractual basis</w:t>
            </w:r>
          </w:p>
        </w:tc>
        <w:tc>
          <w:tcPr>
            <w:tcW w:type="dxa" w:w="7488"/>
          </w:tcPr>
          <w:p>
            <w:r/>
            <w:r>
              <w:rPr>
                <w:sz w:val="17"/>
              </w:rPr>
              <w:t>21 CFR 200.10(b); FDA Quality Agreements Guidance (2016) (owner audits of contract facilities); EU GMP Chapter 7 (contract giver’s assessment of the contract acceptor); ICH Q10 §2.7; MSA §2.3, §4.2(n).</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4 (Critical); PS 2 / RC 3 / CF 2 / OO 3 → IV 3; LS 3 (Likely); PTM 1.5 → CRS 54.0 = Critical Risk. Material restriction of audit rights (Rubric Critical example, SV 4); need for more than one audit is likely in launch years (LS 3).</w:t>
            </w:r>
          </w:p>
        </w:tc>
      </w:tr>
      <w:tr>
        <w:tc>
          <w:tcPr>
            <w:tcW w:type="dxa" w:w="2160"/>
            <w:shd w:val="clear" w:color="auto" w:fill="DCE6F1"/>
          </w:tcPr>
          <w:p>
            <w:r>
              <w:rPr>
                <w:b/>
              </w:rPr>
            </w:r>
            <w:r>
              <w:rPr>
                <w:b/>
                <w:sz w:val="17"/>
              </w:rPr>
              <w:t>Recommended position (redline)</w:t>
            </w:r>
          </w:p>
        </w:tc>
        <w:tc>
          <w:tcPr>
            <w:tcW w:type="dxa" w:w="7488"/>
          </w:tcPr>
          <w:p>
            <w:r/>
            <w:r>
              <w:rPr>
                <w:sz w:val="17"/>
              </w:rPr>
              <w:t>Redline: audits without frequency limit on 10 business days’ notice, during operating hours including any Product-related shift; scope covers all areas, systems, records and personnel involved in or relating to the Product, with enumerated document access.</w:t>
            </w:r>
          </w:p>
        </w:tc>
      </w:tr>
      <w:tr>
        <w:tc>
          <w:tcPr>
            <w:tcW w:type="dxa" w:w="2160"/>
            <w:shd w:val="clear" w:color="auto" w:fill="DCE6F1"/>
          </w:tcPr>
          <w:p>
            <w:r>
              <w:rPr>
                <w:b/>
              </w:rPr>
            </w:r>
            <w:r>
              <w:rPr>
                <w:b/>
                <w:sz w:val="17"/>
              </w:rPr>
              <w:t>Fallback position</w:t>
            </w:r>
          </w:p>
        </w:tc>
        <w:tc>
          <w:tcPr>
            <w:tcW w:type="dxa" w:w="7488"/>
          </w:tcPr>
          <w:p>
            <w:r/>
            <w:r>
              <w:rPr>
                <w:sz w:val="17"/>
              </w:rPr>
              <w:t>Two routine on-site audits per year (VP Quality exception documenting Pinnacle’s risk profile), notice still 10 BD; for-cause remains unlimited.</w:t>
            </w:r>
          </w:p>
        </w:tc>
      </w:tr>
      <w:tr>
        <w:tc>
          <w:tcPr>
            <w:tcW w:type="dxa" w:w="2160"/>
            <w:shd w:val="clear" w:color="auto" w:fill="DCE6F1"/>
          </w:tcPr>
          <w:p>
            <w:r>
              <w:rPr>
                <w:b/>
              </w:rPr>
            </w:r>
            <w:r>
              <w:rPr>
                <w:b/>
                <w:sz w:val="17"/>
              </w:rPr>
              <w:t>Negotiation strategy</w:t>
            </w:r>
          </w:p>
        </w:tc>
        <w:tc>
          <w:tcPr>
            <w:tcW w:type="dxa" w:w="7488"/>
          </w:tcPr>
          <w:p>
            <w:r/>
            <w:r>
              <w:rPr>
                <w:sz w:val="17"/>
              </w:rPr>
              <w:t>Pinnacle’s concern is audit burden. Offer to coordinate routine audits with the quarterly review meeting and to bear Ceritas’s own audit costs; hold the notice period.</w:t>
            </w:r>
          </w:p>
        </w:tc>
      </w:tr>
      <w:tr>
        <w:tc>
          <w:tcPr>
            <w:tcW w:type="dxa" w:w="2160"/>
            <w:shd w:val="clear" w:color="auto" w:fill="DCE6F1"/>
          </w:tcPr>
          <w:p>
            <w:r>
              <w:rPr>
                <w:b/>
              </w:rPr>
            </w:r>
            <w:r>
              <w:rPr>
                <w:b/>
                <w:sz w:val="17"/>
              </w:rPr>
              <w:t>Escalation (Rubric §9)</w:t>
            </w:r>
          </w:p>
        </w:tc>
        <w:tc>
          <w:tcPr>
            <w:tcW w:type="dxa" w:w="7488"/>
          </w:tcPr>
          <w:p>
            <w:r/>
            <w:r>
              <w:rPr>
                <w:sz w:val="17"/>
              </w:rPr>
              <w:t>VP QA (Rubric §9.1(a)); AGC (Rubric §9.2(b))</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#24 — §9.1 ¶2: For-cause audits require Pinnacle’s agreement on timing, scope and logistics; Pinnacle commits only “commercially reasonable efforts”</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§8.2 (Mandatory: 48 hours’ notice; no mutual-agreement condition), §3.2 — Mandatory</w:t>
            </w:r>
          </w:p>
        </w:tc>
      </w:tr>
      <w:tr>
        <w:tc>
          <w:tcPr>
            <w:tcW w:type="dxa" w:w="2160"/>
            <w:shd w:val="clear" w:color="auto" w:fill="DCE6F1"/>
          </w:tcPr>
          <w:p>
            <w:r>
              <w:rPr>
                <w:b/>
              </w:rPr>
            </w:r>
            <w:r>
              <w:rPr>
                <w:b/>
                <w:sz w:val="17"/>
              </w:rPr>
              <w:t>Description of deviation</w:t>
            </w:r>
          </w:p>
        </w:tc>
        <w:tc>
          <w:tcPr>
            <w:tcW w:type="dxa" w:w="7488"/>
          </w:tcPr>
          <w:p>
            <w:r/>
            <w:r>
              <w:rPr>
                <w:sz w:val="17"/>
              </w:rPr>
              <w:t>Mutual agreement is a de facto veto, which Playbook §8.2 prohibits, and the “commercially reasonable efforts” qualifier is barred for GMP obligations.</w:t>
            </w:r>
          </w:p>
        </w:tc>
      </w:tr>
      <w:tr>
        <w:tc>
          <w:tcPr>
            <w:tcW w:type="dxa" w:w="2160"/>
            <w:shd w:val="clear" w:color="auto" w:fill="DCE6F1"/>
          </w:tcPr>
          <w:p>
            <w:r>
              <w:rPr>
                <w:b/>
              </w:rPr>
            </w:r>
            <w:r>
              <w:rPr>
                <w:b/>
                <w:sz w:val="17"/>
              </w:rPr>
              <w:t>Regulatory / contractual basis</w:t>
            </w:r>
          </w:p>
        </w:tc>
        <w:tc>
          <w:tcPr>
            <w:tcW w:type="dxa" w:w="7488"/>
          </w:tcPr>
          <w:p>
            <w:r/>
            <w:r>
              <w:rPr>
                <w:sz w:val="17"/>
              </w:rPr>
              <w:t>21 CFR 200.10(b); EU GMP Chapter 7; ICH Q10 §2.7; Rubric §4.2.1 (material restriction of audit right).</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4 (Critical); PS 3 / RC 3 / CF 1 / OO 4 → IV 4; LS 3 (Likely); PTM 1.5 → CRS 72.0 = Critical Risk. A veto eliminates Ceritas’s ability to intervene at the moment of a quality event (OO 4). For-cause triggers are likely over the term (LS 3).</w:t>
            </w:r>
          </w:p>
        </w:tc>
      </w:tr>
      <w:tr>
        <w:tc>
          <w:tcPr>
            <w:tcW w:type="dxa" w:w="2160"/>
            <w:shd w:val="clear" w:color="auto" w:fill="DCE6F1"/>
          </w:tcPr>
          <w:p>
            <w:r>
              <w:rPr>
                <w:b/>
              </w:rPr>
            </w:r>
            <w:r>
              <w:rPr>
                <w:b/>
                <w:sz w:val="17"/>
              </w:rPr>
              <w:t>Recommended position (redline)</w:t>
            </w:r>
          </w:p>
        </w:tc>
        <w:tc>
          <w:tcPr>
            <w:tcW w:type="dxa" w:w="7488"/>
          </w:tcPr>
          <w:p>
            <w:r/>
            <w:r>
              <w:rPr>
                <w:sz w:val="17"/>
              </w:rPr>
              <w:t>Redline: for-cause audits at any time on 48 hours’ written notice, not subject to Pinnacle’s agreement or confirmation of availability; triggers expanded (adverse inspection findings, Form 483, complaints, OOS trends).</w:t>
            </w:r>
          </w:p>
        </w:tc>
      </w:tr>
      <w:tr>
        <w:tc>
          <w:tcPr>
            <w:tcW w:type="dxa" w:w="2160"/>
            <w:shd w:val="clear" w:color="auto" w:fill="DCE6F1"/>
          </w:tcPr>
          <w:p>
            <w:r>
              <w:rPr>
                <w:b/>
              </w:rPr>
            </w:r>
            <w:r>
              <w:rPr>
                <w:b/>
                <w:sz w:val="17"/>
              </w:rPr>
              <w:t>Fallback position</w:t>
            </w:r>
          </w:p>
        </w:tc>
        <w:tc>
          <w:tcPr>
            <w:tcW w:type="dxa" w:w="7488"/>
          </w:tcPr>
          <w:p>
            <w:r/>
            <w:r>
              <w:rPr>
                <w:sz w:val="17"/>
              </w:rPr>
              <w:t>None.</w:t>
            </w:r>
          </w:p>
        </w:tc>
      </w:tr>
      <w:tr>
        <w:tc>
          <w:tcPr>
            <w:tcW w:type="dxa" w:w="2160"/>
            <w:shd w:val="clear" w:color="auto" w:fill="DCE6F1"/>
          </w:tcPr>
          <w:p>
            <w:r>
              <w:rPr>
                <w:b/>
              </w:rPr>
            </w:r>
            <w:r>
              <w:rPr>
                <w:b/>
                <w:sz w:val="17"/>
              </w:rPr>
              <w:t>Negotiation strategy</w:t>
            </w:r>
          </w:p>
        </w:tc>
        <w:tc>
          <w:tcPr>
            <w:tcW w:type="dxa" w:w="7488"/>
          </w:tcPr>
          <w:p>
            <w:r/>
            <w:r>
              <w:rPr>
                <w:sz w:val="17"/>
              </w:rPr>
              <w:t>Non-negotiable. Offer a reasonable-conduct undertaking (no disruption of batch-critical operations, escorted access) to reassure Pinnacle.</w:t>
            </w:r>
          </w:p>
        </w:tc>
      </w:tr>
      <w:tr>
        <w:tc>
          <w:tcPr>
            <w:tcW w:type="dxa" w:w="2160"/>
            <w:shd w:val="clear" w:color="auto" w:fill="DCE6F1"/>
          </w:tcPr>
          <w:p>
            <w:r>
              <w:rPr>
                <w:b/>
              </w:rPr>
            </w:r>
            <w:r>
              <w:rPr>
                <w:b/>
                <w:sz w:val="17"/>
              </w:rPr>
              <w:t>Escalation (Rubric §9)</w:t>
            </w:r>
          </w:p>
        </w:tc>
        <w:tc>
          <w:tcPr>
            <w:tcW w:type="dxa" w:w="7488"/>
          </w:tcPr>
          <w:p>
            <w:r/>
            <w:r>
              <w:rPr>
                <w:sz w:val="17"/>
              </w:rPr>
              <w:t>VP QA (Rubric §9.1(a)); AGC (Rubric §9.2(b))</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#25 — §9.1 ¶3: Third-party auditors must sign confidentiality agreements “reasonably acceptable to Pinnacle”</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§8.3 (Preferred: obligations no less restrictive than QA/MSA) — Preferred</w:t>
            </w:r>
          </w:p>
        </w:tc>
      </w:tr>
      <w:tr>
        <w:tc>
          <w:tcPr>
            <w:tcW w:type="dxa" w:w="2160"/>
            <w:shd w:val="clear" w:color="auto" w:fill="DCE6F1"/>
          </w:tcPr>
          <w:p>
            <w:r>
              <w:rPr>
                <w:b/>
              </w:rPr>
            </w:r>
            <w:r>
              <w:rPr>
                <w:b/>
                <w:sz w:val="17"/>
              </w:rPr>
              <w:t>Description of deviation</w:t>
            </w:r>
          </w:p>
        </w:tc>
        <w:tc>
          <w:tcPr>
            <w:tcW w:type="dxa" w:w="7488"/>
          </w:tcPr>
          <w:p>
            <w:r/>
            <w:r>
              <w:rPr>
                <w:sz w:val="17"/>
              </w:rPr>
              <w:t>Gives Pinnacle a soft veto over Ceritas’s choice of consultants.</w:t>
            </w:r>
          </w:p>
        </w:tc>
      </w:tr>
      <w:tr>
        <w:tc>
          <w:tcPr>
            <w:tcW w:type="dxa" w:w="2160"/>
            <w:shd w:val="clear" w:color="auto" w:fill="DCE6F1"/>
          </w:tcPr>
          <w:p>
            <w:r>
              <w:rPr>
                <w:b/>
              </w:rPr>
            </w:r>
            <w:r>
              <w:rPr>
                <w:b/>
                <w:sz w:val="17"/>
              </w:rPr>
              <w:t>Regulatory / contractual basis</w:t>
            </w:r>
          </w:p>
        </w:tc>
        <w:tc>
          <w:tcPr>
            <w:tcW w:type="dxa" w:w="7488"/>
          </w:tcPr>
          <w:p>
            <w:r/>
            <w:r>
              <w:rPr>
                <w:sz w:val="17"/>
              </w:rPr>
              <w:t>MSA Article 8 (confidentiality), §8.3(a) (permitted disclosures to consultants).</w:t>
            </w:r>
          </w:p>
        </w:tc>
      </w:tr>
      <w:tr>
        <w:tc>
          <w:tcPr>
            <w:tcW w:type="dxa" w:w="2160"/>
            <w:shd w:val="clear" w:color="auto" w:fill="DCE6F1"/>
          </w:tcPr>
          <w:p>
            <w:r>
              <w:rPr>
                <w:b/>
              </w:rPr>
            </w:r>
            <w:r>
              <w:rPr>
                <w:b/>
                <w:sz w:val="17"/>
              </w:rPr>
              <w:t>Risk scoring</w:t>
            </w:r>
          </w:p>
        </w:tc>
        <w:tc>
          <w:tcPr>
            <w:tcW w:type="dxa" w:w="7488"/>
            <w:shd w:val="clear" w:color="auto" w:fill="FFF2CC"/>
          </w:tcPr>
          <w:p>
            <w:r/>
            <w:r>
              <w:rPr>
                <w:sz w:val="17"/>
              </w:rPr>
              <w:t>SV 2 (Moderate); PS 1 / RC 1 / CF 1 / OO 2 → IV 2; LS 2 (Possible); PTM 1.5 → CRS 12.0 = Medium Risk. Operational friction only.</w:t>
            </w:r>
          </w:p>
        </w:tc>
      </w:tr>
      <w:tr>
        <w:tc>
          <w:tcPr>
            <w:tcW w:type="dxa" w:w="2160"/>
            <w:shd w:val="clear" w:color="auto" w:fill="DCE6F1"/>
          </w:tcPr>
          <w:p>
            <w:r>
              <w:rPr>
                <w:b/>
              </w:rPr>
            </w:r>
            <w:r>
              <w:rPr>
                <w:b/>
                <w:sz w:val="17"/>
              </w:rPr>
              <w:t>Recommended position (redline)</w:t>
            </w:r>
          </w:p>
        </w:tc>
        <w:tc>
          <w:tcPr>
            <w:tcW w:type="dxa" w:w="7488"/>
          </w:tcPr>
          <w:p>
            <w:r/>
            <w:r>
              <w:rPr>
                <w:sz w:val="17"/>
              </w:rPr>
              <w:t>Redline: third parties bound by written confidentiality no less restrictive than MSA Article 8, executed before access.</w:t>
            </w:r>
          </w:p>
        </w:tc>
      </w:tr>
      <w:tr>
        <w:tc>
          <w:tcPr>
            <w:tcW w:type="dxa" w:w="2160"/>
            <w:shd w:val="clear" w:color="auto" w:fill="DCE6F1"/>
          </w:tcPr>
          <w:p>
            <w:r>
              <w:rPr>
                <w:b/>
              </w:rPr>
            </w:r>
            <w:r>
              <w:rPr>
                <w:b/>
                <w:sz w:val="17"/>
              </w:rPr>
              <w:t>Fallback position</w:t>
            </w:r>
          </w:p>
        </w:tc>
        <w:tc>
          <w:tcPr>
            <w:tcW w:type="dxa" w:w="7488"/>
          </w:tcPr>
          <w:p>
            <w:r/>
            <w:r>
              <w:rPr>
                <w:sz w:val="17"/>
              </w:rPr>
              <w:t>Accept a Pinnacle-form NDA if it is no more restrictive than MSA Article 8.</w:t>
            </w:r>
          </w:p>
        </w:tc>
      </w:tr>
      <w:tr>
        <w:tc>
          <w:tcPr>
            <w:tcW w:type="dxa" w:w="2160"/>
            <w:shd w:val="clear" w:color="auto" w:fill="DCE6F1"/>
          </w:tcPr>
          <w:p>
            <w:r>
              <w:rPr>
                <w:b/>
              </w:rPr>
            </w:r>
            <w:r>
              <w:rPr>
                <w:b/>
                <w:sz w:val="17"/>
              </w:rPr>
              <w:t>Negotiation strategy</w:t>
            </w:r>
          </w:p>
        </w:tc>
        <w:tc>
          <w:tcPr>
            <w:tcW w:type="dxa" w:w="7488"/>
          </w:tcPr>
          <w:p>
            <w:r/>
            <w:r>
              <w:rPr>
                <w:sz w:val="17"/>
              </w:rPr>
              <w:t>Trade item.</w:t>
            </w:r>
          </w:p>
        </w:tc>
      </w:tr>
      <w:tr>
        <w:tc>
          <w:tcPr>
            <w:tcW w:type="dxa" w:w="2160"/>
            <w:shd w:val="clear" w:color="auto" w:fill="DCE6F1"/>
          </w:tcPr>
          <w:p>
            <w:r>
              <w:rPr>
                <w:b/>
              </w:rPr>
            </w:r>
            <w:r>
              <w:rPr>
                <w:b/>
                <w:sz w:val="17"/>
              </w:rPr>
              <w:t>Escalation (Rubric §9)</w:t>
            </w:r>
          </w:p>
        </w:tc>
        <w:tc>
          <w:tcPr>
            <w:tcW w:type="dxa" w:w="7488"/>
          </w:tcPr>
          <w:p>
            <w:r/>
            <w:r>
              <w:rPr>
                <w:sz w:val="17"/>
              </w:rPr>
              <w:t>AGC (Rubric §9.2(a))</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#26 — §9.2 ¶2: Pinnacle’s response to audit findings due within a “mutually agreed” timeframe</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§3.2 (fixed deadlines) — Preferred</w:t>
            </w:r>
          </w:p>
        </w:tc>
      </w:tr>
      <w:tr>
        <w:tc>
          <w:tcPr>
            <w:tcW w:type="dxa" w:w="2160"/>
            <w:shd w:val="clear" w:color="auto" w:fill="DCE6F1"/>
          </w:tcPr>
          <w:p>
            <w:r>
              <w:rPr>
                <w:b/>
              </w:rPr>
            </w:r>
            <w:r>
              <w:rPr>
                <w:b/>
                <w:sz w:val="17"/>
              </w:rPr>
              <w:t>Description of deviation</w:t>
            </w:r>
          </w:p>
        </w:tc>
        <w:tc>
          <w:tcPr>
            <w:tcW w:type="dxa" w:w="7488"/>
          </w:tcPr>
          <w:p>
            <w:r/>
            <w:r>
              <w:rPr>
                <w:sz w:val="17"/>
              </w:rPr>
              <w:t>No deadline for audit responses or remediation.</w:t>
            </w:r>
          </w:p>
        </w:tc>
      </w:tr>
      <w:tr>
        <w:tc>
          <w:tcPr>
            <w:tcW w:type="dxa" w:w="2160"/>
            <w:shd w:val="clear" w:color="auto" w:fill="DCE6F1"/>
          </w:tcPr>
          <w:p>
            <w:r>
              <w:rPr>
                <w:b/>
              </w:rPr>
            </w:r>
            <w:r>
              <w:rPr>
                <w:b/>
                <w:sz w:val="17"/>
              </w:rPr>
              <w:t>Regulatory / contractual basis</w:t>
            </w:r>
          </w:p>
        </w:tc>
        <w:tc>
          <w:tcPr>
            <w:tcW w:type="dxa" w:w="7488"/>
          </w:tcPr>
          <w:p>
            <w:r/>
            <w:r>
              <w:rPr>
                <w:sz w:val="17"/>
              </w:rPr>
              <w:t>ICH Q10 §2.7; FDA Quality Agreements Guidance (2016).</w:t>
            </w:r>
          </w:p>
        </w:tc>
      </w:tr>
      <w:tr>
        <w:tc>
          <w:tcPr>
            <w:tcW w:type="dxa" w:w="2160"/>
            <w:shd w:val="clear" w:color="auto" w:fill="DCE6F1"/>
          </w:tcPr>
          <w:p>
            <w:r>
              <w:rPr>
                <w:b/>
              </w:rPr>
            </w:r>
            <w:r>
              <w:rPr>
                <w:b/>
                <w:sz w:val="17"/>
              </w:rPr>
              <w:t>Risk scoring</w:t>
            </w:r>
          </w:p>
        </w:tc>
        <w:tc>
          <w:tcPr>
            <w:tcW w:type="dxa" w:w="7488"/>
            <w:shd w:val="clear" w:color="auto" w:fill="FFF2CC"/>
          </w:tcPr>
          <w:p>
            <w:r/>
            <w:r>
              <w:rPr>
                <w:sz w:val="17"/>
              </w:rPr>
              <w:t>SV 2 (Moderate); PS 2 / RC 2 / CF 1 / OO 2 → IV 2; LS 3 (Likely); PTM 1.5 → CRS 18.0 = Medium Risk. Delays CAPA on audit findings (Moderate).</w:t>
            </w:r>
          </w:p>
        </w:tc>
      </w:tr>
      <w:tr>
        <w:tc>
          <w:tcPr>
            <w:tcW w:type="dxa" w:w="2160"/>
            <w:shd w:val="clear" w:color="auto" w:fill="DCE6F1"/>
          </w:tcPr>
          <w:p>
            <w:r>
              <w:rPr>
                <w:b/>
              </w:rPr>
            </w:r>
            <w:r>
              <w:rPr>
                <w:b/>
                <w:sz w:val="17"/>
              </w:rPr>
              <w:t>Recommended position (redline)</w:t>
            </w:r>
          </w:p>
        </w:tc>
        <w:tc>
          <w:tcPr>
            <w:tcW w:type="dxa" w:w="7488"/>
          </w:tcPr>
          <w:p>
            <w:r/>
            <w:r>
              <w:rPr>
                <w:sz w:val="17"/>
              </w:rPr>
              <w:t>Redline: response within 30 calendar days (10 business days for critical findings); remediation by Ceritas-accepted target dates; monthly progress reporting.</w:t>
            </w:r>
          </w:p>
        </w:tc>
      </w:tr>
      <w:tr>
        <w:tc>
          <w:tcPr>
            <w:tcW w:type="dxa" w:w="2160"/>
            <w:shd w:val="clear" w:color="auto" w:fill="DCE6F1"/>
          </w:tcPr>
          <w:p>
            <w:r>
              <w:rPr>
                <w:b/>
              </w:rPr>
            </w:r>
            <w:r>
              <w:rPr>
                <w:b/>
                <w:sz w:val="17"/>
              </w:rPr>
              <w:t>Fallback position</w:t>
            </w:r>
          </w:p>
        </w:tc>
        <w:tc>
          <w:tcPr>
            <w:tcW w:type="dxa" w:w="7488"/>
          </w:tcPr>
          <w:p>
            <w:r/>
            <w:r>
              <w:rPr>
                <w:sz w:val="17"/>
              </w:rPr>
              <w:t>45 calendar days for non-critical findings.</w:t>
            </w:r>
          </w:p>
        </w:tc>
      </w:tr>
      <w:tr>
        <w:tc>
          <w:tcPr>
            <w:tcW w:type="dxa" w:w="2160"/>
            <w:shd w:val="clear" w:color="auto" w:fill="DCE6F1"/>
          </w:tcPr>
          <w:p>
            <w:r>
              <w:rPr>
                <w:b/>
              </w:rPr>
            </w:r>
            <w:r>
              <w:rPr>
                <w:b/>
                <w:sz w:val="17"/>
              </w:rPr>
              <w:t>Negotiation strategy</w:t>
            </w:r>
          </w:p>
        </w:tc>
        <w:tc>
          <w:tcPr>
            <w:tcW w:type="dxa" w:w="7488"/>
          </w:tcPr>
          <w:p>
            <w:r/>
            <w:r>
              <w:rPr>
                <w:sz w:val="17"/>
              </w:rPr>
              <w:t>Trade item.</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#27 — §9.3 ¶1: Regulatory inspection notification within 5 business days</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§9.1 (Mandatory: 24 hours, announced and unannounced) — Mandatory</w:t>
            </w:r>
          </w:p>
        </w:tc>
      </w:tr>
      <w:tr>
        <w:tc>
          <w:tcPr>
            <w:tcW w:type="dxa" w:w="2160"/>
            <w:shd w:val="clear" w:color="auto" w:fill="DCE6F1"/>
          </w:tcPr>
          <w:p>
            <w:r>
              <w:rPr>
                <w:b/>
              </w:rPr>
            </w:r>
            <w:r>
              <w:rPr>
                <w:b/>
                <w:sz w:val="17"/>
              </w:rPr>
              <w:t>Description of deviation</w:t>
            </w:r>
          </w:p>
        </w:tc>
        <w:tc>
          <w:tcPr>
            <w:tcW w:type="dxa" w:w="7488"/>
          </w:tcPr>
          <w:p>
            <w:r/>
            <w:r>
              <w:rPr>
                <w:sz w:val="17"/>
              </w:rPr>
              <w:t>Five business days is the precise example of a Major deviation in Rubric §4.2.2, and is inconsistent with MSA §5.3, which already requires 24-hour notice of 483s, inspection findings and regulatory inquiries. Subcontractor inspections are not covered.</w:t>
            </w:r>
          </w:p>
        </w:tc>
      </w:tr>
      <w:tr>
        <w:tc>
          <w:tcPr>
            <w:tcW w:type="dxa" w:w="2160"/>
            <w:shd w:val="clear" w:color="auto" w:fill="DCE6F1"/>
          </w:tcPr>
          <w:p>
            <w:r>
              <w:rPr>
                <w:b/>
              </w:rPr>
            </w:r>
            <w:r>
              <w:rPr>
                <w:b/>
                <w:sz w:val="17"/>
              </w:rPr>
              <w:t>Regulatory / contractual basis</w:t>
            </w:r>
          </w:p>
        </w:tc>
        <w:tc>
          <w:tcPr>
            <w:tcW w:type="dxa" w:w="7488"/>
          </w:tcPr>
          <w:p>
            <w:r/>
            <w:r>
              <w:rPr>
                <w:sz w:val="17"/>
              </w:rPr>
              <w:t>MSA §5.3(a), (b), (d) (24 hours); 21 CFR 200.10(b); EU GMP Chapter 7; FDA Quality Agreements Guidance (2016).</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3 (Major); PS 2 / RC 3 / CF 2 / OO 3 → IV 3; LS 4 (Almost Certain); PTM 1.5 → CRS 54.0 = Critical Risk. Inspections of an active commercial site are certain (LS 4). Late notice prevents Ceritas participation and preparation (OO 3, RC 3).</w:t>
            </w:r>
          </w:p>
        </w:tc>
      </w:tr>
      <w:tr>
        <w:tc>
          <w:tcPr>
            <w:tcW w:type="dxa" w:w="2160"/>
            <w:shd w:val="clear" w:color="auto" w:fill="DCE6F1"/>
          </w:tcPr>
          <w:p>
            <w:r>
              <w:rPr>
                <w:b/>
              </w:rPr>
            </w:r>
            <w:r>
              <w:rPr>
                <w:b/>
                <w:sz w:val="17"/>
              </w:rPr>
              <w:t>Recommended position (redline)</w:t>
            </w:r>
          </w:p>
        </w:tc>
        <w:tc>
          <w:tcPr>
            <w:tcW w:type="dxa" w:w="7488"/>
          </w:tcPr>
          <w:p>
            <w:r/>
            <w:r>
              <w:rPr>
                <w:sz w:val="17"/>
              </w:rPr>
              <w:t>Redline: 24 hours from notice or awareness (from commencement for unannounced inspections), covering the Facility, Subcontractors and Product-specific inspections, with required content.</w:t>
            </w:r>
          </w:p>
        </w:tc>
      </w:tr>
      <w:tr>
        <w:tc>
          <w:tcPr>
            <w:tcW w:type="dxa" w:w="2160"/>
            <w:shd w:val="clear" w:color="auto" w:fill="DCE6F1"/>
          </w:tcPr>
          <w:p>
            <w:r>
              <w:rPr>
                <w:b/>
              </w:rPr>
            </w:r>
            <w:r>
              <w:rPr>
                <w:b/>
                <w:sz w:val="17"/>
              </w:rPr>
              <w:t>Fallback position</w:t>
            </w:r>
          </w:p>
        </w:tc>
        <w:tc>
          <w:tcPr>
            <w:tcW w:type="dxa" w:w="7488"/>
          </w:tcPr>
          <w:p>
            <w:r/>
            <w:r>
              <w:rPr>
                <w:sz w:val="17"/>
              </w:rPr>
              <w:t>None (Fallback §9.4 also keeps 24 hours).</w:t>
            </w:r>
          </w:p>
        </w:tc>
      </w:tr>
      <w:tr>
        <w:tc>
          <w:tcPr>
            <w:tcW w:type="dxa" w:w="2160"/>
            <w:shd w:val="clear" w:color="auto" w:fill="DCE6F1"/>
          </w:tcPr>
          <w:p>
            <w:r>
              <w:rPr>
                <w:b/>
              </w:rPr>
            </w:r>
            <w:r>
              <w:rPr>
                <w:b/>
                <w:sz w:val="17"/>
              </w:rPr>
              <w:t>Negotiation strategy</w:t>
            </w:r>
          </w:p>
        </w:tc>
        <w:tc>
          <w:tcPr>
            <w:tcW w:type="dxa" w:w="7488"/>
          </w:tcPr>
          <w:p>
            <w:r/>
            <w:r>
              <w:rPr>
                <w:sz w:val="17"/>
              </w:rPr>
              <w:t>Conformity with MSA §5.3. Pinnacle has already agreed to 24 hours there.</w:t>
            </w:r>
          </w:p>
        </w:tc>
      </w:tr>
      <w:tr>
        <w:tc>
          <w:tcPr>
            <w:tcW w:type="dxa" w:w="2160"/>
            <w:shd w:val="clear" w:color="auto" w:fill="DCE6F1"/>
          </w:tcPr>
          <w:p>
            <w:r>
              <w:rPr>
                <w:b/>
              </w:rPr>
            </w:r>
            <w:r>
              <w:rPr>
                <w:b/>
                <w:sz w:val="17"/>
              </w:rPr>
              <w:t>Escalation (Rubric §9)</w:t>
            </w:r>
          </w:p>
        </w:tc>
        <w:tc>
          <w:tcPr>
            <w:tcW w:type="dxa" w:w="7488"/>
          </w:tcPr>
          <w:p>
            <w:r/>
            <w:r>
              <w:rPr>
                <w:sz w:val="17"/>
              </w:rPr>
              <w:t>VP QA (Rubric §9.1(a)); AGC (Rubric §9.2(b))</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#28 — §9.3 ¶2–3: Ceritas expressly denied any right to participate in, observe or receive updates during inspections; observations provided only “upon request” in a “reasonable timeframe”</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§9.2 (Mandatory: participation; copies of observations/responses/correspondence within 2 BD) — Mandatory / Off-Market</w:t>
            </w:r>
          </w:p>
        </w:tc>
      </w:tr>
      <w:tr>
        <w:tc>
          <w:tcPr>
            <w:tcW w:type="dxa" w:w="2160"/>
            <w:shd w:val="clear" w:color="auto" w:fill="DCE6F1"/>
          </w:tcPr>
          <w:p>
            <w:r>
              <w:rPr>
                <w:b/>
              </w:rPr>
            </w:r>
            <w:r>
              <w:rPr>
                <w:b/>
                <w:sz w:val="17"/>
              </w:rPr>
              <w:t>Description of deviation</w:t>
            </w:r>
          </w:p>
        </w:tc>
        <w:tc>
          <w:tcPr>
            <w:tcW w:type="dxa" w:w="7488"/>
          </w:tcPr>
          <w:p>
            <w:r/>
            <w:r>
              <w:rPr>
                <w:sz w:val="17"/>
              </w:rPr>
              <w:t>The draft affirmatively disclaims any participation right and leaves Ceritas’s presence to Pinnacle’s “sole discretion”, conflicting with MSA §5.4 (QA to define escort, back-room support and responses). An express disclaimer of sponsor participation is unusual in commercial QAs for a sole-source product.</w:t>
            </w:r>
          </w:p>
        </w:tc>
      </w:tr>
      <w:tr>
        <w:tc>
          <w:tcPr>
            <w:tcW w:type="dxa" w:w="2160"/>
            <w:shd w:val="clear" w:color="auto" w:fill="DCE6F1"/>
          </w:tcPr>
          <w:p>
            <w:r>
              <w:rPr>
                <w:b/>
              </w:rPr>
            </w:r>
            <w:r>
              <w:rPr>
                <w:b/>
                <w:sz w:val="17"/>
              </w:rPr>
              <w:t>Regulatory / contractual basis</w:t>
            </w:r>
          </w:p>
        </w:tc>
        <w:tc>
          <w:tcPr>
            <w:tcW w:type="dxa" w:w="7488"/>
          </w:tcPr>
          <w:p>
            <w:r/>
            <w:r>
              <w:rPr>
                <w:sz w:val="17"/>
              </w:rPr>
              <w:t>MSA §5.4, §4.2(j); 21 CFR 314.81 and NDA-holder responsibility for site compliance; Rubric §4.2.1 (absence of inspection participation is a Critical example).</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4 (Critical); PS 2 / RC 4 / CF 3 / OO 4 → IV 4; LS 4 (Almost Certain); PTM 1.5 → CRS 96.0 = Critical Risk. Inspection outcomes at the sole Velorantib site directly affect NDA and MA standing (RC 4 → SVP RA). Certain over the term (LS 4).</w:t>
            </w:r>
          </w:p>
        </w:tc>
      </w:tr>
      <w:tr>
        <w:tc>
          <w:tcPr>
            <w:tcW w:type="dxa" w:w="2160"/>
            <w:shd w:val="clear" w:color="auto" w:fill="DCE6F1"/>
          </w:tcPr>
          <w:p>
            <w:r>
              <w:rPr>
                <w:b/>
              </w:rPr>
            </w:r>
            <w:r>
              <w:rPr>
                <w:b/>
                <w:sz w:val="17"/>
              </w:rPr>
              <w:t>Recommended position (redline)</w:t>
            </w:r>
          </w:p>
        </w:tc>
        <w:tc>
          <w:tcPr>
            <w:tcW w:type="dxa" w:w="7488"/>
          </w:tcPr>
          <w:p>
            <w:r/>
            <w:r>
              <w:rPr>
                <w:sz w:val="17"/>
              </w:rPr>
              <w:t>Redline: Ceritas right to participate (opening, daily wrap-ups, closing) and to provide back-room support, subject only to authority restrictions; daily written updates; all observations and correspondence within 2 business days (and within MSA §5.3’s 24 hours where applicable).</w:t>
            </w:r>
          </w:p>
        </w:tc>
      </w:tr>
      <w:tr>
        <w:tc>
          <w:tcPr>
            <w:tcW w:type="dxa" w:w="2160"/>
            <w:shd w:val="clear" w:color="auto" w:fill="DCE6F1"/>
          </w:tcPr>
          <w:p>
            <w:r>
              <w:rPr>
                <w:b/>
              </w:rPr>
            </w:r>
            <w:r>
              <w:rPr>
                <w:b/>
                <w:sz w:val="17"/>
              </w:rPr>
              <w:t>Fallback position</w:t>
            </w:r>
          </w:p>
        </w:tc>
        <w:tc>
          <w:tcPr>
            <w:tcW w:type="dxa" w:w="7488"/>
          </w:tcPr>
          <w:p>
            <w:r/>
            <w:r>
              <w:rPr>
                <w:sz w:val="17"/>
              </w:rPr>
              <w:t>None for participation and 2-BD copies.</w:t>
            </w:r>
          </w:p>
        </w:tc>
      </w:tr>
      <w:tr>
        <w:tc>
          <w:tcPr>
            <w:tcW w:type="dxa" w:w="2160"/>
            <w:shd w:val="clear" w:color="auto" w:fill="DCE6F1"/>
          </w:tcPr>
          <w:p>
            <w:r>
              <w:rPr>
                <w:b/>
              </w:rPr>
            </w:r>
            <w:r>
              <w:rPr>
                <w:b/>
                <w:sz w:val="17"/>
              </w:rPr>
              <w:t>Negotiation strategy</w:t>
            </w:r>
          </w:p>
        </w:tc>
        <w:tc>
          <w:tcPr>
            <w:tcW w:type="dxa" w:w="7488"/>
          </w:tcPr>
          <w:p>
            <w:r/>
            <w:r>
              <w:rPr>
                <w:sz w:val="17"/>
              </w:rPr>
              <w:t>Lead with MSA §5.4: Pinnacle signed an MSA that requires the QA to set out back-room support. Offer Ceritas’s participation in back-room only, if the authority restricts front-room attendance.</w:t>
            </w:r>
          </w:p>
        </w:tc>
      </w:tr>
      <w:tr>
        <w:tc>
          <w:tcPr>
            <w:tcW w:type="dxa" w:w="2160"/>
            <w:shd w:val="clear" w:color="auto" w:fill="DCE6F1"/>
          </w:tcPr>
          <w:p>
            <w:r>
              <w:rPr>
                <w:b/>
              </w:rPr>
            </w:r>
            <w:r>
              <w:rPr>
                <w:b/>
                <w:sz w:val="17"/>
              </w:rPr>
              <w:t>Escalation (Rubric §9)</w:t>
            </w:r>
          </w:p>
        </w:tc>
        <w:tc>
          <w:tcPr>
            <w:tcW w:type="dxa" w:w="7488"/>
          </w:tcPr>
          <w:p>
            <w:r/>
            <w:r>
              <w:rPr>
                <w:sz w:val="17"/>
              </w:rPr>
              <w:t>VP QA (Rubric §9.1(a)); AGC (Rubric §9.2(b)); AGC — Off-Market Term (Rubric §9.2(c)); SVP Regulatory Affairs (Rubric §9.3)</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#29 — §9.3 ¶2: No Ceritas review or approval of Pinnacle’s responses to inspection observations</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§9.3 (Preferred: review and approve; draft ≥3 BD before deadline), §9.4 (Fallback: review and comment, good-faith documented rationale) — Preferred</w:t>
            </w:r>
          </w:p>
        </w:tc>
      </w:tr>
      <w:tr>
        <w:tc>
          <w:tcPr>
            <w:tcW w:type="dxa" w:w="2160"/>
            <w:shd w:val="clear" w:color="auto" w:fill="DCE6F1"/>
          </w:tcPr>
          <w:p>
            <w:r>
              <w:rPr>
                <w:b/>
              </w:rPr>
            </w:r>
            <w:r>
              <w:rPr>
                <w:b/>
                <w:sz w:val="17"/>
              </w:rPr>
              <w:t>Description of deviation</w:t>
            </w:r>
          </w:p>
        </w:tc>
        <w:tc>
          <w:tcPr>
            <w:tcW w:type="dxa" w:w="7488"/>
          </w:tcPr>
          <w:p>
            <w:r/>
            <w:r>
              <w:rPr>
                <w:sz w:val="17"/>
              </w:rPr>
              <w:t>Ceritas sees responses only after submission and only on request.</w:t>
            </w:r>
          </w:p>
        </w:tc>
      </w:tr>
      <w:tr>
        <w:tc>
          <w:tcPr>
            <w:tcW w:type="dxa" w:w="2160"/>
            <w:shd w:val="clear" w:color="auto" w:fill="DCE6F1"/>
          </w:tcPr>
          <w:p>
            <w:r>
              <w:rPr>
                <w:b/>
              </w:rPr>
            </w:r>
            <w:r>
              <w:rPr>
                <w:b/>
                <w:sz w:val="17"/>
              </w:rPr>
              <w:t>Regulatory / contractual basis</w:t>
            </w:r>
          </w:p>
        </w:tc>
        <w:tc>
          <w:tcPr>
            <w:tcW w:type="dxa" w:w="7488"/>
          </w:tcPr>
          <w:p>
            <w:r/>
            <w:r>
              <w:rPr>
                <w:sz w:val="17"/>
              </w:rPr>
              <w:t>NDA/MAH standing depends on adequacy of site responses (e.g., Warning Letter risk); MSA §5.4.</w:t>
            </w:r>
          </w:p>
        </w:tc>
      </w:tr>
      <w:tr>
        <w:tc>
          <w:tcPr>
            <w:tcW w:type="dxa" w:w="2160"/>
            <w:shd w:val="clear" w:color="auto" w:fill="DCE6F1"/>
          </w:tcPr>
          <w:p>
            <w:r>
              <w:rPr>
                <w:b/>
              </w:rPr>
            </w:r>
            <w:r>
              <w:rPr>
                <w:b/>
                <w:sz w:val="17"/>
              </w:rPr>
              <w:t>Risk scoring</w:t>
            </w:r>
          </w:p>
        </w:tc>
        <w:tc>
          <w:tcPr>
            <w:tcW w:type="dxa" w:w="7488"/>
            <w:shd w:val="clear" w:color="auto" w:fill="FCE4D6"/>
          </w:tcPr>
          <w:p>
            <w:r/>
            <w:r>
              <w:rPr>
                <w:sz w:val="17"/>
              </w:rPr>
              <w:t>SV 3 (Major); PS 2 / RC 3 / CF 2 / OO 3 → IV 3; LS 3 (Likely); PTM 1.5 → CRS 40.5 = High Risk. Response quality on 483s drives escalation risk (RC 3); 483s are likely over a multi-year term (LS 3).</w:t>
            </w:r>
          </w:p>
        </w:tc>
      </w:tr>
      <w:tr>
        <w:tc>
          <w:tcPr>
            <w:tcW w:type="dxa" w:w="2160"/>
            <w:shd w:val="clear" w:color="auto" w:fill="DCE6F1"/>
          </w:tcPr>
          <w:p>
            <w:r>
              <w:rPr>
                <w:b/>
              </w:rPr>
            </w:r>
            <w:r>
              <w:rPr>
                <w:b/>
                <w:sz w:val="17"/>
              </w:rPr>
              <w:t>Recommended position (redline)</w:t>
            </w:r>
          </w:p>
        </w:tc>
        <w:tc>
          <w:tcPr>
            <w:tcW w:type="dxa" w:w="7488"/>
          </w:tcPr>
          <w:p>
            <w:r/>
            <w:r>
              <w:rPr>
                <w:sz w:val="17"/>
              </w:rPr>
              <w:t>Redline: draft responses at least 3 business days before deadline; no submission without Ceritas approval (not unreasonably withheld or delayed); copy as submitted.</w:t>
            </w:r>
          </w:p>
        </w:tc>
      </w:tr>
      <w:tr>
        <w:tc>
          <w:tcPr>
            <w:tcW w:type="dxa" w:w="2160"/>
            <w:shd w:val="clear" w:color="auto" w:fill="DCE6F1"/>
          </w:tcPr>
          <w:p>
            <w:r>
              <w:rPr>
                <w:b/>
              </w:rPr>
            </w:r>
            <w:r>
              <w:rPr>
                <w:b/>
                <w:sz w:val="17"/>
              </w:rPr>
              <w:t>Fallback position</w:t>
            </w:r>
          </w:p>
        </w:tc>
        <w:tc>
          <w:tcPr>
            <w:tcW w:type="dxa" w:w="7488"/>
          </w:tcPr>
          <w:p>
            <w:r/>
            <w:r>
              <w:rPr>
                <w:sz w:val="17"/>
              </w:rPr>
              <w:t>Review-and-comment with Pinnacle obliged to consider in good faith and document its rationale per comment (Playbook §9.4).</w:t>
            </w:r>
          </w:p>
        </w:tc>
      </w:tr>
      <w:tr>
        <w:tc>
          <w:tcPr>
            <w:tcW w:type="dxa" w:w="2160"/>
            <w:shd w:val="clear" w:color="auto" w:fill="DCE6F1"/>
          </w:tcPr>
          <w:p>
            <w:r>
              <w:rPr>
                <w:b/>
              </w:rPr>
            </w:r>
            <w:r>
              <w:rPr>
                <w:b/>
                <w:sz w:val="17"/>
              </w:rPr>
              <w:t>Negotiation strategy</w:t>
            </w:r>
          </w:p>
        </w:tc>
        <w:tc>
          <w:tcPr>
            <w:tcW w:type="dxa" w:w="7488"/>
          </w:tcPr>
          <w:p>
            <w:r/>
            <w:r>
              <w:rPr>
                <w:sz w:val="17"/>
              </w:rPr>
              <w:t>Expect to land at Fallback; trade approval for a firm 3-BD draft lead time.</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#30 — §10.1: Recall and field-alert decisions are “joint”; neither Party may act without the other’s consent (Pinnacle veto); no FAR-enabling notification timeline</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§10.1 (Mandatory: Ceritas sole authority; unconditional, immediate cooperation) — Mandatory</w:t>
            </w:r>
          </w:p>
        </w:tc>
      </w:tr>
      <w:tr>
        <w:tc>
          <w:tcPr>
            <w:tcW w:type="dxa" w:w="2160"/>
            <w:shd w:val="clear" w:color="auto" w:fill="DCE6F1"/>
          </w:tcPr>
          <w:p>
            <w:r>
              <w:rPr>
                <w:b/>
              </w:rPr>
            </w:r>
            <w:r>
              <w:rPr>
                <w:b/>
                <w:sz w:val="17"/>
              </w:rPr>
              <w:t>Description of deviation</w:t>
            </w:r>
          </w:p>
        </w:tc>
        <w:tc>
          <w:tcPr>
            <w:tcW w:type="dxa" w:w="7488"/>
          </w:tcPr>
          <w:p>
            <w:r/>
            <w:r>
              <w:rPr>
                <w:sz w:val="17"/>
              </w:rPr>
              <w:t>Joint decision-making with mutual consent gives Pinnacle a veto over Ceritas’s recall decisions and over FDA Field Alert Reports, which are NDA-holder obligations. Notification of recall-relevant information is merely “prompt”.</w:t>
            </w:r>
          </w:p>
        </w:tc>
      </w:tr>
      <w:tr>
        <w:tc>
          <w:tcPr>
            <w:tcW w:type="dxa" w:w="2160"/>
            <w:shd w:val="clear" w:color="auto" w:fill="DCE6F1"/>
          </w:tcPr>
          <w:p>
            <w:r>
              <w:rPr>
                <w:b/>
              </w:rPr>
            </w:r>
            <w:r>
              <w:rPr>
                <w:b/>
                <w:sz w:val="17"/>
              </w:rPr>
              <w:t>Regulatory / contractual basis</w:t>
            </w:r>
          </w:p>
        </w:tc>
        <w:tc>
          <w:tcPr>
            <w:tcW w:type="dxa" w:w="7488"/>
          </w:tcPr>
          <w:p>
            <w:r/>
            <w:r>
              <w:rPr>
                <w:sz w:val="17"/>
              </w:rPr>
              <w:t>21 CFR 314.81(b)(1) (NDA holder files FAR within 3 working days); 21 CFR Part 7 (recalls); EU GMP Chapter 8; Directive 2001/83/EC Arts 117, 123 (MAH notifications); Rubric §4.2.1 (recall authority example).</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4 (Critical); PS 4 / RC 4 / CF 3 / OO 4 → IV 4; LS 3 (Likely); PTM 1.5 → CRS 72.0 = Critical Risk. Material limitation of sole recall authority (SV 4); field actions are Likely at commercial scale (LS 3); RC 4 → SVP RA.</w:t>
            </w:r>
          </w:p>
        </w:tc>
      </w:tr>
      <w:tr>
        <w:tc>
          <w:tcPr>
            <w:tcW w:type="dxa" w:w="2160"/>
            <w:shd w:val="clear" w:color="auto" w:fill="DCE6F1"/>
          </w:tcPr>
          <w:p>
            <w:r>
              <w:rPr>
                <w:b/>
              </w:rPr>
            </w:r>
            <w:r>
              <w:rPr>
                <w:b/>
                <w:sz w:val="17"/>
              </w:rPr>
              <w:t>Recommended position (redline)</w:t>
            </w:r>
          </w:p>
        </w:tc>
        <w:tc>
          <w:tcPr>
            <w:tcW w:type="dxa" w:w="7488"/>
          </w:tcPr>
          <w:p>
            <w:r/>
            <w:r>
              <w:rPr>
                <w:sz w:val="17"/>
              </w:rPr>
              <w:t>Redline: Ceritas sole authority (for itself and Ceritas Ireland); Pinnacle may not initiate or communicate with authorities without consent except as legally required (with prior notice); cooperation immediate and unconditional and not subject to cost disputes; 24-hour notice of recall-relevant information, with an express FAR-trigger list mirroring 314.81(b)(1).</w:t>
            </w:r>
          </w:p>
        </w:tc>
      </w:tr>
      <w:tr>
        <w:tc>
          <w:tcPr>
            <w:tcW w:type="dxa" w:w="2160"/>
            <w:shd w:val="clear" w:color="auto" w:fill="DCE6F1"/>
          </w:tcPr>
          <w:p>
            <w:r>
              <w:rPr>
                <w:b/>
              </w:rPr>
            </w:r>
            <w:r>
              <w:rPr>
                <w:b/>
                <w:sz w:val="17"/>
              </w:rPr>
              <w:t>Fallback position</w:t>
            </w:r>
          </w:p>
        </w:tc>
        <w:tc>
          <w:tcPr>
            <w:tcW w:type="dxa" w:w="7488"/>
          </w:tcPr>
          <w:p>
            <w:r/>
            <w:r>
              <w:rPr>
                <w:sz w:val="17"/>
              </w:rPr>
              <w:t>None (Playbook §10.4 confirms sole authority even at Fallback).</w:t>
            </w:r>
          </w:p>
        </w:tc>
      </w:tr>
      <w:tr>
        <w:tc>
          <w:tcPr>
            <w:tcW w:type="dxa" w:w="2160"/>
            <w:shd w:val="clear" w:color="auto" w:fill="DCE6F1"/>
          </w:tcPr>
          <w:p>
            <w:r>
              <w:rPr>
                <w:b/>
              </w:rPr>
            </w:r>
            <w:r>
              <w:rPr>
                <w:b/>
                <w:sz w:val="17"/>
              </w:rPr>
              <w:t>Negotiation strategy</w:t>
            </w:r>
          </w:p>
        </w:tc>
        <w:tc>
          <w:tcPr>
            <w:tcW w:type="dxa" w:w="7488"/>
          </w:tcPr>
          <w:p>
            <w:r/>
            <w:r>
              <w:rPr>
                <w:sz w:val="17"/>
              </w:rPr>
              <w:t>Non-negotiable. The 3-working-day FAR clock is the decisive argument.</w:t>
            </w:r>
          </w:p>
        </w:tc>
      </w:tr>
      <w:tr>
        <w:tc>
          <w:tcPr>
            <w:tcW w:type="dxa" w:w="2160"/>
            <w:shd w:val="clear" w:color="auto" w:fill="DCE6F1"/>
          </w:tcPr>
          <w:p>
            <w:r>
              <w:rPr>
                <w:b/>
              </w:rPr>
            </w:r>
            <w:r>
              <w:rPr>
                <w:b/>
                <w:sz w:val="17"/>
              </w:rPr>
              <w:t>Escalation (Rubric §9)</w:t>
            </w:r>
          </w:p>
        </w:tc>
        <w:tc>
          <w:tcPr>
            <w:tcW w:type="dxa" w:w="7488"/>
          </w:tcPr>
          <w:p>
            <w:r/>
            <w:r>
              <w:rPr>
                <w:sz w:val="17"/>
              </w:rPr>
              <w:t>VP QA (Rubric §9.1(a)); AGC (Rubric §9.2(b)); SVP Regulatory Affairs (Rubric §9.3)</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#31 — §10.2: Recall costs split 50/50 unless one Party’s willful misconduct caused the recall</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§10.2 (Mandatory: CDMO bears costs of its cGMP/spec/QA failures), §10.3 (Preferred), §10.4 (Fallback: proportional to fault) — Mandatory</w:t>
            </w:r>
          </w:p>
        </w:tc>
      </w:tr>
      <w:tr>
        <w:tc>
          <w:tcPr>
            <w:tcW w:type="dxa" w:w="2160"/>
            <w:shd w:val="clear" w:color="auto" w:fill="DCE6F1"/>
          </w:tcPr>
          <w:p>
            <w:r>
              <w:rPr>
                <w:b/>
              </w:rPr>
            </w:r>
            <w:r>
              <w:rPr>
                <w:b/>
                <w:sz w:val="17"/>
              </w:rPr>
              <w:t>Description of deviation</w:t>
            </w:r>
          </w:p>
        </w:tc>
        <w:tc>
          <w:tcPr>
            <w:tcW w:type="dxa" w:w="7488"/>
          </w:tcPr>
          <w:p>
            <w:r/>
            <w:r>
              <w:rPr>
                <w:sz w:val="17"/>
              </w:rPr>
              <w:t>Ceritas would fund half of every Pinnacle-caused recall short of willful misconduct. This is exactly the structure Playbook §10.2 prohibits and conflicts with MSA §11.3(d) (no cap or exclusion for recall costs attributable to Pinnacle’s cGMP failure) and MSA §10.1(c).</w:t>
            </w:r>
          </w:p>
        </w:tc>
      </w:tr>
      <w:tr>
        <w:tc>
          <w:tcPr>
            <w:tcW w:type="dxa" w:w="2160"/>
            <w:shd w:val="clear" w:color="auto" w:fill="DCE6F1"/>
          </w:tcPr>
          <w:p>
            <w:r>
              <w:rPr>
                <w:b/>
              </w:rPr>
            </w:r>
            <w:r>
              <w:rPr>
                <w:b/>
                <w:sz w:val="17"/>
              </w:rPr>
              <w:t>Regulatory / contractual basis</w:t>
            </w:r>
          </w:p>
        </w:tc>
        <w:tc>
          <w:tcPr>
            <w:tcW w:type="dxa" w:w="7488"/>
          </w:tcPr>
          <w:p>
            <w:r/>
            <w:r>
              <w:rPr>
                <w:sz w:val="17"/>
              </w:rPr>
              <w:t>MSA §10.1(c), §11.3(d); Playbook §10.2.</w:t>
            </w:r>
          </w:p>
        </w:tc>
      </w:tr>
      <w:tr>
        <w:tc>
          <w:tcPr>
            <w:tcW w:type="dxa" w:w="2160"/>
            <w:shd w:val="clear" w:color="auto" w:fill="DCE6F1"/>
          </w:tcPr>
          <w:p>
            <w:r>
              <w:rPr>
                <w:b/>
              </w:rPr>
            </w:r>
            <w:r>
              <w:rPr>
                <w:b/>
                <w:sz w:val="17"/>
              </w:rPr>
              <w:t>Risk scoring</w:t>
            </w:r>
          </w:p>
        </w:tc>
        <w:tc>
          <w:tcPr>
            <w:tcW w:type="dxa" w:w="7488"/>
            <w:shd w:val="clear" w:color="auto" w:fill="FCE4D6"/>
          </w:tcPr>
          <w:p>
            <w:r/>
            <w:r>
              <w:rPr>
                <w:sz w:val="17"/>
              </w:rPr>
              <w:t>SV 3 (Major); PS 1 / RC 1 / CF 4 / OO 1 → IV 4; LS 2 (Possible); PTM 1.5 → CRS 36.0 = High Risk. Material cost shift for Tier 1 product (CF 4); recall possible (LS 2). Cost-allocation provision → AGC review under Rubric §9.2(a).</w:t>
            </w:r>
          </w:p>
        </w:tc>
      </w:tr>
      <w:tr>
        <w:tc>
          <w:tcPr>
            <w:tcW w:type="dxa" w:w="2160"/>
            <w:shd w:val="clear" w:color="auto" w:fill="DCE6F1"/>
          </w:tcPr>
          <w:p>
            <w:r>
              <w:rPr>
                <w:b/>
              </w:rPr>
            </w:r>
            <w:r>
              <w:rPr>
                <w:b/>
                <w:sz w:val="17"/>
              </w:rPr>
              <w:t>Recommended position (redline)</w:t>
            </w:r>
          </w:p>
        </w:tc>
        <w:tc>
          <w:tcPr>
            <w:tcW w:type="dxa" w:w="7488"/>
          </w:tcPr>
          <w:p>
            <w:r/>
            <w:r>
              <w:rPr>
                <w:sz w:val="17"/>
              </w:rPr>
              <w:t>Redline: Pinnacle bears 100% of recall costs arising from its (or Subcontractors’) cGMP, Specification, MA, law or QA non-compliance or negligence/willful misconduct; Ceritas bears costs from its causes; shared causation proportional; broad recall-cost definition (Preferred §10.3); no limitation applies.</w:t>
            </w:r>
          </w:p>
        </w:tc>
      </w:tr>
      <w:tr>
        <w:tc>
          <w:tcPr>
            <w:tcW w:type="dxa" w:w="2160"/>
            <w:shd w:val="clear" w:color="auto" w:fill="DCE6F1"/>
          </w:tcPr>
          <w:p>
            <w:r>
              <w:rPr>
                <w:b/>
              </w:rPr>
            </w:r>
            <w:r>
              <w:rPr>
                <w:b/>
                <w:sz w:val="17"/>
              </w:rPr>
              <w:t>Fallback position</w:t>
            </w:r>
          </w:p>
        </w:tc>
        <w:tc>
          <w:tcPr>
            <w:tcW w:type="dxa" w:w="7488"/>
          </w:tcPr>
          <w:p>
            <w:r/>
            <w:r>
              <w:rPr>
                <w:sz w:val="17"/>
              </w:rPr>
              <w:t>Proportional-to-fault allocation via documented root-cause investigation (Playbook §10.4); recall authority unaffected.</w:t>
            </w:r>
          </w:p>
        </w:tc>
      </w:tr>
      <w:tr>
        <w:tc>
          <w:tcPr>
            <w:tcW w:type="dxa" w:w="2160"/>
            <w:shd w:val="clear" w:color="auto" w:fill="DCE6F1"/>
          </w:tcPr>
          <w:p>
            <w:r>
              <w:rPr>
                <w:b/>
              </w:rPr>
            </w:r>
            <w:r>
              <w:rPr>
                <w:b/>
                <w:sz w:val="17"/>
              </w:rPr>
              <w:t>Negotiation strategy</w:t>
            </w:r>
          </w:p>
        </w:tc>
        <w:tc>
          <w:tcPr>
            <w:tcW w:type="dxa" w:w="7488"/>
          </w:tcPr>
          <w:p>
            <w:r/>
            <w:r>
              <w:rPr>
                <w:sz w:val="17"/>
              </w:rPr>
              <w:t>Point out that the 50/50 rule contradicts MSA §11.3(d), which Pinnacle signed. Fallback (proportional-to-fault) is essentially what the redline already provides, so hold the redline.</w:t>
            </w:r>
          </w:p>
        </w:tc>
      </w:tr>
      <w:tr>
        <w:tc>
          <w:tcPr>
            <w:tcW w:type="dxa" w:w="2160"/>
            <w:shd w:val="clear" w:color="auto" w:fill="DCE6F1"/>
          </w:tcPr>
          <w:p>
            <w:r>
              <w:rPr>
                <w:b/>
              </w:rPr>
            </w:r>
            <w:r>
              <w:rPr>
                <w:b/>
                <w:sz w:val="17"/>
              </w:rPr>
              <w:t>Escalation (Rubric §9)</w:t>
            </w:r>
          </w:p>
        </w:tc>
        <w:tc>
          <w:tcPr>
            <w:tcW w:type="dxa" w:w="7488"/>
          </w:tcPr>
          <w:p>
            <w:r/>
            <w:r>
              <w:rPr>
                <w:sz w:val="17"/>
              </w:rPr>
              <w:t>AGC (Rubric §9.2(a))</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#32 — §11.1, Annex C (now Annex E): Three “pre-approved” third-country laboratories usable without Ceritas consent, audit or even notice</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§11.1 (Mandatory: prior written consent; Ceritas audit qualification; pre-approved lists unacceptable unless Ceritas-audited), §11.3 (Fallback) — Mandatory</w:t>
            </w:r>
          </w:p>
        </w:tc>
      </w:tr>
      <w:tr>
        <w:tc>
          <w:tcPr>
            <w:tcW w:type="dxa" w:w="2160"/>
            <w:shd w:val="clear" w:color="auto" w:fill="DCE6F1"/>
          </w:tcPr>
          <w:p>
            <w:r>
              <w:rPr>
                <w:b/>
              </w:rPr>
            </w:r>
            <w:r>
              <w:rPr>
                <w:b/>
                <w:sz w:val="17"/>
              </w:rPr>
              <w:t>Description of deviation</w:t>
            </w:r>
          </w:p>
        </w:tc>
        <w:tc>
          <w:tcPr>
            <w:tcW w:type="dxa" w:w="7488"/>
          </w:tcPr>
          <w:p>
            <w:r/>
            <w:r>
              <w:rPr>
                <w:sz w:val="17"/>
              </w:rPr>
              <w:t>Rheintal Analytik AG (Basel), Solara Testing Services Ltd. (Manchester) and QCBio Laboratories, Inc. (Rockville) are listed as pre-approved. Ceritas has not audited them (no record in file), and nothing confirms they are registered testing sites in the NDA/MA. Post-Brexit, use of a UK laboratory for testing supporting EU batch certification requires Regulatory Affairs confirmation.</w:t>
            </w:r>
          </w:p>
        </w:tc>
      </w:tr>
      <w:tr>
        <w:tc>
          <w:tcPr>
            <w:tcW w:type="dxa" w:w="2160"/>
            <w:shd w:val="clear" w:color="auto" w:fill="DCE6F1"/>
          </w:tcPr>
          <w:p>
            <w:r>
              <w:rPr>
                <w:b/>
              </w:rPr>
            </w:r>
            <w:r>
              <w:rPr>
                <w:b/>
                <w:sz w:val="17"/>
              </w:rPr>
              <w:t>Regulatory / contractual basis</w:t>
            </w:r>
          </w:p>
        </w:tc>
        <w:tc>
          <w:tcPr>
            <w:tcW w:type="dxa" w:w="7488"/>
          </w:tcPr>
          <w:p>
            <w:r/>
            <w:r>
              <w:rPr>
                <w:sz w:val="17"/>
              </w:rPr>
              <w:t>MSA §2.3 (no subcontracting without Ceritas prior written consent; subject to Ceritas audit and qualification); EU GMP Chapter 7 (subcontracting requires contract giver’s prior evaluation and approval); 21 CFR 314.70 (testing-site changes require NDA supplement); Directive 2001/83/EC Art 51 and Annex 16 (testing sites for EU batch certification).</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3 (Major); PS 3 / RC 3 / CF 2 / OO 3 → IV 3; LS 4 (Almost Certain); PTM 1.5 → CRS 54.0 = Critical Risk. Rubric §4.2.2 example (subcontracting without consent, SV 3); the labs are presumably intended for immediate use (LS 4).</w:t>
            </w:r>
          </w:p>
        </w:tc>
      </w:tr>
      <w:tr>
        <w:tc>
          <w:tcPr>
            <w:tcW w:type="dxa" w:w="2160"/>
            <w:shd w:val="clear" w:color="auto" w:fill="DCE6F1"/>
          </w:tcPr>
          <w:p>
            <w:r>
              <w:rPr>
                <w:b/>
              </w:rPr>
            </w:r>
            <w:r>
              <w:rPr>
                <w:b/>
                <w:sz w:val="17"/>
              </w:rPr>
              <w:t>Recommended position (redline)</w:t>
            </w:r>
          </w:p>
        </w:tc>
        <w:tc>
          <w:tcPr>
            <w:tcW w:type="dxa" w:w="7488"/>
          </w:tcPr>
          <w:p>
            <w:r/>
            <w:r>
              <w:rPr>
                <w:sz w:val="17"/>
              </w:rPr>
              <w:t>Redline: prior written consent for all subcontracting (including Affiliates); listed labs usable only after Ceritas audit and written approval and only if registered in the MAs; Annex E records “pending Ceritas audit” status; subcontractor QAs subject to Ceritas approval; annual reaffirmation and removal right.</w:t>
            </w:r>
          </w:p>
        </w:tc>
      </w:tr>
      <w:tr>
        <w:tc>
          <w:tcPr>
            <w:tcW w:type="dxa" w:w="2160"/>
            <w:shd w:val="clear" w:color="auto" w:fill="DCE6F1"/>
          </w:tcPr>
          <w:p>
            <w:r>
              <w:rPr>
                <w:b/>
              </w:rPr>
            </w:r>
            <w:r>
              <w:rPr>
                <w:b/>
                <w:sz w:val="17"/>
              </w:rPr>
              <w:t>Fallback position</w:t>
            </w:r>
          </w:p>
        </w:tc>
        <w:tc>
          <w:tcPr>
            <w:tcW w:type="dxa" w:w="7488"/>
          </w:tcPr>
          <w:p>
            <w:r/>
            <w:r>
              <w:rPr>
                <w:sz w:val="17"/>
              </w:rPr>
              <w:t>Pre-approved list acceptable only once each lab is Ceritas-audited (Playbook §11.3). Schedule audits now so the Fallback can be met by launch.</w:t>
            </w:r>
          </w:p>
        </w:tc>
      </w:tr>
      <w:tr>
        <w:tc>
          <w:tcPr>
            <w:tcW w:type="dxa" w:w="2160"/>
            <w:shd w:val="clear" w:color="auto" w:fill="DCE6F1"/>
          </w:tcPr>
          <w:p>
            <w:r>
              <w:rPr>
                <w:b/>
              </w:rPr>
            </w:r>
            <w:r>
              <w:rPr>
                <w:b/>
                <w:sz w:val="17"/>
              </w:rPr>
              <w:t>Negotiation strategy</w:t>
            </w:r>
          </w:p>
        </w:tc>
        <w:tc>
          <w:tcPr>
            <w:tcW w:type="dxa" w:w="7488"/>
          </w:tcPr>
          <w:p>
            <w:r/>
            <w:r>
              <w:rPr>
                <w:sz w:val="17"/>
              </w:rPr>
              <w:t>Treat as an execution-path item: offer to prioritize Ceritas audits of all three labs in May–June 2025 and allow in-house Facility testing in the interim. Ask Regulatory Affairs to confirm dossier registration of each lab immediately.</w:t>
            </w:r>
          </w:p>
        </w:tc>
      </w:tr>
      <w:tr>
        <w:tc>
          <w:tcPr>
            <w:tcW w:type="dxa" w:w="2160"/>
            <w:shd w:val="clear" w:color="auto" w:fill="DCE6F1"/>
          </w:tcPr>
          <w:p>
            <w:r>
              <w:rPr>
                <w:b/>
              </w:rPr>
            </w:r>
            <w:r>
              <w:rPr>
                <w:b/>
                <w:sz w:val="17"/>
              </w:rPr>
              <w:t>Escalation (Rubric §9)</w:t>
            </w:r>
          </w:p>
        </w:tc>
        <w:tc>
          <w:tcPr>
            <w:tcW w:type="dxa" w:w="7488"/>
          </w:tcPr>
          <w:p>
            <w:r/>
            <w:r>
              <w:rPr>
                <w:sz w:val="17"/>
              </w:rPr>
              <w:t>VP QA (Rubric §9.1(a)); AGC (Rubric §9.2(b))</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#33 — §11.2: New subcontractors engaged on Pinnacle’s own qualification with notice up to 15 business days after engagement; Ceritas qualification audit expressly excluded</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§11.1 (Mandatory: post-engagement notice unacceptable; Ceritas audit before work) — Mandatory</w:t>
            </w:r>
          </w:p>
        </w:tc>
      </w:tr>
      <w:tr>
        <w:tc>
          <w:tcPr>
            <w:tcW w:type="dxa" w:w="2160"/>
            <w:shd w:val="clear" w:color="auto" w:fill="DCE6F1"/>
          </w:tcPr>
          <w:p>
            <w:r>
              <w:rPr>
                <w:b/>
              </w:rPr>
            </w:r>
            <w:r>
              <w:rPr>
                <w:b/>
                <w:sz w:val="17"/>
              </w:rPr>
              <w:t>Description of deviation</w:t>
            </w:r>
          </w:p>
        </w:tc>
        <w:tc>
          <w:tcPr>
            <w:tcW w:type="dxa" w:w="7488"/>
          </w:tcPr>
          <w:p>
            <w:r/>
            <w:r>
              <w:rPr>
                <w:sz w:val="17"/>
              </w:rPr>
              <w:t>Pinnacle may engage any subcontractor and tell Ceritas afterwards; the draft states Ceritas has no right to a qualification audit. Directly contradicts MSA §2.3.</w:t>
            </w:r>
          </w:p>
        </w:tc>
      </w:tr>
      <w:tr>
        <w:tc>
          <w:tcPr>
            <w:tcW w:type="dxa" w:w="2160"/>
            <w:shd w:val="clear" w:color="auto" w:fill="DCE6F1"/>
          </w:tcPr>
          <w:p>
            <w:r>
              <w:rPr>
                <w:b/>
              </w:rPr>
            </w:r>
            <w:r>
              <w:rPr>
                <w:b/>
                <w:sz w:val="17"/>
              </w:rPr>
              <w:t>Regulatory / contractual basis</w:t>
            </w:r>
          </w:p>
        </w:tc>
        <w:tc>
          <w:tcPr>
            <w:tcW w:type="dxa" w:w="7488"/>
          </w:tcPr>
          <w:p>
            <w:r/>
            <w:r>
              <w:rPr>
                <w:sz w:val="17"/>
              </w:rPr>
              <w:t>MSA §2.3; EU GMP Chapter 7; 21 CFR 314.70 (an unfiled new testing or manufacturing site would render product non-compliant with the NDA); Regulation (EC) No 1234/2008.</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3 (Major); PS 3 / RC 4 / CF 2 / OO 4 → IV 4; LS 3 (Likely); PTM 1.5 → CRS 54.0 = Critical Risk. Unapproved sites can render batches non-compliant with the NDA/MA (RC 4 → SVP RA); OO 4 (no visibility). Likely over a 5-year term (LS 3).</w:t>
            </w:r>
          </w:p>
        </w:tc>
      </w:tr>
      <w:tr>
        <w:tc>
          <w:tcPr>
            <w:tcW w:type="dxa" w:w="2160"/>
            <w:shd w:val="clear" w:color="auto" w:fill="DCE6F1"/>
          </w:tcPr>
          <w:p>
            <w:r>
              <w:rPr>
                <w:b/>
              </w:rPr>
            </w:r>
            <w:r>
              <w:rPr>
                <w:b/>
                <w:sz w:val="17"/>
              </w:rPr>
              <w:t>Recommended position (redline)</w:t>
            </w:r>
          </w:p>
        </w:tc>
        <w:tc>
          <w:tcPr>
            <w:tcW w:type="dxa" w:w="7488"/>
          </w:tcPr>
          <w:p>
            <w:r/>
            <w:r>
              <w:rPr>
                <w:sz w:val="17"/>
              </w:rPr>
              <w:t>Redline: prior written consent requested ≥90 days ahead; no work until Ceritas audit, consent and regulatory approval/effectiveness; Annex E updated by amendment; new §11.4 direct Ceritas audit rights over subcontractors (Preferred §11.2).</w:t>
            </w:r>
          </w:p>
        </w:tc>
      </w:tr>
      <w:tr>
        <w:tc>
          <w:tcPr>
            <w:tcW w:type="dxa" w:w="2160"/>
            <w:shd w:val="clear" w:color="auto" w:fill="DCE6F1"/>
          </w:tcPr>
          <w:p>
            <w:r>
              <w:rPr>
                <w:b/>
              </w:rPr>
            </w:r>
            <w:r>
              <w:rPr>
                <w:b/>
                <w:sz w:val="17"/>
              </w:rPr>
              <w:t>Fallback position</w:t>
            </w:r>
          </w:p>
        </w:tc>
        <w:tc>
          <w:tcPr>
            <w:tcW w:type="dxa" w:w="7488"/>
          </w:tcPr>
          <w:p>
            <w:r/>
            <w:r>
              <w:rPr>
                <w:sz w:val="17"/>
              </w:rPr>
              <w:t>None.</w:t>
            </w:r>
          </w:p>
        </w:tc>
      </w:tr>
      <w:tr>
        <w:tc>
          <w:tcPr>
            <w:tcW w:type="dxa" w:w="2160"/>
            <w:shd w:val="clear" w:color="auto" w:fill="DCE6F1"/>
          </w:tcPr>
          <w:p>
            <w:r>
              <w:rPr>
                <w:b/>
              </w:rPr>
            </w:r>
            <w:r>
              <w:rPr>
                <w:b/>
                <w:sz w:val="17"/>
              </w:rPr>
              <w:t>Negotiation strategy</w:t>
            </w:r>
          </w:p>
        </w:tc>
        <w:tc>
          <w:tcPr>
            <w:tcW w:type="dxa" w:w="7488"/>
          </w:tcPr>
          <w:p>
            <w:r/>
            <w:r>
              <w:rPr>
                <w:sz w:val="17"/>
              </w:rPr>
              <w:t>Non-negotiable and already agreed in MSA §2.3; frame as conformity.</w:t>
            </w:r>
          </w:p>
        </w:tc>
      </w:tr>
      <w:tr>
        <w:tc>
          <w:tcPr>
            <w:tcW w:type="dxa" w:w="2160"/>
            <w:shd w:val="clear" w:color="auto" w:fill="DCE6F1"/>
          </w:tcPr>
          <w:p>
            <w:r>
              <w:rPr>
                <w:b/>
              </w:rPr>
            </w:r>
            <w:r>
              <w:rPr>
                <w:b/>
                <w:sz w:val="17"/>
              </w:rPr>
              <w:t>Escalation (Rubric §9)</w:t>
            </w:r>
          </w:p>
        </w:tc>
        <w:tc>
          <w:tcPr>
            <w:tcW w:type="dxa" w:w="7488"/>
          </w:tcPr>
          <w:p>
            <w:r/>
            <w:r>
              <w:rPr>
                <w:sz w:val="17"/>
              </w:rPr>
              <w:t>VP QA (Rubric §9.1(a)); AGC (Rubric §9.2(b)); SVP Regulatory Affairs (Rubric §9.3)</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#34 — §11 (generally): No Ceritas approval of subcontractor quality agreements; no direct Ceritas audit rights over subcontractors</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§11.2 (Preferred) — Preferred</w:t>
            </w:r>
          </w:p>
        </w:tc>
      </w:tr>
      <w:tr>
        <w:tc>
          <w:tcPr>
            <w:tcW w:type="dxa" w:w="2160"/>
            <w:shd w:val="clear" w:color="auto" w:fill="DCE6F1"/>
          </w:tcPr>
          <w:p>
            <w:r>
              <w:rPr>
                <w:b/>
              </w:rPr>
            </w:r>
            <w:r>
              <w:rPr>
                <w:b/>
                <w:sz w:val="17"/>
              </w:rPr>
              <w:t>Description of deviation</w:t>
            </w:r>
          </w:p>
        </w:tc>
        <w:tc>
          <w:tcPr>
            <w:tcW w:type="dxa" w:w="7488"/>
          </w:tcPr>
          <w:p>
            <w:r/>
            <w:r>
              <w:rPr>
                <w:sz w:val="17"/>
              </w:rPr>
              <w:t>Subcontractor QAs are only available “during audits”; no flow-down of Ceritas audit rights.</w:t>
            </w:r>
          </w:p>
        </w:tc>
      </w:tr>
      <w:tr>
        <w:tc>
          <w:tcPr>
            <w:tcW w:type="dxa" w:w="2160"/>
            <w:shd w:val="clear" w:color="auto" w:fill="DCE6F1"/>
          </w:tcPr>
          <w:p>
            <w:r>
              <w:rPr>
                <w:b/>
              </w:rPr>
            </w:r>
            <w:r>
              <w:rPr>
                <w:b/>
                <w:sz w:val="17"/>
              </w:rPr>
              <w:t>Regulatory / contractual basis</w:t>
            </w:r>
          </w:p>
        </w:tc>
        <w:tc>
          <w:tcPr>
            <w:tcW w:type="dxa" w:w="7488"/>
          </w:tcPr>
          <w:p>
            <w:r/>
            <w:r>
              <w:rPr>
                <w:sz w:val="17"/>
              </w:rPr>
              <w:t>EU GMP Chapter 7; ICH Q10 §2.7; MSA §2.3 (alternative facility subject to Ceritas audit).</w:t>
            </w:r>
          </w:p>
        </w:tc>
      </w:tr>
      <w:tr>
        <w:tc>
          <w:tcPr>
            <w:tcW w:type="dxa" w:w="2160"/>
            <w:shd w:val="clear" w:color="auto" w:fill="DCE6F1"/>
          </w:tcPr>
          <w:p>
            <w:r>
              <w:rPr>
                <w:b/>
              </w:rPr>
            </w:r>
            <w:r>
              <w:rPr>
                <w:b/>
                <w:sz w:val="17"/>
              </w:rPr>
              <w:t>Risk scoring</w:t>
            </w:r>
          </w:p>
        </w:tc>
        <w:tc>
          <w:tcPr>
            <w:tcW w:type="dxa" w:w="7488"/>
            <w:shd w:val="clear" w:color="auto" w:fill="FCE4D6"/>
          </w:tcPr>
          <w:p>
            <w:r/>
            <w:r>
              <w:rPr>
                <w:sz w:val="17"/>
              </w:rPr>
              <w:t>SV 2 (Moderate); PS 2 / RC 2 / CF 1 / OO 3 → IV 3; LS 3 (Likely); PTM 1.5 → CRS 27.0 = High Risk. Reduces oversight of the supply chain (OO 3).</w:t>
            </w:r>
          </w:p>
        </w:tc>
      </w:tr>
      <w:tr>
        <w:tc>
          <w:tcPr>
            <w:tcW w:type="dxa" w:w="2160"/>
            <w:shd w:val="clear" w:color="auto" w:fill="DCE6F1"/>
          </w:tcPr>
          <w:p>
            <w:r>
              <w:rPr>
                <w:b/>
              </w:rPr>
            </w:r>
            <w:r>
              <w:rPr>
                <w:b/>
                <w:sz w:val="17"/>
              </w:rPr>
              <w:t>Recommended position (redline)</w:t>
            </w:r>
          </w:p>
        </w:tc>
        <w:tc>
          <w:tcPr>
            <w:tcW w:type="dxa" w:w="7488"/>
          </w:tcPr>
          <w:p>
            <w:r/>
            <w:r>
              <w:rPr>
                <w:sz w:val="17"/>
              </w:rPr>
              <w:t>Redline: Ceritas review and approval of each subcontractor QA before work; flow-down of Ceritas direct audit rights (new §11.4).</w:t>
            </w:r>
          </w:p>
        </w:tc>
      </w:tr>
      <w:tr>
        <w:tc>
          <w:tcPr>
            <w:tcW w:type="dxa" w:w="2160"/>
            <w:shd w:val="clear" w:color="auto" w:fill="DCE6F1"/>
          </w:tcPr>
          <w:p>
            <w:r>
              <w:rPr>
                <w:b/>
              </w:rPr>
            </w:r>
            <w:r>
              <w:rPr>
                <w:b/>
                <w:sz w:val="17"/>
              </w:rPr>
              <w:t>Fallback position</w:t>
            </w:r>
          </w:p>
        </w:tc>
        <w:tc>
          <w:tcPr>
            <w:tcW w:type="dxa" w:w="7488"/>
          </w:tcPr>
          <w:p>
            <w:r/>
            <w:r>
              <w:rPr>
                <w:sz w:val="17"/>
              </w:rPr>
              <w:t>Ceritas review-and-comment on subcontractor QAs, but the direct audit right is retained.</w:t>
            </w:r>
          </w:p>
        </w:tc>
      </w:tr>
      <w:tr>
        <w:tc>
          <w:tcPr>
            <w:tcW w:type="dxa" w:w="2160"/>
            <w:shd w:val="clear" w:color="auto" w:fill="DCE6F1"/>
          </w:tcPr>
          <w:p>
            <w:r>
              <w:rPr>
                <w:b/>
              </w:rPr>
            </w:r>
            <w:r>
              <w:rPr>
                <w:b/>
                <w:sz w:val="17"/>
              </w:rPr>
              <w:t>Negotiation strategy</w:t>
            </w:r>
          </w:p>
        </w:tc>
        <w:tc>
          <w:tcPr>
            <w:tcW w:type="dxa" w:w="7488"/>
          </w:tcPr>
          <w:p>
            <w:r/>
            <w:r>
              <w:rPr>
                <w:sz w:val="17"/>
              </w:rPr>
              <w:t>Trade item, but keep direct audit flow-down.</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#35 — §12.1: Data integrity limited to 21 CFR Part 11 and ALCOA; no FDA/MHRA-based DI program; MSA-referenced “Data Integrity Requirements” never defined</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§12.1 (Mandatory: program per FDA 2018 Q&amp;A and MHRA 2018; Part 11 alone insufficient) — Mandatory</w:t>
            </w:r>
          </w:p>
        </w:tc>
      </w:tr>
      <w:tr>
        <w:tc>
          <w:tcPr>
            <w:tcW w:type="dxa" w:w="2160"/>
            <w:shd w:val="clear" w:color="auto" w:fill="DCE6F1"/>
          </w:tcPr>
          <w:p>
            <w:r>
              <w:rPr>
                <w:b/>
              </w:rPr>
            </w:r>
            <w:r>
              <w:rPr>
                <w:b/>
                <w:sz w:val="17"/>
              </w:rPr>
              <w:t>Description of deviation</w:t>
            </w:r>
          </w:p>
        </w:tc>
        <w:tc>
          <w:tcPr>
            <w:tcW w:type="dxa" w:w="7488"/>
          </w:tcPr>
          <w:p>
            <w:r/>
            <w:r>
              <w:rPr>
                <w:sz w:val="17"/>
              </w:rPr>
              <w:t>The draft treats Part 11 compliance as the data-integrity standard. MSA §1.3 defines Applicable Law to include “Data Integrity Requirements (as defined in the Quality Agreement)”, but the draft contains no such definition, leaving a hole in the MSA itself.</w:t>
            </w:r>
          </w:p>
        </w:tc>
      </w:tr>
      <w:tr>
        <w:tc>
          <w:tcPr>
            <w:tcW w:type="dxa" w:w="2160"/>
            <w:shd w:val="clear" w:color="auto" w:fill="DCE6F1"/>
          </w:tcPr>
          <w:p>
            <w:r>
              <w:rPr>
                <w:b/>
              </w:rPr>
            </w:r>
            <w:r>
              <w:rPr>
                <w:b/>
                <w:sz w:val="17"/>
              </w:rPr>
              <w:t>Regulatory / contractual basis</w:t>
            </w:r>
          </w:p>
        </w:tc>
        <w:tc>
          <w:tcPr>
            <w:tcW w:type="dxa" w:w="7488"/>
          </w:tcPr>
          <w:p>
            <w:r/>
            <w:r>
              <w:rPr>
                <w:sz w:val="17"/>
              </w:rPr>
              <w:t>FDA Guidance, Data Integrity and Compliance With Drug CGMP: Q&amp;A (Dec. 2018); MHRA GXP Data Integrity Guidance and Definitions (Mar. 2018); EU GMP Annex 11 and Chapter 4; 21 CFR 211.68, 211.194; MSA §1.3, §4.2(k), §9.2(f).</w:t>
            </w:r>
          </w:p>
        </w:tc>
      </w:tr>
      <w:tr>
        <w:tc>
          <w:tcPr>
            <w:tcW w:type="dxa" w:w="2160"/>
            <w:shd w:val="clear" w:color="auto" w:fill="DCE6F1"/>
          </w:tcPr>
          <w:p>
            <w:r>
              <w:rPr>
                <w:b/>
              </w:rPr>
            </w:r>
            <w:r>
              <w:rPr>
                <w:b/>
                <w:sz w:val="17"/>
              </w:rPr>
              <w:t>Risk scoring</w:t>
            </w:r>
          </w:p>
        </w:tc>
        <w:tc>
          <w:tcPr>
            <w:tcW w:type="dxa" w:w="7488"/>
            <w:shd w:val="clear" w:color="auto" w:fill="FCE4D6"/>
          </w:tcPr>
          <w:p>
            <w:r/>
            <w:r>
              <w:rPr>
                <w:sz w:val="17"/>
              </w:rPr>
              <w:t>SV 3 (Major); PS 3 / RC 3 / CF 2 / OO 2 → IV 3; LS 3 (Likely); PTM 1.5 → CRS 40.5 = High Risk. Data integrity is a recurring theme in FDA Warning Letters and EU GMP non-compliance reports (RC 3); undetected DI failures undermine every release decision (PS 3).</w:t>
            </w:r>
          </w:p>
        </w:tc>
      </w:tr>
      <w:tr>
        <w:tc>
          <w:tcPr>
            <w:tcW w:type="dxa" w:w="2160"/>
            <w:shd w:val="clear" w:color="auto" w:fill="DCE6F1"/>
          </w:tcPr>
          <w:p>
            <w:r>
              <w:rPr>
                <w:b/>
              </w:rPr>
            </w:r>
            <w:r>
              <w:rPr>
                <w:b/>
                <w:sz w:val="17"/>
              </w:rPr>
              <w:t>Recommended position (redline)</w:t>
            </w:r>
          </w:p>
        </w:tc>
        <w:tc>
          <w:tcPr>
            <w:tcW w:type="dxa" w:w="7488"/>
          </w:tcPr>
          <w:p>
            <w:r/>
            <w:r>
              <w:rPr>
                <w:sz w:val="17"/>
              </w:rPr>
              <w:t>Redline: Part 11 plus EU GMP Annex 11; ALCOA+; new defined term “Data Integrity Requirements” (expressly the MSA §1.3 definition); program covering organizational, procedural and technical controls; DI incidents notified as Critical Deviations; annual DI self-assessment (Preferred §12.3).</w:t>
            </w:r>
          </w:p>
        </w:tc>
      </w:tr>
      <w:tr>
        <w:tc>
          <w:tcPr>
            <w:tcW w:type="dxa" w:w="2160"/>
            <w:shd w:val="clear" w:color="auto" w:fill="DCE6F1"/>
          </w:tcPr>
          <w:p>
            <w:r>
              <w:rPr>
                <w:b/>
              </w:rPr>
            </w:r>
            <w:r>
              <w:rPr>
                <w:b/>
                <w:sz w:val="17"/>
              </w:rPr>
              <w:t>Fallback position</w:t>
            </w:r>
          </w:p>
        </w:tc>
        <w:tc>
          <w:tcPr>
            <w:tcW w:type="dxa" w:w="7488"/>
          </w:tcPr>
          <w:p>
            <w:r/>
            <w:r>
              <w:rPr>
                <w:sz w:val="17"/>
              </w:rPr>
              <w:t>Annual self-assessment may be dropped (Preferred element); program requirements and the definition may not.</w:t>
            </w:r>
          </w:p>
        </w:tc>
      </w:tr>
      <w:tr>
        <w:tc>
          <w:tcPr>
            <w:tcW w:type="dxa" w:w="2160"/>
            <w:shd w:val="clear" w:color="auto" w:fill="DCE6F1"/>
          </w:tcPr>
          <w:p>
            <w:r>
              <w:rPr>
                <w:b/>
              </w:rPr>
            </w:r>
            <w:r>
              <w:rPr>
                <w:b/>
                <w:sz w:val="17"/>
              </w:rPr>
              <w:t>Negotiation strategy</w:t>
            </w:r>
          </w:p>
        </w:tc>
        <w:tc>
          <w:tcPr>
            <w:tcW w:type="dxa" w:w="7488"/>
          </w:tcPr>
          <w:p>
            <w:r/>
            <w:r>
              <w:rPr>
                <w:sz w:val="17"/>
              </w:rPr>
              <w:t>Explain that the MSA cannot function without the definition; Pinnacle has an interest in closing it too.</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#36 — §12 (generally): No annual data-integrity self-assessment report</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§12.3 (Preferred) — Preferred</w:t>
            </w:r>
          </w:p>
        </w:tc>
      </w:tr>
      <w:tr>
        <w:tc>
          <w:tcPr>
            <w:tcW w:type="dxa" w:w="2160"/>
            <w:shd w:val="clear" w:color="auto" w:fill="DCE6F1"/>
          </w:tcPr>
          <w:p>
            <w:r>
              <w:rPr>
                <w:b/>
              </w:rPr>
            </w:r>
            <w:r>
              <w:rPr>
                <w:b/>
                <w:sz w:val="17"/>
              </w:rPr>
              <w:t>Description of deviation</w:t>
            </w:r>
          </w:p>
        </w:tc>
        <w:tc>
          <w:tcPr>
            <w:tcW w:type="dxa" w:w="7488"/>
          </w:tcPr>
          <w:p>
            <w:r/>
            <w:r>
              <w:rPr>
                <w:sz w:val="17"/>
              </w:rPr>
              <w:t>Absent from draft.</w:t>
            </w:r>
          </w:p>
        </w:tc>
      </w:tr>
      <w:tr>
        <w:tc>
          <w:tcPr>
            <w:tcW w:type="dxa" w:w="2160"/>
            <w:shd w:val="clear" w:color="auto" w:fill="DCE6F1"/>
          </w:tcPr>
          <w:p>
            <w:r>
              <w:rPr>
                <w:b/>
              </w:rPr>
            </w:r>
            <w:r>
              <w:rPr>
                <w:b/>
                <w:sz w:val="17"/>
              </w:rPr>
              <w:t>Regulatory / contractual basis</w:t>
            </w:r>
          </w:p>
        </w:tc>
        <w:tc>
          <w:tcPr>
            <w:tcW w:type="dxa" w:w="7488"/>
          </w:tcPr>
          <w:p>
            <w:r/>
            <w:r>
              <w:rPr>
                <w:sz w:val="17"/>
              </w:rPr>
              <w:t>FDA DI Q&amp;A (2018); MHRA (2018).</w:t>
            </w:r>
          </w:p>
        </w:tc>
      </w:tr>
      <w:tr>
        <w:tc>
          <w:tcPr>
            <w:tcW w:type="dxa" w:w="2160"/>
            <w:shd w:val="clear" w:color="auto" w:fill="DCE6F1"/>
          </w:tcPr>
          <w:p>
            <w:r>
              <w:rPr>
                <w:b/>
              </w:rPr>
            </w:r>
            <w:r>
              <w:rPr>
                <w:b/>
                <w:sz w:val="17"/>
              </w:rPr>
              <w:t>Risk scoring</w:t>
            </w:r>
          </w:p>
        </w:tc>
        <w:tc>
          <w:tcPr>
            <w:tcW w:type="dxa" w:w="7488"/>
            <w:shd w:val="clear" w:color="auto" w:fill="FFF2CC"/>
          </w:tcPr>
          <w:p>
            <w:r/>
            <w:r>
              <w:rPr>
                <w:sz w:val="17"/>
              </w:rPr>
              <w:t>SV 2 (Moderate); PS 1 / RC 2 / CF 1 / OO 2 → IV 2; LS 2 (Possible); PTM 1.5 → CRS 12.0 = Medium Risk. Preferred-position gap (Moderate).</w:t>
            </w:r>
          </w:p>
        </w:tc>
      </w:tr>
      <w:tr>
        <w:tc>
          <w:tcPr>
            <w:tcW w:type="dxa" w:w="2160"/>
            <w:shd w:val="clear" w:color="auto" w:fill="DCE6F1"/>
          </w:tcPr>
          <w:p>
            <w:r>
              <w:rPr>
                <w:b/>
              </w:rPr>
            </w:r>
            <w:r>
              <w:rPr>
                <w:b/>
                <w:sz w:val="17"/>
              </w:rPr>
              <w:t>Recommended position (redline)</w:t>
            </w:r>
          </w:p>
        </w:tc>
        <w:tc>
          <w:tcPr>
            <w:tcW w:type="dxa" w:w="7488"/>
          </w:tcPr>
          <w:p>
            <w:r/>
            <w:r>
              <w:rPr>
                <w:sz w:val="17"/>
              </w:rPr>
              <w:t>Included in redline §12.1 (due 60 days after year-end).</w:t>
            </w:r>
          </w:p>
        </w:tc>
      </w:tr>
      <w:tr>
        <w:tc>
          <w:tcPr>
            <w:tcW w:type="dxa" w:w="2160"/>
            <w:shd w:val="clear" w:color="auto" w:fill="DCE6F1"/>
          </w:tcPr>
          <w:p>
            <w:r>
              <w:rPr>
                <w:b/>
              </w:rPr>
            </w:r>
            <w:r>
              <w:rPr>
                <w:b/>
                <w:sz w:val="17"/>
              </w:rPr>
              <w:t>Fallback position</w:t>
            </w:r>
          </w:p>
        </w:tc>
        <w:tc>
          <w:tcPr>
            <w:tcW w:type="dxa" w:w="7488"/>
          </w:tcPr>
          <w:p>
            <w:r/>
            <w:r>
              <w:rPr>
                <w:sz w:val="17"/>
              </w:rPr>
              <w:t>Provide as part of the APQR or annual quality review meeting.</w:t>
            </w:r>
          </w:p>
        </w:tc>
      </w:tr>
      <w:tr>
        <w:tc>
          <w:tcPr>
            <w:tcW w:type="dxa" w:w="2160"/>
            <w:shd w:val="clear" w:color="auto" w:fill="DCE6F1"/>
          </w:tcPr>
          <w:p>
            <w:r>
              <w:rPr>
                <w:b/>
              </w:rPr>
            </w:r>
            <w:r>
              <w:rPr>
                <w:b/>
                <w:sz w:val="17"/>
              </w:rPr>
              <w:t>Negotiation strategy</w:t>
            </w:r>
          </w:p>
        </w:tc>
        <w:tc>
          <w:tcPr>
            <w:tcW w:type="dxa" w:w="7488"/>
          </w:tcPr>
          <w:p>
            <w:r/>
            <w:r>
              <w:rPr>
                <w:sz w:val="17"/>
              </w:rPr>
              <w:t>Give-able.</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#37 — §12.3: GMP record retention 7 years from batch release</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§12.2 and §12.4 (Mandatory, non-negotiable 10 years) — Mandatory</w:t>
            </w:r>
          </w:p>
        </w:tc>
      </w:tr>
      <w:tr>
        <w:tc>
          <w:tcPr>
            <w:tcW w:type="dxa" w:w="2160"/>
            <w:shd w:val="clear" w:color="auto" w:fill="DCE6F1"/>
          </w:tcPr>
          <w:p>
            <w:r>
              <w:rPr>
                <w:b/>
              </w:rPr>
            </w:r>
            <w:r>
              <w:rPr>
                <w:b/>
                <w:sz w:val="17"/>
              </w:rPr>
              <w:t>Description of deviation</w:t>
            </w:r>
          </w:p>
        </w:tc>
        <w:tc>
          <w:tcPr>
            <w:tcW w:type="dxa" w:w="7488"/>
          </w:tcPr>
          <w:p>
            <w:r/>
            <w:r>
              <w:rPr>
                <w:sz w:val="17"/>
              </w:rPr>
              <w:t>Seven years is expressly listed in Playbook §12.2 as unacceptable. No post-termination transfer election.</w:t>
            </w:r>
          </w:p>
        </w:tc>
      </w:tr>
      <w:tr>
        <w:tc>
          <w:tcPr>
            <w:tcW w:type="dxa" w:w="2160"/>
            <w:shd w:val="clear" w:color="auto" w:fill="DCE6F1"/>
          </w:tcPr>
          <w:p>
            <w:r>
              <w:rPr>
                <w:b/>
              </w:rPr>
            </w:r>
            <w:r>
              <w:rPr>
                <w:b/>
                <w:sz w:val="17"/>
              </w:rPr>
              <w:t>Regulatory / contractual basis</w:t>
            </w:r>
          </w:p>
        </w:tc>
        <w:tc>
          <w:tcPr>
            <w:tcW w:type="dxa" w:w="7488"/>
          </w:tcPr>
          <w:p>
            <w:r/>
            <w:r>
              <w:rPr>
                <w:sz w:val="17"/>
              </w:rPr>
              <w:t>21 CFR 211.180(a) (at least 1 year after expiry); EU GMP Chapter 4 (batch documentation at least 1 year after expiry or 5 years after QP certification, whichever is longer); Playbook 10-year standard reflects product lifecycle and litigation exposure.</w:t>
            </w:r>
          </w:p>
        </w:tc>
      </w:tr>
      <w:tr>
        <w:tc>
          <w:tcPr>
            <w:tcW w:type="dxa" w:w="2160"/>
            <w:shd w:val="clear" w:color="auto" w:fill="DCE6F1"/>
          </w:tcPr>
          <w:p>
            <w:r>
              <w:rPr>
                <w:b/>
              </w:rPr>
            </w:r>
            <w:r>
              <w:rPr>
                <w:b/>
                <w:sz w:val="17"/>
              </w:rPr>
              <w:t>Risk scoring</w:t>
            </w:r>
          </w:p>
        </w:tc>
        <w:tc>
          <w:tcPr>
            <w:tcW w:type="dxa" w:w="7488"/>
            <w:shd w:val="clear" w:color="auto" w:fill="FCE4D6"/>
          </w:tcPr>
          <w:p>
            <w:r/>
            <w:r>
              <w:rPr>
                <w:sz w:val="17"/>
              </w:rPr>
              <w:t>SV 3 (Major); PS 1 / RC 3 / CF 2 / OO 2 → IV 3; LS 3 (Likely); PTM 1.5 → CRS 40.5 = High Risk. Below a non-negotiable floor (SV 3); records will be needed for long-lived NDA lifecycle, litigation and inspections (LS 3).</w:t>
            </w:r>
          </w:p>
        </w:tc>
      </w:tr>
      <w:tr>
        <w:tc>
          <w:tcPr>
            <w:tcW w:type="dxa" w:w="2160"/>
            <w:shd w:val="clear" w:color="auto" w:fill="DCE6F1"/>
          </w:tcPr>
          <w:p>
            <w:r>
              <w:rPr>
                <w:b/>
              </w:rPr>
            </w:r>
            <w:r>
              <w:rPr>
                <w:b/>
                <w:sz w:val="17"/>
              </w:rPr>
              <w:t>Recommended position (redline)</w:t>
            </w:r>
          </w:p>
        </w:tc>
        <w:tc>
          <w:tcPr>
            <w:tcW w:type="dxa" w:w="7488"/>
          </w:tcPr>
          <w:p>
            <w:r/>
            <w:r>
              <w:rPr>
                <w:sz w:val="17"/>
              </w:rPr>
              <w:t>Redline: 10 years from batch release (or longer if law requires); at expiration or termination, Ceritas elects continued retention or transfer.</w:t>
            </w:r>
          </w:p>
        </w:tc>
      </w:tr>
      <w:tr>
        <w:tc>
          <w:tcPr>
            <w:tcW w:type="dxa" w:w="2160"/>
            <w:shd w:val="clear" w:color="auto" w:fill="DCE6F1"/>
          </w:tcPr>
          <w:p>
            <w:r>
              <w:rPr>
                <w:b/>
              </w:rPr>
            </w:r>
            <w:r>
              <w:rPr>
                <w:b/>
                <w:sz w:val="17"/>
              </w:rPr>
              <w:t>Fallback position</w:t>
            </w:r>
          </w:p>
        </w:tc>
        <w:tc>
          <w:tcPr>
            <w:tcW w:type="dxa" w:w="7488"/>
          </w:tcPr>
          <w:p>
            <w:r/>
            <w:r>
              <w:rPr>
                <w:sz w:val="17"/>
              </w:rPr>
              <w:t>None (non-negotiable even at Fallback).</w:t>
            </w:r>
          </w:p>
        </w:tc>
      </w:tr>
      <w:tr>
        <w:tc>
          <w:tcPr>
            <w:tcW w:type="dxa" w:w="2160"/>
            <w:shd w:val="clear" w:color="auto" w:fill="DCE6F1"/>
          </w:tcPr>
          <w:p>
            <w:r>
              <w:rPr>
                <w:b/>
              </w:rPr>
            </w:r>
            <w:r>
              <w:rPr>
                <w:b/>
                <w:sz w:val="17"/>
              </w:rPr>
              <w:t>Negotiation strategy</w:t>
            </w:r>
          </w:p>
        </w:tc>
        <w:tc>
          <w:tcPr>
            <w:tcW w:type="dxa" w:w="7488"/>
          </w:tcPr>
          <w:p>
            <w:r/>
            <w:r>
              <w:rPr>
                <w:sz w:val="17"/>
              </w:rPr>
              <w:t>Offer that Ceritas bears transfer costs (draft already so provides) to make the 10-year term palatable.</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#38 — §13.2 ¶1: Stability protocols “mutually agreed”</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§13.1 (Mandatory: Ceritas approval authority) — Mandatory</w:t>
            </w:r>
          </w:p>
        </w:tc>
      </w:tr>
      <w:tr>
        <w:tc>
          <w:tcPr>
            <w:tcW w:type="dxa" w:w="2160"/>
            <w:shd w:val="clear" w:color="auto" w:fill="DCE6F1"/>
          </w:tcPr>
          <w:p>
            <w:r>
              <w:rPr>
                <w:b/>
              </w:rPr>
            </w:r>
            <w:r>
              <w:rPr>
                <w:b/>
                <w:sz w:val="17"/>
              </w:rPr>
              <w:t>Description of deviation</w:t>
            </w:r>
          </w:p>
        </w:tc>
        <w:tc>
          <w:tcPr>
            <w:tcW w:type="dxa" w:w="7488"/>
          </w:tcPr>
          <w:p>
            <w:r/>
            <w:r>
              <w:rPr>
                <w:sz w:val="17"/>
              </w:rPr>
              <w:t>Co-equal protocol authority is expressly unacceptable. Note that MSA §2.2(e) refers to a stability protocol “agreed upon by the Parties”; Pinnacle may cite this, but MSA §4.3 makes the QA control technical matters.</w:t>
            </w:r>
          </w:p>
        </w:tc>
      </w:tr>
      <w:tr>
        <w:tc>
          <w:tcPr>
            <w:tcW w:type="dxa" w:w="2160"/>
            <w:shd w:val="clear" w:color="auto" w:fill="DCE6F1"/>
          </w:tcPr>
          <w:p>
            <w:r>
              <w:rPr>
                <w:b/>
              </w:rPr>
            </w:r>
            <w:r>
              <w:rPr>
                <w:b/>
                <w:sz w:val="17"/>
              </w:rPr>
              <w:t>Regulatory / contractual basis</w:t>
            </w:r>
          </w:p>
        </w:tc>
        <w:tc>
          <w:tcPr>
            <w:tcW w:type="dxa" w:w="7488"/>
          </w:tcPr>
          <w:p>
            <w:r/>
            <w:r>
              <w:rPr>
                <w:sz w:val="17"/>
              </w:rPr>
              <w:t>21 CFR 211.166 (written stability program); ICH Q1A(R2), Q1E; 21 CFR 314.81(b)(2) (annual report stability data); NDA/MA stability commitments.</w:t>
            </w:r>
          </w:p>
        </w:tc>
      </w:tr>
      <w:tr>
        <w:tc>
          <w:tcPr>
            <w:tcW w:type="dxa" w:w="2160"/>
            <w:shd w:val="clear" w:color="auto" w:fill="DCE6F1"/>
          </w:tcPr>
          <w:p>
            <w:r>
              <w:rPr>
                <w:b/>
              </w:rPr>
            </w:r>
            <w:r>
              <w:rPr>
                <w:b/>
                <w:sz w:val="17"/>
              </w:rPr>
              <w:t>Risk scoring</w:t>
            </w:r>
          </w:p>
        </w:tc>
        <w:tc>
          <w:tcPr>
            <w:tcW w:type="dxa" w:w="7488"/>
            <w:shd w:val="clear" w:color="auto" w:fill="FCE4D6"/>
          </w:tcPr>
          <w:p>
            <w:r/>
            <w:r>
              <w:rPr>
                <w:sz w:val="17"/>
              </w:rPr>
              <w:t>SV 3 (Major); PS 2 / RC 3 / CF 1 / OO 3 → IV 3; LS 3 (Likely); PTM 1.5 → CRS 40.5 = High Risk. Protocol changes can breach NDA stability commitments (RC 3).</w:t>
            </w:r>
          </w:p>
        </w:tc>
      </w:tr>
      <w:tr>
        <w:tc>
          <w:tcPr>
            <w:tcW w:type="dxa" w:w="2160"/>
            <w:shd w:val="clear" w:color="auto" w:fill="DCE6F1"/>
          </w:tcPr>
          <w:p>
            <w:r>
              <w:rPr>
                <w:b/>
              </w:rPr>
            </w:r>
            <w:r>
              <w:rPr>
                <w:b/>
                <w:sz w:val="17"/>
              </w:rPr>
              <w:t>Recommended position (redline)</w:t>
            </w:r>
          </w:p>
        </w:tc>
        <w:tc>
          <w:tcPr>
            <w:tcW w:type="dxa" w:w="7488"/>
          </w:tcPr>
          <w:p>
            <w:r/>
            <w:r>
              <w:rPr>
                <w:sz w:val="17"/>
              </w:rPr>
              <w:t>Redline: protocols approved in writing by Ceritas (batches, intervals, conditions, methods); Pinnacle technical input; no amendment without Ceritas approval.</w:t>
            </w:r>
          </w:p>
        </w:tc>
      </w:tr>
      <w:tr>
        <w:tc>
          <w:tcPr>
            <w:tcW w:type="dxa" w:w="2160"/>
            <w:shd w:val="clear" w:color="auto" w:fill="DCE6F1"/>
          </w:tcPr>
          <w:p>
            <w:r>
              <w:rPr>
                <w:b/>
              </w:rPr>
            </w:r>
            <w:r>
              <w:rPr>
                <w:b/>
                <w:sz w:val="17"/>
              </w:rPr>
              <w:t>Fallback position</w:t>
            </w:r>
          </w:p>
        </w:tc>
        <w:tc>
          <w:tcPr>
            <w:tcW w:type="dxa" w:w="7488"/>
          </w:tcPr>
          <w:p>
            <w:r/>
            <w:r>
              <w:rPr>
                <w:sz w:val="17"/>
              </w:rPr>
              <w:t>None.</w:t>
            </w:r>
          </w:p>
        </w:tc>
      </w:tr>
      <w:tr>
        <w:tc>
          <w:tcPr>
            <w:tcW w:type="dxa" w:w="2160"/>
            <w:shd w:val="clear" w:color="auto" w:fill="DCE6F1"/>
          </w:tcPr>
          <w:p>
            <w:r>
              <w:rPr>
                <w:b/>
              </w:rPr>
            </w:r>
            <w:r>
              <w:rPr>
                <w:b/>
                <w:sz w:val="17"/>
              </w:rPr>
              <w:t>Negotiation strategy</w:t>
            </w:r>
          </w:p>
        </w:tc>
        <w:tc>
          <w:tcPr>
            <w:tcW w:type="dxa" w:w="7488"/>
          </w:tcPr>
          <w:p>
            <w:r/>
            <w:r>
              <w:rPr>
                <w:sz w:val="17"/>
              </w:rPr>
              <w:t>Acknowledge Pinnacle’s technical role explicitly in the text (already in redline).</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#39 — §13.2 ¶2: Stability results reported quarterly only</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§13.2 (Mandatory: 5 BD per time point, individual results), §13.4 (Fallback 10 BD with VP exception; quarterly-only never acceptable) — Mandatory</w:t>
            </w:r>
          </w:p>
        </w:tc>
      </w:tr>
      <w:tr>
        <w:tc>
          <w:tcPr>
            <w:tcW w:type="dxa" w:w="2160"/>
            <w:shd w:val="clear" w:color="auto" w:fill="DCE6F1"/>
          </w:tcPr>
          <w:p>
            <w:r>
              <w:rPr>
                <w:b/>
              </w:rPr>
            </w:r>
            <w:r>
              <w:rPr>
                <w:b/>
                <w:sz w:val="17"/>
              </w:rPr>
              <w:t>Description of deviation</w:t>
            </w:r>
          </w:p>
        </w:tc>
        <w:tc>
          <w:tcPr>
            <w:tcW w:type="dxa" w:w="7488"/>
          </w:tcPr>
          <w:p>
            <w:r/>
            <w:r>
              <w:rPr>
                <w:sz w:val="17"/>
              </w:rPr>
              <w:t>Quarterly summaries could delay awareness of a failing time point by up to three months.</w:t>
            </w:r>
          </w:p>
        </w:tc>
      </w:tr>
      <w:tr>
        <w:tc>
          <w:tcPr>
            <w:tcW w:type="dxa" w:w="2160"/>
            <w:shd w:val="clear" w:color="auto" w:fill="DCE6F1"/>
          </w:tcPr>
          <w:p>
            <w:r>
              <w:rPr>
                <w:b/>
              </w:rPr>
            </w:r>
            <w:r>
              <w:rPr>
                <w:b/>
                <w:sz w:val="17"/>
              </w:rPr>
              <w:t>Regulatory / contractual basis</w:t>
            </w:r>
          </w:p>
        </w:tc>
        <w:tc>
          <w:tcPr>
            <w:tcW w:type="dxa" w:w="7488"/>
          </w:tcPr>
          <w:p>
            <w:r/>
            <w:r>
              <w:rPr>
                <w:sz w:val="17"/>
              </w:rPr>
              <w:t>21 CFR 211.166; ICH Q1E; 21 CFR 314.81(b)(1)(ii) (FAR for distributed batches failing specifications); EU GMP Chapter 6 (on-going stability).</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3 (Major); PS 3 / RC 3 / CF 1 / OO 3 → IV 3; LS 4 (Almost Certain); PTM 1.5 → CRS 54.0 = Critical Risk. Substitutes periodic for event-driven reporting (OO 3); certain (LS 4).</w:t>
            </w:r>
          </w:p>
        </w:tc>
      </w:tr>
      <w:tr>
        <w:tc>
          <w:tcPr>
            <w:tcW w:type="dxa" w:w="2160"/>
            <w:shd w:val="clear" w:color="auto" w:fill="DCE6F1"/>
          </w:tcPr>
          <w:p>
            <w:r>
              <w:rPr>
                <w:b/>
              </w:rPr>
            </w:r>
            <w:r>
              <w:rPr>
                <w:b/>
                <w:sz w:val="17"/>
              </w:rPr>
              <w:t>Recommended position (redline)</w:t>
            </w:r>
          </w:p>
        </w:tc>
        <w:tc>
          <w:tcPr>
            <w:tcW w:type="dxa" w:w="7488"/>
          </w:tcPr>
          <w:p>
            <w:r/>
            <w:r>
              <w:rPr>
                <w:sz w:val="17"/>
              </w:rPr>
              <w:t>Redline: individual results within 5 business days of each time-point analysis; quarterly summaries as supplement.</w:t>
            </w:r>
          </w:p>
        </w:tc>
      </w:tr>
      <w:tr>
        <w:tc>
          <w:tcPr>
            <w:tcW w:type="dxa" w:w="2160"/>
            <w:shd w:val="clear" w:color="auto" w:fill="DCE6F1"/>
          </w:tcPr>
          <w:p>
            <w:r>
              <w:rPr>
                <w:b/>
              </w:rPr>
            </w:r>
            <w:r>
              <w:rPr>
                <w:b/>
                <w:sz w:val="17"/>
              </w:rPr>
              <w:t>Fallback position</w:t>
            </w:r>
          </w:p>
        </w:tc>
        <w:tc>
          <w:tcPr>
            <w:tcW w:type="dxa" w:w="7488"/>
          </w:tcPr>
          <w:p>
            <w:r/>
            <w:r>
              <w:rPr>
                <w:sz w:val="17"/>
              </w:rPr>
              <w:t>10 business days, firm, with VP Quality written exception.</w:t>
            </w:r>
          </w:p>
        </w:tc>
      </w:tr>
      <w:tr>
        <w:tc>
          <w:tcPr>
            <w:tcW w:type="dxa" w:w="2160"/>
            <w:shd w:val="clear" w:color="auto" w:fill="DCE6F1"/>
          </w:tcPr>
          <w:p>
            <w:r>
              <w:rPr>
                <w:b/>
              </w:rPr>
            </w:r>
            <w:r>
              <w:rPr>
                <w:b/>
                <w:sz w:val="17"/>
              </w:rPr>
              <w:t>Negotiation strategy</w:t>
            </w:r>
          </w:p>
        </w:tc>
        <w:tc>
          <w:tcPr>
            <w:tcW w:type="dxa" w:w="7488"/>
          </w:tcPr>
          <w:p>
            <w:r/>
            <w:r>
              <w:rPr>
                <w:sz w:val="17"/>
              </w:rPr>
              <w:t>Expected to settle at 5–10 BD.</w:t>
            </w:r>
          </w:p>
        </w:tc>
      </w:tr>
      <w:tr>
        <w:tc>
          <w:tcPr>
            <w:tcW w:type="dxa" w:w="2160"/>
            <w:shd w:val="clear" w:color="auto" w:fill="DCE6F1"/>
          </w:tcPr>
          <w:p>
            <w:r>
              <w:rPr>
                <w:b/>
              </w:rPr>
            </w:r>
            <w:r>
              <w:rPr>
                <w:b/>
                <w:sz w:val="17"/>
              </w:rPr>
              <w:t>Escalation (Rubric §9)</w:t>
            </w:r>
          </w:p>
        </w:tc>
        <w:tc>
          <w:tcPr>
            <w:tcW w:type="dxa" w:w="7488"/>
          </w:tcPr>
          <w:p>
            <w:r/>
            <w:r>
              <w:rPr>
                <w:sz w:val="17"/>
              </w:rPr>
              <w:t>VP QA (Rubric §9.1(a)); AGC (Rubric §9.2(b))</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#40 — §13.2 ¶3: Stability OOS/OOT reported “promptly” (no fixed timeline)</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§13.3 (Preferred: 24 hours of confirmation); §3.2 (qualifiers prohibited for timelines) — Mandatory (§3.2) / Preferred (§13.3)</w:t>
            </w:r>
          </w:p>
        </w:tc>
      </w:tr>
      <w:tr>
        <w:tc>
          <w:tcPr>
            <w:tcW w:type="dxa" w:w="2160"/>
            <w:shd w:val="clear" w:color="auto" w:fill="DCE6F1"/>
          </w:tcPr>
          <w:p>
            <w:r>
              <w:rPr>
                <w:b/>
              </w:rPr>
            </w:r>
            <w:r>
              <w:rPr>
                <w:b/>
                <w:sz w:val="17"/>
              </w:rPr>
              <w:t>Description of deviation</w:t>
            </w:r>
          </w:p>
        </w:tc>
        <w:tc>
          <w:tcPr>
            <w:tcW w:type="dxa" w:w="7488"/>
          </w:tcPr>
          <w:p>
            <w:r/>
            <w:r>
              <w:rPr>
                <w:sz w:val="17"/>
              </w:rPr>
              <w:t>“Promptly” is a prohibited qualifier for a patient-safety timeline. Stability OOS on marketed batches can trigger a FAR within 3 working days.</w:t>
            </w:r>
          </w:p>
        </w:tc>
      </w:tr>
      <w:tr>
        <w:tc>
          <w:tcPr>
            <w:tcW w:type="dxa" w:w="2160"/>
            <w:shd w:val="clear" w:color="auto" w:fill="DCE6F1"/>
          </w:tcPr>
          <w:p>
            <w:r>
              <w:rPr>
                <w:b/>
              </w:rPr>
            </w:r>
            <w:r>
              <w:rPr>
                <w:b/>
                <w:sz w:val="17"/>
              </w:rPr>
              <w:t>Regulatory / contractual basis</w:t>
            </w:r>
          </w:p>
        </w:tc>
        <w:tc>
          <w:tcPr>
            <w:tcW w:type="dxa" w:w="7488"/>
          </w:tcPr>
          <w:p>
            <w:r/>
            <w:r>
              <w:rPr>
                <w:sz w:val="17"/>
              </w:rPr>
              <w:t>21 CFR 314.81(b)(1)(ii); EU GMP Chapter 6 (confirmed OOS on marketed batches to be reported to competent authorities); FDA OOS Guidance.</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3 (Major); PS 4 / RC 3 / CF 2 / OO 3 → IV 4; LS 3 (Likely); PTM 1.5 → CRS 54.0 = Critical Risk. Direct patient-safety and FAR timing implications (PS 4); stability OOT/OOS Likely over shelf-life programs (LS 3).</w:t>
            </w:r>
          </w:p>
        </w:tc>
      </w:tr>
      <w:tr>
        <w:tc>
          <w:tcPr>
            <w:tcW w:type="dxa" w:w="2160"/>
            <w:shd w:val="clear" w:color="auto" w:fill="DCE6F1"/>
          </w:tcPr>
          <w:p>
            <w:r>
              <w:rPr>
                <w:b/>
              </w:rPr>
            </w:r>
            <w:r>
              <w:rPr>
                <w:b/>
                <w:sz w:val="17"/>
              </w:rPr>
              <w:t>Recommended position (redline)</w:t>
            </w:r>
          </w:p>
        </w:tc>
        <w:tc>
          <w:tcPr>
            <w:tcW w:type="dxa" w:w="7488"/>
          </w:tcPr>
          <w:p>
            <w:r/>
            <w:r>
              <w:rPr>
                <w:sz w:val="17"/>
              </w:rPr>
              <w:t>Redline: 24 hours from confirmation (initial laboratory assessment); investigation under §6.2 and new §6.4.</w:t>
            </w:r>
          </w:p>
        </w:tc>
      </w:tr>
      <w:tr>
        <w:tc>
          <w:tcPr>
            <w:tcW w:type="dxa" w:w="2160"/>
            <w:shd w:val="clear" w:color="auto" w:fill="DCE6F1"/>
          </w:tcPr>
          <w:p>
            <w:r>
              <w:rPr>
                <w:b/>
              </w:rPr>
            </w:r>
            <w:r>
              <w:rPr>
                <w:b/>
                <w:sz w:val="17"/>
              </w:rPr>
              <w:t>Fallback position</w:t>
            </w:r>
          </w:p>
        </w:tc>
        <w:tc>
          <w:tcPr>
            <w:tcW w:type="dxa" w:w="7488"/>
          </w:tcPr>
          <w:p>
            <w:r/>
            <w:r>
              <w:rPr>
                <w:sz w:val="17"/>
              </w:rPr>
              <w:t>48 hours from confirmation if Ceritas is notified within 24 hours of Detection for any marketed batch (documented justification).</w:t>
            </w:r>
          </w:p>
        </w:tc>
      </w:tr>
      <w:tr>
        <w:tc>
          <w:tcPr>
            <w:tcW w:type="dxa" w:w="2160"/>
            <w:shd w:val="clear" w:color="auto" w:fill="DCE6F1"/>
          </w:tcPr>
          <w:p>
            <w:r>
              <w:rPr>
                <w:b/>
              </w:rPr>
            </w:r>
            <w:r>
              <w:rPr>
                <w:b/>
                <w:sz w:val="17"/>
              </w:rPr>
              <w:t>Negotiation strategy</w:t>
            </w:r>
          </w:p>
        </w:tc>
        <w:tc>
          <w:tcPr>
            <w:tcW w:type="dxa" w:w="7488"/>
          </w:tcPr>
          <w:p>
            <w:r/>
            <w:r>
              <w:rPr>
                <w:sz w:val="17"/>
              </w:rPr>
              <w:t>Anchor in FAR clock.</w:t>
            </w:r>
          </w:p>
        </w:tc>
      </w:tr>
      <w:tr>
        <w:tc>
          <w:tcPr>
            <w:tcW w:type="dxa" w:w="2160"/>
            <w:shd w:val="clear" w:color="auto" w:fill="DCE6F1"/>
          </w:tcPr>
          <w:p>
            <w:r>
              <w:rPr>
                <w:b/>
              </w:rPr>
            </w:r>
            <w:r>
              <w:rPr>
                <w:b/>
                <w:sz w:val="17"/>
              </w:rPr>
              <w:t>Escalation (Rubric §9)</w:t>
            </w:r>
          </w:p>
        </w:tc>
        <w:tc>
          <w:tcPr>
            <w:tcW w:type="dxa" w:w="7488"/>
          </w:tcPr>
          <w:p>
            <w:r/>
            <w:r>
              <w:rPr>
                <w:sz w:val="17"/>
              </w:rPr>
              <w:t>VP QA (Rubric §9.1(a)); AGC (Rubric §9.2(b))</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#41 — §14.1: Pinnacle liability capped at EUR 2,000,000 per year with no quality/regulatory/IP/confidentiality carve-outs; broad consequential-damages exclusion; cap is one-sided</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§15.1 (Mandatory carve-outs), §15.2 (Preferred cap ≥200% annual fees = $16.8M), §15.3 (Fallback ≥150% = $12.6M) — Mandatory / Off-Market</w:t>
            </w:r>
          </w:p>
        </w:tc>
      </w:tr>
      <w:tr>
        <w:tc>
          <w:tcPr>
            <w:tcW w:type="dxa" w:w="2160"/>
            <w:shd w:val="clear" w:color="auto" w:fill="DCE6F1"/>
          </w:tcPr>
          <w:p>
            <w:r>
              <w:rPr>
                <w:b/>
              </w:rPr>
            </w:r>
            <w:r>
              <w:rPr>
                <w:b/>
                <w:sz w:val="17"/>
              </w:rPr>
              <w:t>Description of deviation</w:t>
            </w:r>
          </w:p>
        </w:tc>
        <w:tc>
          <w:tcPr>
            <w:tcW w:type="dxa" w:w="7488"/>
          </w:tcPr>
          <w:p>
            <w:r/>
            <w:r>
              <w:rPr>
                <w:sz w:val="17"/>
              </w:rPr>
              <w:t>The cap applies only to Pinnacle, is denominated in euros although MSA fees are USD, equals under one-quarter of Year 1 fees ($8.4M), is far below the MSA’s own 2x cap ($16.8M), and has no carve-outs. The consequential-damages exclusion would bar recall, regulatory-fine, product-liability and lost-profit recovery. It directly conflicts with MSA §11.2–11.3 and, via §1.4(a), could be argued to override them for “quality” matters.</w:t>
            </w:r>
          </w:p>
        </w:tc>
      </w:tr>
      <w:tr>
        <w:tc>
          <w:tcPr>
            <w:tcW w:type="dxa" w:w="2160"/>
            <w:shd w:val="clear" w:color="auto" w:fill="DCE6F1"/>
          </w:tcPr>
          <w:p>
            <w:r>
              <w:rPr>
                <w:b/>
              </w:rPr>
            </w:r>
            <w:r>
              <w:rPr>
                <w:b/>
                <w:sz w:val="17"/>
              </w:rPr>
              <w:t>Regulatory / contractual basis</w:t>
            </w:r>
          </w:p>
        </w:tc>
        <w:tc>
          <w:tcPr>
            <w:tcW w:type="dxa" w:w="7488"/>
          </w:tcPr>
          <w:p>
            <w:r/>
            <w:r>
              <w:rPr>
                <w:sz w:val="17"/>
              </w:rPr>
              <w:t>MSA §4.3 (MSA governs limitation of liability), §11.1–11.3 (2x cap; carve-outs for indemnity, confidentiality, IP, quality/cGMP failures including recalls, gross negligence, fraud), §10.1.</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4 (Critical); PS 1 / RC 1 / CF 4 / OO 1 → IV 4; LS 3 (Likely); PTM 1.5 → CRS 72.0 = Critical Risk. Rubric Critical example (cap would not cover a single recall). Quality-driven loss events Likely over the term (LS 3). Off-Market and liability → AGC; Critical → VP QA and AGC.</w:t>
            </w:r>
          </w:p>
        </w:tc>
      </w:tr>
      <w:tr>
        <w:tc>
          <w:tcPr>
            <w:tcW w:type="dxa" w:w="2160"/>
            <w:shd w:val="clear" w:color="auto" w:fill="DCE6F1"/>
          </w:tcPr>
          <w:p>
            <w:r>
              <w:rPr>
                <w:b/>
              </w:rPr>
            </w:r>
            <w:r>
              <w:rPr>
                <w:b/>
                <w:sz w:val="17"/>
              </w:rPr>
              <w:t>Recommended position (redline)</w:t>
            </w:r>
          </w:p>
        </w:tc>
        <w:tc>
          <w:tcPr>
            <w:tcW w:type="dxa" w:w="7488"/>
          </w:tcPr>
          <w:p>
            <w:r/>
            <w:r>
              <w:rPr>
                <w:sz w:val="17"/>
              </w:rPr>
              <w:t>Redline deletes the cap and exclusion and replaces them with an express deferral to MSA Article 11 plus restated carve-outs (quality/cGMP, regulatory, IP, confidentiality) and the Playbook §15.1 recoverable-damages list.</w:t>
            </w:r>
          </w:p>
        </w:tc>
      </w:tr>
      <w:tr>
        <w:tc>
          <w:tcPr>
            <w:tcW w:type="dxa" w:w="2160"/>
            <w:shd w:val="clear" w:color="auto" w:fill="DCE6F1"/>
          </w:tcPr>
          <w:p>
            <w:r>
              <w:rPr>
                <w:b/>
              </w:rPr>
            </w:r>
            <w:r>
              <w:rPr>
                <w:b/>
                <w:sz w:val="17"/>
              </w:rPr>
              <w:t>Fallback position</w:t>
            </w:r>
          </w:p>
        </w:tc>
        <w:tc>
          <w:tcPr>
            <w:tcW w:type="dxa" w:w="7488"/>
          </w:tcPr>
          <w:p>
            <w:r/>
            <w:r>
              <w:rPr>
                <w:sz w:val="17"/>
              </w:rPr>
              <w:t>If any cap language must appear in the QA, it can only mirror MSA §11.2 (2x annual fees) with all MSA §11.3 and Playbook §15.1 carve-outs; never below 150% ($12.6M) and never covering quality failures.</w:t>
            </w:r>
          </w:p>
        </w:tc>
      </w:tr>
      <w:tr>
        <w:tc>
          <w:tcPr>
            <w:tcW w:type="dxa" w:w="2160"/>
            <w:shd w:val="clear" w:color="auto" w:fill="DCE6F1"/>
          </w:tcPr>
          <w:p>
            <w:r>
              <w:rPr>
                <w:b/>
              </w:rPr>
            </w:r>
            <w:r>
              <w:rPr>
                <w:b/>
                <w:sz w:val="17"/>
              </w:rPr>
              <w:t>Negotiation strategy</w:t>
            </w:r>
          </w:p>
        </w:tc>
        <w:tc>
          <w:tcPr>
            <w:tcW w:type="dxa" w:w="7488"/>
          </w:tcPr>
          <w:p>
            <w:r/>
            <w:r>
              <w:rPr>
                <w:sz w:val="17"/>
              </w:rPr>
              <w:t>Treat as a red-line legal issue for Hadley–Reinhardt. Pinnacle’s GC signed MSA Article 11; position the clause as an attempted re-trade that Ceritas will not entertain in a quality document.</w:t>
            </w:r>
          </w:p>
        </w:tc>
      </w:tr>
      <w:tr>
        <w:tc>
          <w:tcPr>
            <w:tcW w:type="dxa" w:w="2160"/>
            <w:shd w:val="clear" w:color="auto" w:fill="DCE6F1"/>
          </w:tcPr>
          <w:p>
            <w:r>
              <w:rPr>
                <w:b/>
              </w:rPr>
            </w:r>
            <w:r>
              <w:rPr>
                <w:b/>
                <w:sz w:val="17"/>
              </w:rPr>
              <w:t>Escalation (Rubric §9)</w:t>
            </w:r>
          </w:p>
        </w:tc>
        <w:tc>
          <w:tcPr>
            <w:tcW w:type="dxa" w:w="7488"/>
          </w:tcPr>
          <w:p>
            <w:r/>
            <w:r>
              <w:rPr>
                <w:sz w:val="17"/>
              </w:rPr>
              <w:t>VP QA (Rubric §9.1(a)); AGC (Rubric §9.2(a), (b)); AGC — Off-Market Term (Rubric §9.2(c))</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#42 — §14.3 ¶1: Force majeure relieves Pinnacle of all QA obligations, including quality and regulatory duties</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§17.1 (Mandatory carve-outs), §17.3 (non-negotiable) — Mandatory</w:t>
            </w:r>
          </w:p>
        </w:tc>
      </w:tr>
      <w:tr>
        <w:tc>
          <w:tcPr>
            <w:tcW w:type="dxa" w:w="2160"/>
            <w:shd w:val="clear" w:color="auto" w:fill="DCE6F1"/>
          </w:tcPr>
          <w:p>
            <w:r>
              <w:rPr>
                <w:b/>
              </w:rPr>
            </w:r>
            <w:r>
              <w:rPr>
                <w:b/>
                <w:sz w:val="17"/>
              </w:rPr>
              <w:t>Description of deviation</w:t>
            </w:r>
          </w:p>
        </w:tc>
        <w:tc>
          <w:tcPr>
            <w:tcW w:type="dxa" w:w="7488"/>
          </w:tcPr>
          <w:p>
            <w:r/>
            <w:r>
              <w:rPr>
                <w:sz w:val="17"/>
              </w:rPr>
              <w:t>Blanket relief from “its obligations under this Quality Agreement” is expressly unacceptable and contradicts MSA §14.3, which preserves quality, data-integrity, safety and regulatory obligations during force majeure.</w:t>
            </w:r>
          </w:p>
        </w:tc>
      </w:tr>
      <w:tr>
        <w:tc>
          <w:tcPr>
            <w:tcW w:type="dxa" w:w="2160"/>
            <w:shd w:val="clear" w:color="auto" w:fill="DCE6F1"/>
          </w:tcPr>
          <w:p>
            <w:r>
              <w:rPr>
                <w:b/>
              </w:rPr>
            </w:r>
            <w:r>
              <w:rPr>
                <w:b/>
                <w:sz w:val="17"/>
              </w:rPr>
              <w:t>Regulatory / contractual basis</w:t>
            </w:r>
          </w:p>
        </w:tc>
        <w:tc>
          <w:tcPr>
            <w:tcW w:type="dxa" w:w="7488"/>
          </w:tcPr>
          <w:p>
            <w:r/>
            <w:r>
              <w:rPr>
                <w:sz w:val="17"/>
              </w:rPr>
              <w:t>MSA §14.3; 21 CFR Parts 210/211 (no FM exception to cGMP); Rubric §4.2.1 (disclaimer of cGMP responsibility).</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4 (Critical); PS 3 / RC 3 / CF 3 / OO 4 → IV 4; LS 2 (Possible); PTM 1.5 → CRS 48.0 = Critical Risk. Would suspend deviation reporting, inspection cooperation and recall support exactly when risk peaks (OO 4); FM events possible (LS 2).</w:t>
            </w:r>
          </w:p>
        </w:tc>
      </w:tr>
      <w:tr>
        <w:tc>
          <w:tcPr>
            <w:tcW w:type="dxa" w:w="2160"/>
            <w:shd w:val="clear" w:color="auto" w:fill="DCE6F1"/>
          </w:tcPr>
          <w:p>
            <w:r>
              <w:rPr>
                <w:b/>
              </w:rPr>
            </w:r>
            <w:r>
              <w:rPr>
                <w:b/>
                <w:sz w:val="17"/>
              </w:rPr>
              <w:t>Recommended position (redline)</w:t>
            </w:r>
          </w:p>
        </w:tc>
        <w:tc>
          <w:tcPr>
            <w:tcW w:type="dxa" w:w="7488"/>
          </w:tcPr>
          <w:p>
            <w:r/>
            <w:r>
              <w:rPr>
                <w:sz w:val="17"/>
              </w:rPr>
              <w:t>Redline: FM excuses manufacturing/supply performance only; quality and regulatory obligations (deviation/OOS, records/DI, inspections, recalls/FAR, complaints, protection of compromised product) expressly continue.</w:t>
            </w:r>
          </w:p>
        </w:tc>
      </w:tr>
      <w:tr>
        <w:tc>
          <w:tcPr>
            <w:tcW w:type="dxa" w:w="2160"/>
            <w:shd w:val="clear" w:color="auto" w:fill="DCE6F1"/>
          </w:tcPr>
          <w:p>
            <w:r>
              <w:rPr>
                <w:b/>
              </w:rPr>
            </w:r>
            <w:r>
              <w:rPr>
                <w:b/>
                <w:sz w:val="17"/>
              </w:rPr>
              <w:t>Fallback position</w:t>
            </w:r>
          </w:p>
        </w:tc>
        <w:tc>
          <w:tcPr>
            <w:tcW w:type="dxa" w:w="7488"/>
          </w:tcPr>
          <w:p>
            <w:r/>
            <w:r>
              <w:rPr>
                <w:sz w:val="17"/>
              </w:rPr>
              <w:t>None.</w:t>
            </w:r>
          </w:p>
        </w:tc>
      </w:tr>
      <w:tr>
        <w:tc>
          <w:tcPr>
            <w:tcW w:type="dxa" w:w="2160"/>
            <w:shd w:val="clear" w:color="auto" w:fill="DCE6F1"/>
          </w:tcPr>
          <w:p>
            <w:r>
              <w:rPr>
                <w:b/>
              </w:rPr>
            </w:r>
            <w:r>
              <w:rPr>
                <w:b/>
                <w:sz w:val="17"/>
              </w:rPr>
              <w:t>Negotiation strategy</w:t>
            </w:r>
          </w:p>
        </w:tc>
        <w:tc>
          <w:tcPr>
            <w:tcW w:type="dxa" w:w="7488"/>
          </w:tcPr>
          <w:p>
            <w:r/>
            <w:r>
              <w:rPr>
                <w:sz w:val="17"/>
              </w:rPr>
              <w:t>Conformity with MSA §14.3.</w:t>
            </w:r>
          </w:p>
        </w:tc>
      </w:tr>
      <w:tr>
        <w:tc>
          <w:tcPr>
            <w:tcW w:type="dxa" w:w="2160"/>
            <w:shd w:val="clear" w:color="auto" w:fill="DCE6F1"/>
          </w:tcPr>
          <w:p>
            <w:r>
              <w:rPr>
                <w:b/>
              </w:rPr>
            </w:r>
            <w:r>
              <w:rPr>
                <w:b/>
                <w:sz w:val="17"/>
              </w:rPr>
              <w:t>Escalation (Rubric §9)</w:t>
            </w:r>
          </w:p>
        </w:tc>
        <w:tc>
          <w:tcPr>
            <w:tcW w:type="dxa" w:w="7488"/>
          </w:tcPr>
          <w:p>
            <w:r/>
            <w:r>
              <w:rPr>
                <w:sz w:val="17"/>
              </w:rPr>
              <w:t>VP QA (Rubric §9.1(a)); AGC (Rubric §9.2(b))</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#43 — §14.3 ¶2: No business-continuity/disaster-recovery plan; FM notice “promptly”; mitigation on “commercially reasonable efforts”; no 90-day termination link</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§17.1 (BCP/DRP mandatory), §17.2 (Preferred: 24h activation, 48h updates, 90-day termination) — Mandatory</w:t>
            </w:r>
          </w:p>
        </w:tc>
      </w:tr>
      <w:tr>
        <w:tc>
          <w:tcPr>
            <w:tcW w:type="dxa" w:w="2160"/>
            <w:shd w:val="clear" w:color="auto" w:fill="DCE6F1"/>
          </w:tcPr>
          <w:p>
            <w:r>
              <w:rPr>
                <w:b/>
              </w:rPr>
            </w:r>
            <w:r>
              <w:rPr>
                <w:b/>
                <w:sz w:val="17"/>
              </w:rPr>
              <w:t>Description of deviation</w:t>
            </w:r>
          </w:p>
        </w:tc>
        <w:tc>
          <w:tcPr>
            <w:tcW w:type="dxa" w:w="7488"/>
          </w:tcPr>
          <w:p>
            <w:r/>
            <w:r>
              <w:rPr>
                <w:sz w:val="17"/>
              </w:rPr>
              <w:t>Sole-source Tier 1 product with no contractual BCP/DRP.</w:t>
            </w:r>
          </w:p>
        </w:tc>
      </w:tr>
      <w:tr>
        <w:tc>
          <w:tcPr>
            <w:tcW w:type="dxa" w:w="2160"/>
            <w:shd w:val="clear" w:color="auto" w:fill="DCE6F1"/>
          </w:tcPr>
          <w:p>
            <w:r>
              <w:rPr>
                <w:b/>
              </w:rPr>
            </w:r>
            <w:r>
              <w:rPr>
                <w:b/>
                <w:sz w:val="17"/>
              </w:rPr>
              <w:t>Regulatory / contractual basis</w:t>
            </w:r>
          </w:p>
        </w:tc>
        <w:tc>
          <w:tcPr>
            <w:tcW w:type="dxa" w:w="7488"/>
          </w:tcPr>
          <w:p>
            <w:r/>
            <w:r>
              <w:rPr>
                <w:sz w:val="17"/>
              </w:rPr>
              <w:t>MSA §2.5 (capacity reservation), §14.2, §14.4 (90-day termination); ICH Q10 §2.7; Tier 1 status (Rubric §7.2.1).</w:t>
            </w:r>
          </w:p>
        </w:tc>
      </w:tr>
      <w:tr>
        <w:tc>
          <w:tcPr>
            <w:tcW w:type="dxa" w:w="2160"/>
            <w:shd w:val="clear" w:color="auto" w:fill="DCE6F1"/>
          </w:tcPr>
          <w:p>
            <w:r>
              <w:rPr>
                <w:b/>
              </w:rPr>
            </w:r>
            <w:r>
              <w:rPr>
                <w:b/>
                <w:sz w:val="17"/>
              </w:rPr>
              <w:t>Risk scoring</w:t>
            </w:r>
          </w:p>
        </w:tc>
        <w:tc>
          <w:tcPr>
            <w:tcW w:type="dxa" w:w="7488"/>
            <w:shd w:val="clear" w:color="auto" w:fill="FCE4D6"/>
          </w:tcPr>
          <w:p>
            <w:r/>
            <w:r>
              <w:rPr>
                <w:sz w:val="17"/>
              </w:rPr>
              <w:t>SV 3 (Major); PS 2 / RC 2 / CF 4 / OO 2 → IV 4; LS 2 (Possible); PTM 1.5 → CRS 36.0 = High Risk. Supply-continuity risk for Tier 1 product (CF 4); FM possible (LS 2).</w:t>
            </w:r>
          </w:p>
        </w:tc>
      </w:tr>
      <w:tr>
        <w:tc>
          <w:tcPr>
            <w:tcW w:type="dxa" w:w="2160"/>
            <w:shd w:val="clear" w:color="auto" w:fill="DCE6F1"/>
          </w:tcPr>
          <w:p>
            <w:r>
              <w:rPr>
                <w:b/>
              </w:rPr>
            </w:r>
            <w:r>
              <w:rPr>
                <w:b/>
                <w:sz w:val="17"/>
              </w:rPr>
              <w:t>Recommended position (redline)</w:t>
            </w:r>
          </w:p>
        </w:tc>
        <w:tc>
          <w:tcPr>
            <w:tcW w:type="dxa" w:w="7488"/>
          </w:tcPr>
          <w:p>
            <w:r/>
            <w:r>
              <w:rPr>
                <w:sz w:val="17"/>
              </w:rPr>
              <w:t>Redline: 24-hour notice; BCP activation within 24 hours; written updates every 48 hours; documented BCP/DRP reviewed annually and provided on request; termination with MSA after 90 days per MSA §14.4.</w:t>
            </w:r>
          </w:p>
        </w:tc>
      </w:tr>
      <w:tr>
        <w:tc>
          <w:tcPr>
            <w:tcW w:type="dxa" w:w="2160"/>
            <w:shd w:val="clear" w:color="auto" w:fill="DCE6F1"/>
          </w:tcPr>
          <w:p>
            <w:r>
              <w:rPr>
                <w:b/>
              </w:rPr>
            </w:r>
            <w:r>
              <w:rPr>
                <w:b/>
                <w:sz w:val="17"/>
              </w:rPr>
              <w:t>Fallback position</w:t>
            </w:r>
          </w:p>
        </w:tc>
        <w:tc>
          <w:tcPr>
            <w:tcW w:type="dxa" w:w="7488"/>
          </w:tcPr>
          <w:p>
            <w:r/>
            <w:r>
              <w:rPr>
                <w:sz w:val="17"/>
              </w:rPr>
              <w:t>Status updates every 72 hours acceptable; BCP/DRP requirement non-negotiable.</w:t>
            </w:r>
          </w:p>
        </w:tc>
      </w:tr>
      <w:tr>
        <w:tc>
          <w:tcPr>
            <w:tcW w:type="dxa" w:w="2160"/>
            <w:shd w:val="clear" w:color="auto" w:fill="DCE6F1"/>
          </w:tcPr>
          <w:p>
            <w:r>
              <w:rPr>
                <w:b/>
              </w:rPr>
            </w:r>
            <w:r>
              <w:rPr>
                <w:b/>
                <w:sz w:val="17"/>
              </w:rPr>
              <w:t>Negotiation strategy</w:t>
            </w:r>
          </w:p>
        </w:tc>
        <w:tc>
          <w:tcPr>
            <w:tcW w:type="dxa" w:w="7488"/>
          </w:tcPr>
          <w:p>
            <w:r/>
            <w:r>
              <w:rPr>
                <w:sz w:val="17"/>
              </w:rPr>
              <w:t>Pair with the FM carve-out; Pinnacle almost certainly has a BCP already.</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#44 — §15.1: Independent 5-year term from QA execution with 2-year auto-renewals on 6 months’ notice; not coterminous with MSA</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§19.1 (Mandatory: coterminous; renewal mirrors MSA) — Mandatory</w:t>
            </w:r>
          </w:p>
        </w:tc>
      </w:tr>
      <w:tr>
        <w:tc>
          <w:tcPr>
            <w:tcW w:type="dxa" w:w="2160"/>
            <w:shd w:val="clear" w:color="auto" w:fill="DCE6F1"/>
          </w:tcPr>
          <w:p>
            <w:r>
              <w:rPr>
                <w:b/>
              </w:rPr>
            </w:r>
            <w:r>
              <w:rPr>
                <w:b/>
                <w:sz w:val="17"/>
              </w:rPr>
              <w:t>Description of deviation</w:t>
            </w:r>
          </w:p>
        </w:tc>
        <w:tc>
          <w:tcPr>
            <w:tcW w:type="dxa" w:w="7488"/>
          </w:tcPr>
          <w:p>
            <w:r/>
            <w:r>
              <w:rPr>
                <w:sz w:val="17"/>
              </w:rPr>
              <w:t>The MSA runs to March 13, 2030 with 12-month non-renewal notice (MSA §13.1–13.2) plus a 12-month Transition Period (§13.6). The QA would run five years from execution (c. May 2030) and renew on 6 months’ notice, so the terms are misaligned by construction. MSA §13.7 already provides that the QA lasts for the MSA term, renewals and Transition Period. The draft also says the QA is “not expressly coterminous” with the MSA.</w:t>
            </w:r>
          </w:p>
        </w:tc>
      </w:tr>
      <w:tr>
        <w:tc>
          <w:tcPr>
            <w:tcW w:type="dxa" w:w="2160"/>
            <w:shd w:val="clear" w:color="auto" w:fill="DCE6F1"/>
          </w:tcPr>
          <w:p>
            <w:r>
              <w:rPr>
                <w:b/>
              </w:rPr>
            </w:r>
            <w:r>
              <w:rPr>
                <w:b/>
                <w:sz w:val="17"/>
              </w:rPr>
              <w:t>Regulatory / contractual basis</w:t>
            </w:r>
          </w:p>
        </w:tc>
        <w:tc>
          <w:tcPr>
            <w:tcW w:type="dxa" w:w="7488"/>
          </w:tcPr>
          <w:p>
            <w:r/>
            <w:r>
              <w:rPr>
                <w:sz w:val="17"/>
              </w:rPr>
              <w:t>MSA §4.1 (no commercial manufacture without an executed QA), §13.1, §13.2, §13.6, §13.7; FDA Quality Agreements Guidance (2016).</w:t>
            </w:r>
          </w:p>
        </w:tc>
      </w:tr>
      <w:tr>
        <w:tc>
          <w:tcPr>
            <w:tcW w:type="dxa" w:w="2160"/>
            <w:shd w:val="clear" w:color="auto" w:fill="DCE6F1"/>
          </w:tcPr>
          <w:p>
            <w:r>
              <w:rPr>
                <w:b/>
              </w:rPr>
            </w:r>
            <w:r>
              <w:rPr>
                <w:b/>
                <w:sz w:val="17"/>
              </w:rPr>
              <w:t>Risk scoring</w:t>
            </w:r>
          </w:p>
        </w:tc>
        <w:tc>
          <w:tcPr>
            <w:tcW w:type="dxa" w:w="7488"/>
            <w:shd w:val="clear" w:color="auto" w:fill="FCE4D6"/>
          </w:tcPr>
          <w:p>
            <w:r/>
            <w:r>
              <w:rPr>
                <w:sz w:val="17"/>
              </w:rPr>
              <w:t>SV 3 (Major); PS 2 / RC 3 / CF 3 / OO 3 → IV 3; LS 3 (Likely); PTM 1.5 → CRS 40.5 = High Risk. Creates either a supply gap without a QA or a QA without an MSA (RC 3, CF 3). Mismatch certain on the face of the documents; harm Likely (LS 3).</w:t>
            </w:r>
          </w:p>
        </w:tc>
      </w:tr>
      <w:tr>
        <w:tc>
          <w:tcPr>
            <w:tcW w:type="dxa" w:w="2160"/>
            <w:shd w:val="clear" w:color="auto" w:fill="DCE6F1"/>
          </w:tcPr>
          <w:p>
            <w:r>
              <w:rPr>
                <w:b/>
              </w:rPr>
            </w:r>
            <w:r>
              <w:rPr>
                <w:b/>
                <w:sz w:val="17"/>
              </w:rPr>
              <w:t>Recommended position (redline)</w:t>
            </w:r>
          </w:p>
        </w:tc>
        <w:tc>
          <w:tcPr>
            <w:tcW w:type="dxa" w:w="7488"/>
          </w:tcPr>
          <w:p>
            <w:r/>
            <w:r>
              <w:rPr>
                <w:sz w:val="17"/>
              </w:rPr>
              <w:t>Redline: QA effective on execution and in force for the MSA term including renewals and Transition Period; terminates automatically with the MSA (MSA §13.7); renewal only with the MSA; continues to apply to any post-MSA product.</w:t>
            </w:r>
          </w:p>
        </w:tc>
      </w:tr>
      <w:tr>
        <w:tc>
          <w:tcPr>
            <w:tcW w:type="dxa" w:w="2160"/>
            <w:shd w:val="clear" w:color="auto" w:fill="DCE6F1"/>
          </w:tcPr>
          <w:p>
            <w:r>
              <w:rPr>
                <w:b/>
              </w:rPr>
            </w:r>
            <w:r>
              <w:rPr>
                <w:b/>
                <w:sz w:val="17"/>
              </w:rPr>
              <w:t>Fallback position</w:t>
            </w:r>
          </w:p>
        </w:tc>
        <w:tc>
          <w:tcPr>
            <w:tcW w:type="dxa" w:w="7488"/>
          </w:tcPr>
          <w:p>
            <w:r/>
            <w:r>
              <w:rPr>
                <w:sz w:val="17"/>
              </w:rPr>
              <w:t>None.</w:t>
            </w:r>
          </w:p>
        </w:tc>
      </w:tr>
      <w:tr>
        <w:tc>
          <w:tcPr>
            <w:tcW w:type="dxa" w:w="2160"/>
            <w:shd w:val="clear" w:color="auto" w:fill="DCE6F1"/>
          </w:tcPr>
          <w:p>
            <w:r>
              <w:rPr>
                <w:b/>
              </w:rPr>
            </w:r>
            <w:r>
              <w:rPr>
                <w:b/>
                <w:sz w:val="17"/>
              </w:rPr>
              <w:t>Negotiation strategy</w:t>
            </w:r>
          </w:p>
        </w:tc>
        <w:tc>
          <w:tcPr>
            <w:tcW w:type="dxa" w:w="7488"/>
          </w:tcPr>
          <w:p>
            <w:r/>
            <w:r>
              <w:rPr>
                <w:sz w:val="17"/>
              </w:rPr>
              <w:t>Conformity with MSA §13.7; no business reason for Pinnacle to resist.</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#45 — §15.2: QA terminable on its own for breach (60-day cure) independent of the MSA</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§19.1 (alignment with MSA) — Preferred</w:t>
            </w:r>
          </w:p>
        </w:tc>
      </w:tr>
      <w:tr>
        <w:tc>
          <w:tcPr>
            <w:tcW w:type="dxa" w:w="2160"/>
            <w:shd w:val="clear" w:color="auto" w:fill="DCE6F1"/>
          </w:tcPr>
          <w:p>
            <w:r>
              <w:rPr>
                <w:b/>
              </w:rPr>
            </w:r>
            <w:r>
              <w:rPr>
                <w:b/>
                <w:sz w:val="17"/>
              </w:rPr>
              <w:t>Description of deviation</w:t>
            </w:r>
          </w:p>
        </w:tc>
        <w:tc>
          <w:tcPr>
            <w:tcW w:type="dxa" w:w="7488"/>
          </w:tcPr>
          <w:p>
            <w:r/>
            <w:r>
              <w:rPr>
                <w:sz w:val="17"/>
              </w:rPr>
              <w:t>Stand-alone QA termination would, under MSA §4.1, halt commercial manufacture while the MSA continues, handing Pinnacle a supply lever. No regulatory-action termination right mirrors MSA §13.4.</w:t>
            </w:r>
          </w:p>
        </w:tc>
      </w:tr>
      <w:tr>
        <w:tc>
          <w:tcPr>
            <w:tcW w:type="dxa" w:w="2160"/>
            <w:shd w:val="clear" w:color="auto" w:fill="DCE6F1"/>
          </w:tcPr>
          <w:p>
            <w:r>
              <w:rPr>
                <w:b/>
              </w:rPr>
            </w:r>
            <w:r>
              <w:rPr>
                <w:b/>
                <w:sz w:val="17"/>
              </w:rPr>
              <w:t>Regulatory / contractual basis</w:t>
            </w:r>
          </w:p>
        </w:tc>
        <w:tc>
          <w:tcPr>
            <w:tcW w:type="dxa" w:w="7488"/>
          </w:tcPr>
          <w:p>
            <w:r/>
            <w:r>
              <w:rPr>
                <w:sz w:val="17"/>
              </w:rPr>
              <w:t>MSA §4.1, §13.3, §13.4.</w:t>
            </w:r>
          </w:p>
        </w:tc>
      </w:tr>
      <w:tr>
        <w:tc>
          <w:tcPr>
            <w:tcW w:type="dxa" w:w="2160"/>
            <w:shd w:val="clear" w:color="auto" w:fill="DCE6F1"/>
          </w:tcPr>
          <w:p>
            <w:r>
              <w:rPr>
                <w:b/>
              </w:rPr>
            </w:r>
            <w:r>
              <w:rPr>
                <w:b/>
                <w:sz w:val="17"/>
              </w:rPr>
              <w:t>Risk scoring</w:t>
            </w:r>
          </w:p>
        </w:tc>
        <w:tc>
          <w:tcPr>
            <w:tcW w:type="dxa" w:w="7488"/>
            <w:shd w:val="clear" w:color="auto" w:fill="FFF2CC"/>
          </w:tcPr>
          <w:p>
            <w:r/>
            <w:r>
              <w:rPr>
                <w:sz w:val="17"/>
              </w:rPr>
              <w:t>SV 2 (Moderate); PS 2 / RC 3 / CF 3 / OO 2 → IV 3; LS 2 (Possible); PTM 1.5 → CRS 18.0 = Medium Risk. Supply-continuity lever for a Tier 1 product (CF 3); contingent (LS 2).</w:t>
            </w:r>
          </w:p>
        </w:tc>
      </w:tr>
      <w:tr>
        <w:tc>
          <w:tcPr>
            <w:tcW w:type="dxa" w:w="2160"/>
            <w:shd w:val="clear" w:color="auto" w:fill="DCE6F1"/>
          </w:tcPr>
          <w:p>
            <w:r>
              <w:rPr>
                <w:b/>
              </w:rPr>
            </w:r>
            <w:r>
              <w:rPr>
                <w:b/>
                <w:sz w:val="17"/>
              </w:rPr>
              <w:t>Recommended position (redline)</w:t>
            </w:r>
          </w:p>
        </w:tc>
        <w:tc>
          <w:tcPr>
            <w:tcW w:type="dxa" w:w="7488"/>
          </w:tcPr>
          <w:p>
            <w:r/>
            <w:r>
              <w:rPr>
                <w:sz w:val="17"/>
              </w:rPr>
              <w:t>Redline: QA not separately terminable; QA breach is an MSA breach for MSA §13.3; MSA termination terminates the QA; amend rather than terminate for regulatory change.</w:t>
            </w:r>
          </w:p>
        </w:tc>
      </w:tr>
      <w:tr>
        <w:tc>
          <w:tcPr>
            <w:tcW w:type="dxa" w:w="2160"/>
            <w:shd w:val="clear" w:color="auto" w:fill="DCE6F1"/>
          </w:tcPr>
          <w:p>
            <w:r>
              <w:rPr>
                <w:b/>
              </w:rPr>
            </w:r>
            <w:r>
              <w:rPr>
                <w:b/>
                <w:sz w:val="17"/>
              </w:rPr>
              <w:t>Fallback position</w:t>
            </w:r>
          </w:p>
        </w:tc>
        <w:tc>
          <w:tcPr>
            <w:tcW w:type="dxa" w:w="7488"/>
          </w:tcPr>
          <w:p>
            <w:r/>
            <w:r>
              <w:rPr>
                <w:sz w:val="17"/>
              </w:rPr>
              <w:t>Allow Ceritas-only right to terminate the QA together with the MSA.</w:t>
            </w:r>
          </w:p>
        </w:tc>
      </w:tr>
      <w:tr>
        <w:tc>
          <w:tcPr>
            <w:tcW w:type="dxa" w:w="2160"/>
            <w:shd w:val="clear" w:color="auto" w:fill="DCE6F1"/>
          </w:tcPr>
          <w:p>
            <w:r>
              <w:rPr>
                <w:b/>
              </w:rPr>
            </w:r>
            <w:r>
              <w:rPr>
                <w:b/>
                <w:sz w:val="17"/>
              </w:rPr>
              <w:t>Negotiation strategy</w:t>
            </w:r>
          </w:p>
        </w:tc>
        <w:tc>
          <w:tcPr>
            <w:tcW w:type="dxa" w:w="7488"/>
          </w:tcPr>
          <w:p>
            <w:r/>
            <w:r>
              <w:rPr>
                <w:sz w:val="17"/>
              </w:rPr>
              <w:t>Explain the MSA §4.1 dependency.</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#46 — §15.3(a), (c): Survival limited to records retention for 5 years; Section 14 (including the cap) survives “indefinitely”</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§19.2 (Mandatory: 10 years; recall, inspection, complaints, DI and records survive), §19.4 (non-negotiable) — Mandatory</w:t>
            </w:r>
          </w:p>
        </w:tc>
      </w:tr>
      <w:tr>
        <w:tc>
          <w:tcPr>
            <w:tcW w:type="dxa" w:w="2160"/>
            <w:shd w:val="clear" w:color="auto" w:fill="DCE6F1"/>
          </w:tcPr>
          <w:p>
            <w:r>
              <w:rPr>
                <w:b/>
              </w:rPr>
            </w:r>
            <w:r>
              <w:rPr>
                <w:b/>
                <w:sz w:val="17"/>
              </w:rPr>
              <w:t>Description of deviation</w:t>
            </w:r>
          </w:p>
        </w:tc>
        <w:tc>
          <w:tcPr>
            <w:tcW w:type="dxa" w:w="7488"/>
          </w:tcPr>
          <w:p>
            <w:r/>
            <w:r>
              <w:rPr>
                <w:sz w:val="17"/>
              </w:rPr>
              <w:t>Survival scope and duration are both below the non-negotiable floor. Five-year survival would also truncate the retention obligation (7 or 10 years from batch release) for late-term batches. The asymmetry, with Pinnacle’s liability cap surviving forever while its quality obligations lapse, is notable.</w:t>
            </w:r>
          </w:p>
        </w:tc>
      </w:tr>
      <w:tr>
        <w:tc>
          <w:tcPr>
            <w:tcW w:type="dxa" w:w="2160"/>
            <w:shd w:val="clear" w:color="auto" w:fill="DCE6F1"/>
          </w:tcPr>
          <w:p>
            <w:r>
              <w:rPr>
                <w:b/>
              </w:rPr>
            </w:r>
            <w:r>
              <w:rPr>
                <w:b/>
                <w:sz w:val="17"/>
              </w:rPr>
              <w:t>Regulatory / contractual basis</w:t>
            </w:r>
          </w:p>
        </w:tc>
        <w:tc>
          <w:tcPr>
            <w:tcW w:type="dxa" w:w="7488"/>
          </w:tcPr>
          <w:p>
            <w:r/>
            <w:r>
              <w:rPr>
                <w:sz w:val="17"/>
              </w:rPr>
              <w:t>21 CFR 211.180(a); 21 CFR 314.81; EU GMP Chapter 4 and Chapter 8; MSA §13.8 (QA quality obligations survive as specified in the QA).</w:t>
            </w:r>
          </w:p>
        </w:tc>
      </w:tr>
      <w:tr>
        <w:tc>
          <w:tcPr>
            <w:tcW w:type="dxa" w:w="2160"/>
            <w:shd w:val="clear" w:color="auto" w:fill="DCE6F1"/>
          </w:tcPr>
          <w:p>
            <w:r>
              <w:rPr>
                <w:b/>
              </w:rPr>
            </w:r>
            <w:r>
              <w:rPr>
                <w:b/>
                <w:sz w:val="17"/>
              </w:rPr>
              <w:t>Risk scoring</w:t>
            </w:r>
          </w:p>
        </w:tc>
        <w:tc>
          <w:tcPr>
            <w:tcW w:type="dxa" w:w="7488"/>
            <w:shd w:val="clear" w:color="auto" w:fill="FCE4D6"/>
          </w:tcPr>
          <w:p>
            <w:r/>
            <w:r>
              <w:rPr>
                <w:sz w:val="17"/>
              </w:rPr>
              <w:t>SV 3 (Major); PS 2 / RC 3 / CF 2 / OO 3 → IV 3; LS 3 (Likely); PTM 1.5 → CRS 40.5 = High Risk. Latent quality issues and inspections after termination are Likely over a product lifecycle (LS 3).</w:t>
            </w:r>
          </w:p>
        </w:tc>
      </w:tr>
      <w:tr>
        <w:tc>
          <w:tcPr>
            <w:tcW w:type="dxa" w:w="2160"/>
            <w:shd w:val="clear" w:color="auto" w:fill="DCE6F1"/>
          </w:tcPr>
          <w:p>
            <w:r>
              <w:rPr>
                <w:b/>
              </w:rPr>
            </w:r>
            <w:r>
              <w:rPr>
                <w:b/>
                <w:sz w:val="17"/>
              </w:rPr>
              <w:t>Recommended position (redline)</w:t>
            </w:r>
          </w:p>
        </w:tc>
        <w:tc>
          <w:tcPr>
            <w:tcW w:type="dxa" w:w="7488"/>
          </w:tcPr>
          <w:p>
            <w:r/>
            <w:r>
              <w:rPr>
                <w:sz w:val="17"/>
              </w:rPr>
              <w:t>Redline: 10-year survival of deviation/CAPA closure, inspection cooperation, recall/FAR, records and DI, complaint handling and obligations for Term product; Section 14, 16.1 and 16.4 survive per their terms.</w:t>
            </w:r>
          </w:p>
        </w:tc>
      </w:tr>
      <w:tr>
        <w:tc>
          <w:tcPr>
            <w:tcW w:type="dxa" w:w="2160"/>
            <w:shd w:val="clear" w:color="auto" w:fill="DCE6F1"/>
          </w:tcPr>
          <w:p>
            <w:r>
              <w:rPr>
                <w:b/>
              </w:rPr>
            </w:r>
            <w:r>
              <w:rPr>
                <w:b/>
                <w:sz w:val="17"/>
              </w:rPr>
              <w:t>Fallback position</w:t>
            </w:r>
          </w:p>
        </w:tc>
        <w:tc>
          <w:tcPr>
            <w:tcW w:type="dxa" w:w="7488"/>
          </w:tcPr>
          <w:p>
            <w:r/>
            <w:r>
              <w:rPr>
                <w:sz w:val="17"/>
              </w:rPr>
              <w:t>None.</w:t>
            </w:r>
          </w:p>
        </w:tc>
      </w:tr>
      <w:tr>
        <w:tc>
          <w:tcPr>
            <w:tcW w:type="dxa" w:w="2160"/>
            <w:shd w:val="clear" w:color="auto" w:fill="DCE6F1"/>
          </w:tcPr>
          <w:p>
            <w:r>
              <w:rPr>
                <w:b/>
              </w:rPr>
            </w:r>
            <w:r>
              <w:rPr>
                <w:b/>
                <w:sz w:val="17"/>
              </w:rPr>
              <w:t>Negotiation strategy</w:t>
            </w:r>
          </w:p>
        </w:tc>
        <w:tc>
          <w:tcPr>
            <w:tcW w:type="dxa" w:w="7488"/>
          </w:tcPr>
          <w:p>
            <w:r/>
            <w:r>
              <w:rPr>
                <w:sz w:val="17"/>
              </w:rPr>
              <w:t>Non-negotiable; link to MSA §13.8.</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#47 — §15.3: No survival of confidentiality obligations</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§19.3 (Preferred: 10 years) — Preferred</w:t>
            </w:r>
          </w:p>
        </w:tc>
      </w:tr>
      <w:tr>
        <w:tc>
          <w:tcPr>
            <w:tcW w:type="dxa" w:w="2160"/>
            <w:shd w:val="clear" w:color="auto" w:fill="DCE6F1"/>
          </w:tcPr>
          <w:p>
            <w:r>
              <w:rPr>
                <w:b/>
              </w:rPr>
            </w:r>
            <w:r>
              <w:rPr>
                <w:b/>
                <w:sz w:val="17"/>
              </w:rPr>
              <w:t>Description of deviation</w:t>
            </w:r>
          </w:p>
        </w:tc>
        <w:tc>
          <w:tcPr>
            <w:tcW w:type="dxa" w:w="7488"/>
          </w:tcPr>
          <w:p>
            <w:r/>
            <w:r>
              <w:rPr>
                <w:sz w:val="17"/>
              </w:rPr>
              <w:t>QA is silent; MSA §8.2 provides 7 years from disclosure (trade secrets indefinitely).</w:t>
            </w:r>
          </w:p>
        </w:tc>
      </w:tr>
      <w:tr>
        <w:tc>
          <w:tcPr>
            <w:tcW w:type="dxa" w:w="2160"/>
            <w:shd w:val="clear" w:color="auto" w:fill="DCE6F1"/>
          </w:tcPr>
          <w:p>
            <w:r>
              <w:rPr>
                <w:b/>
              </w:rPr>
            </w:r>
            <w:r>
              <w:rPr>
                <w:b/>
                <w:sz w:val="17"/>
              </w:rPr>
              <w:t>Regulatory / contractual basis</w:t>
            </w:r>
          </w:p>
        </w:tc>
        <w:tc>
          <w:tcPr>
            <w:tcW w:type="dxa" w:w="7488"/>
          </w:tcPr>
          <w:p>
            <w:r/>
            <w:r>
              <w:rPr>
                <w:sz w:val="17"/>
              </w:rPr>
              <w:t>MSA §8.2.</w:t>
            </w:r>
          </w:p>
        </w:tc>
      </w:tr>
      <w:tr>
        <w:tc>
          <w:tcPr>
            <w:tcW w:type="dxa" w:w="2160"/>
            <w:shd w:val="clear" w:color="auto" w:fill="DCE6F1"/>
          </w:tcPr>
          <w:p>
            <w:r>
              <w:rPr>
                <w:b/>
              </w:rPr>
            </w:r>
            <w:r>
              <w:rPr>
                <w:b/>
                <w:sz w:val="17"/>
              </w:rPr>
              <w:t>Risk scoring</w:t>
            </w:r>
          </w:p>
        </w:tc>
        <w:tc>
          <w:tcPr>
            <w:tcW w:type="dxa" w:w="7488"/>
            <w:shd w:val="clear" w:color="auto" w:fill="FFF2CC"/>
          </w:tcPr>
          <w:p>
            <w:r/>
            <w:r>
              <w:rPr>
                <w:sz w:val="17"/>
              </w:rPr>
              <w:t>SV 2 (Moderate); PS 1 / RC 1 / CF 2 / OO 1 → IV 2; LS 2 (Possible); PTM 1.5 → CRS 12.0 = Medium Risk. MSA already protects most information (Moderate).</w:t>
            </w:r>
          </w:p>
        </w:tc>
      </w:tr>
      <w:tr>
        <w:tc>
          <w:tcPr>
            <w:tcW w:type="dxa" w:w="2160"/>
            <w:shd w:val="clear" w:color="auto" w:fill="DCE6F1"/>
          </w:tcPr>
          <w:p>
            <w:r>
              <w:rPr>
                <w:b/>
              </w:rPr>
            </w:r>
            <w:r>
              <w:rPr>
                <w:b/>
                <w:sz w:val="17"/>
              </w:rPr>
              <w:t>Recommended position (redline)</w:t>
            </w:r>
          </w:p>
        </w:tc>
        <w:tc>
          <w:tcPr>
            <w:tcW w:type="dxa" w:w="7488"/>
          </w:tcPr>
          <w:p>
            <w:r/>
            <w:r>
              <w:rPr>
                <w:sz w:val="17"/>
              </w:rPr>
              <w:t>Redline: QA confidentiality survives 10 years post-termination (trade secrets indefinitely).</w:t>
            </w:r>
          </w:p>
        </w:tc>
      </w:tr>
      <w:tr>
        <w:tc>
          <w:tcPr>
            <w:tcW w:type="dxa" w:w="2160"/>
            <w:shd w:val="clear" w:color="auto" w:fill="DCE6F1"/>
          </w:tcPr>
          <w:p>
            <w:r>
              <w:rPr>
                <w:b/>
              </w:rPr>
            </w:r>
            <w:r>
              <w:rPr>
                <w:b/>
                <w:sz w:val="17"/>
              </w:rPr>
              <w:t>Fallback position</w:t>
            </w:r>
          </w:p>
        </w:tc>
        <w:tc>
          <w:tcPr>
            <w:tcW w:type="dxa" w:w="7488"/>
          </w:tcPr>
          <w:p>
            <w:r/>
            <w:r>
              <w:rPr>
                <w:sz w:val="17"/>
              </w:rPr>
              <w:t>Accept MSA §8.2 (7 years from disclosure) by cross-reference; record the justification in the Issues List.</w:t>
            </w:r>
          </w:p>
        </w:tc>
      </w:tr>
      <w:tr>
        <w:tc>
          <w:tcPr>
            <w:tcW w:type="dxa" w:w="2160"/>
            <w:shd w:val="clear" w:color="auto" w:fill="DCE6F1"/>
          </w:tcPr>
          <w:p>
            <w:r>
              <w:rPr>
                <w:b/>
              </w:rPr>
            </w:r>
            <w:r>
              <w:rPr>
                <w:b/>
                <w:sz w:val="17"/>
              </w:rPr>
              <w:t>Negotiation strategy</w:t>
            </w:r>
          </w:p>
        </w:tc>
        <w:tc>
          <w:tcPr>
            <w:tcW w:type="dxa" w:w="7488"/>
          </w:tcPr>
          <w:p>
            <w:r/>
            <w:r>
              <w:rPr>
                <w:sz w:val="17"/>
              </w:rPr>
              <w:t>Concession candidate; requires AGC sign-off as a confidentiality item.</w:t>
            </w:r>
          </w:p>
        </w:tc>
      </w:tr>
      <w:tr>
        <w:tc>
          <w:tcPr>
            <w:tcW w:type="dxa" w:w="2160"/>
            <w:shd w:val="clear" w:color="auto" w:fill="DCE6F1"/>
          </w:tcPr>
          <w:p>
            <w:r>
              <w:rPr>
                <w:b/>
              </w:rPr>
            </w:r>
            <w:r>
              <w:rPr>
                <w:b/>
                <w:sz w:val="17"/>
              </w:rPr>
              <w:t>Escalation (Rubric §9)</w:t>
            </w:r>
          </w:p>
        </w:tc>
        <w:tc>
          <w:tcPr>
            <w:tcW w:type="dxa" w:w="7488"/>
          </w:tcPr>
          <w:p>
            <w:r/>
            <w:r>
              <w:rPr>
                <w:sz w:val="17"/>
              </w:rPr>
              <w:t>AGC (Rubric §9.2(a))</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#48 — §16.1: German governing law and ICC arbitration seated in Frankfurt; conflicts with MSA Article 15 (New York law; ICC seated in New York)</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§16.1–16.3 (Mandatory: New York law; ICC seated New York; foreign law and seat unacceptable), §16.4 (Preferred: NY courts) — Mandatory / Off-Market</w:t>
            </w:r>
          </w:p>
        </w:tc>
      </w:tr>
      <w:tr>
        <w:tc>
          <w:tcPr>
            <w:tcW w:type="dxa" w:w="2160"/>
            <w:shd w:val="clear" w:color="auto" w:fill="DCE6F1"/>
          </w:tcPr>
          <w:p>
            <w:r>
              <w:rPr>
                <w:b/>
              </w:rPr>
            </w:r>
            <w:r>
              <w:rPr>
                <w:b/>
                <w:sz w:val="17"/>
              </w:rPr>
              <w:t>Description of deviation</w:t>
            </w:r>
          </w:p>
        </w:tc>
        <w:tc>
          <w:tcPr>
            <w:tcW w:type="dxa" w:w="7488"/>
          </w:tcPr>
          <w:p>
            <w:r/>
            <w:r>
              <w:rPr>
                <w:sz w:val="17"/>
              </w:rPr>
              <w:t>MSA §15.1 already applies New York law to disputes arising under the MSA and the Quality Agreement, and MSA §15.2–15.3 send QA disputes to ICC arbitration seated in New York. The draft would create two inconsistent regimes, inviting parallel proceedings and a forum fight over whether a dispute is “quality” or “commercial”.</w:t>
            </w:r>
          </w:p>
        </w:tc>
      </w:tr>
      <w:tr>
        <w:tc>
          <w:tcPr>
            <w:tcW w:type="dxa" w:w="2160"/>
            <w:shd w:val="clear" w:color="auto" w:fill="DCE6F1"/>
          </w:tcPr>
          <w:p>
            <w:r>
              <w:rPr>
                <w:b/>
              </w:rPr>
            </w:r>
            <w:r>
              <w:rPr>
                <w:b/>
                <w:sz w:val="17"/>
              </w:rPr>
              <w:t>Regulatory / contractual basis</w:t>
            </w:r>
          </w:p>
        </w:tc>
        <w:tc>
          <w:tcPr>
            <w:tcW w:type="dxa" w:w="7488"/>
          </w:tcPr>
          <w:p>
            <w:r/>
            <w:r>
              <w:rPr>
                <w:sz w:val="17"/>
              </w:rPr>
              <w:t>MSA §15.1, §15.2, §15.3, §4.3 (MSA controls dispute resolution).</w:t>
            </w:r>
          </w:p>
        </w:tc>
      </w:tr>
      <w:tr>
        <w:tc>
          <w:tcPr>
            <w:tcW w:type="dxa" w:w="2160"/>
            <w:shd w:val="clear" w:color="auto" w:fill="DCE6F1"/>
          </w:tcPr>
          <w:p>
            <w:r>
              <w:rPr>
                <w:b/>
              </w:rPr>
            </w:r>
            <w:r>
              <w:rPr>
                <w:b/>
                <w:sz w:val="17"/>
              </w:rPr>
              <w:t>Risk scoring</w:t>
            </w:r>
          </w:p>
        </w:tc>
        <w:tc>
          <w:tcPr>
            <w:tcW w:type="dxa" w:w="7488"/>
            <w:shd w:val="clear" w:color="auto" w:fill="FCE4D6"/>
          </w:tcPr>
          <w:p>
            <w:r/>
            <w:r>
              <w:rPr>
                <w:sz w:val="17"/>
              </w:rPr>
              <w:t>SV 3 (Major); PS 1 / RC 1 / CF 3 / OO 1 → IV 3; LS 3 (Likely); PTM 1.5 → CRS 40.5 = High Risk. Any material dispute will engage the conflict (LS 3); legal and cost exposure (CF 3). Governing-law and dispute-resolution deviation → AGC; Off-Market given the executed MSA.</w:t>
            </w:r>
          </w:p>
        </w:tc>
      </w:tr>
      <w:tr>
        <w:tc>
          <w:tcPr>
            <w:tcW w:type="dxa" w:w="2160"/>
            <w:shd w:val="clear" w:color="auto" w:fill="DCE6F1"/>
          </w:tcPr>
          <w:p>
            <w:r>
              <w:rPr>
                <w:b/>
              </w:rPr>
            </w:r>
            <w:r>
              <w:rPr>
                <w:b/>
                <w:sz w:val="17"/>
              </w:rPr>
              <w:t>Recommended position (redline)</w:t>
            </w:r>
          </w:p>
        </w:tc>
        <w:tc>
          <w:tcPr>
            <w:tcW w:type="dxa" w:w="7488"/>
          </w:tcPr>
          <w:p>
            <w:r/>
            <w:r>
              <w:rPr>
                <w:sz w:val="17"/>
              </w:rPr>
              <w:t>Redline: New York law (CISG excluded) and exclusive incorporation of MSA Article 15 (executive negotiation; ICC, New York seat, English, three arbitrators).</w:t>
            </w:r>
          </w:p>
        </w:tc>
      </w:tr>
      <w:tr>
        <w:tc>
          <w:tcPr>
            <w:tcW w:type="dxa" w:w="2160"/>
            <w:shd w:val="clear" w:color="auto" w:fill="DCE6F1"/>
          </w:tcPr>
          <w:p>
            <w:r>
              <w:rPr>
                <w:b/>
              </w:rPr>
            </w:r>
            <w:r>
              <w:rPr>
                <w:b/>
                <w:sz w:val="17"/>
              </w:rPr>
              <w:t>Fallback position</w:t>
            </w:r>
          </w:p>
        </w:tc>
        <w:tc>
          <w:tcPr>
            <w:tcW w:type="dxa" w:w="7488"/>
          </w:tcPr>
          <w:p>
            <w:r/>
            <w:r>
              <w:rPr>
                <w:sz w:val="17"/>
              </w:rPr>
              <w:t>None below Mandatory. Delaware law is the Playbook Fallback but is not recommended: moving off New York would break consistency with the MSA. The Playbook Preferred (New York courts) is also not pursued, for the same reason.</w:t>
            </w:r>
          </w:p>
        </w:tc>
      </w:tr>
      <w:tr>
        <w:tc>
          <w:tcPr>
            <w:tcW w:type="dxa" w:w="2160"/>
            <w:shd w:val="clear" w:color="auto" w:fill="DCE6F1"/>
          </w:tcPr>
          <w:p>
            <w:r>
              <w:rPr>
                <w:b/>
              </w:rPr>
            </w:r>
            <w:r>
              <w:rPr>
                <w:b/>
                <w:sz w:val="17"/>
              </w:rPr>
              <w:t>Negotiation strategy</w:t>
            </w:r>
          </w:p>
        </w:tc>
        <w:tc>
          <w:tcPr>
            <w:tcW w:type="dxa" w:w="7488"/>
          </w:tcPr>
          <w:p>
            <w:r/>
            <w:r>
              <w:rPr>
                <w:sz w:val="17"/>
              </w:rPr>
              <w:t>Pure conformity point: Pinnacle’s GC executed MSA Article 15 four weeks before this draft. Expect quick withdrawal.</w:t>
            </w:r>
          </w:p>
        </w:tc>
      </w:tr>
      <w:tr>
        <w:tc>
          <w:tcPr>
            <w:tcW w:type="dxa" w:w="2160"/>
            <w:shd w:val="clear" w:color="auto" w:fill="DCE6F1"/>
          </w:tcPr>
          <w:p>
            <w:r>
              <w:rPr>
                <w:b/>
              </w:rPr>
            </w:r>
            <w:r>
              <w:rPr>
                <w:b/>
                <w:sz w:val="17"/>
              </w:rPr>
              <w:t>Escalation (Rubric §9)</w:t>
            </w:r>
          </w:p>
        </w:tc>
        <w:tc>
          <w:tcPr>
            <w:tcW w:type="dxa" w:w="7488"/>
          </w:tcPr>
          <w:p>
            <w:r/>
            <w:r>
              <w:rPr>
                <w:sz w:val="17"/>
              </w:rPr>
              <w:t>AGC (Rubric §9.2(a)); AGC — Off-Market Term (Rubric §9.2(c))</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#49 — §16.3: Notices go only to Annex A contacts; no copy to MSA §16.1 legal-notice addresses for breach, termination or dispute</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Rubric §4.2.4 — Minor</w:t>
            </w:r>
          </w:p>
        </w:tc>
      </w:tr>
      <w:tr>
        <w:tc>
          <w:tcPr>
            <w:tcW w:type="dxa" w:w="2160"/>
            <w:shd w:val="clear" w:color="auto" w:fill="DCE6F1"/>
          </w:tcPr>
          <w:p>
            <w:r>
              <w:rPr>
                <w:b/>
              </w:rPr>
            </w:r>
            <w:r>
              <w:rPr>
                <w:b/>
                <w:sz w:val="17"/>
              </w:rPr>
              <w:t>Description of deviation</w:t>
            </w:r>
          </w:p>
        </w:tc>
        <w:tc>
          <w:tcPr>
            <w:tcW w:type="dxa" w:w="7488"/>
          </w:tcPr>
          <w:p>
            <w:r/>
            <w:r>
              <w:rPr>
                <w:sz w:val="17"/>
              </w:rPr>
              <w:t>Formal legal notices under the QA could bypass the MSA notice parties.</w:t>
            </w:r>
          </w:p>
        </w:tc>
      </w:tr>
      <w:tr>
        <w:tc>
          <w:tcPr>
            <w:tcW w:type="dxa" w:w="2160"/>
            <w:shd w:val="clear" w:color="auto" w:fill="DCE6F1"/>
          </w:tcPr>
          <w:p>
            <w:r>
              <w:rPr>
                <w:b/>
              </w:rPr>
            </w:r>
            <w:r>
              <w:rPr>
                <w:b/>
                <w:sz w:val="17"/>
              </w:rPr>
              <w:t>Regulatory / contractual basis</w:t>
            </w:r>
          </w:p>
        </w:tc>
        <w:tc>
          <w:tcPr>
            <w:tcW w:type="dxa" w:w="7488"/>
          </w:tcPr>
          <w:p>
            <w:r/>
            <w:r>
              <w:rPr>
                <w:sz w:val="17"/>
              </w:rPr>
              <w:t>MSA §16.1.</w:t>
            </w:r>
          </w:p>
        </w:tc>
      </w:tr>
      <w:tr>
        <w:tc>
          <w:tcPr>
            <w:tcW w:type="dxa" w:w="2160"/>
            <w:shd w:val="clear" w:color="auto" w:fill="DCE6F1"/>
          </w:tcPr>
          <w:p>
            <w:r>
              <w:rPr>
                <w:b/>
              </w:rPr>
            </w:r>
            <w:r>
              <w:rPr>
                <w:b/>
                <w:sz w:val="17"/>
              </w:rPr>
              <w:t>Risk scoring</w:t>
            </w:r>
          </w:p>
        </w:tc>
        <w:tc>
          <w:tcPr>
            <w:tcW w:type="dxa" w:w="7488"/>
            <w:shd w:val="clear" w:color="auto" w:fill="E2EFDA"/>
          </w:tcPr>
          <w:p>
            <w:r/>
            <w:r>
              <w:rPr>
                <w:sz w:val="17"/>
              </w:rPr>
              <w:t>SV 1 (Minor); PS 1 / RC 1 / CF 1 / OO 1 → IV 1; LS 2 (Possible); PTM 1.5 → CRS 3.0 = Low Risk. Administrative.</w:t>
            </w:r>
          </w:p>
        </w:tc>
      </w:tr>
      <w:tr>
        <w:tc>
          <w:tcPr>
            <w:tcW w:type="dxa" w:w="2160"/>
            <w:shd w:val="clear" w:color="auto" w:fill="DCE6F1"/>
          </w:tcPr>
          <w:p>
            <w:r>
              <w:rPr>
                <w:b/>
              </w:rPr>
            </w:r>
            <w:r>
              <w:rPr>
                <w:b/>
                <w:sz w:val="17"/>
              </w:rPr>
              <w:t>Recommended position (redline)</w:t>
            </w:r>
          </w:p>
        </w:tc>
        <w:tc>
          <w:tcPr>
            <w:tcW w:type="dxa" w:w="7488"/>
          </w:tcPr>
          <w:p>
            <w:r/>
            <w:r>
              <w:rPr>
                <w:sz w:val="17"/>
              </w:rPr>
              <w:t>Redline adds a copy requirement to the MSA §16.1 addresses.</w:t>
            </w:r>
          </w:p>
        </w:tc>
      </w:tr>
      <w:tr>
        <w:tc>
          <w:tcPr>
            <w:tcW w:type="dxa" w:w="2160"/>
            <w:shd w:val="clear" w:color="auto" w:fill="DCE6F1"/>
          </w:tcPr>
          <w:p>
            <w:r>
              <w:rPr>
                <w:b/>
              </w:rPr>
            </w:r>
            <w:r>
              <w:rPr>
                <w:b/>
                <w:sz w:val="17"/>
              </w:rPr>
              <w:t>Fallback position</w:t>
            </w:r>
          </w:p>
        </w:tc>
        <w:tc>
          <w:tcPr>
            <w:tcW w:type="dxa" w:w="7488"/>
          </w:tcPr>
          <w:p>
            <w:r/>
            <w:r>
              <w:rPr>
                <w:sz w:val="17"/>
              </w:rPr>
              <w:t>N/A.</w:t>
            </w:r>
          </w:p>
        </w:tc>
      </w:tr>
      <w:tr>
        <w:tc>
          <w:tcPr>
            <w:tcW w:type="dxa" w:w="2160"/>
            <w:shd w:val="clear" w:color="auto" w:fill="DCE6F1"/>
          </w:tcPr>
          <w:p>
            <w:r>
              <w:rPr>
                <w:b/>
              </w:rPr>
            </w:r>
            <w:r>
              <w:rPr>
                <w:b/>
                <w:sz w:val="17"/>
              </w:rPr>
              <w:t>Negotiation strategy</w:t>
            </w:r>
          </w:p>
        </w:tc>
        <w:tc>
          <w:tcPr>
            <w:tcW w:type="dxa" w:w="7488"/>
          </w:tcPr>
          <w:p>
            <w:r/>
            <w:r>
              <w:rPr>
                <w:sz w:val="17"/>
              </w:rPr>
              <w:t>Housekeeping.</w:t>
            </w:r>
          </w:p>
        </w:tc>
      </w:tr>
      <w:tr>
        <w:tc>
          <w:tcPr>
            <w:tcW w:type="dxa" w:w="2160"/>
            <w:shd w:val="clear" w:color="auto" w:fill="DCE6F1"/>
          </w:tcPr>
          <w:p>
            <w:r>
              <w:rPr>
                <w:b/>
              </w:rPr>
            </w:r>
            <w:r>
              <w:rPr>
                <w:b/>
                <w:sz w:val="17"/>
              </w:rPr>
              <w:t>Escalation (Rubric §9)</w:t>
            </w:r>
          </w:p>
        </w:tc>
        <w:tc>
          <w:tcPr>
            <w:tcW w:type="dxa" w:w="7488"/>
          </w:tcPr>
          <w:p>
            <w:r/>
            <w:r>
              <w:rPr>
                <w:sz w:val="17"/>
              </w:rPr>
              <w:t>AGC (Rubric §9.2(a))</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#50 — New §17; Annex D; §3.2(e): No complaint-handling provisions or Annex D; draft expressly disclaims a complaint-handling annex</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§18.1–18.2 (Mandatory annex and timelines), §3.3 (required annex), §18.4 (annex non-negotiable) — Missing Protection</w:t>
            </w:r>
          </w:p>
        </w:tc>
      </w:tr>
      <w:tr>
        <w:tc>
          <w:tcPr>
            <w:tcW w:type="dxa" w:w="2160"/>
            <w:shd w:val="clear" w:color="auto" w:fill="DCE6F1"/>
          </w:tcPr>
          <w:p>
            <w:r>
              <w:rPr>
                <w:b/>
              </w:rPr>
            </w:r>
            <w:r>
              <w:rPr>
                <w:b/>
                <w:sz w:val="17"/>
              </w:rPr>
              <w:t>Description of deviation</w:t>
            </w:r>
          </w:p>
        </w:tc>
        <w:tc>
          <w:tcPr>
            <w:tcW w:type="dxa" w:w="7488"/>
          </w:tcPr>
          <w:p>
            <w:r/>
            <w:r>
              <w:rPr>
                <w:sz w:val="17"/>
              </w:rPr>
              <w:t>The only reference is §3.2(e), allocating to Ceritas complaints “received by Ceritas from the market”. There are no Pinnacle investigation obligations or timelines, and the closing note states no complaint-handling annex is part of the draft. MSA §4.2(f) requires complaint handling in the QA.</w:t>
            </w:r>
          </w:p>
        </w:tc>
      </w:tr>
      <w:tr>
        <w:tc>
          <w:tcPr>
            <w:tcW w:type="dxa" w:w="2160"/>
            <w:shd w:val="clear" w:color="auto" w:fill="DCE6F1"/>
          </w:tcPr>
          <w:p>
            <w:r>
              <w:rPr>
                <w:b/>
              </w:rPr>
            </w:r>
            <w:r>
              <w:rPr>
                <w:b/>
                <w:sz w:val="17"/>
              </w:rPr>
              <w:t>Regulatory / contractual basis</w:t>
            </w:r>
          </w:p>
        </w:tc>
        <w:tc>
          <w:tcPr>
            <w:tcW w:type="dxa" w:w="7488"/>
          </w:tcPr>
          <w:p>
            <w:r/>
            <w:r>
              <w:rPr>
                <w:sz w:val="17"/>
              </w:rPr>
              <w:t>21 CFR 211.198 (complaint files and investigation); 21 CFR 314.81(b)(1); EU GMP Chapter 8; MSA §4.2(f); Rubric §3.5, §9.1(c).</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4 (Critical); PS 4 / RC 4 / CF 2 / OO 4 → IV 4; LS 4 (Almost Certain); PTM 1.5 → CRS 96.0 = Critical Risk. Missing mandatory protection (SV 4); complaints certain at commercial scale (LS 4); RC 4 → SVP RA; VP QA automatic escalation.</w:t>
            </w:r>
          </w:p>
        </w:tc>
      </w:tr>
      <w:tr>
        <w:tc>
          <w:tcPr>
            <w:tcW w:type="dxa" w:w="2160"/>
            <w:shd w:val="clear" w:color="auto" w:fill="DCE6F1"/>
          </w:tcPr>
          <w:p>
            <w:r>
              <w:rPr>
                <w:b/>
              </w:rPr>
            </w:r>
            <w:r>
              <w:rPr>
                <w:b/>
                <w:sz w:val="17"/>
              </w:rPr>
              <w:t>Recommended position (redline)</w:t>
            </w:r>
          </w:p>
        </w:tc>
        <w:tc>
          <w:tcPr>
            <w:tcW w:type="dxa" w:w="7488"/>
          </w:tcPr>
          <w:p>
            <w:r/>
            <w:r>
              <w:rPr>
                <w:sz w:val="17"/>
              </w:rPr>
              <w:t>Redline adds §17 (responsibilities; 24-hour forwarding; initiation 3 BD; preliminary findings 10 BD; final report 30 BD; Ceritas directs scope; 24-hour escalation) and Annex D (roles, channels, timelines, retained samples, trending, escalation); conforming edit to §3.2(e).</w:t>
            </w:r>
          </w:p>
        </w:tc>
      </w:tr>
      <w:tr>
        <w:tc>
          <w:tcPr>
            <w:tcW w:type="dxa" w:w="2160"/>
            <w:shd w:val="clear" w:color="auto" w:fill="DCE6F1"/>
          </w:tcPr>
          <w:p>
            <w:r>
              <w:rPr>
                <w:b/>
              </w:rPr>
            </w:r>
            <w:r>
              <w:rPr>
                <w:b/>
                <w:sz w:val="17"/>
              </w:rPr>
              <w:t>Fallback position</w:t>
            </w:r>
          </w:p>
        </w:tc>
        <w:tc>
          <w:tcPr>
            <w:tcW w:type="dxa" w:w="7488"/>
          </w:tcPr>
          <w:p>
            <w:r/>
            <w:r>
              <w:rPr>
                <w:sz w:val="17"/>
              </w:rPr>
              <w:t>Initiation 5 BD and preliminary findings 15 BD with documented justification (Playbook §18.4); the annex itself and the 30-BD final report are non-negotiable.</w:t>
            </w:r>
          </w:p>
        </w:tc>
      </w:tr>
      <w:tr>
        <w:tc>
          <w:tcPr>
            <w:tcW w:type="dxa" w:w="2160"/>
            <w:shd w:val="clear" w:color="auto" w:fill="DCE6F1"/>
          </w:tcPr>
          <w:p>
            <w:r>
              <w:rPr>
                <w:b/>
              </w:rPr>
            </w:r>
            <w:r>
              <w:rPr>
                <w:b/>
                <w:sz w:val="17"/>
              </w:rPr>
              <w:t>Negotiation strategy</w:t>
            </w:r>
          </w:p>
        </w:tc>
        <w:tc>
          <w:tcPr>
            <w:tcW w:type="dxa" w:w="7488"/>
          </w:tcPr>
          <w:p>
            <w:r/>
            <w:r>
              <w:rPr>
                <w:sz w:val="17"/>
              </w:rPr>
              <w:t>Present as an omission rather than a dispute; supply the annex text so Pinnacle can react rather than draft.</w:t>
            </w:r>
          </w:p>
        </w:tc>
      </w:tr>
      <w:tr>
        <w:tc>
          <w:tcPr>
            <w:tcW w:type="dxa" w:w="2160"/>
            <w:shd w:val="clear" w:color="auto" w:fill="DCE6F1"/>
          </w:tcPr>
          <w:p>
            <w:r>
              <w:rPr>
                <w:b/>
              </w:rPr>
            </w:r>
            <w:r>
              <w:rPr>
                <w:b/>
                <w:sz w:val="17"/>
              </w:rPr>
              <w:t>Escalation (Rubric §9)</w:t>
            </w:r>
          </w:p>
        </w:tc>
        <w:tc>
          <w:tcPr>
            <w:tcW w:type="dxa" w:w="7488"/>
          </w:tcPr>
          <w:p>
            <w:r/>
            <w:r>
              <w:rPr>
                <w:sz w:val="17"/>
              </w:rPr>
              <w:t>VP QA (Rubric §9.1(a), (c)); AGC (Rubric §9.2(b)); SVP Regulatory Affairs (Rubric §9.3)</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#51 — Annex C (repurposed); §2.17 new: Required Annex C (Approved Test Methods) missing; the draft’s Annex C is a subcontractor list and the closing note disclaims a test-methods annex</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§3.3 (four required annexes; omission is a critical gap), §6.2 (CoA references Ceritas-approved methods) — Missing Protection</w:t>
            </w:r>
          </w:p>
        </w:tc>
      </w:tr>
      <w:tr>
        <w:tc>
          <w:tcPr>
            <w:tcW w:type="dxa" w:w="2160"/>
            <w:shd w:val="clear" w:color="auto" w:fill="DCE6F1"/>
          </w:tcPr>
          <w:p>
            <w:r>
              <w:rPr>
                <w:b/>
              </w:rPr>
            </w:r>
            <w:r>
              <w:rPr>
                <w:b/>
                <w:sz w:val="17"/>
              </w:rPr>
              <w:t>Description of deviation</w:t>
            </w:r>
          </w:p>
        </w:tc>
        <w:tc>
          <w:tcPr>
            <w:tcW w:type="dxa" w:w="7488"/>
          </w:tcPr>
          <w:p>
            <w:r/>
            <w:r>
              <w:rPr>
                <w:sz w:val="17"/>
              </w:rPr>
              <w:t>Without an approved-methods annex there is no contractual baseline for method changes or CoA references. MSA §3.2 makes Ceritas responsible for providing validated methods and for method transfer or co-validation.</w:t>
            </w:r>
          </w:p>
        </w:tc>
      </w:tr>
      <w:tr>
        <w:tc>
          <w:tcPr>
            <w:tcW w:type="dxa" w:w="2160"/>
            <w:shd w:val="clear" w:color="auto" w:fill="DCE6F1"/>
          </w:tcPr>
          <w:p>
            <w:r>
              <w:rPr>
                <w:b/>
              </w:rPr>
            </w:r>
            <w:r>
              <w:rPr>
                <w:b/>
                <w:sz w:val="17"/>
              </w:rPr>
              <w:t>Regulatory / contractual basis</w:t>
            </w:r>
          </w:p>
        </w:tc>
        <w:tc>
          <w:tcPr>
            <w:tcW w:type="dxa" w:w="7488"/>
          </w:tcPr>
          <w:p>
            <w:r/>
            <w:r>
              <w:rPr>
                <w:sz w:val="17"/>
              </w:rPr>
              <w:t>21 CFR 211.160, 211.165(e) (validated methods), 211.194(a)(2); EU GMP Chapter 6; MSA §3.2.</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4 (Critical); PS 3 / RC 3 / CF 1 / OO 3 → IV 3; LS 3 (Likely); PTM 1.5 → CRS 54.0 = Critical Risk. Missing required annex (Playbook §3.3 critical gap; SV 4).</w:t>
            </w:r>
          </w:p>
        </w:tc>
      </w:tr>
      <w:tr>
        <w:tc>
          <w:tcPr>
            <w:tcW w:type="dxa" w:w="2160"/>
            <w:shd w:val="clear" w:color="auto" w:fill="DCE6F1"/>
          </w:tcPr>
          <w:p>
            <w:r>
              <w:rPr>
                <w:b/>
              </w:rPr>
            </w:r>
            <w:r>
              <w:rPr>
                <w:b/>
                <w:sz w:val="17"/>
              </w:rPr>
              <w:t>Recommended position (redline)</w:t>
            </w:r>
          </w:p>
        </w:tc>
        <w:tc>
          <w:tcPr>
            <w:tcW w:type="dxa" w:w="7488"/>
          </w:tcPr>
          <w:p>
            <w:r/>
            <w:r>
              <w:rPr>
                <w:sz w:val="17"/>
              </w:rPr>
              <w:t>Redline inserts Annex C (Approved Test Methods) with a Ceritas-to-populate placeholder, defines “Approved Test Methods” (§2.17), and renames the subcontractor list Annex E.</w:t>
            </w:r>
          </w:p>
        </w:tc>
      </w:tr>
      <w:tr>
        <w:tc>
          <w:tcPr>
            <w:tcW w:type="dxa" w:w="2160"/>
            <w:shd w:val="clear" w:color="auto" w:fill="DCE6F1"/>
          </w:tcPr>
          <w:p>
            <w:r>
              <w:rPr>
                <w:b/>
              </w:rPr>
            </w:r>
            <w:r>
              <w:rPr>
                <w:b/>
                <w:sz w:val="17"/>
              </w:rPr>
              <w:t>Fallback position</w:t>
            </w:r>
          </w:p>
        </w:tc>
        <w:tc>
          <w:tcPr>
            <w:tcW w:type="dxa" w:w="7488"/>
          </w:tcPr>
          <w:p>
            <w:r/>
            <w:r>
              <w:rPr>
                <w:sz w:val="17"/>
              </w:rPr>
              <w:t>None.</w:t>
            </w:r>
          </w:p>
        </w:tc>
      </w:tr>
      <w:tr>
        <w:tc>
          <w:tcPr>
            <w:tcW w:type="dxa" w:w="2160"/>
            <w:shd w:val="clear" w:color="auto" w:fill="DCE6F1"/>
          </w:tcPr>
          <w:p>
            <w:r>
              <w:rPr>
                <w:b/>
              </w:rPr>
            </w:r>
            <w:r>
              <w:rPr>
                <w:b/>
                <w:sz w:val="17"/>
              </w:rPr>
              <w:t>Negotiation strategy</w:t>
            </w:r>
          </w:p>
        </w:tc>
        <w:tc>
          <w:tcPr>
            <w:tcW w:type="dxa" w:w="7488"/>
          </w:tcPr>
          <w:p>
            <w:r/>
            <w:r>
              <w:rPr>
                <w:sz w:val="17"/>
              </w:rPr>
              <w:t>Internal dependency: Ceritas QA/Analytical must deliver the method list and validation/transfer report references before execution.</w:t>
            </w:r>
          </w:p>
        </w:tc>
      </w:tr>
      <w:tr>
        <w:tc>
          <w:tcPr>
            <w:tcW w:type="dxa" w:w="2160"/>
            <w:shd w:val="clear" w:color="auto" w:fill="DCE6F1"/>
          </w:tcPr>
          <w:p>
            <w:r>
              <w:rPr>
                <w:b/>
              </w:rPr>
            </w:r>
            <w:r>
              <w:rPr>
                <w:b/>
                <w:sz w:val="17"/>
              </w:rPr>
              <w:t>Escalation (Rubric §9)</w:t>
            </w:r>
          </w:p>
        </w:tc>
        <w:tc>
          <w:tcPr>
            <w:tcW w:type="dxa" w:w="7488"/>
          </w:tcPr>
          <w:p>
            <w:r/>
            <w:r>
              <w:rPr>
                <w:sz w:val="17"/>
              </w:rPr>
              <w:t>VP QA (Rubric §9.1(a), (c)); AGC (Rubric §9.2(b))</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#52 — Annex B: Specifications annex is a placeholder for both strengths</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§3.3 (required annex: complete in-process, release and shelf-life specifications) — Missing Protection</w:t>
            </w:r>
          </w:p>
        </w:tc>
      </w:tr>
      <w:tr>
        <w:tc>
          <w:tcPr>
            <w:tcW w:type="dxa" w:w="2160"/>
            <w:shd w:val="clear" w:color="auto" w:fill="DCE6F1"/>
          </w:tcPr>
          <w:p>
            <w:r>
              <w:rPr>
                <w:b/>
              </w:rPr>
            </w:r>
            <w:r>
              <w:rPr>
                <w:b/>
                <w:sz w:val="17"/>
              </w:rPr>
              <w:t>Description of deviation</w:t>
            </w:r>
          </w:p>
        </w:tc>
        <w:tc>
          <w:tcPr>
            <w:tcW w:type="dxa" w:w="7488"/>
          </w:tcPr>
          <w:p>
            <w:r/>
            <w:r>
              <w:rPr>
                <w:sz w:val="17"/>
              </w:rPr>
              <w:t>Pinnacle has left Annex B blank pending Ceritas input (transmittal of April 7, 2025). The QA cannot be executed and commercial batches cannot be released against blank specifications.</w:t>
            </w:r>
          </w:p>
        </w:tc>
      </w:tr>
      <w:tr>
        <w:tc>
          <w:tcPr>
            <w:tcW w:type="dxa" w:w="2160"/>
            <w:shd w:val="clear" w:color="auto" w:fill="DCE6F1"/>
          </w:tcPr>
          <w:p>
            <w:r>
              <w:rPr>
                <w:b/>
              </w:rPr>
            </w:r>
            <w:r>
              <w:rPr>
                <w:b/>
                <w:sz w:val="17"/>
              </w:rPr>
              <w:t>Regulatory / contractual basis</w:t>
            </w:r>
          </w:p>
        </w:tc>
        <w:tc>
          <w:tcPr>
            <w:tcW w:type="dxa" w:w="7488"/>
          </w:tcPr>
          <w:p>
            <w:r/>
            <w:r>
              <w:rPr>
                <w:sz w:val="17"/>
              </w:rPr>
              <w:t>21 CFR 211.160(a), 211.165; MSA Exhibit A §2 and §1.23; NDA 215-847 and EU MA approved specifications.</w:t>
            </w:r>
          </w:p>
        </w:tc>
      </w:tr>
      <w:tr>
        <w:tc>
          <w:tcPr>
            <w:tcW w:type="dxa" w:w="2160"/>
            <w:shd w:val="clear" w:color="auto" w:fill="DCE6F1"/>
          </w:tcPr>
          <w:p>
            <w:r>
              <w:rPr>
                <w:b/>
              </w:rPr>
            </w:r>
            <w:r>
              <w:rPr>
                <w:b/>
                <w:sz w:val="17"/>
              </w:rPr>
              <w:t>Risk scoring</w:t>
            </w:r>
          </w:p>
        </w:tc>
        <w:tc>
          <w:tcPr>
            <w:tcW w:type="dxa" w:w="7488"/>
            <w:shd w:val="clear" w:color="auto" w:fill="F4CCCC"/>
          </w:tcPr>
          <w:p>
            <w:r/>
            <w:r>
              <w:rPr>
                <w:sz w:val="17"/>
              </w:rPr>
              <w:t>SV 4 (Critical); PS 4 / RC 4 / CF 2 / OO 3 → IV 4; LS 2 (Possible); PTM 1.5 → CRS 48.0 = Critical Risk. Release against undefined specs would be non-compliant (PS 4, RC 4 → SVP RA); likelihood depends on deadline pressure (LS 2).</w:t>
            </w:r>
          </w:p>
        </w:tc>
      </w:tr>
      <w:tr>
        <w:tc>
          <w:tcPr>
            <w:tcW w:type="dxa" w:w="2160"/>
            <w:shd w:val="clear" w:color="auto" w:fill="DCE6F1"/>
          </w:tcPr>
          <w:p>
            <w:r>
              <w:rPr>
                <w:b/>
              </w:rPr>
            </w:r>
            <w:r>
              <w:rPr>
                <w:b/>
                <w:sz w:val="17"/>
              </w:rPr>
              <w:t>Recommended position (redline)</w:t>
            </w:r>
          </w:p>
        </w:tc>
        <w:tc>
          <w:tcPr>
            <w:tcW w:type="dxa" w:w="7488"/>
          </w:tcPr>
          <w:p>
            <w:r/>
            <w:r>
              <w:rPr>
                <w:sz w:val="17"/>
              </w:rPr>
              <w:t>Redline: Ceritas provides approved NDA/MA specifications (including IPCs and shelf-life); QA not executed, and no commercial batch manufactured, until Annex B is complete and Ceritas-approved.</w:t>
            </w:r>
          </w:p>
        </w:tc>
      </w:tr>
      <w:tr>
        <w:tc>
          <w:tcPr>
            <w:tcW w:type="dxa" w:w="2160"/>
            <w:shd w:val="clear" w:color="auto" w:fill="DCE6F1"/>
          </w:tcPr>
          <w:p>
            <w:r>
              <w:rPr>
                <w:b/>
              </w:rPr>
            </w:r>
            <w:r>
              <w:rPr>
                <w:b/>
                <w:sz w:val="17"/>
              </w:rPr>
              <w:t>Fallback position</w:t>
            </w:r>
          </w:p>
        </w:tc>
        <w:tc>
          <w:tcPr>
            <w:tcW w:type="dxa" w:w="7488"/>
          </w:tcPr>
          <w:p>
            <w:r/>
            <w:r>
              <w:rPr>
                <w:sz w:val="17"/>
              </w:rPr>
              <w:t>None.</w:t>
            </w:r>
          </w:p>
        </w:tc>
      </w:tr>
      <w:tr>
        <w:tc>
          <w:tcPr>
            <w:tcW w:type="dxa" w:w="2160"/>
            <w:shd w:val="clear" w:color="auto" w:fill="DCE6F1"/>
          </w:tcPr>
          <w:p>
            <w:r>
              <w:rPr>
                <w:b/>
              </w:rPr>
            </w:r>
            <w:r>
              <w:rPr>
                <w:b/>
                <w:sz w:val="17"/>
              </w:rPr>
              <w:t>Negotiation strategy</w:t>
            </w:r>
          </w:p>
        </w:tc>
        <w:tc>
          <w:tcPr>
            <w:tcW w:type="dxa" w:w="7488"/>
          </w:tcPr>
          <w:p>
            <w:r/>
            <w:r>
              <w:rPr>
                <w:sz w:val="17"/>
              </w:rPr>
              <w:t>Ceritas Regulatory Affairs/QA should send the specifications this week. This is Ceritas’s critical-path item, not Pinnacle’s.</w:t>
            </w:r>
          </w:p>
        </w:tc>
      </w:tr>
      <w:tr>
        <w:tc>
          <w:tcPr>
            <w:tcW w:type="dxa" w:w="2160"/>
            <w:shd w:val="clear" w:color="auto" w:fill="DCE6F1"/>
          </w:tcPr>
          <w:p>
            <w:r>
              <w:rPr>
                <w:b/>
              </w:rPr>
            </w:r>
            <w:r>
              <w:rPr>
                <w:b/>
                <w:sz w:val="17"/>
              </w:rPr>
              <w:t>Escalation (Rubric §9)</w:t>
            </w:r>
          </w:p>
        </w:tc>
        <w:tc>
          <w:tcPr>
            <w:tcW w:type="dxa" w:w="7488"/>
          </w:tcPr>
          <w:p>
            <w:r/>
            <w:r>
              <w:rPr>
                <w:sz w:val="17"/>
              </w:rPr>
              <w:t>VP QA (Rubric §9.1(a), (c)); AGC (Rubric §9.2(b)); SVP Regulatory Affairs (Rubric §9.3)</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3"/>
      </w:pPr>
      <w:r>
        <w:t>Issue #53 — Annex A: Contact annex incomplete and internally inconsistent; no designated deviation/complaint contact or update procedure</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DCE6F1"/>
          </w:tcPr>
          <w:p>
            <w:r>
              <w:rPr>
                <w:b/>
              </w:rPr>
            </w:r>
            <w:r>
              <w:rPr>
                <w:b/>
                <w:sz w:val="17"/>
              </w:rPr>
              <w:t>Playbook position</w:t>
            </w:r>
          </w:p>
        </w:tc>
        <w:tc>
          <w:tcPr>
            <w:tcW w:type="dxa" w:w="7488"/>
          </w:tcPr>
          <w:p>
            <w:r/>
            <w:r>
              <w:rPr>
                <w:sz w:val="17"/>
              </w:rPr>
              <w:t>Playbook §3.3 (Annex A must include deviation/complaint contact and update process) — Mandatory (annex content)</w:t>
            </w:r>
          </w:p>
        </w:tc>
      </w:tr>
      <w:tr>
        <w:tc>
          <w:tcPr>
            <w:tcW w:type="dxa" w:w="2160"/>
            <w:shd w:val="clear" w:color="auto" w:fill="DCE6F1"/>
          </w:tcPr>
          <w:p>
            <w:r>
              <w:rPr>
                <w:b/>
              </w:rPr>
            </w:r>
            <w:r>
              <w:rPr>
                <w:b/>
                <w:sz w:val="17"/>
              </w:rPr>
              <w:t>Description of deviation</w:t>
            </w:r>
          </w:p>
        </w:tc>
        <w:tc>
          <w:tcPr>
            <w:tcW w:type="dxa" w:w="7488"/>
          </w:tcPr>
          <w:p>
            <w:r/>
            <w:r>
              <w:rPr>
                <w:sz w:val="17"/>
              </w:rPr>
              <w:t>Ceritas contacts are blank although MSA Exhibit E provides them. Pinnacle phone numbers are placeholders (XXX). Pinnacle email domains in Annex A (pinnacle-pharma.de/.com) differ from the MSA and transmittal (pinnaclepharm.de/.com); Dr. Eitner’s address and phone differ between MSA Exhibit E and his April 7 signature block. Ceritas addresses also differ between the transmittal header (mcastanowebb@, jhadley@) and MSA Exhibit E (m.castano-webb@, j.hadley@).</w:t>
            </w:r>
          </w:p>
        </w:tc>
      </w:tr>
      <w:tr>
        <w:tc>
          <w:tcPr>
            <w:tcW w:type="dxa" w:w="2160"/>
            <w:shd w:val="clear" w:color="auto" w:fill="DCE6F1"/>
          </w:tcPr>
          <w:p>
            <w:r>
              <w:rPr>
                <w:b/>
              </w:rPr>
            </w:r>
            <w:r>
              <w:rPr>
                <w:b/>
                <w:sz w:val="17"/>
              </w:rPr>
              <w:t>Regulatory / contractual basis</w:t>
            </w:r>
          </w:p>
        </w:tc>
        <w:tc>
          <w:tcPr>
            <w:tcW w:type="dxa" w:w="7488"/>
          </w:tcPr>
          <w:p>
            <w:r/>
            <w:r>
              <w:rPr>
                <w:sz w:val="17"/>
              </w:rPr>
              <w:t>FDA Quality Agreements Guidance (2016) (communication mechanisms and contacts); MSA Exhibit E, §16.1.</w:t>
            </w:r>
          </w:p>
        </w:tc>
      </w:tr>
      <w:tr>
        <w:tc>
          <w:tcPr>
            <w:tcW w:type="dxa" w:w="2160"/>
            <w:shd w:val="clear" w:color="auto" w:fill="DCE6F1"/>
          </w:tcPr>
          <w:p>
            <w:r>
              <w:rPr>
                <w:b/>
              </w:rPr>
            </w:r>
            <w:r>
              <w:rPr>
                <w:b/>
                <w:sz w:val="17"/>
              </w:rPr>
              <w:t>Risk scoring</w:t>
            </w:r>
          </w:p>
        </w:tc>
        <w:tc>
          <w:tcPr>
            <w:tcW w:type="dxa" w:w="7488"/>
            <w:shd w:val="clear" w:color="auto" w:fill="FFF2CC"/>
          </w:tcPr>
          <w:p>
            <w:r/>
            <w:r>
              <w:rPr>
                <w:sz w:val="17"/>
              </w:rPr>
              <w:t>SV 2 (Moderate); PS 2 / RC 1 / CF 1 / OO 2 → IV 2; LS 3 (Likely); PTM 1.5 → CRS 18.0 = Medium Risk. Misdirected 24-hour notices are a realistic failure mode (LS 3).</w:t>
            </w:r>
          </w:p>
        </w:tc>
      </w:tr>
      <w:tr>
        <w:tc>
          <w:tcPr>
            <w:tcW w:type="dxa" w:w="2160"/>
            <w:shd w:val="clear" w:color="auto" w:fill="DCE6F1"/>
          </w:tcPr>
          <w:p>
            <w:r>
              <w:rPr>
                <w:b/>
              </w:rPr>
            </w:r>
            <w:r>
              <w:rPr>
                <w:b/>
                <w:sz w:val="17"/>
              </w:rPr>
              <w:t>Recommended position (redline)</w:t>
            </w:r>
          </w:p>
        </w:tc>
        <w:tc>
          <w:tcPr>
            <w:tcW w:type="dxa" w:w="7488"/>
          </w:tcPr>
          <w:p>
            <w:r/>
            <w:r>
              <w:rPr>
                <w:sz w:val="17"/>
              </w:rPr>
              <w:t>Redline populates Ceritas contacts from MSA Exhibit E, corrects Pinnacle domains with confirm-brackets, adds 24/7 notification contacts and a self-update mechanism.</w:t>
            </w:r>
          </w:p>
        </w:tc>
      </w:tr>
      <w:tr>
        <w:tc>
          <w:tcPr>
            <w:tcW w:type="dxa" w:w="2160"/>
            <w:shd w:val="clear" w:color="auto" w:fill="DCE6F1"/>
          </w:tcPr>
          <w:p>
            <w:r>
              <w:rPr>
                <w:b/>
              </w:rPr>
            </w:r>
            <w:r>
              <w:rPr>
                <w:b/>
                <w:sz w:val="17"/>
              </w:rPr>
              <w:t>Fallback position</w:t>
            </w:r>
          </w:p>
        </w:tc>
        <w:tc>
          <w:tcPr>
            <w:tcW w:type="dxa" w:w="7488"/>
          </w:tcPr>
          <w:p>
            <w:r/>
            <w:r>
              <w:rPr>
                <w:sz w:val="17"/>
              </w:rPr>
              <w:t>N/A.</w:t>
            </w:r>
          </w:p>
        </w:tc>
      </w:tr>
      <w:tr>
        <w:tc>
          <w:tcPr>
            <w:tcW w:type="dxa" w:w="2160"/>
            <w:shd w:val="clear" w:color="auto" w:fill="DCE6F1"/>
          </w:tcPr>
          <w:p>
            <w:r>
              <w:rPr>
                <w:b/>
              </w:rPr>
            </w:r>
            <w:r>
              <w:rPr>
                <w:b/>
                <w:sz w:val="17"/>
              </w:rPr>
              <w:t>Negotiation strategy</w:t>
            </w:r>
          </w:p>
        </w:tc>
        <w:tc>
          <w:tcPr>
            <w:tcW w:type="dxa" w:w="7488"/>
          </w:tcPr>
          <w:p>
            <w:r/>
            <w:r>
              <w:rPr>
                <w:sz w:val="17"/>
              </w:rPr>
              <w:t>Administrative. Internally confirm Ceritas’s correct addresses before the redline is sent.</w:t>
            </w:r>
          </w:p>
        </w:tc>
      </w:tr>
      <w:tr>
        <w:tc>
          <w:tcPr>
            <w:tcW w:type="dxa" w:w="2160"/>
            <w:shd w:val="clear" w:color="auto" w:fill="DCE6F1"/>
          </w:tcPr>
          <w:p>
            <w:r>
              <w:rPr>
                <w:b/>
              </w:rPr>
            </w:r>
            <w:r>
              <w:rPr>
                <w:b/>
                <w:sz w:val="17"/>
              </w:rPr>
              <w:t>Escalation (Rubric §9)</w:t>
            </w:r>
          </w:p>
        </w:tc>
        <w:tc>
          <w:tcPr>
            <w:tcW w:type="dxa" w:w="7488"/>
          </w:tcPr>
          <w:p>
            <w:r/>
            <w:r>
              <w:rPr>
                <w:sz w:val="17"/>
              </w:rPr>
              <w:t>None required beyond Issues List documentation</w:t>
            </w:r>
          </w:p>
        </w:tc>
      </w:tr>
      <w:tr>
        <w:tc>
          <w:tcPr>
            <w:tcW w:type="dxa" w:w="2160"/>
            <w:shd w:val="clear" w:color="auto" w:fill="DCE6F1"/>
          </w:tcPr>
          <w:p>
            <w:r>
              <w:rPr>
                <w:b/>
              </w:rPr>
            </w:r>
            <w:r>
              <w:rPr>
                <w:b/>
                <w:sz w:val="17"/>
              </w:rPr>
              <w:t>Reviewer / date</w:t>
            </w:r>
          </w:p>
        </w:tc>
        <w:tc>
          <w:tcPr>
            <w:tcW w:type="dxa" w:w="7488"/>
          </w:tcPr>
          <w:p>
            <w:r/>
            <w:r>
              <w:rPr>
                <w:sz w:val="17"/>
              </w:rPr>
              <w:t>[initials] / April 21, 2025</w:t>
            </w:r>
          </w:p>
        </w:tc>
      </w:tr>
    </w:tbl>
    <w:p>
      <w:pPr>
        <w:spacing w:after="40"/>
      </w:pPr>
    </w:p>
    <w:p>
      <w:pPr>
        <w:pStyle w:val="Heading1"/>
      </w:pPr>
      <w:r>
        <w:t>8. Negotiation Strategy</w:t>
      </w:r>
    </w:p>
    <w:p>
      <w:pPr>
        <w:pStyle w:val="Heading2"/>
      </w:pPr>
      <w:r>
        <w:t>8.1 Hold firm (no concession without executive exception)</w:t>
      </w:r>
    </w:p>
    <w:p>
      <w:pPr>
        <w:pStyle w:val="ListBullet"/>
        <w:spacing w:after="40"/>
      </w:pPr>
      <w:r>
        <w:t xml:space="preserve"> Ceritas final disposition for all markets, and the right to stop a QP-certified EU batch (#16).</w:t>
      </w:r>
    </w:p>
    <w:p>
      <w:pPr>
        <w:pStyle w:val="ListBullet"/>
        <w:spacing w:after="40"/>
      </w:pPr>
      <w:r>
        <w:t xml:space="preserve"> Prior written Ceritas approval of Significant Changes; no notify-and-comment model at any notice period.</w:t>
      </w:r>
    </w:p>
    <w:p>
      <w:pPr>
        <w:pStyle w:val="ListBullet"/>
        <w:spacing w:after="40"/>
      </w:pPr>
      <w:r>
        <w:t xml:space="preserve"> Ceritas approval as a condition precedent to Critical-deviation CAPAs. 24-hour Critical deviation notice and 15/30-business-day RCA timelines.</w:t>
      </w:r>
    </w:p>
    <w:p>
      <w:pPr>
        <w:pStyle w:val="ListBullet"/>
        <w:spacing w:after="40"/>
      </w:pPr>
      <w:r>
        <w:t xml:space="preserve"> Ceritas sole recall/FAR authority with unconditional, immediate cooperation. 24-hour notification of FAR-relevant information.</w:t>
      </w:r>
    </w:p>
    <w:p>
      <w:pPr>
        <w:pStyle w:val="ListBullet"/>
        <w:spacing w:after="40"/>
      </w:pPr>
      <w:r>
        <w:t xml:space="preserve"> 24-hour inspection notice, Ceritas participation and back-room rights, and copies within 2 business days.</w:t>
      </w:r>
    </w:p>
    <w:p>
      <w:pPr>
        <w:pStyle w:val="ListBullet"/>
        <w:spacing w:after="40"/>
      </w:pPr>
      <w:r>
        <w:t xml:space="preserve"> Prior written consent and Ceritas audit qualification before any subcontractor (including the three listed labs) performs work.</w:t>
      </w:r>
    </w:p>
    <w:p>
      <w:pPr>
        <w:pStyle w:val="ListBullet"/>
        <w:spacing w:after="40"/>
      </w:pPr>
      <w:r>
        <w:t xml:space="preserve"> 10-year record retention and 10-year survival of quality obligations; FM carve-out of quality/regulatory duties plus BCP/DRP.</w:t>
      </w:r>
    </w:p>
    <w:p>
      <w:pPr>
        <w:pStyle w:val="ListBullet"/>
        <w:spacing w:after="40"/>
      </w:pPr>
      <w:r>
        <w:t xml:space="preserve"> Complaint-handling section and Annex D; Annexes B and C complete before execution.</w:t>
      </w:r>
    </w:p>
    <w:p>
      <w:pPr>
        <w:pStyle w:val="ListBullet"/>
        <w:spacing w:after="40"/>
      </w:pPr>
      <w:r>
        <w:t xml:space="preserve"> No QA liability cap and no QA governing-law, forum or term provisions inconsistent with the MSA (Articles 11, 13, 15).</w:t>
      </w:r>
    </w:p>
    <w:p>
      <w:pPr>
        <w:pStyle w:val="Heading2"/>
      </w:pPr>
      <w:r>
        <w:t>8.2 Pre-authorized concessions (Playbook Fallbacks) and the approval each requires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val="clear" w:color="auto" w:fill="1F3A5F"/>
          </w:tcPr>
          <w:p>
            <w:r/>
            <w:r>
              <w:rPr>
                <w:b/>
                <w:color w:val="FFFFFF"/>
                <w:sz w:val="16"/>
              </w:rPr>
              <w:t>Topic</w:t>
            </w:r>
          </w:p>
        </w:tc>
        <w:tc>
          <w:tcPr>
            <w:tcW w:type="dxa" w:w="2160"/>
            <w:shd w:val="clear" w:color="auto" w:fill="1F3A5F"/>
          </w:tcPr>
          <w:p>
            <w:r/>
            <w:r>
              <w:rPr>
                <w:b/>
                <w:color w:val="FFFFFF"/>
                <w:sz w:val="16"/>
              </w:rPr>
              <w:t>Opening (redline)</w:t>
            </w:r>
          </w:p>
        </w:tc>
        <w:tc>
          <w:tcPr>
            <w:tcW w:type="dxa" w:w="2880"/>
            <w:shd w:val="clear" w:color="auto" w:fill="1F3A5F"/>
          </w:tcPr>
          <w:p>
            <w:r/>
            <w:r>
              <w:rPr>
                <w:b/>
                <w:color w:val="FFFFFF"/>
                <w:sz w:val="16"/>
              </w:rPr>
              <w:t>Fallback</w:t>
            </w:r>
          </w:p>
        </w:tc>
        <w:tc>
          <w:tcPr>
            <w:tcW w:type="dxa" w:w="2592"/>
            <w:shd w:val="clear" w:color="auto" w:fill="1F3A5F"/>
          </w:tcPr>
          <w:p>
            <w:r/>
            <w:r>
              <w:rPr>
                <w:b/>
                <w:color w:val="FFFFFF"/>
                <w:sz w:val="16"/>
              </w:rPr>
              <w:t>Approval required</w:t>
            </w:r>
          </w:p>
        </w:tc>
      </w:tr>
      <w:tr>
        <w:tc>
          <w:tcPr>
            <w:tcW w:type="dxa" w:w="2016"/>
          </w:tcPr>
          <w:p>
            <w:r/>
            <w:r>
              <w:rPr>
                <w:sz w:val="16"/>
              </w:rPr>
              <w:t>Change notice period</w:t>
            </w:r>
          </w:p>
        </w:tc>
        <w:tc>
          <w:tcPr>
            <w:tcW w:type="dxa" w:w="2160"/>
          </w:tcPr>
          <w:p>
            <w:r/>
            <w:r>
              <w:rPr>
                <w:sz w:val="16"/>
              </w:rPr>
              <w:t>90 calendar days</w:t>
            </w:r>
          </w:p>
        </w:tc>
        <w:tc>
          <w:tcPr>
            <w:tcW w:type="dxa" w:w="2880"/>
          </w:tcPr>
          <w:p>
            <w:r/>
            <w:r>
              <w:rPr>
                <w:sz w:val="16"/>
              </w:rPr>
              <w:t>60 calendar days (approval still required)</w:t>
            </w:r>
          </w:p>
        </w:tc>
        <w:tc>
          <w:tcPr>
            <w:tcW w:type="dxa" w:w="2592"/>
          </w:tcPr>
          <w:p>
            <w:r/>
            <w:r>
              <w:rPr>
                <w:sz w:val="16"/>
              </w:rPr>
              <w:t>VP QA written exception + compensating controls (Playbook §4.3)</w:t>
            </w:r>
          </w:p>
        </w:tc>
      </w:tr>
      <w:tr>
        <w:tc>
          <w:tcPr>
            <w:tcW w:type="dxa" w:w="2016"/>
          </w:tcPr>
          <w:p>
            <w:r/>
            <w:r>
              <w:rPr>
                <w:sz w:val="16"/>
              </w:rPr>
              <w:t>Major-deviation CAPA</w:t>
            </w:r>
          </w:p>
        </w:tc>
        <w:tc>
          <w:tcPr>
            <w:tcW w:type="dxa" w:w="2160"/>
          </w:tcPr>
          <w:p>
            <w:r/>
            <w:r>
              <w:rPr>
                <w:sz w:val="16"/>
              </w:rPr>
              <w:t>Ceritas approval</w:t>
            </w:r>
          </w:p>
        </w:tc>
        <w:tc>
          <w:tcPr>
            <w:tcW w:type="dxa" w:w="2880"/>
          </w:tcPr>
          <w:p>
            <w:r/>
            <w:r>
              <w:rPr>
                <w:sz w:val="16"/>
              </w:rPr>
              <w:t>Review and comment; substantive good-faith response</w:t>
            </w:r>
          </w:p>
        </w:tc>
        <w:tc>
          <w:tcPr>
            <w:tcW w:type="dxa" w:w="2592"/>
          </w:tcPr>
          <w:p>
            <w:r/>
            <w:r>
              <w:rPr>
                <w:sz w:val="16"/>
              </w:rPr>
              <w:t>Lead reviewer documented justification (Playbook §5.5)</w:t>
            </w:r>
          </w:p>
        </w:tc>
      </w:tr>
      <w:tr>
        <w:tc>
          <w:tcPr>
            <w:tcW w:type="dxa" w:w="2016"/>
          </w:tcPr>
          <w:p>
            <w:r/>
            <w:r>
              <w:rPr>
                <w:sz w:val="16"/>
              </w:rPr>
              <w:t>Raw data</w:t>
            </w:r>
          </w:p>
        </w:tc>
        <w:tc>
          <w:tcPr>
            <w:tcW w:type="dxa" w:w="2160"/>
          </w:tcPr>
          <w:p>
            <w:r/>
            <w:r>
              <w:rPr>
                <w:sz w:val="16"/>
              </w:rPr>
              <w:t>2 business days</w:t>
            </w:r>
          </w:p>
        </w:tc>
        <w:tc>
          <w:tcPr>
            <w:tcW w:type="dxa" w:w="2880"/>
          </w:tcPr>
          <w:p>
            <w:r/>
            <w:r>
              <w:rPr>
                <w:sz w:val="16"/>
              </w:rPr>
              <w:t>5 business days (firm)</w:t>
            </w:r>
          </w:p>
        </w:tc>
        <w:tc>
          <w:tcPr>
            <w:tcW w:type="dxa" w:w="2592"/>
          </w:tcPr>
          <w:p>
            <w:r/>
            <w:r>
              <w:rPr>
                <w:sz w:val="16"/>
              </w:rPr>
              <w:t>Lead reviewer justification (Playbook §6.4)</w:t>
            </w:r>
          </w:p>
        </w:tc>
      </w:tr>
      <w:tr>
        <w:tc>
          <w:tcPr>
            <w:tcW w:type="dxa" w:w="2016"/>
          </w:tcPr>
          <w:p>
            <w:r/>
            <w:r>
              <w:rPr>
                <w:sz w:val="16"/>
              </w:rPr>
              <w:t>APQR</w:t>
            </w:r>
          </w:p>
        </w:tc>
        <w:tc>
          <w:tcPr>
            <w:tcW w:type="dxa" w:w="2160"/>
          </w:tcPr>
          <w:p>
            <w:r/>
            <w:r>
              <w:rPr>
                <w:sz w:val="16"/>
              </w:rPr>
              <w:t>45 days</w:t>
            </w:r>
          </w:p>
        </w:tc>
        <w:tc>
          <w:tcPr>
            <w:tcW w:type="dxa" w:w="2880"/>
          </w:tcPr>
          <w:p>
            <w:r/>
            <w:r>
              <w:rPr>
                <w:sz w:val="16"/>
              </w:rPr>
              <w:t>60 days (absolute)</w:t>
            </w:r>
          </w:p>
        </w:tc>
        <w:tc>
          <w:tcPr>
            <w:tcW w:type="dxa" w:w="2592"/>
          </w:tcPr>
          <w:p>
            <w:r/>
            <w:r>
              <w:rPr>
                <w:sz w:val="16"/>
              </w:rPr>
              <w:t>Lead reviewer justification (Playbook §7.3)</w:t>
            </w:r>
          </w:p>
        </w:tc>
      </w:tr>
      <w:tr>
        <w:tc>
          <w:tcPr>
            <w:tcW w:type="dxa" w:w="2016"/>
          </w:tcPr>
          <w:p>
            <w:r/>
            <w:r>
              <w:rPr>
                <w:sz w:val="16"/>
              </w:rPr>
              <w:t>Routine audits</w:t>
            </w:r>
          </w:p>
        </w:tc>
        <w:tc>
          <w:tcPr>
            <w:tcW w:type="dxa" w:w="2160"/>
          </w:tcPr>
          <w:p>
            <w:r/>
            <w:r>
              <w:rPr>
                <w:sz w:val="16"/>
              </w:rPr>
              <w:t>Unlimited, 10 BD notice</w:t>
            </w:r>
          </w:p>
        </w:tc>
        <w:tc>
          <w:tcPr>
            <w:tcW w:type="dxa" w:w="2880"/>
          </w:tcPr>
          <w:p>
            <w:r/>
            <w:r>
              <w:rPr>
                <w:sz w:val="16"/>
              </w:rPr>
              <w:t>≥2 per year; 10 BD notice; for-cause unlimited on 48h</w:t>
            </w:r>
          </w:p>
        </w:tc>
        <w:tc>
          <w:tcPr>
            <w:tcW w:type="dxa" w:w="2592"/>
          </w:tcPr>
          <w:p>
            <w:r/>
            <w:r>
              <w:rPr>
                <w:sz w:val="16"/>
              </w:rPr>
              <w:t>VP QA written exception (Playbook §8.4)</w:t>
            </w:r>
          </w:p>
        </w:tc>
      </w:tr>
      <w:tr>
        <w:tc>
          <w:tcPr>
            <w:tcW w:type="dxa" w:w="2016"/>
          </w:tcPr>
          <w:p>
            <w:r/>
            <w:r>
              <w:rPr>
                <w:sz w:val="16"/>
              </w:rPr>
              <w:t>Inspection responses</w:t>
            </w:r>
          </w:p>
        </w:tc>
        <w:tc>
          <w:tcPr>
            <w:tcW w:type="dxa" w:w="2160"/>
          </w:tcPr>
          <w:p>
            <w:r/>
            <w:r>
              <w:rPr>
                <w:sz w:val="16"/>
              </w:rPr>
              <w:t>Ceritas approval</w:t>
            </w:r>
          </w:p>
        </w:tc>
        <w:tc>
          <w:tcPr>
            <w:tcW w:type="dxa" w:w="2880"/>
          </w:tcPr>
          <w:p>
            <w:r/>
            <w:r>
              <w:rPr>
                <w:sz w:val="16"/>
              </w:rPr>
              <w:t>Review and comment with documented rationale</w:t>
            </w:r>
          </w:p>
        </w:tc>
        <w:tc>
          <w:tcPr>
            <w:tcW w:type="dxa" w:w="2592"/>
          </w:tcPr>
          <w:p>
            <w:r/>
            <w:r>
              <w:rPr>
                <w:sz w:val="16"/>
              </w:rPr>
              <w:t>Lead reviewer justification (Playbook §9.4)</w:t>
            </w:r>
          </w:p>
        </w:tc>
      </w:tr>
      <w:tr>
        <w:tc>
          <w:tcPr>
            <w:tcW w:type="dxa" w:w="2016"/>
          </w:tcPr>
          <w:p>
            <w:r/>
            <w:r>
              <w:rPr>
                <w:sz w:val="16"/>
              </w:rPr>
              <w:t>Recall costs</w:t>
            </w:r>
          </w:p>
        </w:tc>
        <w:tc>
          <w:tcPr>
            <w:tcW w:type="dxa" w:w="2160"/>
          </w:tcPr>
          <w:p>
            <w:r/>
            <w:r>
              <w:rPr>
                <w:sz w:val="16"/>
              </w:rPr>
              <w:t>100% for Pinnacle-caused recalls</w:t>
            </w:r>
          </w:p>
        </w:tc>
        <w:tc>
          <w:tcPr>
            <w:tcW w:type="dxa" w:w="2880"/>
          </w:tcPr>
          <w:p>
            <w:r/>
            <w:r>
              <w:rPr>
                <w:sz w:val="16"/>
              </w:rPr>
              <w:t>Proportional to fault via documented RCA</w:t>
            </w:r>
          </w:p>
        </w:tc>
        <w:tc>
          <w:tcPr>
            <w:tcW w:type="dxa" w:w="2592"/>
          </w:tcPr>
          <w:p>
            <w:r/>
            <w:r>
              <w:rPr>
                <w:sz w:val="16"/>
              </w:rPr>
              <w:t>Lead reviewer + AGC (cost/liability item)</w:t>
            </w:r>
          </w:p>
        </w:tc>
      </w:tr>
      <w:tr>
        <w:tc>
          <w:tcPr>
            <w:tcW w:type="dxa" w:w="2016"/>
          </w:tcPr>
          <w:p>
            <w:r/>
            <w:r>
              <w:rPr>
                <w:sz w:val="16"/>
              </w:rPr>
              <w:t>Subcontractors</w:t>
            </w:r>
          </w:p>
        </w:tc>
        <w:tc>
          <w:tcPr>
            <w:tcW w:type="dxa" w:w="2160"/>
          </w:tcPr>
          <w:p>
            <w:r/>
            <w:r>
              <w:rPr>
                <w:sz w:val="16"/>
              </w:rPr>
              <w:t>Consent + Ceritas audit per lab</w:t>
            </w:r>
          </w:p>
        </w:tc>
        <w:tc>
          <w:tcPr>
            <w:tcW w:type="dxa" w:w="2880"/>
          </w:tcPr>
          <w:p>
            <w:r/>
            <w:r>
              <w:rPr>
                <w:sz w:val="16"/>
              </w:rPr>
              <w:t>Pre-approved list only after Ceritas audit of each lab</w:t>
            </w:r>
          </w:p>
        </w:tc>
        <w:tc>
          <w:tcPr>
            <w:tcW w:type="dxa" w:w="2592"/>
          </w:tcPr>
          <w:p>
            <w:r/>
            <w:r>
              <w:rPr>
                <w:sz w:val="16"/>
              </w:rPr>
              <w:t>Lead reviewer (Playbook §11.3)</w:t>
            </w:r>
          </w:p>
        </w:tc>
      </w:tr>
      <w:tr>
        <w:tc>
          <w:tcPr>
            <w:tcW w:type="dxa" w:w="2016"/>
          </w:tcPr>
          <w:p>
            <w:r/>
            <w:r>
              <w:rPr>
                <w:sz w:val="16"/>
              </w:rPr>
              <w:t>Stability reporting</w:t>
            </w:r>
          </w:p>
        </w:tc>
        <w:tc>
          <w:tcPr>
            <w:tcW w:type="dxa" w:w="2160"/>
          </w:tcPr>
          <w:p>
            <w:r/>
            <w:r>
              <w:rPr>
                <w:sz w:val="16"/>
              </w:rPr>
              <w:t>5 BD per time point</w:t>
            </w:r>
          </w:p>
        </w:tc>
        <w:tc>
          <w:tcPr>
            <w:tcW w:type="dxa" w:w="2880"/>
          </w:tcPr>
          <w:p>
            <w:r/>
            <w:r>
              <w:rPr>
                <w:sz w:val="16"/>
              </w:rPr>
              <w:t>10 BD per time point (never quarterly-only)</w:t>
            </w:r>
          </w:p>
        </w:tc>
        <w:tc>
          <w:tcPr>
            <w:tcW w:type="dxa" w:w="2592"/>
          </w:tcPr>
          <w:p>
            <w:r/>
            <w:r>
              <w:rPr>
                <w:sz w:val="16"/>
              </w:rPr>
              <w:t>VP QA written exception (Playbook §13.4)</w:t>
            </w:r>
          </w:p>
        </w:tc>
      </w:tr>
      <w:tr>
        <w:tc>
          <w:tcPr>
            <w:tcW w:type="dxa" w:w="2016"/>
          </w:tcPr>
          <w:p>
            <w:r/>
            <w:r>
              <w:rPr>
                <w:sz w:val="16"/>
              </w:rPr>
              <w:t>QP change notice</w:t>
            </w:r>
          </w:p>
        </w:tc>
        <w:tc>
          <w:tcPr>
            <w:tcW w:type="dxa" w:w="2160"/>
          </w:tcPr>
          <w:p>
            <w:r/>
            <w:r>
              <w:rPr>
                <w:sz w:val="16"/>
              </w:rPr>
              <w:t>30 days + interview + objection</w:t>
            </w:r>
          </w:p>
        </w:tc>
        <w:tc>
          <w:tcPr>
            <w:tcW w:type="dxa" w:w="2880"/>
          </w:tcPr>
          <w:p>
            <w:r/>
            <w:r>
              <w:rPr>
                <w:sz w:val="16"/>
              </w:rPr>
              <w:t>15 days; objection right retained</w:t>
            </w:r>
          </w:p>
        </w:tc>
        <w:tc>
          <w:tcPr>
            <w:tcW w:type="dxa" w:w="2592"/>
          </w:tcPr>
          <w:p>
            <w:r/>
            <w:r>
              <w:rPr>
                <w:sz w:val="16"/>
              </w:rPr>
              <w:t>VP QA written exception (Playbook §14.3)</w:t>
            </w:r>
          </w:p>
        </w:tc>
      </w:tr>
      <w:tr>
        <w:tc>
          <w:tcPr>
            <w:tcW w:type="dxa" w:w="2016"/>
          </w:tcPr>
          <w:p>
            <w:r/>
            <w:r>
              <w:rPr>
                <w:sz w:val="16"/>
              </w:rPr>
              <w:t>Complaint timelines</w:t>
            </w:r>
          </w:p>
        </w:tc>
        <w:tc>
          <w:tcPr>
            <w:tcW w:type="dxa" w:w="2160"/>
          </w:tcPr>
          <w:p>
            <w:r/>
            <w:r>
              <w:rPr>
                <w:sz w:val="16"/>
              </w:rPr>
              <w:t>3 BD / 10 BD / 30 BD</w:t>
            </w:r>
          </w:p>
        </w:tc>
        <w:tc>
          <w:tcPr>
            <w:tcW w:type="dxa" w:w="2880"/>
          </w:tcPr>
          <w:p>
            <w:r/>
            <w:r>
              <w:rPr>
                <w:sz w:val="16"/>
              </w:rPr>
              <w:t>5 BD / 15 BD / 30 BD</w:t>
            </w:r>
          </w:p>
        </w:tc>
        <w:tc>
          <w:tcPr>
            <w:tcW w:type="dxa" w:w="2592"/>
          </w:tcPr>
          <w:p>
            <w:r/>
            <w:r>
              <w:rPr>
                <w:sz w:val="16"/>
              </w:rPr>
              <w:t>Documented justification (Playbook §18.4)</w:t>
            </w:r>
          </w:p>
        </w:tc>
      </w:tr>
      <w:tr>
        <w:tc>
          <w:tcPr>
            <w:tcW w:type="dxa" w:w="2016"/>
          </w:tcPr>
          <w:p>
            <w:r/>
            <w:r>
              <w:rPr>
                <w:sz w:val="16"/>
              </w:rPr>
              <w:t>Confidentiality survival</w:t>
            </w:r>
          </w:p>
        </w:tc>
        <w:tc>
          <w:tcPr>
            <w:tcW w:type="dxa" w:w="2160"/>
          </w:tcPr>
          <w:p>
            <w:r/>
            <w:r>
              <w:rPr>
                <w:sz w:val="16"/>
              </w:rPr>
              <w:t>10 years post-term</w:t>
            </w:r>
          </w:p>
        </w:tc>
        <w:tc>
          <w:tcPr>
            <w:tcW w:type="dxa" w:w="2880"/>
          </w:tcPr>
          <w:p>
            <w:r/>
            <w:r>
              <w:rPr>
                <w:sz w:val="16"/>
              </w:rPr>
              <w:t>MSA §8.2 (7 years from disclosure)</w:t>
            </w:r>
          </w:p>
        </w:tc>
        <w:tc>
          <w:tcPr>
            <w:tcW w:type="dxa" w:w="2592"/>
          </w:tcPr>
          <w:p>
            <w:r/>
            <w:r>
              <w:rPr>
                <w:sz w:val="16"/>
              </w:rPr>
              <w:t>AGC (Rubric §9.2(a))</w:t>
            </w:r>
          </w:p>
        </w:tc>
      </w:tr>
    </w:tbl>
    <w:p>
      <w:pPr>
        <w:spacing w:after="40"/>
      </w:pPr>
    </w:p>
    <w:p>
      <w:pPr>
        <w:pStyle w:val="Heading2"/>
      </w:pPr>
      <w:r>
        <w:t>8.3 Trade package and sequencing</w:t>
      </w:r>
    </w:p>
    <w:p>
      <w:pPr>
        <w:pStyle w:val="ListBullet"/>
        <w:spacing w:after="40"/>
      </w:pPr>
      <w:r>
        <w:rPr>
          <w:b/>
        </w:rPr>
        <w:t xml:space="preserve">Return the redline as one package by April 25, 2025, </w:t>
      </w:r>
      <w:r>
        <w:t>as Pinnacle requested. Include a short cover note (no internal scoring) that frames the edits under three headings: (i) conformity with the executed MSA, (ii) Ceritas’s regulatory obligations as NDA holder and on behalf of the EU MAH, and (iii) the required annexes.</w:t>
      </w:r>
    </w:p>
    <w:p>
      <w:pPr>
        <w:pStyle w:val="ListBullet"/>
        <w:spacing w:after="40"/>
      </w:pPr>
      <w:r>
        <w:rPr>
          <w:b/>
        </w:rPr>
        <w:t xml:space="preserve">Joint quality-and-legal working session in the week of April 28. </w:t>
      </w:r>
      <w:r>
        <w:t>Take Tier 1 authority issues first (disposition, change control, CAPA, recall, inspections, subcontracting). Then cover timelines, then legal conformity (Hadley with Reinhardt). Annexes go last.</w:t>
      </w:r>
    </w:p>
    <w:p>
      <w:pPr>
        <w:pStyle w:val="ListBullet"/>
        <w:spacing w:after="40"/>
      </w:pPr>
      <w:r>
        <w:rPr>
          <w:b/>
        </w:rPr>
        <w:t xml:space="preserve">Ceritas gives: </w:t>
      </w:r>
      <w:r>
        <w:t>30-day decisions on complete change packages, 30-day APQR comments, the emergency-change pathway, self-management of Annex F Minor changes, a consolidated log for Minor deviations, coordinated audit scheduling, and back-room-only inspection participation where an authority restricts attendance. These answer Pinnacle’s likely operational objections without moving any Mandatory Position.</w:t>
      </w:r>
    </w:p>
    <w:p>
      <w:pPr>
        <w:pStyle w:val="ListBullet"/>
        <w:spacing w:after="40"/>
      </w:pPr>
      <w:r>
        <w:rPr>
          <w:b/>
        </w:rPr>
        <w:t xml:space="preserve">Ceritas does not trade </w:t>
      </w:r>
      <w:r>
        <w:t>Mandatory Positions against each other or against commercial terms. Any commercial ask from Pinnacle belongs in the MSA, not the QA.</w:t>
      </w:r>
    </w:p>
    <w:p>
      <w:pPr>
        <w:pStyle w:val="ListBullet"/>
        <w:spacing w:after="40"/>
      </w:pPr>
      <w:r>
        <w:rPr>
          <w:b/>
        </w:rPr>
        <w:t xml:space="preserve">Deadline management. </w:t>
      </w:r>
      <w:r>
        <w:t>If Critical items are open on April 28, escalate under Rubric §9.5. If agreement is not in sight by about May 6, propose a short written extension of the MSA §4.1 execution date rather than an interim QA. Pinnacle cannot begin commercial manufacture without an executed QA, so it shares the incentive to close.</w:t>
      </w:r>
    </w:p>
    <w:p>
      <w:pPr>
        <w:pStyle w:val="Heading2"/>
      </w:pPr>
      <w:r>
        <w:t>8.4 Anticipated Pinnacle objections and responses</w:t>
      </w:r>
    </w:p>
    <w:p>
      <w:pPr>
        <w:pStyle w:val="ListBullet"/>
        <w:spacing w:after="40"/>
      </w:pPr>
      <w:r>
        <w:rPr>
          <w:b/>
        </w:rPr>
        <w:t xml:space="preserve">“The QP’s certification cannot be overridden under EU law.” </w:t>
      </w:r>
      <w:r>
        <w:t>Agreed that Ceritas cannot compel certification. The redline only lets the MAH refuse to place a batch on the market, which Annex 16 does not restrict.</w:t>
      </w:r>
    </w:p>
    <w:p>
      <w:pPr>
        <w:pStyle w:val="ListBullet"/>
        <w:spacing w:after="40"/>
      </w:pPr>
      <w:r>
        <w:rPr>
          <w:b/>
        </w:rPr>
        <w:t xml:space="preserve">“Prior approval of all changes will paralyse operations.” </w:t>
      </w:r>
      <w:r>
        <w:t>Annex F lets Pinnacle self-manage Minor changes, the emergency route handles urgent safety changes, and Ceritas commits to 30-day decisions. MSA §3.5 already contemplates Ceritas approval of change controls.</w:t>
      </w:r>
    </w:p>
    <w:p>
      <w:pPr>
        <w:pStyle w:val="ListBullet"/>
        <w:spacing w:after="40"/>
      </w:pPr>
      <w:r>
        <w:rPr>
          <w:b/>
        </w:rPr>
        <w:t xml:space="preserve">“Unlimited audits are unworkable.” </w:t>
      </w:r>
      <w:r>
        <w:t>Ceritas will coordinate timing and bear its own costs. Fallback is two routine audits a year with VP sign-off. For-cause rights are not negotiable.</w:t>
      </w:r>
    </w:p>
    <w:p>
      <w:pPr>
        <w:pStyle w:val="ListBullet"/>
        <w:spacing w:after="40"/>
      </w:pPr>
      <w:r>
        <w:rPr>
          <w:b/>
        </w:rPr>
        <w:t xml:space="preserve">“Liability belongs in the MSA.” </w:t>
      </w:r>
      <w:r>
        <w:t>Agreed. That is why the redline deletes §14.1 and defers to MSA Article 11. The EUR 2M cap is the re-trade, not Ceritas’s carve-outs.</w:t>
      </w:r>
    </w:p>
    <w:p>
      <w:pPr>
        <w:pStyle w:val="ListBullet"/>
        <w:spacing w:after="40"/>
      </w:pPr>
      <w:r>
        <w:rPr>
          <w:b/>
        </w:rPr>
        <w:t xml:space="preserve">“German law suits a German site.” </w:t>
      </w:r>
      <w:r>
        <w:t>MSA §15.1 already applies New York law to QA disputes. Two regimes would guarantee a forum fight.</w:t>
      </w:r>
    </w:p>
    <w:p>
      <w:pPr>
        <w:pStyle w:val="ListBullet"/>
        <w:spacing w:after="40"/>
      </w:pPr>
      <w:r>
        <w:rPr>
          <w:b/>
        </w:rPr>
        <w:t xml:space="preserve">“The labs are already qualified by Pinnacle.” </w:t>
      </w:r>
      <w:r>
        <w:t>MSA §2.3 makes them subject to Ceritas audit and qualification, and each must be a registered testing site. Ceritas will schedule audits promptly.</w:t>
      </w:r>
    </w:p>
    <w:p>
      <w:pPr>
        <w:pStyle w:val="Heading1"/>
      </w:pPr>
      <w:r>
        <w:t>9. Ceritas Internal Action Items (pre-transmittal / pre-execution)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432"/>
            <w:shd w:val="clear" w:color="auto" w:fill="1F3A5F"/>
          </w:tcPr>
          <w:p>
            <w:r/>
            <w:r>
              <w:rPr>
                <w:b/>
                <w:color w:val="FFFFFF"/>
                <w:sz w:val="16"/>
              </w:rPr>
              <w:t>#</w:t>
            </w:r>
          </w:p>
        </w:tc>
        <w:tc>
          <w:tcPr>
            <w:tcW w:type="dxa" w:w="5472"/>
            <w:shd w:val="clear" w:color="auto" w:fill="1F3A5F"/>
          </w:tcPr>
          <w:p>
            <w:r/>
            <w:r>
              <w:rPr>
                <w:b/>
                <w:color w:val="FFFFFF"/>
                <w:sz w:val="16"/>
              </w:rPr>
              <w:t>Action</w:t>
            </w:r>
          </w:p>
        </w:tc>
        <w:tc>
          <w:tcPr>
            <w:tcW w:type="dxa" w:w="2016"/>
            <w:shd w:val="clear" w:color="auto" w:fill="1F3A5F"/>
          </w:tcPr>
          <w:p>
            <w:r/>
            <w:r>
              <w:rPr>
                <w:b/>
                <w:color w:val="FFFFFF"/>
                <w:sz w:val="16"/>
              </w:rPr>
              <w:t>Owner</w:t>
            </w:r>
          </w:p>
        </w:tc>
        <w:tc>
          <w:tcPr>
            <w:tcW w:type="dxa" w:w="1728"/>
            <w:shd w:val="clear" w:color="auto" w:fill="1F3A5F"/>
          </w:tcPr>
          <w:p>
            <w:r/>
            <w:r>
              <w:rPr>
                <w:b/>
                <w:color w:val="FFFFFF"/>
                <w:sz w:val="16"/>
              </w:rPr>
              <w:t>Target</w:t>
            </w:r>
          </w:p>
        </w:tc>
      </w:tr>
      <w:tr>
        <w:tc>
          <w:tcPr>
            <w:tcW w:type="dxa" w:w="432"/>
          </w:tcPr>
          <w:p>
            <w:r/>
            <w:r>
              <w:rPr>
                <w:sz w:val="16"/>
              </w:rPr>
              <w:t>1</w:t>
            </w:r>
          </w:p>
        </w:tc>
        <w:tc>
          <w:tcPr>
            <w:tcW w:type="dxa" w:w="5472"/>
          </w:tcPr>
          <w:p>
            <w:r/>
            <w:r>
              <w:rPr>
                <w:sz w:val="16"/>
              </w:rPr>
              <w:t>Approve redline positions on all Critical items (Rubric §8.3.1)</w:t>
            </w:r>
          </w:p>
        </w:tc>
        <w:tc>
          <w:tcPr>
            <w:tcW w:type="dxa" w:w="2016"/>
          </w:tcPr>
          <w:p>
            <w:r/>
            <w:r>
              <w:rPr>
                <w:sz w:val="16"/>
              </w:rPr>
              <w:t>VP QA + AGC</w:t>
            </w:r>
          </w:p>
        </w:tc>
        <w:tc>
          <w:tcPr>
            <w:tcW w:type="dxa" w:w="1728"/>
          </w:tcPr>
          <w:p>
            <w:r/>
            <w:r>
              <w:rPr>
                <w:sz w:val="16"/>
              </w:rPr>
              <w:t>Before April 25, 2025</w:t>
            </w:r>
          </w:p>
        </w:tc>
      </w:tr>
      <w:tr>
        <w:tc>
          <w:tcPr>
            <w:tcW w:type="dxa" w:w="432"/>
          </w:tcPr>
          <w:p>
            <w:r/>
            <w:r>
              <w:rPr>
                <w:sz w:val="16"/>
              </w:rPr>
              <w:t>2</w:t>
            </w:r>
          </w:p>
        </w:tc>
        <w:tc>
          <w:tcPr>
            <w:tcW w:type="dxa" w:w="5472"/>
          </w:tcPr>
          <w:p>
            <w:r/>
            <w:r>
              <w:rPr>
                <w:sz w:val="16"/>
              </w:rPr>
              <w:t>Deliver approved 25 mg / 100 mg specifications (IPC, release, shelf-life) for Annex B</w:t>
            </w:r>
          </w:p>
        </w:tc>
        <w:tc>
          <w:tcPr>
            <w:tcW w:type="dxa" w:w="2016"/>
          </w:tcPr>
          <w:p>
            <w:r/>
            <w:r>
              <w:rPr>
                <w:sz w:val="16"/>
              </w:rPr>
              <w:t>Regulatory Affairs / QA</w:t>
            </w:r>
          </w:p>
        </w:tc>
        <w:tc>
          <w:tcPr>
            <w:tcW w:type="dxa" w:w="1728"/>
          </w:tcPr>
          <w:p>
            <w:r/>
            <w:r>
              <w:rPr>
                <w:sz w:val="16"/>
              </w:rPr>
              <w:t>April 25, 2025</w:t>
            </w:r>
          </w:p>
        </w:tc>
      </w:tr>
      <w:tr>
        <w:tc>
          <w:tcPr>
            <w:tcW w:type="dxa" w:w="432"/>
          </w:tcPr>
          <w:p>
            <w:r/>
            <w:r>
              <w:rPr>
                <w:sz w:val="16"/>
              </w:rPr>
              <w:t>3</w:t>
            </w:r>
          </w:p>
        </w:tc>
        <w:tc>
          <w:tcPr>
            <w:tcW w:type="dxa" w:w="5472"/>
          </w:tcPr>
          <w:p>
            <w:r/>
            <w:r>
              <w:rPr>
                <w:sz w:val="16"/>
              </w:rPr>
              <w:t>Deliver Approved Test Methods list with validation and transfer report references for Annex C (MSA §3.2)</w:t>
            </w:r>
          </w:p>
        </w:tc>
        <w:tc>
          <w:tcPr>
            <w:tcW w:type="dxa" w:w="2016"/>
          </w:tcPr>
          <w:p>
            <w:r/>
            <w:r>
              <w:rPr>
                <w:sz w:val="16"/>
              </w:rPr>
              <w:t>QA / Analytical</w:t>
            </w:r>
          </w:p>
        </w:tc>
        <w:tc>
          <w:tcPr>
            <w:tcW w:type="dxa" w:w="1728"/>
          </w:tcPr>
          <w:p>
            <w:r/>
            <w:r>
              <w:rPr>
                <w:sz w:val="16"/>
              </w:rPr>
              <w:t>April 30, 2025</w:t>
            </w:r>
          </w:p>
        </w:tc>
      </w:tr>
      <w:tr>
        <w:tc>
          <w:tcPr>
            <w:tcW w:type="dxa" w:w="432"/>
          </w:tcPr>
          <w:p>
            <w:r/>
            <w:r>
              <w:rPr>
                <w:sz w:val="16"/>
              </w:rPr>
              <w:t>4</w:t>
            </w:r>
          </w:p>
        </w:tc>
        <w:tc>
          <w:tcPr>
            <w:tcW w:type="dxa" w:w="5472"/>
          </w:tcPr>
          <w:p>
            <w:r/>
            <w:r>
              <w:rPr>
                <w:sz w:val="16"/>
              </w:rPr>
              <w:t>Confirm whether Rheintal, Solara and QCBio are registered testing sites in NDA 215-847 / EU MA; assess post-Brexit status of UK testing for EU certification</w:t>
            </w:r>
          </w:p>
        </w:tc>
        <w:tc>
          <w:tcPr>
            <w:tcW w:type="dxa" w:w="2016"/>
          </w:tcPr>
          <w:p>
            <w:r/>
            <w:r>
              <w:rPr>
                <w:sz w:val="16"/>
              </w:rPr>
              <w:t>Regulatory Affairs</w:t>
            </w:r>
          </w:p>
        </w:tc>
        <w:tc>
          <w:tcPr>
            <w:tcW w:type="dxa" w:w="1728"/>
          </w:tcPr>
          <w:p>
            <w:r/>
            <w:r>
              <w:rPr>
                <w:sz w:val="16"/>
              </w:rPr>
              <w:t>April 30, 2025</w:t>
            </w:r>
          </w:p>
        </w:tc>
      </w:tr>
      <w:tr>
        <w:tc>
          <w:tcPr>
            <w:tcW w:type="dxa" w:w="432"/>
          </w:tcPr>
          <w:p>
            <w:r/>
            <w:r>
              <w:rPr>
                <w:sz w:val="16"/>
              </w:rPr>
              <w:t>5</w:t>
            </w:r>
          </w:p>
        </w:tc>
        <w:tc>
          <w:tcPr>
            <w:tcW w:type="dxa" w:w="5472"/>
          </w:tcPr>
          <w:p>
            <w:r/>
            <w:r>
              <w:rPr>
                <w:sz w:val="16"/>
              </w:rPr>
              <w:t>Schedule Ceritas qualification audits of the three laboratories</w:t>
            </w:r>
          </w:p>
        </w:tc>
        <w:tc>
          <w:tcPr>
            <w:tcW w:type="dxa" w:w="2016"/>
          </w:tcPr>
          <w:p>
            <w:r/>
            <w:r>
              <w:rPr>
                <w:sz w:val="16"/>
              </w:rPr>
              <w:t>QA Audit</w:t>
            </w:r>
          </w:p>
        </w:tc>
        <w:tc>
          <w:tcPr>
            <w:tcW w:type="dxa" w:w="1728"/>
          </w:tcPr>
          <w:p>
            <w:r/>
            <w:r>
              <w:rPr>
                <w:sz w:val="16"/>
              </w:rPr>
              <w:t>Plan by May 2, 2025</w:t>
            </w:r>
          </w:p>
        </w:tc>
      </w:tr>
      <w:tr>
        <w:tc>
          <w:tcPr>
            <w:tcW w:type="dxa" w:w="432"/>
          </w:tcPr>
          <w:p>
            <w:r/>
            <w:r>
              <w:rPr>
                <w:sz w:val="16"/>
              </w:rPr>
              <w:t>6</w:t>
            </w:r>
          </w:p>
        </w:tc>
        <w:tc>
          <w:tcPr>
            <w:tcW w:type="dxa" w:w="5472"/>
          </w:tcPr>
          <w:p>
            <w:r/>
            <w:r>
              <w:rPr>
                <w:sz w:val="16"/>
              </w:rPr>
              <w:t>Obtain Pinnacle inspection history (FDA 483/EIR; EudraGMDP) and re-score LS where warranted</w:t>
            </w:r>
          </w:p>
        </w:tc>
        <w:tc>
          <w:tcPr>
            <w:tcW w:type="dxa" w:w="2016"/>
          </w:tcPr>
          <w:p>
            <w:r/>
            <w:r>
              <w:rPr>
                <w:sz w:val="16"/>
              </w:rPr>
              <w:t>QA / Regulatory</w:t>
            </w:r>
          </w:p>
        </w:tc>
        <w:tc>
          <w:tcPr>
            <w:tcW w:type="dxa" w:w="1728"/>
          </w:tcPr>
          <w:p>
            <w:r/>
            <w:r>
              <w:rPr>
                <w:sz w:val="16"/>
              </w:rPr>
              <w:t>Before working session</w:t>
            </w:r>
          </w:p>
        </w:tc>
      </w:tr>
      <w:tr>
        <w:tc>
          <w:tcPr>
            <w:tcW w:type="dxa" w:w="432"/>
          </w:tcPr>
          <w:p>
            <w:r/>
            <w:r>
              <w:rPr>
                <w:sz w:val="16"/>
              </w:rPr>
              <w:t>7</w:t>
            </w:r>
          </w:p>
        </w:tc>
        <w:tc>
          <w:tcPr>
            <w:tcW w:type="dxa" w:w="5472"/>
          </w:tcPr>
          <w:p>
            <w:r/>
            <w:r>
              <w:rPr>
                <w:sz w:val="16"/>
              </w:rPr>
              <w:t>Confirm Ceritas contact details (MSA Exhibit E vs. transmittal header addresses), set up a 24/7 QA notification mailbox, and name the Ceritas Ireland contact and signatory</w:t>
            </w:r>
          </w:p>
        </w:tc>
        <w:tc>
          <w:tcPr>
            <w:tcW w:type="dxa" w:w="2016"/>
          </w:tcPr>
          <w:p>
            <w:r/>
            <w:r>
              <w:rPr>
                <w:sz w:val="16"/>
              </w:rPr>
              <w:t>QA / Legal / Ceritas Ireland</w:t>
            </w:r>
          </w:p>
        </w:tc>
        <w:tc>
          <w:tcPr>
            <w:tcW w:type="dxa" w:w="1728"/>
          </w:tcPr>
          <w:p>
            <w:r/>
            <w:r>
              <w:rPr>
                <w:sz w:val="16"/>
              </w:rPr>
              <w:t>April 25, 2025</w:t>
            </w:r>
          </w:p>
        </w:tc>
      </w:tr>
      <w:tr>
        <w:tc>
          <w:tcPr>
            <w:tcW w:type="dxa" w:w="432"/>
          </w:tcPr>
          <w:p>
            <w:r/>
            <w:r>
              <w:rPr>
                <w:sz w:val="16"/>
              </w:rPr>
              <w:t>8</w:t>
            </w:r>
          </w:p>
        </w:tc>
        <w:tc>
          <w:tcPr>
            <w:tcW w:type="dxa" w:w="5472"/>
          </w:tcPr>
          <w:p>
            <w:r/>
            <w:r>
              <w:rPr>
                <w:sz w:val="16"/>
              </w:rPr>
              <w:t>Diary Rubric §9.5 escalation check</w:t>
            </w:r>
          </w:p>
        </w:tc>
        <w:tc>
          <w:tcPr>
            <w:tcW w:type="dxa" w:w="2016"/>
          </w:tcPr>
          <w:p>
            <w:r/>
            <w:r>
              <w:rPr>
                <w:sz w:val="16"/>
              </w:rPr>
              <w:t>Lead reviewer</w:t>
            </w:r>
          </w:p>
        </w:tc>
        <w:tc>
          <w:tcPr>
            <w:tcW w:type="dxa" w:w="1728"/>
          </w:tcPr>
          <w:p>
            <w:r/>
            <w:r>
              <w:rPr>
                <w:sz w:val="16"/>
              </w:rPr>
              <w:t>April 28, 2025</w:t>
            </w:r>
          </w:p>
        </w:tc>
      </w:tr>
      <w:tr>
        <w:tc>
          <w:tcPr>
            <w:tcW w:type="dxa" w:w="432"/>
          </w:tcPr>
          <w:p>
            <w:r/>
            <w:r>
              <w:rPr>
                <w:sz w:val="16"/>
              </w:rPr>
              <w:t>9</w:t>
            </w:r>
          </w:p>
        </w:tc>
        <w:tc>
          <w:tcPr>
            <w:tcW w:type="dxa" w:w="5472"/>
          </w:tcPr>
          <w:p>
            <w:r/>
            <w:r>
              <w:rPr>
                <w:sz w:val="16"/>
              </w:rPr>
              <w:t>Record all exceptions and escalations in the Quality Agreement Negotiation Log</w:t>
            </w:r>
          </w:p>
        </w:tc>
        <w:tc>
          <w:tcPr>
            <w:tcW w:type="dxa" w:w="2016"/>
          </w:tcPr>
          <w:p>
            <w:r/>
            <w:r>
              <w:rPr>
                <w:sz w:val="16"/>
              </w:rPr>
              <w:t>Playbook Owner</w:t>
            </w:r>
          </w:p>
        </w:tc>
        <w:tc>
          <w:tcPr>
            <w:tcW w:type="dxa" w:w="1728"/>
          </w:tcPr>
          <w:p>
            <w:r/>
            <w:r>
              <w:rPr>
                <w:sz w:val="16"/>
              </w:rPr>
              <w:t>Ongoing</w:t>
            </w:r>
          </w:p>
        </w:tc>
      </w:tr>
    </w:tbl>
    <w:p>
      <w:pPr>
        <w:spacing w:after="40"/>
      </w:pPr>
    </w:p>
    <w:p>
      <w:pPr>
        <w:pStyle w:val="Heading1"/>
      </w:pPr>
      <w:r>
        <w:t>10. Provisions Reviewed Without Material Deviation</w:t>
      </w:r>
    </w:p>
    <w:p>
      <w:pPr>
        <w:spacing w:after="80"/>
      </w:pPr>
      <w:r>
        <w:rPr>
          <w:b w:val="0"/>
          <w:i w:val="0"/>
        </w:rPr>
        <w:t>These provisions meet the Playbook or raise no issue and are left substantively unchanged in the redline: §1.3 regulatory framework (supplemented only); definitions §2.1, 2.3, 2.4, 2.7, 2.8, 2.10–2.14; §3.1(a)–(i); §4.1 and §4.2 (training); §7.1(b) U.S. shipment hold; §9.2 ¶1 (Ceritas audit report within 30 business days); §10.3 (recall cooperation); §11.3 (Pinnacle remains responsible for subcontractors); §12.2 (documentation); §13.1 (stability scope, storage chambers); §16.2 (amendments), §16.4 (severability), §16.5 (counterparts), §16.6 (entire agreement).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