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rPr>
        <w:t>PRIVILEGED &amp; CONFIDENTIAL — ATTORNEY-CLIENT COMMUNICATION / ATTORNEY WORK PRODUCT</w:t>
      </w:r>
    </w:p>
    <w:p>
      <w:pPr>
        <w:spacing w:after="120"/>
        <w:jc w:val="center"/>
      </w:pPr>
      <w:r>
        <w:rPr>
          <w:b w:val="0"/>
        </w:rPr>
        <w:t>Prepared at the direction of counsel in anticipation of a regulatory proceeding. Do not forward outside the addressees. Draft for review by Oakvale Hale LLP before any board circulation.</w:t>
      </w:r>
    </w:p>
    <w:p>
      <w:pPr>
        <w:jc w:val="center"/>
      </w:pPr>
      <w:r>
        <w:rPr>
          <w:b/>
          <w:sz w:val="30"/>
        </w:rPr>
        <w:t>EXECUTIVE BRIEFING MEMORANDUM</w:t>
      </w:r>
    </w:p>
    <w:tbl>
      <w:tblPr>
        <w:tblStyle w:val="TableGrid"/>
        <w:tblW w:type="auto" w:w="0"/>
        <w:jc w:val="center"/>
        <w:tblLook w:firstColumn="1" w:firstRow="1" w:lastColumn="0" w:lastRow="0" w:noHBand="0" w:noVBand="1" w:val="04A0"/>
      </w:tblPr>
      <w:tblGrid>
        <w:gridCol w:w="4680"/>
        <w:gridCol w:w="4680"/>
      </w:tblGrid>
      <w:tr>
        <w:tc>
          <w:tcPr>
            <w:tcW w:type="dxa" w:w="1296"/>
          </w:tcPr>
          <w:p>
            <w:r/>
            <w:r>
              <w:rPr>
                <w:b w:val="0"/>
                <w:sz w:val="20"/>
              </w:rPr>
              <w:t>TO</w:t>
            </w:r>
          </w:p>
        </w:tc>
        <w:tc>
          <w:tcPr>
            <w:tcW w:type="dxa" w:w="8064"/>
          </w:tcPr>
          <w:p>
            <w:r/>
            <w:r>
              <w:rPr>
                <w:b w:val="0"/>
                <w:sz w:val="20"/>
              </w:rPr>
              <w:t>Lars Engebretsen, Chief Executive Officer</w:t>
            </w:r>
          </w:p>
        </w:tc>
      </w:tr>
      <w:tr>
        <w:tc>
          <w:tcPr>
            <w:tcW w:type="dxa" w:w="1296"/>
          </w:tcPr>
          <w:p>
            <w:r/>
            <w:r>
              <w:rPr>
                <w:b w:val="0"/>
                <w:sz w:val="20"/>
              </w:rPr>
              <w:t>CC</w:t>
            </w:r>
          </w:p>
        </w:tc>
        <w:tc>
          <w:tcPr>
            <w:tcW w:type="dxa" w:w="8064"/>
          </w:tcPr>
          <w:p>
            <w:r/>
            <w:r>
              <w:rPr>
                <w:b w:val="0"/>
                <w:sz w:val="20"/>
              </w:rPr>
              <w:t>Brian Hsu, Chief Marketing Officer; Fiona Driscoll, Chief Technology Officer</w:t>
            </w:r>
          </w:p>
        </w:tc>
      </w:tr>
      <w:tr>
        <w:tc>
          <w:tcPr>
            <w:tcW w:type="dxa" w:w="1296"/>
          </w:tcPr>
          <w:p>
            <w:r/>
            <w:r>
              <w:rPr>
                <w:b w:val="0"/>
                <w:sz w:val="20"/>
              </w:rPr>
              <w:t>FROM</w:t>
            </w:r>
          </w:p>
        </w:tc>
        <w:tc>
          <w:tcPr>
            <w:tcW w:type="dxa" w:w="8064"/>
          </w:tcPr>
          <w:p>
            <w:r/>
            <w:r>
              <w:rPr>
                <w:b w:val="0"/>
                <w:sz w:val="20"/>
              </w:rPr>
              <w:t>Maya Torsten, VP of Legal &amp; Compliance / Privacy Officer</w:t>
            </w:r>
          </w:p>
        </w:tc>
      </w:tr>
      <w:tr>
        <w:tc>
          <w:tcPr>
            <w:tcW w:type="dxa" w:w="1296"/>
          </w:tcPr>
          <w:p>
            <w:r/>
            <w:r>
              <w:rPr>
                <w:b w:val="0"/>
                <w:sz w:val="20"/>
              </w:rPr>
              <w:t>DATE</w:t>
            </w:r>
          </w:p>
        </w:tc>
        <w:tc>
          <w:tcPr>
            <w:tcW w:type="dxa" w:w="8064"/>
          </w:tcPr>
          <w:p>
            <w:r/>
            <w:r>
              <w:rPr>
                <w:b w:val="0"/>
                <w:sz w:val="20"/>
              </w:rPr>
              <w:t>February 14, 2025</w:t>
            </w:r>
          </w:p>
        </w:tc>
      </w:tr>
      <w:tr>
        <w:tc>
          <w:tcPr>
            <w:tcW w:type="dxa" w:w="1296"/>
          </w:tcPr>
          <w:p>
            <w:r/>
            <w:r>
              <w:rPr>
                <w:b w:val="0"/>
                <w:sz w:val="20"/>
              </w:rPr>
              <w:t>RE</w:t>
            </w:r>
          </w:p>
        </w:tc>
        <w:tc>
          <w:tcPr>
            <w:tcW w:type="dxa" w:w="8064"/>
          </w:tcPr>
          <w:p>
            <w:r/>
            <w:r>
              <w:rPr>
                <w:b w:val="0"/>
                <w:sz w:val="20"/>
              </w:rPr>
              <w:t>CPRA compliance risks, financial exposure, and remediation priorities — including response strategy for CPPA Inquiry Letter, Case No. CPPA-ENF-2025-01847 (response due March 18, 2025)</w:t>
            </w:r>
          </w:p>
        </w:tc>
      </w:tr>
    </w:tbl>
    <w:p>
      <w:pPr>
        <w:spacing w:after="40"/>
      </w:pPr>
    </w:p>
    <w:p>
      <w:pPr>
        <w:pStyle w:val="Heading1"/>
      </w:pPr>
      <w:r>
        <w:t>I. Bottom Line</w:t>
      </w:r>
    </w:p>
    <w:p>
      <w:pPr>
        <w:spacing w:after="120"/>
      </w:pPr>
      <w:r>
        <w:rPr>
          <w:b w:val="0"/>
        </w:rPr>
        <w:t xml:space="preserve">CHG is squarely exposed on </w:t>
      </w:r>
      <w:r>
        <w:rPr>
          <w:b/>
        </w:rPr>
        <w:t>four of the CPPA's six announced 2025 enforcement priorities</w:t>
      </w:r>
      <w:r>
        <w:rPr>
          <w:b w:val="0"/>
        </w:rPr>
        <w:t xml:space="preserve"> at once (Priority 3, opt-out preference signals/GPC; Priority 4, dark patterns; Priority 5, service-provider/contractor agreements; Priority 6, right-to-delete timelines), has related gaps outside the list (an outdated privacy policy, undisclosed sale/sharing of loyalty data, and undisclosed sensitive geolocation data), and it has an </w:t>
      </w:r>
      <w:r>
        <w:rPr>
          <w:b/>
        </w:rPr>
        <w:t>open CPPA inquiry</w:t>
      </w:r>
      <w:r>
        <w:rPr>
          <w:b w:val="0"/>
        </w:rPr>
        <w:t xml:space="preserve"> whose document requests will expose the deletion and vendor-contract problems regardless of how the response is framed. The two complaints are symptoms of a systemic deletion-processing failure that the Agency will see as soon as it reviews our policies and vendor list.</w:t>
      </w:r>
    </w:p>
    <w:p>
      <w:pPr>
        <w:pStyle w:val="ListBullet"/>
        <w:spacing w:after="60"/>
      </w:pPr>
      <w:r>
        <w:rPr>
          <w:b/>
        </w:rPr>
        <w:t>Most urgent (next 30 days):</w:t>
      </w:r>
      <w:r>
        <w:rPr>
          <w:b w:val="0"/>
        </w:rPr>
        <w:t xml:space="preserve"> (1) file a complete, accurate, on-time response to the Inquiry Letter (target submission </w:t>
      </w:r>
      <w:r>
        <w:rPr>
          <w:b/>
        </w:rPr>
        <w:t>March 14</w:t>
      </w:r>
      <w:r>
        <w:rPr>
          <w:b w:val="0"/>
        </w:rPr>
        <w:t>, four days before the March 18 deadline); (2) issue a document preservation notice today; (3) turn on GPC recognition and replace the cookie banner — the CPPA says it can detect GPC non-compliance with automated tools, our banner matches the designs targeted in its November 2024 sweep, and both are cheap to fix relative to exposure, and should be fixed before the Agency looks beyond the two complaints.</w:t>
      </w:r>
    </w:p>
    <w:p>
      <w:pPr>
        <w:pStyle w:val="ListBullet"/>
        <w:spacing w:after="60"/>
      </w:pPr>
      <w:r>
        <w:rPr>
          <w:b/>
        </w:rPr>
        <w:t>Realistic exposure</w:t>
      </w:r>
      <w:r>
        <w:rPr>
          <w:b w:val="0"/>
        </w:rPr>
        <w:t xml:space="preserve"> if the inquiry expands into a multi-issue investigation: on the order of </w:t>
      </w:r>
      <w:r>
        <w:rPr>
          <w:b/>
        </w:rPr>
        <w:t>$1.1 million to $4.5 million</w:t>
      </w:r>
      <w:r>
        <w:rPr>
          <w:b w:val="0"/>
        </w:rPr>
        <w:t xml:space="preserve"> in negotiated penalties (counsel's planning estimate, Section IV), plus a multi-year compliance order. </w:t>
      </w:r>
      <w:r>
        <w:rPr>
          <w:b/>
        </w:rPr>
        <w:t>Theoretical statutory maximums run into the tens or hundreds of millions</w:t>
      </w:r>
      <w:r>
        <w:rPr>
          <w:b w:val="0"/>
        </w:rPr>
        <w:t xml:space="preserve"> on any per-consumer theory and should be described to the board as leverage the Agency holds, not as a forecast.</w:t>
      </w:r>
    </w:p>
    <w:p>
      <w:pPr>
        <w:pStyle w:val="ListBullet"/>
        <w:spacing w:after="60"/>
      </w:pPr>
      <w:r>
        <w:rPr>
          <w:b/>
        </w:rPr>
        <w:t>Remediation cost:</w:t>
      </w:r>
      <w:r>
        <w:rPr>
          <w:b w:val="0"/>
        </w:rPr>
        <w:t xml:space="preserve"> Thornbury estimates </w:t>
      </w:r>
      <w:r>
        <w:rPr>
          <w:b/>
        </w:rPr>
        <w:t>$425,000</w:t>
      </w:r>
      <w:r>
        <w:rPr>
          <w:b w:val="0"/>
        </w:rPr>
        <w:t xml:space="preserve">, which exceeds the current $340,000 privacy allocation by $85,000. That figure is understated (it omits the two additional request-processing hires, the loyalty-program financial-incentive notice, the HR data assessment, and a $6,000 DPA cost variance; and the CTO's GPC timeline is twice Thornbury's). I recommend authorizing </w:t>
      </w:r>
      <w:r>
        <w:rPr>
          <w:b/>
        </w:rPr>
        <w:t>up to $600,000</w:t>
      </w:r>
      <w:r>
        <w:rPr>
          <w:b w:val="0"/>
        </w:rPr>
        <w:t xml:space="preserve"> for 2025 remediation, with a 15% contingency held centrally.</w:t>
      </w:r>
    </w:p>
    <w:p>
      <w:pPr>
        <w:pStyle w:val="ListBullet"/>
        <w:spacing w:after="60"/>
      </w:pPr>
      <w:r>
        <w:rPr>
          <w:b/>
        </w:rPr>
        <w:t>ADN/Prism partnerships ($2.26 million/year):</w:t>
      </w:r>
      <w:r>
        <w:rPr>
          <w:b w:val="0"/>
        </w:rPr>
        <w:t xml:space="preserve"> no shutdown is legally required, but the arrangements are a </w:t>
      </w:r>
      <w:r>
        <w:rPr>
          <w:b/>
        </w:rPr>
        <w:t>"sale" and "sharing"</w:t>
      </w:r>
      <w:r>
        <w:rPr>
          <w:b w:val="0"/>
        </w:rPr>
        <w:t xml:space="preserve"> that must be supported by opt-out rights, GPC, privacy-policy disclosure, a Notice of Financial Incentive for Cascadia Rewards, and third-party contracts. Assuming opt-out rates of 10–40%, the revenue impact is roughly </w:t>
      </w:r>
      <w:r>
        <w:rPr>
          <w:b/>
        </w:rPr>
        <w:t>$226,000–$904,000/year</w:t>
      </w:r>
      <w:r>
        <w:rPr>
          <w:b w:val="0"/>
        </w:rPr>
        <w:t xml:space="preserve"> — well below the realistic penalty range and far below Brian's $3–4 million full-shutdown ROAS estimate.</w:t>
      </w:r>
    </w:p>
    <w:p>
      <w:pPr>
        <w:pStyle w:val="ListBullet"/>
        <w:spacing w:after="60"/>
      </w:pPr>
      <w:r>
        <w:rPr>
          <w:b/>
        </w:rPr>
        <w:t>Response strategy:</w:t>
      </w:r>
      <w:r>
        <w:rPr>
          <w:b w:val="0"/>
        </w:rPr>
        <w:t xml:space="preserve"> answer every request fully and truthfully, including ADN and Prism as </w:t>
      </w:r>
      <w:r>
        <w:rPr>
          <w:b/>
        </w:rPr>
        <w:t>third-party</w:t>
      </w:r>
      <w:r>
        <w:rPr>
          <w:b w:val="0"/>
        </w:rPr>
        <w:t xml:space="preserve"> recipients (the letter expressly asks for third parties, not only service providers); produce the policies that actually existed (no back-dating); acknowledge the deletion-timeline failure for the two consumers and describe remediation already under way; do not produce the privileged Thornbury report or volunteer unrelated findings, but make no statement that is inaccurate or misleading by omission. Detail in Section VI.</w:t>
      </w:r>
    </w:p>
    <w:p>
      <w:pPr>
        <w:pStyle w:val="ListBullet"/>
        <w:spacing w:after="60"/>
      </w:pPr>
      <w:r>
        <w:rPr>
          <w:b/>
        </w:rPr>
        <w:t>Data integrity warning:</w:t>
      </w:r>
      <w:r>
        <w:rPr>
          <w:b w:val="0"/>
        </w:rPr>
        <w:t xml:space="preserve"> several figures in our internal materials conflict (vendor names, the 7,480 late-request figure, the GPC population, vendor cost totals). These must be reconciled before anything is sent to the CPPA or the board (Section VIII).</w:t>
      </w:r>
    </w:p>
    <w:p>
      <w:pPr>
        <w:pStyle w:val="Heading2"/>
      </w:pPr>
      <w:r>
        <w:t>Decisions requested from the CEO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F3A5F"/>
          </w:tcPr>
          <w:p>
            <w:r/>
            <w:r>
              <w:rPr>
                <w:b/>
                <w:color w:val="FFFFFF"/>
                <w:sz w:val="18"/>
              </w:rPr>
              <w:t>#</w:t>
            </w:r>
          </w:p>
        </w:tc>
        <w:tc>
          <w:tcPr>
            <w:tcW w:type="dxa" w:w="2880"/>
            <w:shd w:val="clear" w:color="auto" w:fill="1F3A5F"/>
          </w:tcPr>
          <w:p>
            <w:r/>
            <w:r>
              <w:rPr>
                <w:b/>
                <w:color w:val="FFFFFF"/>
                <w:sz w:val="18"/>
              </w:rPr>
              <w:t>Decision</w:t>
            </w:r>
          </w:p>
        </w:tc>
        <w:tc>
          <w:tcPr>
            <w:tcW w:type="dxa" w:w="4752"/>
            <w:shd w:val="clear" w:color="auto" w:fill="1F3A5F"/>
          </w:tcPr>
          <w:p>
            <w:r/>
            <w:r>
              <w:rPr>
                <w:b/>
                <w:color w:val="FFFFFF"/>
                <w:sz w:val="18"/>
              </w:rPr>
              <w:t>Recommendation</w:t>
            </w:r>
          </w:p>
        </w:tc>
        <w:tc>
          <w:tcPr>
            <w:tcW w:type="dxa" w:w="1296"/>
            <w:shd w:val="clear" w:color="auto" w:fill="1F3A5F"/>
          </w:tcPr>
          <w:p>
            <w:r/>
            <w:r>
              <w:rPr>
                <w:b/>
                <w:color w:val="FFFFFF"/>
                <w:sz w:val="18"/>
              </w:rPr>
              <w:t>Needed by</w:t>
            </w:r>
          </w:p>
        </w:tc>
      </w:tr>
      <w:tr>
        <w:tc>
          <w:tcPr>
            <w:tcW w:type="dxa" w:w="432"/>
          </w:tcPr>
          <w:p>
            <w:r/>
            <w:r>
              <w:rPr>
                <w:b w:val="0"/>
                <w:sz w:val="18"/>
              </w:rPr>
              <w:t>1</w:t>
            </w:r>
          </w:p>
        </w:tc>
        <w:tc>
          <w:tcPr>
            <w:tcW w:type="dxa" w:w="2880"/>
          </w:tcPr>
          <w:p>
            <w:r/>
            <w:r>
              <w:rPr>
                <w:b w:val="0"/>
                <w:sz w:val="18"/>
              </w:rPr>
              <w:t>Approve supplemental privacy remediation budget</w:t>
            </w:r>
          </w:p>
        </w:tc>
        <w:tc>
          <w:tcPr>
            <w:tcW w:type="dxa" w:w="4752"/>
          </w:tcPr>
          <w:p>
            <w:r/>
            <w:r>
              <w:rPr>
                <w:b w:val="0"/>
                <w:sz w:val="18"/>
              </w:rPr>
              <w:t>Authorize up to $600,000 (vs. $340,000 allocated); release first $250,000 immediately</w:t>
            </w:r>
          </w:p>
        </w:tc>
        <w:tc>
          <w:tcPr>
            <w:tcW w:type="dxa" w:w="1296"/>
          </w:tcPr>
          <w:p>
            <w:r/>
            <w:r>
              <w:rPr>
                <w:b w:val="0"/>
                <w:sz w:val="18"/>
              </w:rPr>
              <w:t>Feb 18</w:t>
            </w:r>
          </w:p>
        </w:tc>
      </w:tr>
      <w:tr>
        <w:tc>
          <w:tcPr>
            <w:tcW w:type="dxa" w:w="432"/>
          </w:tcPr>
          <w:p>
            <w:r/>
            <w:r>
              <w:rPr>
                <w:b w:val="0"/>
                <w:sz w:val="18"/>
              </w:rPr>
              <w:t>2</w:t>
            </w:r>
          </w:p>
        </w:tc>
        <w:tc>
          <w:tcPr>
            <w:tcW w:type="dxa" w:w="2880"/>
          </w:tcPr>
          <w:p>
            <w:r/>
            <w:r>
              <w:rPr>
                <w:b w:val="0"/>
                <w:sz w:val="18"/>
              </w:rPr>
              <w:t>Confirm Oakvale Hale LLP engagement; route Thornbury follow-on work through counsel</w:t>
            </w:r>
          </w:p>
        </w:tc>
        <w:tc>
          <w:tcPr>
            <w:tcW w:type="dxa" w:w="4752"/>
          </w:tcPr>
          <w:p>
            <w:r/>
            <w:r>
              <w:rPr>
                <w:b w:val="0"/>
                <w:sz w:val="18"/>
              </w:rPr>
              <w:t>Approve; counsel to quarterback CPPA response and privileged remediation work</w:t>
            </w:r>
          </w:p>
        </w:tc>
        <w:tc>
          <w:tcPr>
            <w:tcW w:type="dxa" w:w="1296"/>
          </w:tcPr>
          <w:p>
            <w:r/>
            <w:r>
              <w:rPr>
                <w:b w:val="0"/>
                <w:sz w:val="18"/>
              </w:rPr>
              <w:t>Feb 18</w:t>
            </w:r>
          </w:p>
        </w:tc>
      </w:tr>
      <w:tr>
        <w:tc>
          <w:tcPr>
            <w:tcW w:type="dxa" w:w="432"/>
          </w:tcPr>
          <w:p>
            <w:r/>
            <w:r>
              <w:rPr>
                <w:b w:val="0"/>
                <w:sz w:val="18"/>
              </w:rPr>
              <w:t>3</w:t>
            </w:r>
          </w:p>
        </w:tc>
        <w:tc>
          <w:tcPr>
            <w:tcW w:type="dxa" w:w="2880"/>
          </w:tcPr>
          <w:p>
            <w:r/>
            <w:r>
              <w:rPr>
                <w:b w:val="0"/>
                <w:sz w:val="18"/>
              </w:rPr>
              <w:t>Approve immediate hire/contract of 2+ request-processing FTEs (or a managed-service vendor)</w:t>
            </w:r>
          </w:p>
        </w:tc>
        <w:tc>
          <w:tcPr>
            <w:tcW w:type="dxa" w:w="4752"/>
          </w:tcPr>
          <w:p>
            <w:r/>
            <w:r>
              <w:rPr>
                <w:b w:val="0"/>
                <w:sz w:val="18"/>
              </w:rPr>
              <w:t>Approve; temporary staff within 2 weeks</w:t>
            </w:r>
          </w:p>
        </w:tc>
        <w:tc>
          <w:tcPr>
            <w:tcW w:type="dxa" w:w="1296"/>
          </w:tcPr>
          <w:p>
            <w:r/>
            <w:r>
              <w:rPr>
                <w:b w:val="0"/>
                <w:sz w:val="18"/>
              </w:rPr>
              <w:t>Feb 21</w:t>
            </w:r>
          </w:p>
        </w:tc>
      </w:tr>
      <w:tr>
        <w:tc>
          <w:tcPr>
            <w:tcW w:type="dxa" w:w="432"/>
          </w:tcPr>
          <w:p>
            <w:r/>
            <w:r>
              <w:rPr>
                <w:b w:val="0"/>
                <w:sz w:val="18"/>
              </w:rPr>
              <w:t>4</w:t>
            </w:r>
          </w:p>
        </w:tc>
        <w:tc>
          <w:tcPr>
            <w:tcW w:type="dxa" w:w="2880"/>
          </w:tcPr>
          <w:p>
            <w:r/>
            <w:r>
              <w:rPr>
                <w:b w:val="0"/>
                <w:sz w:val="18"/>
              </w:rPr>
              <w:t>Interim posture on ADN/Prism data feeds</w:t>
            </w:r>
          </w:p>
        </w:tc>
        <w:tc>
          <w:tcPr>
            <w:tcW w:type="dxa" w:w="4752"/>
          </w:tcPr>
          <w:p>
            <w:r/>
            <w:r>
              <w:rPr>
                <w:b w:val="0"/>
                <w:sz w:val="18"/>
              </w:rPr>
              <w:t>Continue only with interim controls (Section V.D); pause feeds if controls are not live by April 15</w:t>
            </w:r>
          </w:p>
        </w:tc>
        <w:tc>
          <w:tcPr>
            <w:tcW w:type="dxa" w:w="1296"/>
          </w:tcPr>
          <w:p>
            <w:r/>
            <w:r>
              <w:rPr>
                <w:b w:val="0"/>
                <w:sz w:val="18"/>
              </w:rPr>
              <w:t>Feb 21</w:t>
            </w:r>
          </w:p>
        </w:tc>
      </w:tr>
      <w:tr>
        <w:tc>
          <w:tcPr>
            <w:tcW w:type="dxa" w:w="432"/>
          </w:tcPr>
          <w:p>
            <w:r/>
            <w:r>
              <w:rPr>
                <w:b w:val="0"/>
                <w:sz w:val="18"/>
              </w:rPr>
              <w:t>5</w:t>
            </w:r>
          </w:p>
        </w:tc>
        <w:tc>
          <w:tcPr>
            <w:tcW w:type="dxa" w:w="2880"/>
          </w:tcPr>
          <w:p>
            <w:r/>
            <w:r>
              <w:rPr>
                <w:b w:val="0"/>
                <w:sz w:val="18"/>
              </w:rPr>
              <w:t>Board briefing (last week of February)</w:t>
            </w:r>
          </w:p>
        </w:tc>
        <w:tc>
          <w:tcPr>
            <w:tcW w:type="dxa" w:w="4752"/>
          </w:tcPr>
          <w:p>
            <w:r/>
            <w:r>
              <w:rPr>
                <w:b w:val="0"/>
                <w:sz w:val="18"/>
              </w:rPr>
              <w:t>Present this memo's summary, the realistic exposure range, and the remediation plan; schedule a follow-up after the March 18 filing</w:t>
            </w:r>
          </w:p>
        </w:tc>
        <w:tc>
          <w:tcPr>
            <w:tcW w:type="dxa" w:w="1296"/>
          </w:tcPr>
          <w:p>
            <w:r/>
            <w:r>
              <w:rPr>
                <w:b w:val="0"/>
                <w:sz w:val="18"/>
              </w:rPr>
              <w:t>Feb 24</w:t>
            </w:r>
          </w:p>
        </w:tc>
      </w:tr>
    </w:tbl>
    <w:p>
      <w:pPr>
        <w:spacing w:after="40"/>
      </w:pPr>
    </w:p>
    <w:p>
      <w:pPr>
        <w:pStyle w:val="Heading1"/>
      </w:pPr>
      <w:r>
        <w:t>II. Background and Key Dates</w:t>
      </w:r>
    </w:p>
    <w:p>
      <w:pPr>
        <w:spacing w:after="120"/>
      </w:pPr>
      <w:r>
        <w:rPr>
          <w:b/>
        </w:rPr>
        <w:t>The inquiry.</w:t>
      </w:r>
      <w:r>
        <w:rPr>
          <w:b w:val="0"/>
        </w:rPr>
        <w:t xml:space="preserve"> On February 3, 2025, the CPPA Enforcement Division (Deputy Director Rachel Mendoza-Park; assigned analyst Daniela Vargas, Senior Enforcement Analyst) issued an Inquiry Letter concerning two consumer complaints (filed December 10 and December 28, 2024) alleging that deletion requests submitted through our online portal in October 2024 were neither completed nor acknowledged, and that follow-up calls to our toll-free line (1-888-555-0147) were unproductive. The letter cites the 45-day response period and single 45-day extension under Civil Code § 1798.130(a)(2), copies the Attorney General's Privacy Enforcement Section, and warns that an untimely or incomplete response may result in a formal investigation under § 1798.199.45 and fines of up to $2,500 per violation or $7,500 per intentional violation. It is not a finding of violation, and the Agency states that cooperation will be considered.</w:t>
      </w:r>
    </w:p>
    <w:p>
      <w:pPr>
        <w:spacing w:after="120"/>
      </w:pPr>
      <w:r>
        <w:rPr>
          <w:b/>
        </w:rPr>
        <w:t>What our own records show.</w:t>
      </w:r>
      <w:r>
        <w:rPr>
          <w:b w:val="0"/>
        </w:rPr>
        <w:t xml:space="preserve"> Fiona's review of the portal logs confirms that both requests were acknowledged 8 business days after submission (within the 10-business-day confirmation requirement), but deletion took </w:t>
      </w:r>
      <w:r>
        <w:rPr>
          <w:b/>
        </w:rPr>
        <w:t>72 and 74 calendar days</w:t>
      </w:r>
      <w:r>
        <w:rPr>
          <w:b w:val="0"/>
        </w:rPr>
        <w:t xml:space="preserve">, and </w:t>
      </w:r>
      <w:r>
        <w:rPr>
          <w:b/>
        </w:rPr>
        <w:t>neither consumer received an extension notice</w:t>
      </w:r>
      <w:r>
        <w:rPr>
          <w:b w:val="0"/>
        </w:rPr>
        <w:t>. Both requests were therefore late under § 1798.130(a)(2); we cannot rely on the 90-day extended window. Separately, Thornbury's January 15, 2025 audit found 17 issues (5 Critical, 12 Moderate) and a 68-day average deletion processing time.</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1F3A5F"/>
          </w:tcPr>
          <w:p>
            <w:r/>
            <w:r>
              <w:rPr>
                <w:b/>
                <w:color w:val="FFFFFF"/>
                <w:sz w:val="18"/>
              </w:rPr>
              <w:t>Date</w:t>
            </w:r>
          </w:p>
        </w:tc>
        <w:tc>
          <w:tcPr>
            <w:tcW w:type="dxa" w:w="7344"/>
            <w:shd w:val="clear" w:color="auto" w:fill="1F3A5F"/>
          </w:tcPr>
          <w:p>
            <w:r/>
            <w:r>
              <w:rPr>
                <w:b/>
                <w:color w:val="FFFFFF"/>
                <w:sz w:val="18"/>
              </w:rPr>
              <w:t>Event / deadline</w:t>
            </w:r>
          </w:p>
        </w:tc>
      </w:tr>
      <w:tr>
        <w:tc>
          <w:tcPr>
            <w:tcW w:type="dxa" w:w="2016"/>
          </w:tcPr>
          <w:p>
            <w:r/>
            <w:r>
              <w:rPr>
                <w:b w:val="0"/>
                <w:sz w:val="18"/>
              </w:rPr>
              <w:t>Jan 15, 2025</w:t>
            </w:r>
          </w:p>
        </w:tc>
        <w:tc>
          <w:tcPr>
            <w:tcW w:type="dxa" w:w="7344"/>
          </w:tcPr>
          <w:p>
            <w:r/>
            <w:r>
              <w:rPr>
                <w:b w:val="0"/>
                <w:sz w:val="18"/>
              </w:rPr>
              <w:t>Thornbury audit report delivered (TRA-2025-CHG-001)</w:t>
            </w:r>
          </w:p>
        </w:tc>
      </w:tr>
      <w:tr>
        <w:tc>
          <w:tcPr>
            <w:tcW w:type="dxa" w:w="2016"/>
          </w:tcPr>
          <w:p>
            <w:r/>
            <w:r>
              <w:rPr>
                <w:b w:val="0"/>
                <w:sz w:val="18"/>
              </w:rPr>
              <w:t>Feb 3, 2025</w:t>
            </w:r>
          </w:p>
        </w:tc>
        <w:tc>
          <w:tcPr>
            <w:tcW w:type="dxa" w:w="7344"/>
          </w:tcPr>
          <w:p>
            <w:r/>
            <w:r>
              <w:rPr>
                <w:b w:val="0"/>
                <w:sz w:val="18"/>
              </w:rPr>
              <w:t>CPPA Inquiry Letter issued</w:t>
            </w:r>
          </w:p>
        </w:tc>
      </w:tr>
      <w:tr>
        <w:tc>
          <w:tcPr>
            <w:tcW w:type="dxa" w:w="2016"/>
          </w:tcPr>
          <w:p>
            <w:r/>
            <w:r>
              <w:rPr>
                <w:b w:val="0"/>
                <w:sz w:val="18"/>
              </w:rPr>
              <w:t>Feb 10, 2025</w:t>
            </w:r>
          </w:p>
        </w:tc>
        <w:tc>
          <w:tcPr>
            <w:tcW w:type="dxa" w:w="7344"/>
          </w:tcPr>
          <w:p>
            <w:r/>
            <w:r>
              <w:rPr>
                <w:b w:val="0"/>
                <w:sz w:val="18"/>
              </w:rPr>
              <w:t>Leadership alignment meeting</w:t>
            </w:r>
          </w:p>
        </w:tc>
      </w:tr>
      <w:tr>
        <w:tc>
          <w:tcPr>
            <w:tcW w:type="dxa" w:w="2016"/>
          </w:tcPr>
          <w:p>
            <w:r/>
            <w:r>
              <w:rPr>
                <w:b w:val="0"/>
                <w:sz w:val="18"/>
              </w:rPr>
              <w:t>Last week of Feb 2025</w:t>
            </w:r>
          </w:p>
        </w:tc>
        <w:tc>
          <w:tcPr>
            <w:tcW w:type="dxa" w:w="7344"/>
          </w:tcPr>
          <w:p>
            <w:r/>
            <w:r>
              <w:rPr>
                <w:b w:val="0"/>
                <w:sz w:val="18"/>
              </w:rPr>
              <w:t>Board meeting — preliminary brief</w:t>
            </w:r>
          </w:p>
        </w:tc>
      </w:tr>
      <w:tr>
        <w:tc>
          <w:tcPr>
            <w:tcW w:type="dxa" w:w="2016"/>
          </w:tcPr>
          <w:p>
            <w:r/>
            <w:r>
              <w:rPr>
                <w:b w:val="0"/>
                <w:sz w:val="18"/>
              </w:rPr>
              <w:t>Mar 1, 2025</w:t>
            </w:r>
          </w:p>
        </w:tc>
        <w:tc>
          <w:tcPr>
            <w:tcW w:type="dxa" w:w="7344"/>
          </w:tcPr>
          <w:p>
            <w:r/>
            <w:r>
              <w:rPr>
                <w:b w:val="0"/>
                <w:sz w:val="18"/>
              </w:rPr>
              <w:t>Canopy Social Integrations (outdated DPA) contract renewal — renegotiation leverage point</w:t>
            </w:r>
          </w:p>
        </w:tc>
      </w:tr>
      <w:tr>
        <w:tc>
          <w:tcPr>
            <w:tcW w:type="dxa" w:w="2016"/>
          </w:tcPr>
          <w:p>
            <w:r/>
            <w:r>
              <w:rPr>
                <w:b w:val="0"/>
                <w:sz w:val="18"/>
              </w:rPr>
              <w:t>Mar 14, 2025</w:t>
            </w:r>
          </w:p>
        </w:tc>
        <w:tc>
          <w:tcPr>
            <w:tcW w:type="dxa" w:w="7344"/>
          </w:tcPr>
          <w:p>
            <w:r/>
            <w:r>
              <w:rPr>
                <w:b/>
                <w:sz w:val="18"/>
              </w:rPr>
              <w:t>Target</w:t>
            </w:r>
            <w:r>
              <w:rPr>
                <w:b w:val="0"/>
                <w:sz w:val="18"/>
              </w:rPr>
              <w:t xml:space="preserve"> submission of Inquiry response (internal)</w:t>
            </w:r>
          </w:p>
        </w:tc>
      </w:tr>
      <w:tr>
        <w:tc>
          <w:tcPr>
            <w:tcW w:type="dxa" w:w="2016"/>
          </w:tcPr>
          <w:p>
            <w:r/>
            <w:r>
              <w:rPr>
                <w:b w:val="0"/>
                <w:sz w:val="18"/>
              </w:rPr>
              <w:t>Mar 18, 2025</w:t>
            </w:r>
          </w:p>
        </w:tc>
        <w:tc>
          <w:tcPr>
            <w:tcW w:type="dxa" w:w="7344"/>
          </w:tcPr>
          <w:p>
            <w:r/>
            <w:r>
              <w:rPr>
                <w:b/>
                <w:sz w:val="18"/>
              </w:rPr>
              <w:t>Inquiry response and any privilege log due</w:t>
            </w:r>
            <w:r>
              <w:rPr>
                <w:b w:val="0"/>
                <w:sz w:val="18"/>
              </w:rPr>
              <w:t xml:space="preserve"> (30 business days; the date assumes Presidents' Day, Feb 17, is excluded — counting weekdays only yields March 17, so we should not file on the last day)</w:t>
            </w:r>
          </w:p>
        </w:tc>
      </w:tr>
      <w:tr>
        <w:tc>
          <w:tcPr>
            <w:tcW w:type="dxa" w:w="2016"/>
          </w:tcPr>
          <w:p>
            <w:r/>
            <w:r>
              <w:rPr>
                <w:b w:val="0"/>
                <w:sz w:val="18"/>
              </w:rPr>
              <w:t>Apr 1, 2025</w:t>
            </w:r>
          </w:p>
        </w:tc>
        <w:tc>
          <w:tcPr>
            <w:tcW w:type="dxa" w:w="7344"/>
          </w:tcPr>
          <w:p>
            <w:r/>
            <w:r>
              <w:rPr>
                <w:b w:val="0"/>
                <w:sz w:val="18"/>
              </w:rPr>
              <w:t>Crestwood Loyalty Engine renewal (feeds ADN/Prism; outdated DPA)</w:t>
            </w:r>
          </w:p>
        </w:tc>
      </w:tr>
      <w:tr>
        <w:tc>
          <w:tcPr>
            <w:tcW w:type="dxa" w:w="2016"/>
          </w:tcPr>
          <w:p>
            <w:r/>
            <w:r>
              <w:rPr>
                <w:b w:val="0"/>
                <w:sz w:val="18"/>
              </w:rPr>
              <w:t>Apr 15, 2025</w:t>
            </w:r>
          </w:p>
        </w:tc>
        <w:tc>
          <w:tcPr>
            <w:tcW w:type="dxa" w:w="7344"/>
          </w:tcPr>
          <w:p>
            <w:r/>
            <w:r>
              <w:rPr>
                <w:b w:val="0"/>
                <w:sz w:val="18"/>
              </w:rPr>
              <w:t>Internal target for ADN, Prism, Locale Metrics, Crestwood DPA amendments</w:t>
            </w:r>
          </w:p>
        </w:tc>
      </w:tr>
      <w:tr>
        <w:tc>
          <w:tcPr>
            <w:tcW w:type="dxa" w:w="2016"/>
          </w:tcPr>
          <w:p>
            <w:r/>
            <w:r>
              <w:rPr>
                <w:b w:val="0"/>
                <w:sz w:val="18"/>
              </w:rPr>
              <w:t>May 1, 2025</w:t>
            </w:r>
          </w:p>
        </w:tc>
        <w:tc>
          <w:tcPr>
            <w:tcW w:type="dxa" w:w="7344"/>
          </w:tcPr>
          <w:p>
            <w:r/>
            <w:r>
              <w:rPr>
                <w:b w:val="0"/>
                <w:sz w:val="18"/>
              </w:rPr>
              <w:t>Ashgrove Retargeting renewal (outdated DPA)</w:t>
            </w:r>
          </w:p>
        </w:tc>
      </w:tr>
      <w:tr>
        <w:tc>
          <w:tcPr>
            <w:tcW w:type="dxa" w:w="2016"/>
          </w:tcPr>
          <w:p>
            <w:r/>
            <w:r>
              <w:rPr>
                <w:b w:val="0"/>
                <w:sz w:val="18"/>
              </w:rPr>
              <w:t>Jun 14, 2025</w:t>
            </w:r>
          </w:p>
        </w:tc>
        <w:tc>
          <w:tcPr>
            <w:tcW w:type="dxa" w:w="7344"/>
          </w:tcPr>
          <w:p>
            <w:r/>
            <w:r>
              <w:rPr>
                <w:b w:val="0"/>
                <w:sz w:val="18"/>
              </w:rPr>
              <w:t>ADN contract expiry/auto-renewal</w:t>
            </w:r>
          </w:p>
        </w:tc>
      </w:tr>
      <w:tr>
        <w:tc>
          <w:tcPr>
            <w:tcW w:type="dxa" w:w="2016"/>
          </w:tcPr>
          <w:p>
            <w:r/>
            <w:r>
              <w:rPr>
                <w:b w:val="0"/>
                <w:sz w:val="18"/>
              </w:rPr>
              <w:t>Jul 1, 2025</w:t>
            </w:r>
          </w:p>
        </w:tc>
        <w:tc>
          <w:tcPr>
            <w:tcW w:type="dxa" w:w="7344"/>
          </w:tcPr>
          <w:p>
            <w:r/>
            <w:r>
              <w:rPr>
                <w:b w:val="0"/>
                <w:sz w:val="18"/>
              </w:rPr>
              <w:t>Oakmont Affiliate renewal (outdated DPA)</w:t>
            </w:r>
          </w:p>
        </w:tc>
      </w:tr>
    </w:tbl>
    <w:p>
      <w:pPr>
        <w:spacing w:after="40"/>
      </w:pPr>
    </w:p>
    <w:p>
      <w:pPr>
        <w:pStyle w:val="Heading1"/>
      </w:pPr>
      <w:r>
        <w:t>III. Compliance Gaps Mapped to the CPPA's 2025 Enforcement Priorities</w:t>
      </w:r>
    </w:p>
    <w:p>
      <w:pPr>
        <w:spacing w:after="120"/>
      </w:pPr>
      <w:r>
        <w:rPr>
          <w:b w:val="0"/>
        </w:rPr>
        <w:t>The CPPA's January 2025 statement identified six priority areas. The table maps our gaps to them. Note that the Thornbury report says four priorities are implicated; on my reading the loyalty-program sale/sharing issue and the privacy-policy gaps bring the opt-out and dark-pattern priorities into play on more than one front, and two further issues (financial incentives, sensitive personal information) are outside the six priorities but are likely to be found once the Agency examines the ADN/Prism and Locale Metrics data flows.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shd w:val="clear" w:color="auto" w:fill="1F3A5F"/>
          </w:tcPr>
          <w:p>
            <w:r/>
            <w:r>
              <w:rPr>
                <w:b/>
                <w:color w:val="FFFFFF"/>
                <w:sz w:val="17"/>
              </w:rPr>
              <w:t>CPPA 2025 priority</w:t>
            </w:r>
          </w:p>
        </w:tc>
        <w:tc>
          <w:tcPr>
            <w:tcW w:type="dxa" w:w="2664"/>
            <w:shd w:val="clear" w:color="auto" w:fill="1F3A5F"/>
          </w:tcPr>
          <w:p>
            <w:r/>
            <w:r>
              <w:rPr>
                <w:b/>
                <w:color w:val="FFFFFF"/>
                <w:sz w:val="17"/>
              </w:rPr>
              <w:t>CHG gap (source)</w:t>
            </w:r>
          </w:p>
        </w:tc>
        <w:tc>
          <w:tcPr>
            <w:tcW w:type="dxa" w:w="3312"/>
            <w:shd w:val="clear" w:color="auto" w:fill="1F3A5F"/>
          </w:tcPr>
          <w:p>
            <w:r/>
            <w:r>
              <w:rPr>
                <w:b/>
                <w:color w:val="FFFFFF"/>
                <w:sz w:val="17"/>
              </w:rPr>
              <w:t>Status / evidence</w:t>
            </w:r>
          </w:p>
        </w:tc>
        <w:tc>
          <w:tcPr>
            <w:tcW w:type="dxa" w:w="1440"/>
            <w:shd w:val="clear" w:color="auto" w:fill="1F3A5F"/>
          </w:tcPr>
          <w:p>
            <w:r/>
            <w:r>
              <w:rPr>
                <w:b/>
                <w:color w:val="FFFFFF"/>
                <w:sz w:val="17"/>
              </w:rPr>
              <w:t>Risk</w:t>
            </w:r>
          </w:p>
        </w:tc>
      </w:tr>
      <w:tr>
        <w:tc>
          <w:tcPr>
            <w:tcW w:type="dxa" w:w="1944"/>
          </w:tcPr>
          <w:p>
            <w:r/>
            <w:r>
              <w:rPr>
                <w:b w:val="0"/>
                <w:sz w:val="17"/>
              </w:rPr>
              <w:t>1. Data broker registration (Delete Act)</w:t>
            </w:r>
          </w:p>
        </w:tc>
        <w:tc>
          <w:tcPr>
            <w:tcW w:type="dxa" w:w="2664"/>
          </w:tcPr>
          <w:p>
            <w:r/>
            <w:r>
              <w:rPr>
                <w:b w:val="0"/>
                <w:sz w:val="17"/>
              </w:rPr>
              <w:t>CHG is not a data broker; partners ADN, Prism and Locale Metrics may be</w:t>
            </w:r>
          </w:p>
        </w:tc>
        <w:tc>
          <w:tcPr>
            <w:tcW w:type="dxa" w:w="3312"/>
          </w:tcPr>
          <w:p>
            <w:r/>
            <w:r>
              <w:rPr>
                <w:b w:val="0"/>
                <w:sz w:val="17"/>
              </w:rPr>
              <w:t>Registration status of partners not verified</w:t>
            </w:r>
          </w:p>
        </w:tc>
        <w:tc>
          <w:tcPr>
            <w:tcW w:type="dxa" w:w="1440"/>
          </w:tcPr>
          <w:p>
            <w:r/>
            <w:r>
              <w:rPr>
                <w:b w:val="0"/>
                <w:sz w:val="17"/>
              </w:rPr>
              <w:t>Low (indirect)</w:t>
            </w:r>
          </w:p>
        </w:tc>
      </w:tr>
      <w:tr>
        <w:tc>
          <w:tcPr>
            <w:tcW w:type="dxa" w:w="1944"/>
          </w:tcPr>
          <w:p>
            <w:r/>
            <w:r>
              <w:rPr>
                <w:b w:val="0"/>
                <w:sz w:val="17"/>
              </w:rPr>
              <w:t>2. Children's privacy / AADCA</w:t>
            </w:r>
          </w:p>
        </w:tc>
        <w:tc>
          <w:tcPr>
            <w:tcW w:type="dxa" w:w="2664"/>
          </w:tcPr>
          <w:p>
            <w:r/>
            <w:r>
              <w:rPr>
                <w:b w:val="0"/>
                <w:sz w:val="17"/>
              </w:rPr>
              <w:t>No age-gating on website or app; products not directed to minors</w:t>
            </w:r>
          </w:p>
        </w:tc>
        <w:tc>
          <w:tcPr>
            <w:tcW w:type="dxa" w:w="3312"/>
          </w:tcPr>
          <w:p>
            <w:r/>
            <w:r>
              <w:rPr>
                <w:b w:val="0"/>
                <w:sz w:val="17"/>
              </w:rPr>
              <w:t>No evidence of knowing collection from under-16s</w:t>
            </w:r>
          </w:p>
        </w:tc>
        <w:tc>
          <w:tcPr>
            <w:tcW w:type="dxa" w:w="1440"/>
          </w:tcPr>
          <w:p>
            <w:r/>
            <w:r>
              <w:rPr>
                <w:b w:val="0"/>
                <w:sz w:val="17"/>
              </w:rPr>
              <w:t>Low</w:t>
            </w:r>
          </w:p>
        </w:tc>
      </w:tr>
      <w:tr>
        <w:tc>
          <w:tcPr>
            <w:tcW w:type="dxa" w:w="1944"/>
          </w:tcPr>
          <w:p>
            <w:r/>
            <w:r>
              <w:rPr>
                <w:b w:val="0"/>
                <w:sz w:val="17"/>
              </w:rPr>
              <w:t>3. Opt-out preference signals (GPC)</w:t>
            </w:r>
          </w:p>
        </w:tc>
        <w:tc>
          <w:tcPr>
            <w:tcW w:type="dxa" w:w="2664"/>
          </w:tcPr>
          <w:p>
            <w:r/>
            <w:r>
              <w:rPr>
                <w:b w:val="0"/>
                <w:sz w:val="17"/>
              </w:rPr>
              <w:t>C-01: GPC ignored; all 23 vendor tags fire with Sec-GPC: 1 present; app does not support signals</w:t>
            </w:r>
          </w:p>
        </w:tc>
        <w:tc>
          <w:tcPr>
            <w:tcW w:type="dxa" w:w="3312"/>
          </w:tcPr>
          <w:p>
            <w:r/>
            <w:r>
              <w:rPr>
                <w:b w:val="0"/>
                <w:sz w:val="17"/>
              </w:rPr>
              <w:t>Confirmed by Thornbury browser testing (Firefox, Brave, Chrome+DDG); CPPA has automated GPC test tools and named mid-market e-commerce</w:t>
            </w:r>
          </w:p>
        </w:tc>
        <w:tc>
          <w:tcPr>
            <w:tcW w:type="dxa" w:w="1440"/>
          </w:tcPr>
          <w:p>
            <w:r/>
            <w:r>
              <w:rPr>
                <w:b/>
                <w:sz w:val="17"/>
              </w:rPr>
              <w:t>Critical</w:t>
            </w:r>
          </w:p>
        </w:tc>
      </w:tr>
      <w:tr>
        <w:tc>
          <w:tcPr>
            <w:tcW w:type="dxa" w:w="1944"/>
          </w:tcPr>
          <w:p>
            <w:r/>
            <w:r>
              <w:rPr>
                <w:b w:val="0"/>
                <w:sz w:val="17"/>
              </w:rPr>
              <w:t>4. Dark patterns in consent flows</w:t>
            </w:r>
          </w:p>
        </w:tc>
        <w:tc>
          <w:tcPr>
            <w:tcW w:type="dxa" w:w="2664"/>
          </w:tcPr>
          <w:p>
            <w:r/>
            <w:r>
              <w:rPr>
                <w:b w:val="0"/>
                <w:sz w:val="17"/>
              </w:rPr>
              <w:t>C-02: dominant green "Accept All"; no "Reject All"; "Manage Preferences" below fold; non-essential toggles pre-set ON</w:t>
            </w:r>
          </w:p>
        </w:tc>
        <w:tc>
          <w:tcPr>
            <w:tcW w:type="dxa" w:w="3312"/>
          </w:tcPr>
          <w:p>
            <w:r/>
            <w:r>
              <w:rPr>
                <w:b w:val="0"/>
                <w:sz w:val="17"/>
              </w:rPr>
              <w:t>Matches the precise designs targeted in the Nov. 2024 sweep and listed for 2025; consent obtained is invalid</w:t>
            </w:r>
          </w:p>
        </w:tc>
        <w:tc>
          <w:tcPr>
            <w:tcW w:type="dxa" w:w="1440"/>
          </w:tcPr>
          <w:p>
            <w:r/>
            <w:r>
              <w:rPr>
                <w:b/>
                <w:sz w:val="17"/>
              </w:rPr>
              <w:t>Critical</w:t>
            </w:r>
          </w:p>
        </w:tc>
      </w:tr>
      <w:tr>
        <w:tc>
          <w:tcPr>
            <w:tcW w:type="dxa" w:w="1944"/>
          </w:tcPr>
          <w:p>
            <w:r/>
            <w:r>
              <w:rPr>
                <w:b w:val="0"/>
                <w:sz w:val="17"/>
              </w:rPr>
              <w:t>5. Service-provider / contractor agreements</w:t>
            </w:r>
          </w:p>
        </w:tc>
        <w:tc>
          <w:tcPr>
            <w:tcW w:type="dxa" w:w="2664"/>
          </w:tcPr>
          <w:p>
            <w:r/>
            <w:r>
              <w:rPr>
                <w:b w:val="0"/>
                <w:sz w:val="17"/>
              </w:rPr>
              <w:t>C-05: 9 of 23 DPAs date from 2021, reference pre-CPRA CCPA only; all 9 lack certifications and deletion/return terms; 8 of 9 lack sub-processor flow-down</w:t>
            </w:r>
          </w:p>
        </w:tc>
        <w:tc>
          <w:tcPr>
            <w:tcW w:type="dxa" w:w="3312"/>
          </w:tcPr>
          <w:p>
            <w:r/>
            <w:r>
              <w:rPr>
                <w:b w:val="0"/>
                <w:sz w:val="17"/>
              </w:rPr>
              <w:t>No contractual right to compel downstream deletion for these vendors; vendors may be re-characterized as third parties</w:t>
            </w:r>
          </w:p>
        </w:tc>
        <w:tc>
          <w:tcPr>
            <w:tcW w:type="dxa" w:w="1440"/>
          </w:tcPr>
          <w:p>
            <w:r/>
            <w:r>
              <w:rPr>
                <w:b/>
                <w:sz w:val="17"/>
              </w:rPr>
              <w:t>Critical</w:t>
            </w:r>
          </w:p>
        </w:tc>
      </w:tr>
      <w:tr>
        <w:tc>
          <w:tcPr>
            <w:tcW w:type="dxa" w:w="1944"/>
          </w:tcPr>
          <w:p>
            <w:r/>
            <w:r>
              <w:rPr>
                <w:b w:val="0"/>
                <w:sz w:val="17"/>
              </w:rPr>
              <w:t>6. Right-to-delete timelines</w:t>
            </w:r>
          </w:p>
        </w:tc>
        <w:tc>
          <w:tcPr>
            <w:tcW w:type="dxa" w:w="2664"/>
          </w:tcPr>
          <w:p>
            <w:r/>
            <w:r>
              <w:rPr>
                <w:b w:val="0"/>
                <w:sz w:val="17"/>
              </w:rPr>
              <w:t>C-04: 68-day average; ~72% of deletion requests over 45 days, many without extension notice; 22% over 90 days; 2 FTEs; no vendor-deletion tracking</w:t>
            </w:r>
          </w:p>
        </w:tc>
        <w:tc>
          <w:tcPr>
            <w:tcW w:type="dxa" w:w="3312"/>
          </w:tcPr>
          <w:p>
            <w:r/>
            <w:r>
              <w:rPr>
                <w:b w:val="0"/>
                <w:sz w:val="17"/>
              </w:rPr>
              <w:t>Directly at issue in the open Inquiry; the two complainants' requests took 72 and 74 days with no extension notice</w:t>
            </w:r>
          </w:p>
        </w:tc>
        <w:tc>
          <w:tcPr>
            <w:tcW w:type="dxa" w:w="1440"/>
          </w:tcPr>
          <w:p>
            <w:r/>
            <w:r>
              <w:rPr>
                <w:b/>
                <w:sz w:val="17"/>
              </w:rPr>
              <w:t>Critical</w:t>
            </w:r>
          </w:p>
        </w:tc>
      </w:tr>
      <w:tr>
        <w:tc>
          <w:tcPr>
            <w:tcW w:type="dxa" w:w="1944"/>
          </w:tcPr>
          <w:p>
            <w:r/>
            <w:r>
              <w:rPr>
                <w:b w:val="0"/>
                <w:sz w:val="17"/>
              </w:rPr>
              <w:t>Cross-cutting: disclosures (all priorities)</w:t>
            </w:r>
          </w:p>
        </w:tc>
        <w:tc>
          <w:tcPr>
            <w:tcW w:type="dxa" w:w="2664"/>
          </w:tcPr>
          <w:p>
            <w:r/>
            <w:r>
              <w:rPr>
                <w:b w:val="0"/>
                <w:sz w:val="17"/>
              </w:rPr>
              <w:t>C-03: privacy policy last updated Mar 12, 2023; no SPI, "sharing," correction, limit-SPI or retention disclosures; M-08 app notice from Aug 2022; M-11 footer-only "Do Not Sell" link</w:t>
            </w:r>
          </w:p>
        </w:tc>
        <w:tc>
          <w:tcPr>
            <w:tcW w:type="dxa" w:w="3312"/>
          </w:tcPr>
          <w:p>
            <w:r/>
            <w:r>
              <w:rPr>
                <w:b w:val="0"/>
                <w:sz w:val="17"/>
              </w:rPr>
              <w:t>Will be reviewed in any investigation; undermines good-faith narrative</w:t>
            </w:r>
          </w:p>
        </w:tc>
        <w:tc>
          <w:tcPr>
            <w:tcW w:type="dxa" w:w="1440"/>
          </w:tcPr>
          <w:p>
            <w:r/>
            <w:r>
              <w:rPr>
                <w:b/>
                <w:sz w:val="17"/>
              </w:rPr>
              <w:t>Critical</w:t>
            </w:r>
          </w:p>
        </w:tc>
      </w:tr>
      <w:tr>
        <w:tc>
          <w:tcPr>
            <w:tcW w:type="dxa" w:w="1944"/>
          </w:tcPr>
          <w:p>
            <w:r/>
            <w:r>
              <w:rPr>
                <w:b w:val="0"/>
                <w:sz w:val="17"/>
              </w:rPr>
              <w:t>Not a listed priority: sale/sharing via Cascadia Rewards</w:t>
            </w:r>
          </w:p>
        </w:tc>
        <w:tc>
          <w:tcPr>
            <w:tcW w:type="dxa" w:w="2664"/>
          </w:tcPr>
          <w:p>
            <w:r/>
            <w:r>
              <w:rPr>
                <w:b w:val="0"/>
                <w:sz w:val="17"/>
              </w:rPr>
              <w:t>ADN ($1.4M) and Prism ($860K) receive loyalty data of 412,000 CA members for cross-context behavioral advertising and lookalike modeling</w:t>
            </w:r>
          </w:p>
        </w:tc>
        <w:tc>
          <w:tcPr>
            <w:tcW w:type="dxa" w:w="3312"/>
          </w:tcPr>
          <w:p>
            <w:r/>
            <w:r>
              <w:rPr>
                <w:b w:val="0"/>
                <w:sz w:val="17"/>
              </w:rPr>
              <w:t>Oct. 15, 2024 advisory opinion: both "sharing" and "sale"; no Notice of Financial Incentive (§ 1798.125); program terms silent on monetization</w:t>
            </w:r>
          </w:p>
        </w:tc>
        <w:tc>
          <w:tcPr>
            <w:tcW w:type="dxa" w:w="1440"/>
          </w:tcPr>
          <w:p>
            <w:r/>
            <w:r>
              <w:rPr>
                <w:b/>
                <w:sz w:val="17"/>
              </w:rPr>
              <w:t>High</w:t>
            </w:r>
            <w:r>
              <w:rPr>
                <w:b w:val="0"/>
                <w:sz w:val="17"/>
              </w:rPr>
              <w:t xml:space="preserve"> — likely to surface via Inquiry request (c)</w:t>
            </w:r>
          </w:p>
        </w:tc>
      </w:tr>
      <w:tr>
        <w:tc>
          <w:tcPr>
            <w:tcW w:type="dxa" w:w="1944"/>
          </w:tcPr>
          <w:p>
            <w:r/>
            <w:r>
              <w:rPr>
                <w:b w:val="0"/>
                <w:sz w:val="17"/>
              </w:rPr>
              <w:t>Not a listed priority: sensitive PI</w:t>
            </w:r>
          </w:p>
        </w:tc>
        <w:tc>
          <w:tcPr>
            <w:tcW w:type="dxa" w:w="2664"/>
          </w:tcPr>
          <w:p>
            <w:r/>
            <w:r>
              <w:rPr>
                <w:b w:val="0"/>
                <w:sz w:val="17"/>
              </w:rPr>
              <w:t>Precise geolocation (accuracy within 50 ft) from ~195,000 CA app users sent to Locale Metrics</w:t>
            </w:r>
          </w:p>
        </w:tc>
        <w:tc>
          <w:tcPr>
            <w:tcW w:type="dxa" w:w="3312"/>
          </w:tcPr>
          <w:p>
            <w:r/>
            <w:r>
              <w:rPr>
                <w:b w:val="0"/>
                <w:sz w:val="17"/>
              </w:rPr>
              <w:t>No SPI disclosure, no "Limit the Use of My Sensitive Personal Information" link, no CPRA SPI contract terms</w:t>
            </w:r>
          </w:p>
        </w:tc>
        <w:tc>
          <w:tcPr>
            <w:tcW w:type="dxa" w:w="1440"/>
          </w:tcPr>
          <w:p>
            <w:r/>
            <w:r>
              <w:rPr>
                <w:b/>
                <w:sz w:val="17"/>
              </w:rPr>
              <w:t>High</w:t>
            </w:r>
          </w:p>
        </w:tc>
      </w:tr>
      <w:tr>
        <w:tc>
          <w:tcPr>
            <w:tcW w:type="dxa" w:w="1944"/>
          </w:tcPr>
          <w:p>
            <w:r/>
            <w:r>
              <w:rPr>
                <w:b w:val="0"/>
                <w:sz w:val="17"/>
              </w:rPr>
              <w:t>Not a listed priority: employee data</w:t>
            </w:r>
          </w:p>
        </w:tc>
        <w:tc>
          <w:tcPr>
            <w:tcW w:type="dxa" w:w="2664"/>
          </w:tcPr>
          <w:p>
            <w:r/>
            <w:r>
              <w:rPr>
                <w:b w:val="0"/>
                <w:sz w:val="17"/>
              </w:rPr>
              <w:t>380 CA employees; HR exemption expired Jan 1, 2023; only limited review</w:t>
            </w:r>
          </w:p>
        </w:tc>
        <w:tc>
          <w:tcPr>
            <w:tcW w:type="dxa" w:w="3312"/>
          </w:tcPr>
          <w:p>
            <w:r/>
            <w:r>
              <w:rPr>
                <w:b w:val="0"/>
                <w:sz w:val="17"/>
              </w:rPr>
              <w:t>Unassessed</w:t>
            </w:r>
          </w:p>
        </w:tc>
        <w:tc>
          <w:tcPr>
            <w:tcW w:type="dxa" w:w="1440"/>
          </w:tcPr>
          <w:p>
            <w:r/>
            <w:r>
              <w:rPr>
                <w:b w:val="0"/>
                <w:sz w:val="17"/>
              </w:rPr>
              <w:t>Moderate</w:t>
            </w:r>
          </w:p>
        </w:tc>
      </w:tr>
    </w:tbl>
    <w:p>
      <w:pPr>
        <w:spacing w:after="40"/>
      </w:pPr>
    </w:p>
    <w:p>
      <w:pPr>
        <w:pStyle w:val="Heading1"/>
      </w:pPr>
      <w:r>
        <w:t>IV. Financial Exposure — Worst Case and Realistic</w:t>
      </w:r>
    </w:p>
    <w:p>
      <w:pPr>
        <w:pStyle w:val="Heading2"/>
      </w:pPr>
      <w:r>
        <w:t>A. Method and caveats</w:t>
      </w:r>
    </w:p>
    <w:p>
      <w:pPr>
        <w:pStyle w:val="ListBullet"/>
        <w:spacing w:after="60"/>
      </w:pPr>
      <w:r>
        <w:rPr>
          <w:b/>
        </w:rPr>
        <w:t>Statutory basis.</w:t>
      </w:r>
      <w:r>
        <w:rPr>
          <w:b w:val="0"/>
        </w:rPr>
        <w:t xml:space="preserve"> Administrative fines are up to $2,500 per violation and $7,500 per intentional violation (the Inquiry Letter cites § 1798.199.55; our research memo cites § 1798.155 — counsel should confirm the operative citation and whether the CPPA's periodic inflation adjustments apply to 2025 conduct). The CPPA has said it may count each affected consumer as a separate violation.</w:t>
      </w:r>
    </w:p>
    <w:p>
      <w:pPr>
        <w:pStyle w:val="ListBullet"/>
        <w:spacing w:after="60"/>
      </w:pPr>
      <w:r>
        <w:rPr>
          <w:b/>
        </w:rPr>
        <w:t>"Intentional" risk is rising.</w:t>
      </w:r>
      <w:r>
        <w:rPr>
          <w:b w:val="0"/>
        </w:rPr>
        <w:t xml:space="preserve"> Since January 15, 2025, management has had a written audit identifying each gap. Conduct that continues after that date is materially more likely to be characterized as intentional, which triples per-violation exposure. Speed of remediation is therefore itself a financial control.</w:t>
      </w:r>
    </w:p>
    <w:p>
      <w:pPr>
        <w:pStyle w:val="ListBullet"/>
        <w:spacing w:after="60"/>
      </w:pPr>
      <w:r>
        <w:rPr>
          <w:b/>
        </w:rPr>
        <w:t>Realistic ranges are planning estimates, not predictions.</w:t>
      </w:r>
      <w:r>
        <w:rPr>
          <w:b w:val="0"/>
        </w:rPr>
        <w:t xml:space="preserve"> The only public settlement benchmark in our record is the August 2024 GPC sweep: three companies, $1.85 million combined, $250,000–$950,000 per company, plus 90-day implementation and 120-day verification-report obligations. Dark-pattern sweep amounts were not disclosed. There is no cure period under CPRA, but remediation is a mitigating factor. The CPPA-enforcement facts in this memo come from our February 10 internal research memorandum and should be verified by Oakvale Hale before they go to the board.</w:t>
      </w:r>
    </w:p>
    <w:p>
      <w:pPr>
        <w:pStyle w:val="Heading2"/>
      </w:pPr>
      <w:r>
        <w:t>B. Exposure by issue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3A5F"/>
          </w:tcPr>
          <w:p>
            <w:r/>
            <w:r>
              <w:rPr>
                <w:b/>
                <w:color w:val="FFFFFF"/>
                <w:sz w:val="17"/>
              </w:rPr>
              <w:t>Issue</w:t>
            </w:r>
          </w:p>
        </w:tc>
        <w:tc>
          <w:tcPr>
            <w:tcW w:type="dxa" w:w="2736"/>
            <w:shd w:val="clear" w:color="auto" w:fill="1F3A5F"/>
          </w:tcPr>
          <w:p>
            <w:r/>
            <w:r>
              <w:rPr>
                <w:b/>
                <w:color w:val="FFFFFF"/>
                <w:sz w:val="17"/>
              </w:rPr>
              <w:t>Affected population (basis)</w:t>
            </w:r>
          </w:p>
        </w:tc>
        <w:tc>
          <w:tcPr>
            <w:tcW w:type="dxa" w:w="2160"/>
            <w:shd w:val="clear" w:color="auto" w:fill="1F3A5F"/>
          </w:tcPr>
          <w:p>
            <w:r/>
            <w:r>
              <w:rPr>
                <w:b/>
                <w:color w:val="FFFFFF"/>
                <w:sz w:val="17"/>
              </w:rPr>
              <w:t>Theoretical maximum @ $2,500 / $7,500</w:t>
            </w:r>
          </w:p>
        </w:tc>
        <w:tc>
          <w:tcPr>
            <w:tcW w:type="dxa" w:w="2304"/>
            <w:shd w:val="clear" w:color="auto" w:fill="1F3A5F"/>
          </w:tcPr>
          <w:p>
            <w:r/>
            <w:r>
              <w:rPr>
                <w:b/>
                <w:color w:val="FFFFFF"/>
                <w:sz w:val="17"/>
              </w:rPr>
              <w:t>Realistic negotiated range (estimate)</w:t>
            </w:r>
          </w:p>
        </w:tc>
      </w:tr>
      <w:tr>
        <w:tc>
          <w:tcPr>
            <w:tcW w:type="dxa" w:w="2160"/>
          </w:tcPr>
          <w:p>
            <w:r/>
            <w:r>
              <w:rPr>
                <w:b w:val="0"/>
                <w:sz w:val="17"/>
              </w:rPr>
              <w:t>Deletion timelines (C-04) — the Inquiry subject</w:t>
            </w:r>
          </w:p>
        </w:tc>
        <w:tc>
          <w:tcPr>
            <w:tcW w:type="dxa" w:w="2736"/>
          </w:tcPr>
          <w:p>
            <w:r/>
            <w:r>
              <w:rPr>
                <w:b w:val="0"/>
                <w:sz w:val="17"/>
              </w:rPr>
              <w:t>~12,960 deletion requests &gt; 45 days (72% of ~18,000), many without a valid extension notice; ~3,960 &gt; 90 days if the 22% rate applies to deletion requests (Thornbury states 7,480)</w:t>
            </w:r>
          </w:p>
        </w:tc>
        <w:tc>
          <w:tcPr>
            <w:tcW w:type="dxa" w:w="2160"/>
          </w:tcPr>
          <w:p>
            <w:r/>
            <w:r>
              <w:rPr>
                <w:b w:val="0"/>
                <w:sz w:val="17"/>
              </w:rPr>
              <w:t>$32.4M / $97.2M (12,960 basis); Thornbury basis: $18.7M / $56.1M</w:t>
            </w:r>
          </w:p>
        </w:tc>
        <w:tc>
          <w:tcPr>
            <w:tcW w:type="dxa" w:w="2304"/>
          </w:tcPr>
          <w:p>
            <w:r/>
            <w:r>
              <w:rPr>
                <w:b w:val="0"/>
                <w:sz w:val="17"/>
              </w:rPr>
              <w:t>$250K–$1.0M; higher end if inquiry expands or delays continue after Jan. 15 audit</w:t>
            </w:r>
          </w:p>
        </w:tc>
      </w:tr>
      <w:tr>
        <w:tc>
          <w:tcPr>
            <w:tcW w:type="dxa" w:w="2160"/>
          </w:tcPr>
          <w:p>
            <w:r/>
            <w:r>
              <w:rPr>
                <w:b w:val="0"/>
                <w:sz w:val="17"/>
              </w:rPr>
              <w:t>GPC not honored (C-01)</w:t>
            </w:r>
          </w:p>
        </w:tc>
        <w:tc>
          <w:tcPr>
            <w:tcW w:type="dxa" w:w="2736"/>
          </w:tcPr>
          <w:p>
            <w:r/>
            <w:r>
              <w:rPr>
                <w:b w:val="0"/>
                <w:sz w:val="17"/>
              </w:rPr>
              <w:t>Unknown; at Thornbury's assumed 15% GPC adoption across ~1.62M CA consumers ≈ 243,000</w:t>
            </w:r>
          </w:p>
        </w:tc>
        <w:tc>
          <w:tcPr>
            <w:tcW w:type="dxa" w:w="2160"/>
          </w:tcPr>
          <w:p>
            <w:r/>
            <w:r>
              <w:rPr>
                <w:b w:val="0"/>
                <w:sz w:val="17"/>
              </w:rPr>
              <w:t>~$607.5M / $1.8B (illustrative only)</w:t>
            </w:r>
          </w:p>
        </w:tc>
        <w:tc>
          <w:tcPr>
            <w:tcW w:type="dxa" w:w="2304"/>
          </w:tcPr>
          <w:p>
            <w:r/>
            <w:r>
              <w:rPr>
                <w:b w:val="0"/>
                <w:sz w:val="17"/>
              </w:rPr>
              <w:t>$250K–$950K (direct sweep benchmark); upper half likely given duration and monetized data flows</w:t>
            </w:r>
          </w:p>
        </w:tc>
      </w:tr>
      <w:tr>
        <w:tc>
          <w:tcPr>
            <w:tcW w:type="dxa" w:w="2160"/>
          </w:tcPr>
          <w:p>
            <w:r/>
            <w:r>
              <w:rPr>
                <w:b w:val="0"/>
                <w:sz w:val="17"/>
              </w:rPr>
              <w:t>Dark-pattern consent banner (C-02)</w:t>
            </w:r>
          </w:p>
        </w:tc>
        <w:tc>
          <w:tcPr>
            <w:tcW w:type="dxa" w:w="2736"/>
          </w:tcPr>
          <w:p>
            <w:r/>
            <w:r>
              <w:rPr>
                <w:b w:val="0"/>
                <w:sz w:val="17"/>
              </w:rPr>
              <w:t>Up to ~1.62M annual CA site visitors; all consent deemed invalid</w:t>
            </w:r>
          </w:p>
        </w:tc>
        <w:tc>
          <w:tcPr>
            <w:tcW w:type="dxa" w:w="2160"/>
          </w:tcPr>
          <w:p>
            <w:r/>
            <w:r>
              <w:rPr>
                <w:b w:val="0"/>
                <w:sz w:val="17"/>
              </w:rPr>
              <w:t>Billions (not meaningful)</w:t>
            </w:r>
          </w:p>
        </w:tc>
        <w:tc>
          <w:tcPr>
            <w:tcW w:type="dxa" w:w="2304"/>
          </w:tcPr>
          <w:p>
            <w:r/>
            <w:r>
              <w:rPr>
                <w:b w:val="0"/>
                <w:sz w:val="17"/>
              </w:rPr>
              <w:t>$250K–$1.0M (no published benchmark); plus mandated redesign</w:t>
            </w:r>
          </w:p>
        </w:tc>
      </w:tr>
      <w:tr>
        <w:tc>
          <w:tcPr>
            <w:tcW w:type="dxa" w:w="2160"/>
          </w:tcPr>
          <w:p>
            <w:r/>
            <w:r>
              <w:rPr>
                <w:b w:val="0"/>
                <w:sz w:val="17"/>
              </w:rPr>
              <w:t>Sale/sharing via Cascadia Rewards without compliant notice, opt-out, or financial-incentive notice</w:t>
            </w:r>
          </w:p>
        </w:tc>
        <w:tc>
          <w:tcPr>
            <w:tcW w:type="dxa" w:w="2736"/>
          </w:tcPr>
          <w:p>
            <w:r/>
            <w:r>
              <w:rPr>
                <w:b w:val="0"/>
                <w:sz w:val="17"/>
              </w:rPr>
              <w:t>412,000 CA loyalty members</w:t>
            </w:r>
          </w:p>
        </w:tc>
        <w:tc>
          <w:tcPr>
            <w:tcW w:type="dxa" w:w="2160"/>
          </w:tcPr>
          <w:p>
            <w:r/>
            <w:r>
              <w:rPr>
                <w:b w:val="0"/>
                <w:sz w:val="17"/>
              </w:rPr>
              <w:t>$1.03B / $3.09B</w:t>
            </w:r>
          </w:p>
        </w:tc>
        <w:tc>
          <w:tcPr>
            <w:tcW w:type="dxa" w:w="2304"/>
          </w:tcPr>
          <w:p>
            <w:r/>
            <w:r>
              <w:rPr>
                <w:b w:val="0"/>
                <w:sz w:val="17"/>
              </w:rPr>
              <w:t>$250K–$1.0M; risk of order restricting the partnerships</w:t>
            </w:r>
          </w:p>
        </w:tc>
      </w:tr>
      <w:tr>
        <w:tc>
          <w:tcPr>
            <w:tcW w:type="dxa" w:w="2160"/>
          </w:tcPr>
          <w:p>
            <w:r/>
            <w:r>
              <w:rPr>
                <w:b w:val="0"/>
                <w:sz w:val="17"/>
              </w:rPr>
              <w:t>Precise geolocation SPI to Locale Metrics</w:t>
            </w:r>
          </w:p>
        </w:tc>
        <w:tc>
          <w:tcPr>
            <w:tcW w:type="dxa" w:w="2736"/>
          </w:tcPr>
          <w:p>
            <w:r/>
            <w:r>
              <w:rPr>
                <w:b w:val="0"/>
                <w:sz w:val="17"/>
              </w:rPr>
              <w:t>~195,000 CA app users</w:t>
            </w:r>
          </w:p>
        </w:tc>
        <w:tc>
          <w:tcPr>
            <w:tcW w:type="dxa" w:w="2160"/>
          </w:tcPr>
          <w:p>
            <w:r/>
            <w:r>
              <w:rPr>
                <w:b w:val="0"/>
                <w:sz w:val="17"/>
              </w:rPr>
              <w:t>$487.5M / $1.46B</w:t>
            </w:r>
          </w:p>
        </w:tc>
        <w:tc>
          <w:tcPr>
            <w:tcW w:type="dxa" w:w="2304"/>
          </w:tcPr>
          <w:p>
            <w:r/>
            <w:r>
              <w:rPr>
                <w:b w:val="0"/>
                <w:sz w:val="17"/>
              </w:rPr>
              <w:t>$100K–$500K</w:t>
            </w:r>
          </w:p>
        </w:tc>
      </w:tr>
      <w:tr>
        <w:tc>
          <w:tcPr>
            <w:tcW w:type="dxa" w:w="2160"/>
          </w:tcPr>
          <w:p>
            <w:r/>
            <w:r>
              <w:rPr>
                <w:b w:val="0"/>
                <w:sz w:val="17"/>
              </w:rPr>
              <w:t>Outdated DPAs (C-05)</w:t>
            </w:r>
          </w:p>
        </w:tc>
        <w:tc>
          <w:tcPr>
            <w:tcW w:type="dxa" w:w="2736"/>
          </w:tcPr>
          <w:p>
            <w:r/>
            <w:r>
              <w:rPr>
                <w:b w:val="0"/>
                <w:sz w:val="17"/>
              </w:rPr>
              <w:t>9 agreements (and the consumers whose data flowed under them)</w:t>
            </w:r>
          </w:p>
        </w:tc>
        <w:tc>
          <w:tcPr>
            <w:tcW w:type="dxa" w:w="2160"/>
          </w:tcPr>
          <w:p>
            <w:r/>
            <w:r>
              <w:rPr>
                <w:b w:val="0"/>
                <w:sz w:val="17"/>
              </w:rPr>
              <w:t>Low if counted per contract; principally an aggravating factor and the trigger for third-party re-characterization</w:t>
            </w:r>
          </w:p>
        </w:tc>
        <w:tc>
          <w:tcPr>
            <w:tcW w:type="dxa" w:w="2304"/>
          </w:tcPr>
          <w:p>
            <w:r/>
            <w:r>
              <w:rPr>
                <w:b w:val="0"/>
                <w:sz w:val="17"/>
              </w:rPr>
              <w:t>Folded into the above; compliance order likely</w:t>
            </w:r>
          </w:p>
        </w:tc>
      </w:tr>
      <w:tr>
        <w:tc>
          <w:tcPr>
            <w:tcW w:type="dxa" w:w="2160"/>
          </w:tcPr>
          <w:p>
            <w:r/>
            <w:r>
              <w:rPr>
                <w:b w:val="0"/>
                <w:sz w:val="17"/>
              </w:rPr>
              <w:t>Privacy policy (C-03) and Moderate findings</w:t>
            </w:r>
          </w:p>
        </w:tc>
        <w:tc>
          <w:tcPr>
            <w:tcW w:type="dxa" w:w="2736"/>
          </w:tcPr>
          <w:p>
            <w:r/>
            <w:r>
              <w:rPr>
                <w:b w:val="0"/>
                <w:sz w:val="17"/>
              </w:rPr>
              <w:t>All CA consumers</w:t>
            </w:r>
          </w:p>
        </w:tc>
        <w:tc>
          <w:tcPr>
            <w:tcW w:type="dxa" w:w="2160"/>
          </w:tcPr>
          <w:p>
            <w:r/>
            <w:r>
              <w:rPr>
                <w:b w:val="0"/>
                <w:sz w:val="17"/>
              </w:rPr>
              <w:t>Not separately modeled</w:t>
            </w:r>
          </w:p>
        </w:tc>
        <w:tc>
          <w:tcPr>
            <w:tcW w:type="dxa" w:w="2304"/>
          </w:tcPr>
          <w:p>
            <w:r/>
            <w:r>
              <w:rPr>
                <w:b w:val="0"/>
                <w:sz w:val="17"/>
              </w:rPr>
              <w:t>Aggravating factor</w:t>
            </w:r>
          </w:p>
        </w:tc>
      </w:tr>
      <w:tr>
        <w:tc>
          <w:tcPr>
            <w:tcW w:type="dxa" w:w="2160"/>
          </w:tcPr>
          <w:p>
            <w:r/>
            <w:r>
              <w:rPr>
                <w:b/>
                <w:sz w:val="17"/>
              </w:rPr>
              <w:t>Aggregate if multi-issue investigation</w:t>
            </w:r>
          </w:p>
        </w:tc>
        <w:tc>
          <w:tcPr>
            <w:tcW w:type="dxa" w:w="2736"/>
          </w:tcPr>
          <w:p>
            <w:r/>
          </w:p>
        </w:tc>
        <w:tc>
          <w:tcPr>
            <w:tcW w:type="dxa" w:w="2160"/>
          </w:tcPr>
          <w:p>
            <w:r/>
            <w:r>
              <w:rPr>
                <w:b/>
                <w:sz w:val="17"/>
              </w:rPr>
              <w:t>Tens to hundreds of millions (theoretical)</w:t>
            </w:r>
          </w:p>
        </w:tc>
        <w:tc>
          <w:tcPr>
            <w:tcW w:type="dxa" w:w="2304"/>
          </w:tcPr>
          <w:p>
            <w:r/>
            <w:r>
              <w:rPr>
                <w:b/>
                <w:sz w:val="17"/>
              </w:rPr>
              <w:t>≈ $1.1M–$4.5M plus compliance order, monitoring and reporting costs</w:t>
            </w:r>
          </w:p>
        </w:tc>
      </w:tr>
    </w:tbl>
    <w:p>
      <w:pPr>
        <w:spacing w:after="40"/>
      </w:pPr>
    </w:p>
    <w:p>
      <w:pPr>
        <w:spacing w:after="120"/>
      </w:pPr>
      <w:r>
        <w:rPr>
          <w:b/>
        </w:rPr>
        <w:t>Correction to figures in circulation.</w:t>
      </w:r>
      <w:r>
        <w:rPr>
          <w:b w:val="0"/>
        </w:rPr>
        <w:t xml:space="preserve"> Thornbury's and our research memo's statement that "22% of deletion requests — approximately 7,480" were late is internally inconsistent: 7,480 is 22% of all ~34,000 consumer requests, while Thornbury's own Appendix B shows ~18,000 deletion requests (22% = ~3,960). Thornbury's GPC count (29,250) is 15% of the 195,000 app users rather than of web visitors, although GPC is primarily a browser signal; the research memo's $487.5M GPC illustration has the same problem. Fiona's email describes 34,000 annual deletion requests. None of these numbers should be repeated to the board or the CPPA until Thornbury and IT confirm them from the request logs.</w:t>
      </w:r>
    </w:p>
    <w:p>
      <w:pPr>
        <w:pStyle w:val="Heading2"/>
      </w:pPr>
      <w:r>
        <w:t>C. Exposure versus cost of compliance</w:t>
      </w:r>
    </w:p>
    <w:tbl>
      <w:tblPr>
        <w:tblStyle w:val="TableGrid"/>
        <w:tblW w:type="auto" w:w="0"/>
        <w:jc w:val="center"/>
        <w:tblLook w:firstColumn="1" w:firstRow="1" w:lastColumn="0" w:lastRow="0" w:noHBand="0" w:noVBand="1" w:val="04A0"/>
      </w:tblPr>
      <w:tblGrid>
        <w:gridCol w:w="4680"/>
        <w:gridCol w:w="4680"/>
      </w:tblGrid>
      <w:tr>
        <w:tc>
          <w:tcPr>
            <w:tcW w:type="dxa" w:w="6048"/>
            <w:shd w:val="clear" w:color="auto" w:fill="1F3A5F"/>
          </w:tcPr>
          <w:p>
            <w:r/>
            <w:r>
              <w:rPr>
                <w:b/>
                <w:color w:val="FFFFFF"/>
                <w:sz w:val="18"/>
              </w:rPr>
              <w:t>Item</w:t>
            </w:r>
          </w:p>
        </w:tc>
        <w:tc>
          <w:tcPr>
            <w:tcW w:type="dxa" w:w="3312"/>
            <w:shd w:val="clear" w:color="auto" w:fill="1F3A5F"/>
          </w:tcPr>
          <w:p>
            <w:r/>
            <w:r>
              <w:rPr>
                <w:b/>
                <w:color w:val="FFFFFF"/>
                <w:sz w:val="18"/>
              </w:rPr>
              <w:t>Annual amount</w:t>
            </w:r>
          </w:p>
        </w:tc>
      </w:tr>
      <w:tr>
        <w:tc>
          <w:tcPr>
            <w:tcW w:type="dxa" w:w="6048"/>
          </w:tcPr>
          <w:p>
            <w:r/>
            <w:r>
              <w:rPr>
                <w:b w:val="0"/>
                <w:sz w:val="18"/>
              </w:rPr>
              <w:t>Thornbury remediation estimate (one-time)</w:t>
            </w:r>
          </w:p>
        </w:tc>
        <w:tc>
          <w:tcPr>
            <w:tcW w:type="dxa" w:w="3312"/>
          </w:tcPr>
          <w:p>
            <w:r/>
            <w:r>
              <w:rPr>
                <w:b w:val="0"/>
                <w:sz w:val="18"/>
              </w:rPr>
              <w:t>$425,000</w:t>
            </w:r>
          </w:p>
        </w:tc>
      </w:tr>
      <w:tr>
        <w:tc>
          <w:tcPr>
            <w:tcW w:type="dxa" w:w="6048"/>
          </w:tcPr>
          <w:p>
            <w:r/>
            <w:r>
              <w:rPr>
                <w:b w:val="0"/>
                <w:sz w:val="18"/>
              </w:rPr>
              <w:t>Recommended 2025 remediation authorization (incl. staffing, omitted items, contingency)</w:t>
            </w:r>
          </w:p>
        </w:tc>
        <w:tc>
          <w:tcPr>
            <w:tcW w:type="dxa" w:w="3312"/>
          </w:tcPr>
          <w:p>
            <w:r/>
            <w:r>
              <w:rPr>
                <w:b w:val="0"/>
                <w:sz w:val="18"/>
              </w:rPr>
              <w:t>Up to $600,000</w:t>
            </w:r>
          </w:p>
        </w:tc>
      </w:tr>
      <w:tr>
        <w:tc>
          <w:tcPr>
            <w:tcW w:type="dxa" w:w="6048"/>
          </w:tcPr>
          <w:p>
            <w:r/>
            <w:r>
              <w:rPr>
                <w:b w:val="0"/>
                <w:sz w:val="18"/>
              </w:rPr>
              <w:t>ADN + Prism revenue at stake</w:t>
            </w:r>
          </w:p>
        </w:tc>
        <w:tc>
          <w:tcPr>
            <w:tcW w:type="dxa" w:w="3312"/>
          </w:tcPr>
          <w:p>
            <w:r/>
            <w:r>
              <w:rPr>
                <w:b w:val="0"/>
                <w:sz w:val="18"/>
              </w:rPr>
              <w:t>$2,260,000 (2.6% of $87.3M CA revenue; $5.49 per loyalty member)</w:t>
            </w:r>
          </w:p>
        </w:tc>
      </w:tr>
      <w:tr>
        <w:tc>
          <w:tcPr>
            <w:tcW w:type="dxa" w:w="6048"/>
          </w:tcPr>
          <w:p>
            <w:r/>
            <w:r>
              <w:rPr>
                <w:b w:val="0"/>
                <w:sz w:val="18"/>
              </w:rPr>
              <w:t>Revenue impact at 10% / 25% / 40% opt-out (proportional assumption)</w:t>
            </w:r>
          </w:p>
        </w:tc>
        <w:tc>
          <w:tcPr>
            <w:tcW w:type="dxa" w:w="3312"/>
          </w:tcPr>
          <w:p>
            <w:r/>
            <w:r>
              <w:rPr>
                <w:b w:val="0"/>
                <w:sz w:val="18"/>
              </w:rPr>
              <w:t>$226,000 / $565,000 / $904,000</w:t>
            </w:r>
          </w:p>
        </w:tc>
      </w:tr>
      <w:tr>
        <w:tc>
          <w:tcPr>
            <w:tcW w:type="dxa" w:w="6048"/>
          </w:tcPr>
          <w:p>
            <w:r/>
            <w:r>
              <w:rPr>
                <w:b w:val="0"/>
                <w:sz w:val="18"/>
              </w:rPr>
              <w:t>Marketing estimate of downstream ROAS loss if partnerships shut down entirely</w:t>
            </w:r>
          </w:p>
        </w:tc>
        <w:tc>
          <w:tcPr>
            <w:tcW w:type="dxa" w:w="3312"/>
          </w:tcPr>
          <w:p>
            <w:r/>
            <w:r>
              <w:rPr>
                <w:b w:val="0"/>
                <w:sz w:val="18"/>
              </w:rPr>
              <w:t>$3–4 million (unvalidated; applies only to full shutdown)</w:t>
            </w:r>
          </w:p>
        </w:tc>
      </w:tr>
      <w:tr>
        <w:tc>
          <w:tcPr>
            <w:tcW w:type="dxa" w:w="6048"/>
          </w:tcPr>
          <w:p>
            <w:r/>
            <w:r>
              <w:rPr>
                <w:b w:val="0"/>
                <w:sz w:val="18"/>
              </w:rPr>
              <w:t>Realistic penalty range, multi-issue investigation</w:t>
            </w:r>
          </w:p>
        </w:tc>
        <w:tc>
          <w:tcPr>
            <w:tcW w:type="dxa" w:w="3312"/>
          </w:tcPr>
          <w:p>
            <w:r/>
            <w:r>
              <w:rPr>
                <w:b w:val="0"/>
                <w:sz w:val="18"/>
              </w:rPr>
              <w:t>≈ $1.1M–$4.5M (plus reputational cost of a public action)</w:t>
            </w:r>
          </w:p>
        </w:tc>
      </w:tr>
    </w:tbl>
    <w:p>
      <w:pPr>
        <w:spacing w:after="40"/>
      </w:pPr>
    </w:p>
    <w:p>
      <w:pPr>
        <w:spacing w:after="120"/>
      </w:pPr>
      <w:r>
        <w:rPr>
          <w:b w:val="0"/>
        </w:rPr>
        <w:t>Lars's framing is right: compliant continuation of the partnerships is far cheaper than an enforcement action, and nothing in the record requires a shutdown. The decision point is timing — every week of uncontrolled transfers adds to exposure that is increasingly likely to be treated as intentional.</w:t>
      </w:r>
    </w:p>
    <w:p>
      <w:pPr>
        <w:pStyle w:val="Heading1"/>
      </w:pPr>
      <w:r>
        <w:t>V. Issue-by-Issue Analysis and Required Actions</w:t>
      </w:r>
    </w:p>
    <w:p>
      <w:pPr>
        <w:pStyle w:val="Heading2"/>
      </w:pPr>
      <w:r>
        <w:t>A. Deletion request processing (C-04) — active inquiry</w:t>
      </w:r>
    </w:p>
    <w:p>
      <w:pPr>
        <w:spacing w:after="120"/>
      </w:pPr>
      <w:r>
        <w:rPr>
          <w:b w:val="0"/>
        </w:rPr>
        <w:t>The 45-day clock runs from receipt regardless of channel; verification time runs concurrently and does not restart it; an extension requires written notice within the first 45 days stating the reason; and deletion must reach service providers and contractors, with notice to third parties to whom data was sold or shared (§ 1798.105(c)). The CPPA's 2025 statement says it will examine completeness of deletion (including vendors), downstream notification, use of statutory exceptions, the adequacy of written procedures, and multi-step deletion flows that may themselves be dark patterns. Root causes: 2 FTEs for ~34,000 requests a year, manual compilation across the e-commerce platform, CDP, POS and loyalty database, no vendor-confirmation tracking, no workflow tooling, and a Q4 surge (October 2024 ≈ 4,200 requests — the month both complainants filed).</w:t>
      </w:r>
    </w:p>
    <w:p>
      <w:pPr>
        <w:pStyle w:val="ListBullet"/>
        <w:spacing w:after="60"/>
      </w:pPr>
      <w:r>
        <w:rPr>
          <w:b w:val="0"/>
        </w:rPr>
        <w:t>Immediately: triage the open backlog; send compliant extension notices for every open request still inside day 45; complete all requests past day 90 first; brief the toll-free customer service team with a scripted status-response process.</w:t>
      </w:r>
    </w:p>
    <w:p>
      <w:pPr>
        <w:pStyle w:val="ListBullet"/>
        <w:spacing w:after="60"/>
      </w:pPr>
      <w:r>
        <w:rPr>
          <w:b w:val="0"/>
        </w:rPr>
        <w:t>Within 2 weeks: add at least 2 FTEs (temporary or managed service) and adopt written deletion SOPs with day-30 and day-40 escalation and extension templates (dated as adopted — not back-dated).</w:t>
      </w:r>
    </w:p>
    <w:p>
      <w:pPr>
        <w:pStyle w:val="ListBullet"/>
        <w:spacing w:after="60"/>
      </w:pPr>
      <w:r>
        <w:rPr>
          <w:b w:val="0"/>
        </w:rPr>
        <w:t>Within 6–8 weeks (Fiona to confirm): automated intake-to-completion workflow with vendor deletion instructions and confirmations logged per request.</w:t>
      </w:r>
    </w:p>
    <w:p>
      <w:pPr>
        <w:pStyle w:val="Heading2"/>
      </w:pPr>
      <w:r>
        <w:t>B. Global Privacy Control (C-01)</w:t>
      </w:r>
    </w:p>
    <w:p>
      <w:pPr>
        <w:spacing w:after="120"/>
      </w:pPr>
      <w:r>
        <w:rPr>
          <w:b w:val="0"/>
        </w:rPr>
        <w:t xml:space="preserve">Section 7025 requires treating GPC as a valid opt-out of sale and sharing for that browser/device, without further consumer action, and applying it to later sessions. The CPPA says it can now detect non-compliance programmatically, so we should assume our site can be identified without a complaint. Fiona estimates </w:t>
      </w:r>
      <w:r>
        <w:rPr>
          <w:b/>
        </w:rPr>
        <w:t>8–12 weeks</w:t>
      </w:r>
      <w:r>
        <w:rPr>
          <w:b w:val="0"/>
        </w:rPr>
        <w:t xml:space="preserve"> for full implementation across the tag manager (Silverdale), consent platform, and the ADN, Prism and Locale Metrics flows; Thornbury estimated 4–6 weeks. I recommend a two-step approach: an interim rule in the tag manager within 2–3 weeks that suppresses advertising/sharing tags (ADN, Prism, Canopy, Ashgrove, Oakmont, Harborview and similar) whenever Sec-GPC: 1 is present, followed by full CMP integration, server-side propagation to downstream partners, and app support.</w:t>
      </w:r>
    </w:p>
    <w:p>
      <w:pPr>
        <w:pStyle w:val="Heading2"/>
      </w:pPr>
      <w:r>
        <w:t>C. Cookie consent dark patterns (C-02)</w:t>
      </w:r>
    </w:p>
    <w:p>
      <w:pPr>
        <w:spacing w:after="120"/>
      </w:pPr>
      <w:r>
        <w:rPr>
          <w:b w:val="0"/>
        </w:rPr>
        <w:t>Our banner has each feature the CPPA has called out: a dominant "Accept All," no "Reject All," a gray "Manage Preferences" link below the fold (60% of the mobile screen covered, link only reachable by scrolling), and non-essential categories pre-set to ON in the secondary panel. Consent obtained this way is not valid, which taints the cookie-based data flowing to advertising vendors. The fix is inexpensive and quick (2–3 weeks): symmetric Accept/Reject buttons, a visible Manage Preferences button, non-essential categories defaulted OFF, no obstructive overlay, mobile-visible choices. This should ship before the March 18 filing.</w:t>
      </w:r>
    </w:p>
    <w:p>
      <w:pPr>
        <w:pStyle w:val="Heading2"/>
      </w:pPr>
      <w:r>
        <w:t>D. ADN / Prism data sharing and the Cascadia Rewards program</w:t>
      </w:r>
    </w:p>
    <w:p>
      <w:pPr>
        <w:spacing w:after="120"/>
      </w:pPr>
      <w:r>
        <w:rPr>
          <w:b w:val="0"/>
        </w:rPr>
        <w:t xml:space="preserve">Under the October 15, 2024 advisory opinion, making loyalty data available to ADN and Prism for audience lookalike modeling and cross-context behavioral advertising is "sharing" (§ 1798.140(ah)), and because CHG is paid it is also a "sale" (§ 1798.140(ad)). How the contract labels the counterparty ("partner") is not dispositive; our own tracker recommends classifying both as </w:t>
      </w:r>
      <w:r>
        <w:rPr>
          <w:b/>
        </w:rPr>
        <w:t>third parties</w:t>
      </w:r>
      <w:r>
        <w:rPr>
          <w:b w:val="0"/>
        </w:rPr>
        <w:t>. Consequences: a conspicuous "Do Not Sell or Share My Personal Information" link (we have only a footer-only, pre-CPRA "Do Not Sell" link — M-11), GPC honored as an opt-out of both, privacy-policy disclosure of categories sold/shared and recipients, and third-party contract terms limiting use to specified purposes.</w:t>
      </w:r>
    </w:p>
    <w:p>
      <w:pPr>
        <w:spacing w:after="120"/>
      </w:pPr>
      <w:r>
        <w:rPr>
          <w:b/>
        </w:rPr>
        <w:t>Brian's consent question.</w:t>
      </w:r>
      <w:r>
        <w:rPr>
          <w:b w:val="0"/>
        </w:rPr>
        <w:t xml:space="preserve"> Enrollment in a points program does not supply consent or a defense: the terms never disclosed advertising data monetization, so there was no informed agreement; and consumers keep a statutory right to opt out of sale/sharing regardless of enrollment. Because the program collects personal information and CHG gets economic value from that data, Cascadia Rewards is likely a </w:t>
      </w:r>
      <w:r>
        <w:rPr>
          <w:b/>
        </w:rPr>
        <w:t>financial incentive</w:t>
      </w:r>
      <w:r>
        <w:rPr>
          <w:b w:val="0"/>
        </w:rPr>
        <w:t xml:space="preserve"> under § 1798.125 requiring a Notice of Financial Incentive (material terms, categories of data, and a good-faith estimate of the value of the consumer's data and how it was calculated — our tracker's $5.49 per member per year is a starting point). There is none today. The data categories also need to be confirmed: Brian and the tracker list name, email, phone, mailing address, purchase history and browsing behavior (and loyalty tier for Prism); Thornbury lists fewer.</w:t>
      </w:r>
    </w:p>
    <w:p>
      <w:pPr>
        <w:spacing w:after="120"/>
      </w:pPr>
      <w:r>
        <w:rPr>
          <w:b/>
        </w:rPr>
        <w:t>Recommended interim posture (Decision 4):</w:t>
      </w:r>
      <w:r>
        <w:rPr>
          <w:b w:val="0"/>
        </w:rPr>
        <w:t xml:space="preserve"> (i) confirm within one week that the ~3,500 sale opt-outs received in 2024 actually suppress ADN and Prism feeds, and suppress anyone with a pending or completed deletion request; (ii) deploy GPC suppression for these feeds; (iii) publish the updated notice, opt-out link and financial-incentive notice; (iv) execute CPRA third-party amendments (Prism auto-renewed January 9, 2025, so amendment must be negotiated mid-term; ADN renews June 14, 2025). If (i)–(iii) are not in place by </w:t>
      </w:r>
      <w:r>
        <w:rPr>
          <w:b/>
        </w:rPr>
        <w:t>April 15, 2025</w:t>
      </w:r>
      <w:r>
        <w:rPr>
          <w:b w:val="0"/>
        </w:rPr>
        <w:t>, pause the feeds until they are. Also confirm ADN and Prism are registered data brokers if the Delete Act applies to them.</w:t>
      </w:r>
    </w:p>
    <w:p>
      <w:pPr>
        <w:pStyle w:val="Heading2"/>
      </w:pPr>
      <w:r>
        <w:t>E. Precise geolocation to Locale Metrics (sensitive personal information)</w:t>
      </w:r>
    </w:p>
    <w:p>
      <w:pPr>
        <w:spacing w:after="120"/>
      </w:pPr>
      <w:r>
        <w:rPr>
          <w:b w:val="0"/>
        </w:rPr>
        <w:t>Locale Metrics receives latitude/longitude accurate to about 50 feet (well inside the 1,750-foot SPI threshold), device IDs, visit timestamps and dwell time for ~195,000 California app users. The privacy policy and 2022-era app notice disclose none of this; there is no limit-SPI mechanism; and the 2021 DPA has no SPI terms or CPRA certifications. Without a qualifying contract, Locale Metrics is a third party, and because CHG supplies the data in exchange for analytics, the exchange risks being characterized as a sale for "other valuable consideration." Actions: confirm whether Locale Metrics uses the data for any purpose of its own; execute a CPRA service-provider agreement limiting use to CHG's foot-traffic reporting; add SPI disclosures and a "Limit the Use of My Sensitive Personal Information" link (web and app) unless counsel concludes the use is limited to permitted purposes; and consider reducing precision or retention. Owner: Fiona with Legal; target April 15.</w:t>
      </w:r>
    </w:p>
    <w:p>
      <w:pPr>
        <w:pStyle w:val="Heading2"/>
      </w:pPr>
      <w:r>
        <w:t>F. Vendor agreements (C-05)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1F3A5F"/>
          </w:tcPr>
          <w:p>
            <w:r/>
            <w:r>
              <w:rPr>
                <w:b/>
                <w:color w:val="FFFFFF"/>
                <w:sz w:val="17"/>
              </w:rPr>
              <w:t>Vendor</w:t>
            </w:r>
          </w:p>
        </w:tc>
        <w:tc>
          <w:tcPr>
            <w:tcW w:type="dxa" w:w="2736"/>
            <w:shd w:val="clear" w:color="auto" w:fill="1F3A5F"/>
          </w:tcPr>
          <w:p>
            <w:r/>
            <w:r>
              <w:rPr>
                <w:b/>
                <w:color w:val="FFFFFF"/>
                <w:sz w:val="17"/>
              </w:rPr>
              <w:t>Function / data</w:t>
            </w:r>
          </w:p>
        </w:tc>
        <w:tc>
          <w:tcPr>
            <w:tcW w:type="dxa" w:w="2016"/>
            <w:shd w:val="clear" w:color="auto" w:fill="1F3A5F"/>
          </w:tcPr>
          <w:p>
            <w:r/>
            <w:r>
              <w:rPr>
                <w:b/>
                <w:color w:val="FFFFFF"/>
                <w:sz w:val="17"/>
              </w:rPr>
              <w:t>Recommended CPRA classification</w:t>
            </w:r>
          </w:p>
        </w:tc>
        <w:tc>
          <w:tcPr>
            <w:tcW w:type="dxa" w:w="1008"/>
            <w:shd w:val="clear" w:color="auto" w:fill="1F3A5F"/>
          </w:tcPr>
          <w:p>
            <w:r/>
            <w:r>
              <w:rPr>
                <w:b/>
                <w:color w:val="FFFFFF"/>
                <w:sz w:val="17"/>
              </w:rPr>
              <w:t>Priority</w:t>
            </w:r>
          </w:p>
        </w:tc>
        <w:tc>
          <w:tcPr>
            <w:tcW w:type="dxa" w:w="1296"/>
            <w:shd w:val="clear" w:color="auto" w:fill="1F3A5F"/>
          </w:tcPr>
          <w:p>
            <w:r/>
            <w:r>
              <w:rPr>
                <w:b/>
                <w:color w:val="FFFFFF"/>
                <w:sz w:val="17"/>
              </w:rPr>
              <w:t>Renewal</w:t>
            </w:r>
          </w:p>
        </w:tc>
      </w:tr>
      <w:tr>
        <w:tc>
          <w:tcPr>
            <w:tcW w:type="dxa" w:w="2304"/>
          </w:tcPr>
          <w:p>
            <w:r/>
            <w:r>
              <w:rPr>
                <w:b w:val="0"/>
                <w:sz w:val="17"/>
              </w:rPr>
              <w:t>V-001 AdVantage Digital Networks</w:t>
            </w:r>
          </w:p>
        </w:tc>
        <w:tc>
          <w:tcPr>
            <w:tcW w:type="dxa" w:w="2736"/>
          </w:tcPr>
          <w:p>
            <w:r/>
            <w:r>
              <w:rPr>
                <w:b w:val="0"/>
                <w:sz w:val="17"/>
              </w:rPr>
              <w:t>Loyalty data for targeted ads / lookalikes (412K)</w:t>
            </w:r>
          </w:p>
        </w:tc>
        <w:tc>
          <w:tcPr>
            <w:tcW w:type="dxa" w:w="2016"/>
          </w:tcPr>
          <w:p>
            <w:r/>
            <w:r>
              <w:rPr>
                <w:b w:val="0"/>
                <w:sz w:val="17"/>
              </w:rPr>
              <w:t>Third party</w:t>
            </w:r>
          </w:p>
        </w:tc>
        <w:tc>
          <w:tcPr>
            <w:tcW w:type="dxa" w:w="1008"/>
          </w:tcPr>
          <w:p>
            <w:r/>
            <w:r>
              <w:rPr>
                <w:b w:val="0"/>
                <w:sz w:val="17"/>
              </w:rPr>
              <w:t>Critical</w:t>
            </w:r>
          </w:p>
        </w:tc>
        <w:tc>
          <w:tcPr>
            <w:tcW w:type="dxa" w:w="1296"/>
          </w:tcPr>
          <w:p>
            <w:r/>
            <w:r>
              <w:rPr>
                <w:b w:val="0"/>
                <w:sz w:val="17"/>
              </w:rPr>
              <w:t>2025-06-14</w:t>
            </w:r>
          </w:p>
        </w:tc>
      </w:tr>
      <w:tr>
        <w:tc>
          <w:tcPr>
            <w:tcW w:type="dxa" w:w="2304"/>
          </w:tcPr>
          <w:p>
            <w:r/>
            <w:r>
              <w:rPr>
                <w:b w:val="0"/>
                <w:sz w:val="17"/>
              </w:rPr>
              <w:t>V-002 Prism Audience Solutions</w:t>
            </w:r>
          </w:p>
        </w:tc>
        <w:tc>
          <w:tcPr>
            <w:tcW w:type="dxa" w:w="2736"/>
          </w:tcPr>
          <w:p>
            <w:r/>
            <w:r>
              <w:rPr>
                <w:b w:val="0"/>
                <w:sz w:val="17"/>
              </w:rPr>
              <w:t>Loyalty data for lookalike modeling / CCBA (412K)</w:t>
            </w:r>
          </w:p>
        </w:tc>
        <w:tc>
          <w:tcPr>
            <w:tcW w:type="dxa" w:w="2016"/>
          </w:tcPr>
          <w:p>
            <w:r/>
            <w:r>
              <w:rPr>
                <w:b w:val="0"/>
                <w:sz w:val="17"/>
              </w:rPr>
              <w:t>Third party</w:t>
            </w:r>
          </w:p>
        </w:tc>
        <w:tc>
          <w:tcPr>
            <w:tcW w:type="dxa" w:w="1008"/>
          </w:tcPr>
          <w:p>
            <w:r/>
            <w:r>
              <w:rPr>
                <w:b w:val="0"/>
                <w:sz w:val="17"/>
              </w:rPr>
              <w:t>Critical</w:t>
            </w:r>
          </w:p>
        </w:tc>
        <w:tc>
          <w:tcPr>
            <w:tcW w:type="dxa" w:w="1296"/>
          </w:tcPr>
          <w:p>
            <w:r/>
            <w:r>
              <w:rPr>
                <w:b w:val="0"/>
                <w:sz w:val="17"/>
              </w:rPr>
              <w:t>2025-01-09 (auto-renewed)</w:t>
            </w:r>
          </w:p>
        </w:tc>
      </w:tr>
      <w:tr>
        <w:tc>
          <w:tcPr>
            <w:tcW w:type="dxa" w:w="2304"/>
          </w:tcPr>
          <w:p>
            <w:r/>
            <w:r>
              <w:rPr>
                <w:b w:val="0"/>
                <w:sz w:val="17"/>
              </w:rPr>
              <w:t>V-003 Locale Metrics Inc.</w:t>
            </w:r>
          </w:p>
        </w:tc>
        <w:tc>
          <w:tcPr>
            <w:tcW w:type="dxa" w:w="2736"/>
          </w:tcPr>
          <w:p>
            <w:r/>
            <w:r>
              <w:rPr>
                <w:b w:val="0"/>
                <w:sz w:val="17"/>
              </w:rPr>
              <w:t>Precise geolocation (195K) — SPI</w:t>
            </w:r>
          </w:p>
        </w:tc>
        <w:tc>
          <w:tcPr>
            <w:tcW w:type="dxa" w:w="2016"/>
          </w:tcPr>
          <w:p>
            <w:r/>
            <w:r>
              <w:rPr>
                <w:b w:val="0"/>
                <w:sz w:val="17"/>
              </w:rPr>
              <w:t>Service provider if solely for CHG; otherwise third party</w:t>
            </w:r>
          </w:p>
        </w:tc>
        <w:tc>
          <w:tcPr>
            <w:tcW w:type="dxa" w:w="1008"/>
          </w:tcPr>
          <w:p>
            <w:r/>
            <w:r>
              <w:rPr>
                <w:b w:val="0"/>
                <w:sz w:val="17"/>
              </w:rPr>
              <w:t>Critical</w:t>
            </w:r>
          </w:p>
        </w:tc>
        <w:tc>
          <w:tcPr>
            <w:tcW w:type="dxa" w:w="1296"/>
          </w:tcPr>
          <w:p>
            <w:r/>
            <w:r>
              <w:rPr>
                <w:b w:val="0"/>
                <w:sz w:val="17"/>
              </w:rPr>
              <w:t>2026-08-31</w:t>
            </w:r>
          </w:p>
        </w:tc>
      </w:tr>
      <w:tr>
        <w:tc>
          <w:tcPr>
            <w:tcW w:type="dxa" w:w="2304"/>
          </w:tcPr>
          <w:p>
            <w:r/>
            <w:r>
              <w:rPr>
                <w:b w:val="0"/>
                <w:sz w:val="17"/>
              </w:rPr>
              <w:t>V-008 Canopy Social Integrations</w:t>
            </w:r>
          </w:p>
        </w:tc>
        <w:tc>
          <w:tcPr>
            <w:tcW w:type="dxa" w:w="2736"/>
          </w:tcPr>
          <w:p>
            <w:r/>
            <w:r>
              <w:rPr>
                <w:b w:val="0"/>
                <w:sz w:val="17"/>
              </w:rPr>
              <w:t>Hashed email, browsing, purchase events</w:t>
            </w:r>
          </w:p>
        </w:tc>
        <w:tc>
          <w:tcPr>
            <w:tcW w:type="dxa" w:w="2016"/>
          </w:tcPr>
          <w:p>
            <w:r/>
            <w:r>
              <w:rPr>
                <w:b w:val="0"/>
                <w:sz w:val="17"/>
              </w:rPr>
              <w:t>Third party</w:t>
            </w:r>
          </w:p>
        </w:tc>
        <w:tc>
          <w:tcPr>
            <w:tcW w:type="dxa" w:w="1008"/>
          </w:tcPr>
          <w:p>
            <w:r/>
            <w:r>
              <w:rPr>
                <w:b w:val="0"/>
                <w:sz w:val="17"/>
              </w:rPr>
              <w:t>Critical</w:t>
            </w:r>
          </w:p>
        </w:tc>
        <w:tc>
          <w:tcPr>
            <w:tcW w:type="dxa" w:w="1296"/>
          </w:tcPr>
          <w:p>
            <w:r/>
            <w:r>
              <w:rPr>
                <w:b w:val="0"/>
                <w:sz w:val="17"/>
              </w:rPr>
              <w:t>2025-03-01</w:t>
            </w:r>
          </w:p>
        </w:tc>
      </w:tr>
      <w:tr>
        <w:tc>
          <w:tcPr>
            <w:tcW w:type="dxa" w:w="2304"/>
          </w:tcPr>
          <w:p>
            <w:r/>
            <w:r>
              <w:rPr>
                <w:b w:val="0"/>
                <w:sz w:val="17"/>
              </w:rPr>
              <w:t>V-014 Ashgrove Retargeting Network</w:t>
            </w:r>
          </w:p>
        </w:tc>
        <w:tc>
          <w:tcPr>
            <w:tcW w:type="dxa" w:w="2736"/>
          </w:tcPr>
          <w:p>
            <w:r/>
            <w:r>
              <w:rPr>
                <w:b w:val="0"/>
                <w:sz w:val="17"/>
              </w:rPr>
              <w:t>Browsing, cart, hashed email</w:t>
            </w:r>
          </w:p>
        </w:tc>
        <w:tc>
          <w:tcPr>
            <w:tcW w:type="dxa" w:w="2016"/>
          </w:tcPr>
          <w:p>
            <w:r/>
            <w:r>
              <w:rPr>
                <w:b w:val="0"/>
                <w:sz w:val="17"/>
              </w:rPr>
              <w:t>Third party</w:t>
            </w:r>
          </w:p>
        </w:tc>
        <w:tc>
          <w:tcPr>
            <w:tcW w:type="dxa" w:w="1008"/>
          </w:tcPr>
          <w:p>
            <w:r/>
            <w:r>
              <w:rPr>
                <w:b w:val="0"/>
                <w:sz w:val="17"/>
              </w:rPr>
              <w:t>Critical</w:t>
            </w:r>
          </w:p>
        </w:tc>
        <w:tc>
          <w:tcPr>
            <w:tcW w:type="dxa" w:w="1296"/>
          </w:tcPr>
          <w:p>
            <w:r/>
            <w:r>
              <w:rPr>
                <w:b w:val="0"/>
                <w:sz w:val="17"/>
              </w:rPr>
              <w:t>2025-05-01</w:t>
            </w:r>
          </w:p>
        </w:tc>
      </w:tr>
      <w:tr>
        <w:tc>
          <w:tcPr>
            <w:tcW w:type="dxa" w:w="2304"/>
          </w:tcPr>
          <w:p>
            <w:r/>
            <w:r>
              <w:rPr>
                <w:b w:val="0"/>
                <w:sz w:val="17"/>
              </w:rPr>
              <w:t>V-018 Crestwood Loyalty Engine</w:t>
            </w:r>
          </w:p>
        </w:tc>
        <w:tc>
          <w:tcPr>
            <w:tcW w:type="dxa" w:w="2736"/>
          </w:tcPr>
          <w:p>
            <w:r/>
            <w:r>
              <w:rPr>
                <w:b w:val="0"/>
                <w:sz w:val="17"/>
              </w:rPr>
              <w:t>Runs Cascadia Rewards; feeds ADN/Prism</w:t>
            </w:r>
          </w:p>
        </w:tc>
        <w:tc>
          <w:tcPr>
            <w:tcW w:type="dxa" w:w="2016"/>
          </w:tcPr>
          <w:p>
            <w:r/>
            <w:r>
              <w:rPr>
                <w:b w:val="0"/>
                <w:sz w:val="17"/>
              </w:rPr>
              <w:t>Service provider</w:t>
            </w:r>
          </w:p>
        </w:tc>
        <w:tc>
          <w:tcPr>
            <w:tcW w:type="dxa" w:w="1008"/>
          </w:tcPr>
          <w:p>
            <w:r/>
            <w:r>
              <w:rPr>
                <w:b w:val="0"/>
                <w:sz w:val="17"/>
              </w:rPr>
              <w:t>Critical</w:t>
            </w:r>
          </w:p>
        </w:tc>
        <w:tc>
          <w:tcPr>
            <w:tcW w:type="dxa" w:w="1296"/>
          </w:tcPr>
          <w:p>
            <w:r/>
            <w:r>
              <w:rPr>
                <w:b w:val="0"/>
                <w:sz w:val="17"/>
              </w:rPr>
              <w:t>2025-04-01</w:t>
            </w:r>
          </w:p>
        </w:tc>
      </w:tr>
      <w:tr>
        <w:tc>
          <w:tcPr>
            <w:tcW w:type="dxa" w:w="2304"/>
          </w:tcPr>
          <w:p>
            <w:r/>
            <w:r>
              <w:rPr>
                <w:b w:val="0"/>
                <w:sz w:val="17"/>
              </w:rPr>
              <w:t>V-006 Northbluff Personalization</w:t>
            </w:r>
          </w:p>
        </w:tc>
        <w:tc>
          <w:tcPr>
            <w:tcW w:type="dxa" w:w="2736"/>
          </w:tcPr>
          <w:p>
            <w:r/>
            <w:r>
              <w:rPr>
                <w:b w:val="0"/>
                <w:sz w:val="17"/>
              </w:rPr>
              <w:t>On-site recommendations</w:t>
            </w:r>
          </w:p>
        </w:tc>
        <w:tc>
          <w:tcPr>
            <w:tcW w:type="dxa" w:w="2016"/>
          </w:tcPr>
          <w:p>
            <w:r/>
            <w:r>
              <w:rPr>
                <w:b w:val="0"/>
                <w:sz w:val="17"/>
              </w:rPr>
              <w:t>Service provider</w:t>
            </w:r>
          </w:p>
        </w:tc>
        <w:tc>
          <w:tcPr>
            <w:tcW w:type="dxa" w:w="1008"/>
          </w:tcPr>
          <w:p>
            <w:r/>
            <w:r>
              <w:rPr>
                <w:b w:val="0"/>
                <w:sz w:val="17"/>
              </w:rPr>
              <w:t>High</w:t>
            </w:r>
          </w:p>
        </w:tc>
        <w:tc>
          <w:tcPr>
            <w:tcW w:type="dxa" w:w="1296"/>
          </w:tcPr>
          <w:p>
            <w:r/>
            <w:r>
              <w:rPr>
                <w:b w:val="0"/>
                <w:sz w:val="17"/>
              </w:rPr>
              <w:t>2025-08-14</w:t>
            </w:r>
          </w:p>
        </w:tc>
      </w:tr>
      <w:tr>
        <w:tc>
          <w:tcPr>
            <w:tcW w:type="dxa" w:w="2304"/>
          </w:tcPr>
          <w:p>
            <w:r/>
            <w:r>
              <w:rPr>
                <w:b w:val="0"/>
                <w:sz w:val="17"/>
              </w:rPr>
              <w:t>V-021 Oakmont Affiliate Network</w:t>
            </w:r>
          </w:p>
        </w:tc>
        <w:tc>
          <w:tcPr>
            <w:tcW w:type="dxa" w:w="2736"/>
          </w:tcPr>
          <w:p>
            <w:r/>
            <w:r>
              <w:rPr>
                <w:b w:val="0"/>
                <w:sz w:val="17"/>
              </w:rPr>
              <w:t>Affiliate tracking; onward sharing to publishers</w:t>
            </w:r>
          </w:p>
        </w:tc>
        <w:tc>
          <w:tcPr>
            <w:tcW w:type="dxa" w:w="2016"/>
          </w:tcPr>
          <w:p>
            <w:r/>
            <w:r>
              <w:rPr>
                <w:b w:val="0"/>
                <w:sz w:val="17"/>
              </w:rPr>
              <w:t>Third party</w:t>
            </w:r>
          </w:p>
        </w:tc>
        <w:tc>
          <w:tcPr>
            <w:tcW w:type="dxa" w:w="1008"/>
          </w:tcPr>
          <w:p>
            <w:r/>
            <w:r>
              <w:rPr>
                <w:b w:val="0"/>
                <w:sz w:val="17"/>
              </w:rPr>
              <w:t>High</w:t>
            </w:r>
          </w:p>
        </w:tc>
        <w:tc>
          <w:tcPr>
            <w:tcW w:type="dxa" w:w="1296"/>
          </w:tcPr>
          <w:p>
            <w:r/>
            <w:r>
              <w:rPr>
                <w:b w:val="0"/>
                <w:sz w:val="17"/>
              </w:rPr>
              <w:t>2025-07-01</w:t>
            </w:r>
          </w:p>
        </w:tc>
      </w:tr>
      <w:tr>
        <w:tc>
          <w:tcPr>
            <w:tcW w:type="dxa" w:w="2304"/>
          </w:tcPr>
          <w:p>
            <w:r/>
            <w:r>
              <w:rPr>
                <w:b w:val="0"/>
                <w:sz w:val="17"/>
              </w:rPr>
              <w:t>V-010 Brackenridge A/B Testing</w:t>
            </w:r>
          </w:p>
        </w:tc>
        <w:tc>
          <w:tcPr>
            <w:tcW w:type="dxa" w:w="2736"/>
          </w:tcPr>
          <w:p>
            <w:r/>
            <w:r>
              <w:rPr>
                <w:b w:val="0"/>
                <w:sz w:val="17"/>
              </w:rPr>
              <w:t>UX experimentation</w:t>
            </w:r>
          </w:p>
        </w:tc>
        <w:tc>
          <w:tcPr>
            <w:tcW w:type="dxa" w:w="2016"/>
          </w:tcPr>
          <w:p>
            <w:r/>
            <w:r>
              <w:rPr>
                <w:b w:val="0"/>
                <w:sz w:val="17"/>
              </w:rPr>
              <w:t>Service provider</w:t>
            </w:r>
          </w:p>
        </w:tc>
        <w:tc>
          <w:tcPr>
            <w:tcW w:type="dxa" w:w="1008"/>
          </w:tcPr>
          <w:p>
            <w:r/>
            <w:r>
              <w:rPr>
                <w:b w:val="0"/>
                <w:sz w:val="17"/>
              </w:rPr>
              <w:t>Moderate</w:t>
            </w:r>
          </w:p>
        </w:tc>
        <w:tc>
          <w:tcPr>
            <w:tcW w:type="dxa" w:w="1296"/>
          </w:tcPr>
          <w:p>
            <w:r/>
            <w:r>
              <w:rPr>
                <w:b w:val="0"/>
                <w:sz w:val="17"/>
              </w:rPr>
              <w:t>2025-11-01</w:t>
            </w:r>
          </w:p>
        </w:tc>
      </w:tr>
    </w:tbl>
    <w:p>
      <w:pPr>
        <w:spacing w:after="40"/>
      </w:pPr>
    </w:p>
    <w:p>
      <w:pPr>
        <w:spacing w:after="120"/>
      </w:pPr>
      <w:r>
        <w:rPr>
          <w:b w:val="0"/>
        </w:rPr>
        <w:t>Source: CTO DPA Status Tracker (Feb. 7, 2025). All nine lack CPRA certifications and deletion/return terms; eight lack sub-processor flow-down; four (not three, as the tracker's summary row states) lack SPI restrictions. Five of the nine are "third parties" in substance, so a DPA refresh alone will not cure them — their data flows also require opt-out, GPC and disclosure coverage. The CPPA has said a business's inability to show downstream deletion because of inadequate contracts will be attributed to the business. Internal renegotiation estimate is $51,000 versus Thornbury's $45,000. All nine are marked "Not Started."</w:t>
      </w:r>
    </w:p>
    <w:p>
      <w:pPr>
        <w:pStyle w:val="Heading2"/>
      </w:pPr>
      <w:r>
        <w:t>G. Privacy policy and notices (C-03, M-03, M-04, M-08, M-11)</w:t>
      </w:r>
    </w:p>
    <w:p>
      <w:pPr>
        <w:spacing w:after="120"/>
      </w:pPr>
      <w:r>
        <w:rPr>
          <w:b w:val="0"/>
        </w:rPr>
        <w:t>Republish a CPRA-compliant policy (SPI, sale/sharing, correction, right to limit, retention periods by category — the retention schedule covers only 8 of 14 categories (M-01)), update the app notice, replace 2021-era signage in 5 of 14 showrooms, and add homepage "Do Not Sell or Share" and "Limit the Use of My Sensitive Personal Information" links. Target: 3–4 weeks for the policy; coordinate so the new policy, banner and GPC go live together.</w:t>
      </w:r>
    </w:p>
    <w:p>
      <w:pPr>
        <w:pStyle w:val="Heading2"/>
      </w:pPr>
      <w:r>
        <w:t>H. Secondary issues</w:t>
      </w:r>
    </w:p>
    <w:p>
      <w:pPr>
        <w:pStyle w:val="ListBullet"/>
        <w:spacing w:after="60"/>
      </w:pPr>
      <w:r>
        <w:rPr>
          <w:b/>
        </w:rPr>
        <w:t>Employee/HR data (380 CA employees):</w:t>
      </w:r>
      <w:r>
        <w:rPr>
          <w:b w:val="0"/>
        </w:rPr>
        <w:t xml:space="preserve"> commission a targeted HR privacy assessment in Q2 2025 (not budgeted by Thornbury).</w:t>
      </w:r>
    </w:p>
    <w:p>
      <w:pPr>
        <w:pStyle w:val="ListBullet"/>
        <w:spacing w:after="60"/>
      </w:pPr>
      <w:r>
        <w:rPr>
          <w:b/>
        </w:rPr>
        <w:t>Children:</w:t>
      </w:r>
      <w:r>
        <w:rPr>
          <w:b w:val="0"/>
        </w:rPr>
        <w:t xml:space="preserve"> confirm no knowing collection from under-16s; document the basis; consider age screening for app account creation.</w:t>
      </w:r>
    </w:p>
    <w:p>
      <w:pPr>
        <w:pStyle w:val="ListBullet"/>
        <w:spacing w:after="60"/>
      </w:pPr>
      <w:r>
        <w:rPr>
          <w:b/>
        </w:rPr>
        <w:t>Moderate findings M-01 to M-12</w:t>
      </w:r>
      <w:r>
        <w:rPr>
          <w:b w:val="0"/>
        </w:rPr>
        <w:t xml:space="preserve"> (training records at 67% for Q3 2024, undocumented verification and authorized-agent procedures, no data map, incomplete request metrics, stale cookie scans since June 2023, no PIA process): address in weeks 6–12; several (verification procedures, metrics, data map) are needed to answer the Inquiry credibly and should be accelerated.</w:t>
      </w:r>
    </w:p>
    <w:p>
      <w:pPr>
        <w:pStyle w:val="Heading1"/>
      </w:pPr>
      <w:r>
        <w:t>VI. Recommended CPPA Inquiry Response Strategy</w:t>
      </w:r>
    </w:p>
    <w:p>
      <w:pPr>
        <w:pStyle w:val="Heading2"/>
      </w:pPr>
      <w:r>
        <w:t>A. Recommendation</w:t>
      </w:r>
    </w:p>
    <w:p>
      <w:pPr>
        <w:spacing w:after="120"/>
      </w:pPr>
      <w:r>
        <w:rPr>
          <w:b/>
        </w:rPr>
        <w:t>Respond fully, accurately and on time, under Oakvale Hale's supervision, and pair the response with a credible description of remediation already under way on the deletion process.</w:t>
      </w:r>
      <w:r>
        <w:rPr>
          <w:b w:val="0"/>
        </w:rPr>
        <w:t xml:space="preserve"> I recommend against both an extension request (agreeing with Lars) and a narrowly lawyered response that withholds or shades responsive material. The letter's requests (b)–(d) are designed to reveal how our program works; our policies, vendor list and lack of downstream deletion evidence will show the systemic issue whatever we say. Credibility at the inquiry stage is the most valuable mitigating factor we control, while evasiveness or later-discovered inaccuracy is an aggravating factor and could expose individuals and the company to far more serious consequences than the underlying violations.</w:t>
      </w:r>
    </w:p>
    <w:p>
      <w:pPr>
        <w:spacing w:after="120"/>
      </w:pPr>
      <w:r>
        <w:rPr>
          <w:b w:val="0"/>
        </w:rPr>
        <w:t>This refines my February 5 and 9 emails. It is legitimate to limit the response to what is asked and not to produce privileged material or volunteer unrelated findings (e.g., the GPC and banner findings). It is not acceptable to omit responsive documents, recast policies, or describe the two cases as isolated when our data show they are not, if the response would otherwise imply that. Counsel should make the final judgment on how much of the systemic deletion backlog to describe, but my recommendation is to acknowledge it at a general level together with the remediation plan, because request (b) will reveal it anyway.</w:t>
      </w:r>
    </w:p>
    <w:p>
      <w:pPr>
        <w:pStyle w:val="Heading2"/>
      </w:pPr>
      <w:r>
        <w:t>B. Request-by-request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A5F"/>
          </w:tcPr>
          <w:p>
            <w:r/>
            <w:r>
              <w:rPr>
                <w:b/>
                <w:color w:val="FFFFFF"/>
                <w:sz w:val="17"/>
              </w:rPr>
              <w:t>Request</w:t>
            </w:r>
          </w:p>
        </w:tc>
        <w:tc>
          <w:tcPr>
            <w:tcW w:type="dxa" w:w="2304"/>
            <w:shd w:val="clear" w:color="auto" w:fill="1F3A5F"/>
          </w:tcPr>
          <w:p>
            <w:r/>
            <w:r>
              <w:rPr>
                <w:b/>
                <w:color w:val="FFFFFF"/>
                <w:sz w:val="17"/>
              </w:rPr>
              <w:t>What must be produced</w:t>
            </w:r>
          </w:p>
        </w:tc>
        <w:tc>
          <w:tcPr>
            <w:tcW w:type="dxa" w:w="2592"/>
            <w:shd w:val="clear" w:color="auto" w:fill="1F3A5F"/>
          </w:tcPr>
          <w:p>
            <w:r/>
            <w:r>
              <w:rPr>
                <w:b/>
                <w:color w:val="FFFFFF"/>
                <w:sz w:val="17"/>
              </w:rPr>
              <w:t>Known problems</w:t>
            </w:r>
          </w:p>
        </w:tc>
        <w:tc>
          <w:tcPr>
            <w:tcW w:type="dxa" w:w="2592"/>
            <w:shd w:val="clear" w:color="auto" w:fill="1F3A5F"/>
          </w:tcPr>
          <w:p>
            <w:r/>
            <w:r>
              <w:rPr>
                <w:b/>
                <w:color w:val="FFFFFF"/>
                <w:sz w:val="17"/>
              </w:rPr>
              <w:t>Plan / owner</w:t>
            </w:r>
          </w:p>
        </w:tc>
      </w:tr>
      <w:tr>
        <w:tc>
          <w:tcPr>
            <w:tcW w:type="dxa" w:w="1872"/>
          </w:tcPr>
          <w:p>
            <w:r/>
            <w:r>
              <w:rPr>
                <w:b w:val="0"/>
                <w:sz w:val="17"/>
              </w:rPr>
              <w:t>(a) The two consumers' requests and all CHG communications</w:t>
            </w:r>
          </w:p>
        </w:tc>
        <w:tc>
          <w:tcPr>
            <w:tcW w:type="dxa" w:w="2304"/>
          </w:tcPr>
          <w:p>
            <w:r/>
            <w:r>
              <w:rPr>
                <w:b w:val="0"/>
                <w:sz w:val="17"/>
              </w:rPr>
              <w:t>Requests, receipt dates, acknowledgments (8 business days), completion confirmations, call-center records</w:t>
            </w:r>
          </w:p>
        </w:tc>
        <w:tc>
          <w:tcPr>
            <w:tcW w:type="dxa" w:w="2592"/>
          </w:tcPr>
          <w:p>
            <w:r/>
            <w:r>
              <w:rPr>
                <w:b w:val="0"/>
                <w:sz w:val="17"/>
              </w:rPr>
              <w:t>Deletion completed at 72 and 74 days; no extension notice; unclear whether completion confirmations were sent; toll-free follow-ups unsatisfactory</w:t>
            </w:r>
          </w:p>
        </w:tc>
        <w:tc>
          <w:tcPr>
            <w:tcW w:type="dxa" w:w="2592"/>
          </w:tcPr>
          <w:p>
            <w:r/>
            <w:r>
              <w:rPr>
                <w:b w:val="0"/>
                <w:sz w:val="17"/>
              </w:rPr>
              <w:t>Fiona: full log export and call records by Feb 21. Acknowledge the late completion candidly; do not argue an extension that was never invoked</w:t>
            </w:r>
          </w:p>
        </w:tc>
      </w:tr>
      <w:tr>
        <w:tc>
          <w:tcPr>
            <w:tcW w:type="dxa" w:w="1872"/>
          </w:tcPr>
          <w:p>
            <w:r/>
            <w:r>
              <w:rPr>
                <w:b w:val="0"/>
                <w:sz w:val="17"/>
              </w:rPr>
              <w:t>(b) Written deletion policies, SOPs, escalation, training — every version in effect Sept 1, 2024 to present</w:t>
            </w:r>
          </w:p>
        </w:tc>
        <w:tc>
          <w:tcPr>
            <w:tcW w:type="dxa" w:w="2304"/>
          </w:tcPr>
          <w:p>
            <w:r/>
            <w:r>
              <w:rPr>
                <w:b w:val="0"/>
                <w:sz w:val="17"/>
              </w:rPr>
              <w:t>All versions as they existed, with dates</w:t>
            </w:r>
          </w:p>
        </w:tc>
        <w:tc>
          <w:tcPr>
            <w:tcW w:type="dxa" w:w="2592"/>
          </w:tcPr>
          <w:p>
            <w:r/>
            <w:r>
              <w:rPr>
                <w:b w:val="0"/>
                <w:sz w:val="17"/>
              </w:rPr>
              <w:t>Policies may not reflect CPRA timelines; verification procedures undocumented (M-05); training records incomplete (M-02)</w:t>
            </w:r>
          </w:p>
        </w:tc>
        <w:tc>
          <w:tcPr>
            <w:tcW w:type="dxa" w:w="2592"/>
          </w:tcPr>
          <w:p>
            <w:r/>
            <w:r>
              <w:rPr>
                <w:b w:val="0"/>
                <w:sz w:val="17"/>
              </w:rPr>
              <w:t>Produce as they existed. Any new SOP adopted before filing is produced as a new, dated document described as remediation. No back-dating or after-the-fact edits</w:t>
            </w:r>
          </w:p>
        </w:tc>
      </w:tr>
      <w:tr>
        <w:tc>
          <w:tcPr>
            <w:tcW w:type="dxa" w:w="1872"/>
          </w:tcPr>
          <w:p>
            <w:r/>
            <w:r>
              <w:rPr>
                <w:b w:val="0"/>
                <w:sz w:val="17"/>
              </w:rPr>
              <w:t xml:space="preserve">(c) All service providers, contractors </w:t>
            </w:r>
            <w:r>
              <w:rPr>
                <w:b/>
                <w:sz w:val="17"/>
              </w:rPr>
              <w:t>and third parties</w:t>
            </w:r>
            <w:r>
              <w:rPr>
                <w:b w:val="0"/>
                <w:sz w:val="17"/>
              </w:rPr>
              <w:t xml:space="preserve"> that received each consumer's PI in the 12 months before each request, with PI categories and purposes</w:t>
            </w:r>
          </w:p>
        </w:tc>
        <w:tc>
          <w:tcPr>
            <w:tcW w:type="dxa" w:w="2304"/>
          </w:tcPr>
          <w:p>
            <w:r/>
            <w:r>
              <w:rPr>
                <w:b w:val="0"/>
                <w:sz w:val="17"/>
              </w:rPr>
              <w:t>Consumer-specific recipient list</w:t>
            </w:r>
          </w:p>
        </w:tc>
        <w:tc>
          <w:tcPr>
            <w:tcW w:type="dxa" w:w="2592"/>
          </w:tcPr>
          <w:p>
            <w:r/>
            <w:r>
              <w:rPr>
                <w:b w:val="0"/>
                <w:sz w:val="17"/>
              </w:rPr>
              <w:t>Our vendor inventories conflict (Section VIII); ADN and Prism will appear if the consumers were Rewards members (assumed, not yet verified); ADN/Prism are third parties, not service providers</w:t>
            </w:r>
          </w:p>
        </w:tc>
        <w:tc>
          <w:tcPr>
            <w:tcW w:type="dxa" w:w="2592"/>
          </w:tcPr>
          <w:p>
            <w:r/>
            <w:r>
              <w:rPr>
                <w:b w:val="0"/>
                <w:sz w:val="17"/>
              </w:rPr>
              <w:t>Fiona + Brian: trace each consumer through CDP, loyalty and tag data by Feb 28. List ADN/Prism accurately as third parties with stated purposes. Reconcile inventory first</w:t>
            </w:r>
          </w:p>
        </w:tc>
      </w:tr>
      <w:tr>
        <w:tc>
          <w:tcPr>
            <w:tcW w:type="dxa" w:w="1872"/>
          </w:tcPr>
          <w:p>
            <w:r/>
            <w:r>
              <w:rPr>
                <w:b w:val="0"/>
                <w:sz w:val="17"/>
              </w:rPr>
              <w:t>(d) Evidence that CHG notified each recipient to delete (§ 1798.105(c)) and any confirmations</w:t>
            </w:r>
          </w:p>
        </w:tc>
        <w:tc>
          <w:tcPr>
            <w:tcW w:type="dxa" w:w="2304"/>
          </w:tcPr>
          <w:p>
            <w:r/>
            <w:r>
              <w:rPr>
                <w:b w:val="0"/>
                <w:sz w:val="17"/>
              </w:rPr>
              <w:t>Notices sent and responses</w:t>
            </w:r>
          </w:p>
        </w:tc>
        <w:tc>
          <w:tcPr>
            <w:tcW w:type="dxa" w:w="2592"/>
          </w:tcPr>
          <w:p>
            <w:r/>
            <w:r>
              <w:rPr>
                <w:b w:val="0"/>
                <w:sz w:val="17"/>
              </w:rPr>
              <w:t>No systematic vendor-deletion tracking; 9 DPAs lack deletion clauses</w:t>
            </w:r>
          </w:p>
        </w:tc>
        <w:tc>
          <w:tcPr>
            <w:tcW w:type="dxa" w:w="2592"/>
          </w:tcPr>
          <w:p>
            <w:r/>
            <w:r>
              <w:rPr>
                <w:b w:val="0"/>
                <w:sz w:val="17"/>
              </w:rPr>
              <w:t>Produce what exists. If notices were not sent, send them now, obtain confirmations, and state accurately when they were sent</w:t>
            </w:r>
          </w:p>
        </w:tc>
      </w:tr>
      <w:tr>
        <w:tc>
          <w:tcPr>
            <w:tcW w:type="dxa" w:w="1872"/>
          </w:tcPr>
          <w:p>
            <w:r/>
            <w:r>
              <w:rPr>
                <w:b w:val="0"/>
                <w:sz w:val="17"/>
              </w:rPr>
              <w:t>Privilege log</w:t>
            </w:r>
          </w:p>
        </w:tc>
        <w:tc>
          <w:tcPr>
            <w:tcW w:type="dxa" w:w="2304"/>
          </w:tcPr>
          <w:p>
            <w:r/>
            <w:r>
              <w:rPr>
                <w:b w:val="0"/>
                <w:sz w:val="17"/>
              </w:rPr>
              <w:t>For any withheld document, by date, author, recipients, subject, privilege</w:t>
            </w:r>
          </w:p>
        </w:tc>
        <w:tc>
          <w:tcPr>
            <w:tcW w:type="dxa" w:w="2592"/>
          </w:tcPr>
          <w:p>
            <w:r/>
            <w:r>
              <w:rPr>
                <w:b w:val="0"/>
                <w:sz w:val="17"/>
              </w:rPr>
              <w:t>Thornbury report and internal analyses</w:t>
            </w:r>
          </w:p>
        </w:tc>
        <w:tc>
          <w:tcPr>
            <w:tcW w:type="dxa" w:w="2592"/>
          </w:tcPr>
          <w:p>
            <w:r/>
            <w:r>
              <w:rPr>
                <w:b w:val="0"/>
                <w:sz w:val="17"/>
              </w:rPr>
              <w:t>Counsel to prepare; assess privilege over the Thornbury report (it disclaims legal advice, and in-house direction may not suffice), and engage further consultants through Oakvale Hale</w:t>
            </w:r>
          </w:p>
        </w:tc>
      </w:tr>
    </w:tbl>
    <w:p>
      <w:pPr>
        <w:spacing w:after="40"/>
      </w:pPr>
    </w:p>
    <w:p>
      <w:pPr>
        <w:pStyle w:val="Heading2"/>
      </w:pPr>
      <w:r>
        <w:t>C. Process and timeline to March 18</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F3A5F"/>
          </w:tcPr>
          <w:p>
            <w:r/>
            <w:r>
              <w:rPr>
                <w:b/>
                <w:color w:val="FFFFFF"/>
                <w:sz w:val="18"/>
              </w:rPr>
              <w:t>By</w:t>
            </w:r>
          </w:p>
        </w:tc>
        <w:tc>
          <w:tcPr>
            <w:tcW w:type="dxa" w:w="6624"/>
            <w:shd w:val="clear" w:color="auto" w:fill="1F3A5F"/>
          </w:tcPr>
          <w:p>
            <w:r/>
            <w:r>
              <w:rPr>
                <w:b/>
                <w:color w:val="FFFFFF"/>
                <w:sz w:val="18"/>
              </w:rPr>
              <w:t>Step</w:t>
            </w:r>
          </w:p>
        </w:tc>
        <w:tc>
          <w:tcPr>
            <w:tcW w:type="dxa" w:w="1584"/>
            <w:shd w:val="clear" w:color="auto" w:fill="1F3A5F"/>
          </w:tcPr>
          <w:p>
            <w:r/>
            <w:r>
              <w:rPr>
                <w:b/>
                <w:color w:val="FFFFFF"/>
                <w:sz w:val="18"/>
              </w:rPr>
              <w:t>Owner</w:t>
            </w:r>
          </w:p>
        </w:tc>
      </w:tr>
      <w:tr>
        <w:tc>
          <w:tcPr>
            <w:tcW w:type="dxa" w:w="1152"/>
          </w:tcPr>
          <w:p>
            <w:r/>
            <w:r>
              <w:rPr>
                <w:b w:val="0"/>
                <w:sz w:val="18"/>
              </w:rPr>
              <w:t>Feb 14</w:t>
            </w:r>
          </w:p>
        </w:tc>
        <w:tc>
          <w:tcPr>
            <w:tcW w:type="dxa" w:w="6624"/>
          </w:tcPr>
          <w:p>
            <w:r/>
            <w:r>
              <w:rPr>
                <w:b w:val="0"/>
                <w:sz w:val="18"/>
              </w:rPr>
              <w:t>Issue legal hold covering request logs, portal and call-center records, CDP and vendor communications, consent configuration and marketing data-flow documents; suspend auto-deletion of these records</w:t>
            </w:r>
          </w:p>
        </w:tc>
        <w:tc>
          <w:tcPr>
            <w:tcW w:type="dxa" w:w="1584"/>
          </w:tcPr>
          <w:p>
            <w:r/>
            <w:r>
              <w:rPr>
                <w:b w:val="0"/>
                <w:sz w:val="18"/>
              </w:rPr>
              <w:t>Legal / IT</w:t>
            </w:r>
          </w:p>
        </w:tc>
      </w:tr>
      <w:tr>
        <w:tc>
          <w:tcPr>
            <w:tcW w:type="dxa" w:w="1152"/>
          </w:tcPr>
          <w:p>
            <w:r/>
            <w:r>
              <w:rPr>
                <w:b w:val="0"/>
                <w:sz w:val="18"/>
              </w:rPr>
              <w:t>Feb 18</w:t>
            </w:r>
          </w:p>
        </w:tc>
        <w:tc>
          <w:tcPr>
            <w:tcW w:type="dxa" w:w="6624"/>
          </w:tcPr>
          <w:p>
            <w:r/>
            <w:r>
              <w:rPr>
                <w:b w:val="0"/>
                <w:sz w:val="18"/>
              </w:rPr>
              <w:t>Engage Oakvale Hale; counsel contacts analyst Daniela Vargas to confirm receipt, the deadline calculation and production format</w:t>
            </w:r>
          </w:p>
        </w:tc>
        <w:tc>
          <w:tcPr>
            <w:tcW w:type="dxa" w:w="1584"/>
          </w:tcPr>
          <w:p>
            <w:r/>
            <w:r>
              <w:rPr>
                <w:b w:val="0"/>
                <w:sz w:val="18"/>
              </w:rPr>
              <w:t>Legal</w:t>
            </w:r>
          </w:p>
        </w:tc>
      </w:tr>
      <w:tr>
        <w:tc>
          <w:tcPr>
            <w:tcW w:type="dxa" w:w="1152"/>
          </w:tcPr>
          <w:p>
            <w:r/>
            <w:r>
              <w:rPr>
                <w:b w:val="0"/>
                <w:sz w:val="18"/>
              </w:rPr>
              <w:t>Feb 21</w:t>
            </w:r>
          </w:p>
        </w:tc>
        <w:tc>
          <w:tcPr>
            <w:tcW w:type="dxa" w:w="6624"/>
          </w:tcPr>
          <w:p>
            <w:r/>
            <w:r>
              <w:rPr>
                <w:b w:val="0"/>
                <w:sz w:val="18"/>
              </w:rPr>
              <w:t>Consumer A/B log export, call records; begin backlog triage and extension notices</w:t>
            </w:r>
          </w:p>
        </w:tc>
        <w:tc>
          <w:tcPr>
            <w:tcW w:type="dxa" w:w="1584"/>
          </w:tcPr>
          <w:p>
            <w:r/>
            <w:r>
              <w:rPr>
                <w:b w:val="0"/>
                <w:sz w:val="18"/>
              </w:rPr>
              <w:t>CTO / Customer Service</w:t>
            </w:r>
          </w:p>
        </w:tc>
      </w:tr>
      <w:tr>
        <w:tc>
          <w:tcPr>
            <w:tcW w:type="dxa" w:w="1152"/>
          </w:tcPr>
          <w:p>
            <w:r/>
            <w:r>
              <w:rPr>
                <w:b w:val="0"/>
                <w:sz w:val="18"/>
              </w:rPr>
              <w:t>Feb 28</w:t>
            </w:r>
          </w:p>
        </w:tc>
        <w:tc>
          <w:tcPr>
            <w:tcW w:type="dxa" w:w="6624"/>
          </w:tcPr>
          <w:p>
            <w:r/>
            <w:r>
              <w:rPr>
                <w:b w:val="0"/>
                <w:sz w:val="18"/>
              </w:rPr>
              <w:t>Consumer-specific recipient trace; reconciled vendor inventory; send any missing downstream deletion instructions</w:t>
            </w:r>
          </w:p>
        </w:tc>
        <w:tc>
          <w:tcPr>
            <w:tcW w:type="dxa" w:w="1584"/>
          </w:tcPr>
          <w:p>
            <w:r/>
            <w:r>
              <w:rPr>
                <w:b w:val="0"/>
                <w:sz w:val="18"/>
              </w:rPr>
              <w:t>CTO / CMO / Legal</w:t>
            </w:r>
          </w:p>
        </w:tc>
      </w:tr>
      <w:tr>
        <w:tc>
          <w:tcPr>
            <w:tcW w:type="dxa" w:w="1152"/>
          </w:tcPr>
          <w:p>
            <w:r/>
            <w:r>
              <w:rPr>
                <w:b w:val="0"/>
                <w:sz w:val="18"/>
              </w:rPr>
              <w:t>Mar 5</w:t>
            </w:r>
          </w:p>
        </w:tc>
        <w:tc>
          <w:tcPr>
            <w:tcW w:type="dxa" w:w="6624"/>
          </w:tcPr>
          <w:p>
            <w:r/>
            <w:r>
              <w:rPr>
                <w:b w:val="0"/>
                <w:sz w:val="18"/>
              </w:rPr>
              <w:t>First full draft response, narrative and privilege log</w:t>
            </w:r>
          </w:p>
        </w:tc>
        <w:tc>
          <w:tcPr>
            <w:tcW w:type="dxa" w:w="1584"/>
          </w:tcPr>
          <w:p>
            <w:r/>
            <w:r>
              <w:rPr>
                <w:b w:val="0"/>
                <w:sz w:val="18"/>
              </w:rPr>
              <w:t>Oakvale Hale / Legal</w:t>
            </w:r>
          </w:p>
        </w:tc>
      </w:tr>
      <w:tr>
        <w:tc>
          <w:tcPr>
            <w:tcW w:type="dxa" w:w="1152"/>
          </w:tcPr>
          <w:p>
            <w:r/>
            <w:r>
              <w:rPr>
                <w:b w:val="0"/>
                <w:sz w:val="18"/>
              </w:rPr>
              <w:t>Mar 10</w:t>
            </w:r>
          </w:p>
        </w:tc>
        <w:tc>
          <w:tcPr>
            <w:tcW w:type="dxa" w:w="6624"/>
          </w:tcPr>
          <w:p>
            <w:r/>
            <w:r>
              <w:rPr>
                <w:b w:val="0"/>
                <w:sz w:val="18"/>
              </w:rPr>
              <w:t>Executive review; CEO sign-off</w:t>
            </w:r>
          </w:p>
        </w:tc>
        <w:tc>
          <w:tcPr>
            <w:tcW w:type="dxa" w:w="1584"/>
          </w:tcPr>
          <w:p>
            <w:r/>
            <w:r>
              <w:rPr>
                <w:b w:val="0"/>
                <w:sz w:val="18"/>
              </w:rPr>
              <w:t>CEO / Legal</w:t>
            </w:r>
          </w:p>
        </w:tc>
      </w:tr>
      <w:tr>
        <w:tc>
          <w:tcPr>
            <w:tcW w:type="dxa" w:w="1152"/>
          </w:tcPr>
          <w:p>
            <w:r/>
            <w:r>
              <w:rPr>
                <w:b w:val="0"/>
                <w:sz w:val="18"/>
              </w:rPr>
              <w:t>Mar 14</w:t>
            </w:r>
          </w:p>
        </w:tc>
        <w:tc>
          <w:tcPr>
            <w:tcW w:type="dxa" w:w="6624"/>
          </w:tcPr>
          <w:p>
            <w:r/>
            <w:r>
              <w:rPr>
                <w:b w:val="0"/>
                <w:sz w:val="18"/>
              </w:rPr>
              <w:t>Submit by mail and email to enforcement-inquiries@cppa.ca.gov; native or searchable PDF format</w:t>
            </w:r>
          </w:p>
        </w:tc>
        <w:tc>
          <w:tcPr>
            <w:tcW w:type="dxa" w:w="1584"/>
          </w:tcPr>
          <w:p>
            <w:r/>
            <w:r>
              <w:rPr>
                <w:b w:val="0"/>
                <w:sz w:val="18"/>
              </w:rPr>
              <w:t>Oakvale Hale</w:t>
            </w:r>
          </w:p>
        </w:tc>
      </w:tr>
    </w:tbl>
    <w:p>
      <w:pPr>
        <w:spacing w:after="40"/>
      </w:pPr>
    </w:p>
    <w:p>
      <w:pPr>
        <w:pStyle w:val="Heading1"/>
      </w:pPr>
      <w:r>
        <w:t>VII. Prioritized Remediation Roadmap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A5F"/>
          </w:tcPr>
          <w:p>
            <w:r/>
            <w:r>
              <w:rPr>
                <w:b/>
                <w:color w:val="FFFFFF"/>
                <w:sz w:val="17"/>
              </w:rPr>
              <w:t>Phase</w:t>
            </w:r>
          </w:p>
        </w:tc>
        <w:tc>
          <w:tcPr>
            <w:tcW w:type="dxa" w:w="4464"/>
            <w:shd w:val="clear" w:color="auto" w:fill="1F3A5F"/>
          </w:tcPr>
          <w:p>
            <w:r/>
            <w:r>
              <w:rPr>
                <w:b/>
                <w:color w:val="FFFFFF"/>
                <w:sz w:val="17"/>
              </w:rPr>
              <w:t>Actions</w:t>
            </w:r>
          </w:p>
        </w:tc>
        <w:tc>
          <w:tcPr>
            <w:tcW w:type="dxa" w:w="1152"/>
            <w:shd w:val="clear" w:color="auto" w:fill="1F3A5F"/>
          </w:tcPr>
          <w:p>
            <w:r/>
            <w:r>
              <w:rPr>
                <w:b/>
                <w:color w:val="FFFFFF"/>
                <w:sz w:val="17"/>
              </w:rPr>
              <w:t>Owner</w:t>
            </w:r>
          </w:p>
        </w:tc>
        <w:tc>
          <w:tcPr>
            <w:tcW w:type="dxa" w:w="1872"/>
            <w:shd w:val="clear" w:color="auto" w:fill="1F3A5F"/>
          </w:tcPr>
          <w:p>
            <w:r/>
            <w:r>
              <w:rPr>
                <w:b/>
                <w:color w:val="FFFFFF"/>
                <w:sz w:val="17"/>
              </w:rPr>
              <w:t>Est. cost (Thornbury category)</w:t>
            </w:r>
          </w:p>
        </w:tc>
      </w:tr>
      <w:tr>
        <w:tc>
          <w:tcPr>
            <w:tcW w:type="dxa" w:w="1872"/>
          </w:tcPr>
          <w:p>
            <w:r/>
            <w:r>
              <w:rPr>
                <w:b w:val="0"/>
                <w:sz w:val="17"/>
              </w:rPr>
              <w:t>Immediate (Weeks 0–2, by ~Feb 28)</w:t>
            </w:r>
          </w:p>
        </w:tc>
        <w:tc>
          <w:tcPr>
            <w:tcW w:type="dxa" w:w="4464"/>
          </w:tcPr>
          <w:p>
            <w:r/>
            <w:r>
              <w:rPr>
                <w:b w:val="0"/>
                <w:sz w:val="17"/>
              </w:rPr>
              <w:t>Legal hold; counsel engaged; Inquiry workstream; backlog triage and extension notices; temporary request-processing staff; interim GPC tag suppression; start banner redesign; verify ADN/Prism opt-out suppression; reconcile vendor inventory and request data</w:t>
            </w:r>
          </w:p>
        </w:tc>
        <w:tc>
          <w:tcPr>
            <w:tcW w:type="dxa" w:w="1152"/>
          </w:tcPr>
          <w:p>
            <w:r/>
            <w:r>
              <w:rPr>
                <w:b w:val="0"/>
                <w:sz w:val="17"/>
              </w:rPr>
              <w:t>Legal, CTO, CMO</w:t>
            </w:r>
          </w:p>
        </w:tc>
        <w:tc>
          <w:tcPr>
            <w:tcW w:type="dxa" w:w="1872"/>
          </w:tcPr>
          <w:p>
            <w:r/>
            <w:r>
              <w:rPr>
                <w:b w:val="0"/>
                <w:sz w:val="17"/>
              </w:rPr>
              <w:t>Outside counsel $95K; platform (part of $185K); staffing — not in estimate</w:t>
            </w:r>
          </w:p>
        </w:tc>
      </w:tr>
      <w:tr>
        <w:tc>
          <w:tcPr>
            <w:tcW w:type="dxa" w:w="1872"/>
          </w:tcPr>
          <w:p>
            <w:r/>
            <w:r>
              <w:rPr>
                <w:b w:val="0"/>
                <w:sz w:val="17"/>
              </w:rPr>
              <w:t>Short term (Weeks 2–6, to ~Mar 28)</w:t>
            </w:r>
          </w:p>
        </w:tc>
        <w:tc>
          <w:tcPr>
            <w:tcW w:type="dxa" w:w="4464"/>
          </w:tcPr>
          <w:p>
            <w:r/>
            <w:r>
              <w:rPr>
                <w:b w:val="0"/>
                <w:sz w:val="17"/>
              </w:rPr>
              <w:t>File Inquiry response (Mar 14); ship compliant banner; written deletion SOP and extension templates; draft privacy policy, financial-incentive notice, app notice; begin DPA amendments (Canopy at Mar 1 renewal; Crestwood, ADN, Prism, Locale Metrics first)</w:t>
            </w:r>
          </w:p>
        </w:tc>
        <w:tc>
          <w:tcPr>
            <w:tcW w:type="dxa" w:w="1152"/>
          </w:tcPr>
          <w:p>
            <w:r/>
            <w:r>
              <w:rPr>
                <w:b w:val="0"/>
                <w:sz w:val="17"/>
              </w:rPr>
              <w:t>Legal, CTO, CMO</w:t>
            </w:r>
          </w:p>
        </w:tc>
        <w:tc>
          <w:tcPr>
            <w:tcW w:type="dxa" w:w="1872"/>
          </w:tcPr>
          <w:p>
            <w:r/>
            <w:r>
              <w:rPr>
                <w:b w:val="0"/>
                <w:sz w:val="17"/>
              </w:rPr>
              <w:t>UX/policy $62K; DPA $45–51K; process/training $38K</w:t>
            </w:r>
          </w:p>
        </w:tc>
      </w:tr>
      <w:tr>
        <w:tc>
          <w:tcPr>
            <w:tcW w:type="dxa" w:w="1872"/>
          </w:tcPr>
          <w:p>
            <w:r/>
            <w:r>
              <w:rPr>
                <w:b w:val="0"/>
                <w:sz w:val="17"/>
              </w:rPr>
              <w:t>Medium term (Weeks 6–12, to ~May 9)</w:t>
            </w:r>
          </w:p>
        </w:tc>
        <w:tc>
          <w:tcPr>
            <w:tcW w:type="dxa" w:w="4464"/>
          </w:tcPr>
          <w:p>
            <w:r/>
            <w:r>
              <w:rPr>
                <w:b w:val="0"/>
                <w:sz w:val="17"/>
              </w:rPr>
              <w:t>Full GPC implementation incl. app and downstream propagation (8–12 wks per CTO); publish policy and new links; complete Critical DPA amendments by Apr 15 and all nine by Jun 15; automated deletion workflow live; showroom signage; data map; verification and authorized-agent procedures</w:t>
            </w:r>
          </w:p>
        </w:tc>
        <w:tc>
          <w:tcPr>
            <w:tcW w:type="dxa" w:w="1152"/>
          </w:tcPr>
          <w:p>
            <w:r/>
            <w:r>
              <w:rPr>
                <w:b w:val="0"/>
                <w:sz w:val="17"/>
              </w:rPr>
              <w:t>CTO, Legal</w:t>
            </w:r>
          </w:p>
        </w:tc>
        <w:tc>
          <w:tcPr>
            <w:tcW w:type="dxa" w:w="1872"/>
          </w:tcPr>
          <w:p>
            <w:r/>
            <w:r>
              <w:rPr>
                <w:b w:val="0"/>
                <w:sz w:val="17"/>
              </w:rPr>
              <w:t>Platform $185K (GPC, banner, workflow)</w:t>
            </w:r>
          </w:p>
        </w:tc>
      </w:tr>
      <w:tr>
        <w:tc>
          <w:tcPr>
            <w:tcW w:type="dxa" w:w="1872"/>
          </w:tcPr>
          <w:p>
            <w:r/>
            <w:r>
              <w:rPr>
                <w:b w:val="0"/>
                <w:sz w:val="17"/>
              </w:rPr>
              <w:t>Ongoing (Q2 2025 onward)</w:t>
            </w:r>
          </w:p>
        </w:tc>
        <w:tc>
          <w:tcPr>
            <w:tcW w:type="dxa" w:w="4464"/>
          </w:tcPr>
          <w:p>
            <w:r/>
            <w:r>
              <w:rPr>
                <w:b w:val="0"/>
                <w:sz w:val="17"/>
              </w:rPr>
              <w:t>Quarterly cookie scans; annual DPA review; training with tracked completion; request metrics reporting; PIA process; HR data assessment; data-broker status checks for partners; post-remediation validation by Thornbury</w:t>
            </w:r>
          </w:p>
        </w:tc>
        <w:tc>
          <w:tcPr>
            <w:tcW w:type="dxa" w:w="1152"/>
          </w:tcPr>
          <w:p>
            <w:r/>
            <w:r>
              <w:rPr>
                <w:b w:val="0"/>
                <w:sz w:val="17"/>
              </w:rPr>
              <w:t>Legal, CTO, HR</w:t>
            </w:r>
          </w:p>
        </w:tc>
        <w:tc>
          <w:tcPr>
            <w:tcW w:type="dxa" w:w="1872"/>
          </w:tcPr>
          <w:p>
            <w:r/>
            <w:r>
              <w:rPr>
                <w:b w:val="0"/>
                <w:sz w:val="17"/>
              </w:rPr>
              <w:t>Not budgeted; include in 2025 contingency</w:t>
            </w:r>
          </w:p>
        </w:tc>
      </w:tr>
    </w:tbl>
    <w:p>
      <w:pPr>
        <w:spacing w:after="40"/>
      </w:pPr>
    </w:p>
    <w:p>
      <w:pPr>
        <w:pStyle w:val="Heading2"/>
      </w:pPr>
      <w:r>
        <w:t>Budget</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1F3A5F"/>
          </w:tcPr>
          <w:p>
            <w:r/>
            <w:r>
              <w:rPr>
                <w:b/>
                <w:color w:val="FFFFFF"/>
                <w:sz w:val="18"/>
              </w:rPr>
              <w:t>Category</w:t>
            </w:r>
          </w:p>
        </w:tc>
        <w:tc>
          <w:tcPr>
            <w:tcW w:type="dxa" w:w="1872"/>
            <w:shd w:val="clear" w:color="auto" w:fill="1F3A5F"/>
          </w:tcPr>
          <w:p>
            <w:r/>
            <w:r>
              <w:rPr>
                <w:b/>
                <w:color w:val="FFFFFF"/>
                <w:sz w:val="18"/>
              </w:rPr>
              <w:t>Thornbury estimate</w:t>
            </w:r>
          </w:p>
        </w:tc>
        <w:tc>
          <w:tcPr>
            <w:tcW w:type="dxa" w:w="4032"/>
            <w:shd w:val="clear" w:color="auto" w:fill="1F3A5F"/>
          </w:tcPr>
          <w:p>
            <w:r/>
            <w:r>
              <w:rPr>
                <w:b/>
                <w:color w:val="FFFFFF"/>
                <w:sz w:val="18"/>
              </w:rPr>
              <w:t>Adjustment / comment</w:t>
            </w:r>
          </w:p>
        </w:tc>
      </w:tr>
      <w:tr>
        <w:tc>
          <w:tcPr>
            <w:tcW w:type="dxa" w:w="3456"/>
          </w:tcPr>
          <w:p>
            <w:r/>
            <w:r>
              <w:rPr>
                <w:b w:val="0"/>
                <w:sz w:val="18"/>
              </w:rPr>
              <w:t>Platform changes (GPC, banner, deletion workflow)</w:t>
            </w:r>
          </w:p>
        </w:tc>
        <w:tc>
          <w:tcPr>
            <w:tcW w:type="dxa" w:w="1872"/>
          </w:tcPr>
          <w:p>
            <w:r/>
            <w:r>
              <w:rPr>
                <w:b w:val="0"/>
                <w:sz w:val="18"/>
              </w:rPr>
              <w:t>$185,000</w:t>
            </w:r>
          </w:p>
        </w:tc>
        <w:tc>
          <w:tcPr>
            <w:tcW w:type="dxa" w:w="4032"/>
          </w:tcPr>
          <w:p>
            <w:r/>
            <w:r>
              <w:rPr>
                <w:b w:val="0"/>
                <w:sz w:val="18"/>
              </w:rPr>
              <w:t>CTO timeline for GPC is 8–12 weeks vs. 4–6; contingency advised</w:t>
            </w:r>
          </w:p>
        </w:tc>
      </w:tr>
      <w:tr>
        <w:tc>
          <w:tcPr>
            <w:tcW w:type="dxa" w:w="3456"/>
          </w:tcPr>
          <w:p>
            <w:r/>
            <w:r>
              <w:rPr>
                <w:b w:val="0"/>
                <w:sz w:val="18"/>
              </w:rPr>
              <w:t>Vendor DPA renegotiation</w:t>
            </w:r>
          </w:p>
        </w:tc>
        <w:tc>
          <w:tcPr>
            <w:tcW w:type="dxa" w:w="1872"/>
          </w:tcPr>
          <w:p>
            <w:r/>
            <w:r>
              <w:rPr>
                <w:b w:val="0"/>
                <w:sz w:val="18"/>
              </w:rPr>
              <w:t>$45,000</w:t>
            </w:r>
          </w:p>
        </w:tc>
        <w:tc>
          <w:tcPr>
            <w:tcW w:type="dxa" w:w="4032"/>
          </w:tcPr>
          <w:p>
            <w:r/>
            <w:r>
              <w:rPr>
                <w:b w:val="0"/>
                <w:sz w:val="18"/>
              </w:rPr>
              <w:t>Internal tracker estimates $51,000 (+$6,000)</w:t>
            </w:r>
          </w:p>
        </w:tc>
      </w:tr>
      <w:tr>
        <w:tc>
          <w:tcPr>
            <w:tcW w:type="dxa" w:w="3456"/>
          </w:tcPr>
          <w:p>
            <w:r/>
            <w:r>
              <w:rPr>
                <w:b w:val="0"/>
                <w:sz w:val="18"/>
              </w:rPr>
              <w:t>Privacy policy &amp; UX redesign</w:t>
            </w:r>
          </w:p>
        </w:tc>
        <w:tc>
          <w:tcPr>
            <w:tcW w:type="dxa" w:w="1872"/>
          </w:tcPr>
          <w:p>
            <w:r/>
            <w:r>
              <w:rPr>
                <w:b w:val="0"/>
                <w:sz w:val="18"/>
              </w:rPr>
              <w:t>$62,000</w:t>
            </w:r>
          </w:p>
        </w:tc>
        <w:tc>
          <w:tcPr>
            <w:tcW w:type="dxa" w:w="4032"/>
          </w:tcPr>
          <w:p>
            <w:r/>
            <w:r>
              <w:rPr>
                <w:b w:val="0"/>
                <w:sz w:val="18"/>
              </w:rPr>
              <w:t>Add financial-incentive notice and app notice</w:t>
            </w:r>
          </w:p>
        </w:tc>
      </w:tr>
      <w:tr>
        <w:tc>
          <w:tcPr>
            <w:tcW w:type="dxa" w:w="3456"/>
          </w:tcPr>
          <w:p>
            <w:r/>
            <w:r>
              <w:rPr>
                <w:b w:val="0"/>
                <w:sz w:val="18"/>
              </w:rPr>
              <w:t>Process documentation &amp; training</w:t>
            </w:r>
          </w:p>
        </w:tc>
        <w:tc>
          <w:tcPr>
            <w:tcW w:type="dxa" w:w="1872"/>
          </w:tcPr>
          <w:p>
            <w:r/>
            <w:r>
              <w:rPr>
                <w:b w:val="0"/>
                <w:sz w:val="18"/>
              </w:rPr>
              <w:t>$38,000</w:t>
            </w:r>
          </w:p>
        </w:tc>
        <w:tc>
          <w:tcPr>
            <w:tcW w:type="dxa" w:w="4032"/>
          </w:tcPr>
          <w:p>
            <w:r/>
            <w:r>
              <w:rPr>
                <w:b w:val="0"/>
                <w:sz w:val="18"/>
              </w:rPr>
              <w:t>—</w:t>
            </w:r>
          </w:p>
        </w:tc>
      </w:tr>
      <w:tr>
        <w:tc>
          <w:tcPr>
            <w:tcW w:type="dxa" w:w="3456"/>
          </w:tcPr>
          <w:p>
            <w:r/>
            <w:r>
              <w:rPr>
                <w:b w:val="0"/>
                <w:sz w:val="18"/>
              </w:rPr>
              <w:t>Outside counsel</w:t>
            </w:r>
          </w:p>
        </w:tc>
        <w:tc>
          <w:tcPr>
            <w:tcW w:type="dxa" w:w="1872"/>
          </w:tcPr>
          <w:p>
            <w:r/>
            <w:r>
              <w:rPr>
                <w:b w:val="0"/>
                <w:sz w:val="18"/>
              </w:rPr>
              <w:t>$95,000</w:t>
            </w:r>
          </w:p>
        </w:tc>
        <w:tc>
          <w:tcPr>
            <w:tcW w:type="dxa" w:w="4032"/>
          </w:tcPr>
          <w:p>
            <w:r/>
            <w:r>
              <w:rPr>
                <w:b w:val="0"/>
                <w:sz w:val="18"/>
              </w:rPr>
              <w:t>Inquiry response alone may consume much of this; escalation would exceed it</w:t>
            </w:r>
          </w:p>
        </w:tc>
      </w:tr>
      <w:tr>
        <w:tc>
          <w:tcPr>
            <w:tcW w:type="dxa" w:w="3456"/>
          </w:tcPr>
          <w:p>
            <w:r/>
            <w:r>
              <w:rPr>
                <w:b/>
                <w:sz w:val="18"/>
              </w:rPr>
              <w:t>Subtotal (Thornbury)</w:t>
            </w:r>
          </w:p>
        </w:tc>
        <w:tc>
          <w:tcPr>
            <w:tcW w:type="dxa" w:w="1872"/>
          </w:tcPr>
          <w:p>
            <w:r/>
            <w:r>
              <w:rPr>
                <w:b/>
                <w:sz w:val="18"/>
              </w:rPr>
              <w:t>$425,000</w:t>
            </w:r>
          </w:p>
        </w:tc>
        <w:tc>
          <w:tcPr>
            <w:tcW w:type="dxa" w:w="4032"/>
          </w:tcPr>
          <w:p>
            <w:r/>
            <w:r>
              <w:rPr>
                <w:b w:val="0"/>
                <w:sz w:val="18"/>
              </w:rPr>
              <w:t>Exceeds $340,000 privacy allocation by $85,000</w:t>
            </w:r>
          </w:p>
        </w:tc>
      </w:tr>
      <w:tr>
        <w:tc>
          <w:tcPr>
            <w:tcW w:type="dxa" w:w="3456"/>
          </w:tcPr>
          <w:p>
            <w:r/>
            <w:r>
              <w:rPr>
                <w:b w:val="0"/>
                <w:sz w:val="18"/>
              </w:rPr>
              <w:t>Not in estimate</w:t>
            </w:r>
          </w:p>
        </w:tc>
        <w:tc>
          <w:tcPr>
            <w:tcW w:type="dxa" w:w="1872"/>
          </w:tcPr>
          <w:p>
            <w:r/>
            <w:r>
              <w:rPr>
                <w:b w:val="0"/>
                <w:sz w:val="18"/>
              </w:rPr>
              <w:t>—</w:t>
            </w:r>
          </w:p>
        </w:tc>
        <w:tc>
          <w:tcPr>
            <w:tcW w:type="dxa" w:w="4032"/>
          </w:tcPr>
          <w:p>
            <w:r/>
            <w:r>
              <w:rPr>
                <w:b w:val="0"/>
                <w:sz w:val="18"/>
              </w:rPr>
              <w:t>2+ request-processing FTEs; HR data assessment; validation audit; ~15% contingency</w:t>
            </w:r>
          </w:p>
        </w:tc>
      </w:tr>
      <w:tr>
        <w:tc>
          <w:tcPr>
            <w:tcW w:type="dxa" w:w="3456"/>
          </w:tcPr>
          <w:p>
            <w:r/>
            <w:r>
              <w:rPr>
                <w:b/>
                <w:sz w:val="18"/>
              </w:rPr>
              <w:t>Recommended authorization</w:t>
            </w:r>
          </w:p>
        </w:tc>
        <w:tc>
          <w:tcPr>
            <w:tcW w:type="dxa" w:w="1872"/>
          </w:tcPr>
          <w:p>
            <w:r/>
            <w:r>
              <w:rPr>
                <w:b/>
                <w:sz w:val="18"/>
              </w:rPr>
              <w:t>Up to $600,000</w:t>
            </w:r>
          </w:p>
        </w:tc>
        <w:tc>
          <w:tcPr>
            <w:tcW w:type="dxa" w:w="4032"/>
          </w:tcPr>
          <w:p>
            <w:r/>
            <w:r>
              <w:rPr>
                <w:b w:val="0"/>
                <w:sz w:val="18"/>
              </w:rPr>
              <w:t>Release $250,000 immediately</w:t>
            </w:r>
          </w:p>
        </w:tc>
      </w:tr>
    </w:tbl>
    <w:p>
      <w:pPr>
        <w:spacing w:after="40"/>
      </w:pPr>
    </w:p>
    <w:p>
      <w:pPr>
        <w:pStyle w:val="Heading1"/>
      </w:pPr>
      <w:r>
        <w:t>VIII. Data Discrepancies to Resolve Before Any External Use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1F3A5F"/>
          </w:tcPr>
          <w:p>
            <w:r/>
            <w:r>
              <w:rPr>
                <w:b/>
                <w:color w:val="FFFFFF"/>
                <w:sz w:val="17"/>
              </w:rPr>
              <w:t>Issue</w:t>
            </w:r>
          </w:p>
        </w:tc>
        <w:tc>
          <w:tcPr>
            <w:tcW w:type="dxa" w:w="4320"/>
            <w:shd w:val="clear" w:color="auto" w:fill="1F3A5F"/>
          </w:tcPr>
          <w:p>
            <w:r/>
            <w:r>
              <w:rPr>
                <w:b/>
                <w:color w:val="FFFFFF"/>
                <w:sz w:val="17"/>
              </w:rPr>
              <w:t>Conflict</w:t>
            </w:r>
          </w:p>
        </w:tc>
        <w:tc>
          <w:tcPr>
            <w:tcW w:type="dxa" w:w="3312"/>
            <w:shd w:val="clear" w:color="auto" w:fill="1F3A5F"/>
          </w:tcPr>
          <w:p>
            <w:r/>
            <w:r>
              <w:rPr>
                <w:b/>
                <w:color w:val="FFFFFF"/>
                <w:sz w:val="17"/>
              </w:rPr>
              <w:t>Why it matters / action</w:t>
            </w:r>
          </w:p>
        </w:tc>
      </w:tr>
      <w:tr>
        <w:tc>
          <w:tcPr>
            <w:tcW w:type="dxa" w:w="1728"/>
          </w:tcPr>
          <w:p>
            <w:r/>
            <w:r>
              <w:rPr>
                <w:b w:val="0"/>
                <w:sz w:val="17"/>
              </w:rPr>
              <w:t>Vendor inventory</w:t>
            </w:r>
          </w:p>
        </w:tc>
        <w:tc>
          <w:tcPr>
            <w:tcW w:type="dxa" w:w="4320"/>
          </w:tcPr>
          <w:p>
            <w:r/>
            <w:r>
              <w:rPr>
                <w:b w:val="0"/>
                <w:sz w:val="17"/>
              </w:rPr>
              <w:t>Thornbury Appendix A and the CTO tracker list different vendor names for most of the 23 vendors (e.g., Pinecrest vs. Cedarhurst Analytics; Maplewood vs. Firwood Email) and different outdated-DPA sets; only ADN, Prism and Locale Metrics overlap. Thornbury's Appendix A also marks only 8 vendors "Outdated" while stating 9</w:t>
            </w:r>
          </w:p>
        </w:tc>
        <w:tc>
          <w:tcPr>
            <w:tcW w:type="dxa" w:w="3312"/>
          </w:tcPr>
          <w:p>
            <w:r/>
            <w:r>
              <w:rPr>
                <w:b w:val="0"/>
                <w:sz w:val="17"/>
              </w:rPr>
              <w:t>Request (c) requires an accurate list. CTO and Thornbury to reconcile against executed contracts by Feb 28</w:t>
            </w:r>
          </w:p>
        </w:tc>
      </w:tr>
      <w:tr>
        <w:tc>
          <w:tcPr>
            <w:tcW w:type="dxa" w:w="1728"/>
          </w:tcPr>
          <w:p>
            <w:r/>
            <w:r>
              <w:rPr>
                <w:b w:val="0"/>
                <w:sz w:val="17"/>
              </w:rPr>
              <w:t>Late deletion count</w:t>
            </w:r>
          </w:p>
        </w:tc>
        <w:tc>
          <w:tcPr>
            <w:tcW w:type="dxa" w:w="4320"/>
          </w:tcPr>
          <w:p>
            <w:r/>
            <w:r>
              <w:rPr>
                <w:b w:val="0"/>
                <w:sz w:val="17"/>
              </w:rPr>
              <w:t>"22% of deletion requests ≈ 7,480" vs. ~18,000 deletion requests (22% ≈ 3,960); CTO email says 34,000 deletion requests</w:t>
            </w:r>
          </w:p>
        </w:tc>
        <w:tc>
          <w:tcPr>
            <w:tcW w:type="dxa" w:w="3312"/>
          </w:tcPr>
          <w:p>
            <w:r/>
            <w:r>
              <w:rPr>
                <w:b w:val="0"/>
                <w:sz w:val="17"/>
              </w:rPr>
              <w:t>Drives exposure figures and any statement to CPPA; re-run from logs</w:t>
            </w:r>
          </w:p>
        </w:tc>
      </w:tr>
      <w:tr>
        <w:tc>
          <w:tcPr>
            <w:tcW w:type="dxa" w:w="1728"/>
          </w:tcPr>
          <w:p>
            <w:r/>
            <w:r>
              <w:rPr>
                <w:b w:val="0"/>
                <w:sz w:val="17"/>
              </w:rPr>
              <w:t>GPC population</w:t>
            </w:r>
          </w:p>
        </w:tc>
        <w:tc>
          <w:tcPr>
            <w:tcW w:type="dxa" w:w="4320"/>
          </w:tcPr>
          <w:p>
            <w:r/>
            <w:r>
              <w:rPr>
                <w:b w:val="0"/>
                <w:sz w:val="17"/>
              </w:rPr>
              <w:t>29,250 (15% of 195,000 app users) used for a browser signal</w:t>
            </w:r>
          </w:p>
        </w:tc>
        <w:tc>
          <w:tcPr>
            <w:tcW w:type="dxa" w:w="3312"/>
          </w:tcPr>
          <w:p>
            <w:r/>
            <w:r>
              <w:rPr>
                <w:b w:val="0"/>
                <w:sz w:val="17"/>
              </w:rPr>
              <w:t>Overstates precision; do not cite</w:t>
            </w:r>
          </w:p>
        </w:tc>
      </w:tr>
      <w:tr>
        <w:tc>
          <w:tcPr>
            <w:tcW w:type="dxa" w:w="1728"/>
          </w:tcPr>
          <w:p>
            <w:r/>
            <w:r>
              <w:rPr>
                <w:b w:val="0"/>
                <w:sz w:val="17"/>
              </w:rPr>
              <w:t>Vendor cost total</w:t>
            </w:r>
          </w:p>
        </w:tc>
        <w:tc>
          <w:tcPr>
            <w:tcW w:type="dxa" w:w="4320"/>
          </w:tcPr>
          <w:p>
            <w:r/>
            <w:r>
              <w:rPr>
                <w:b w:val="0"/>
                <w:sz w:val="17"/>
              </w:rPr>
              <w:t>Tracker shows $3,939,000; line items sum to $3,869,000 (net ($1,609,000); revenue offsets 58.4%, not 57.4%)</w:t>
            </w:r>
          </w:p>
        </w:tc>
        <w:tc>
          <w:tcPr>
            <w:tcW w:type="dxa" w:w="3312"/>
          </w:tcPr>
          <w:p>
            <w:r/>
            <w:r>
              <w:rPr>
                <w:b w:val="0"/>
                <w:sz w:val="17"/>
              </w:rPr>
              <w:t>Correct before board use</w:t>
            </w:r>
          </w:p>
        </w:tc>
      </w:tr>
      <w:tr>
        <w:tc>
          <w:tcPr>
            <w:tcW w:type="dxa" w:w="1728"/>
          </w:tcPr>
          <w:p>
            <w:r/>
            <w:r>
              <w:rPr>
                <w:b w:val="0"/>
                <w:sz w:val="17"/>
              </w:rPr>
              <w:t>SPI gap count</w:t>
            </w:r>
          </w:p>
        </w:tc>
        <w:tc>
          <w:tcPr>
            <w:tcW w:type="dxa" w:w="4320"/>
          </w:tcPr>
          <w:p>
            <w:r/>
            <w:r>
              <w:rPr>
                <w:b w:val="0"/>
                <w:sz w:val="17"/>
              </w:rPr>
              <w:t>Tracker summary says 3 of 9 DPAs lack SPI restrictions; line items show 4 (ADN, Prism, Locale Metrics, Crestwood)</w:t>
            </w:r>
          </w:p>
        </w:tc>
        <w:tc>
          <w:tcPr>
            <w:tcW w:type="dxa" w:w="3312"/>
          </w:tcPr>
          <w:p>
            <w:r/>
            <w:r>
              <w:rPr>
                <w:b w:val="0"/>
                <w:sz w:val="17"/>
              </w:rPr>
              <w:t>Correct tracker</w:t>
            </w:r>
          </w:p>
        </w:tc>
      </w:tr>
      <w:tr>
        <w:tc>
          <w:tcPr>
            <w:tcW w:type="dxa" w:w="1728"/>
          </w:tcPr>
          <w:p>
            <w:r/>
            <w:r>
              <w:rPr>
                <w:b w:val="0"/>
                <w:sz w:val="17"/>
              </w:rPr>
              <w:t>Loyalty data shared</w:t>
            </w:r>
          </w:p>
        </w:tc>
        <w:tc>
          <w:tcPr>
            <w:tcW w:type="dxa" w:w="4320"/>
          </w:tcPr>
          <w:p>
            <w:r/>
            <w:r>
              <w:rPr>
                <w:b w:val="0"/>
                <w:sz w:val="17"/>
              </w:rPr>
              <w:t>Thornbury: name, email, purchase, browsing; tracker/CMO add phone, mailing address (and loyalty tier for Prism)</w:t>
            </w:r>
          </w:p>
        </w:tc>
        <w:tc>
          <w:tcPr>
            <w:tcW w:type="dxa" w:w="3312"/>
          </w:tcPr>
          <w:p>
            <w:r/>
            <w:r>
              <w:rPr>
                <w:b w:val="0"/>
                <w:sz w:val="17"/>
              </w:rPr>
              <w:t>Must be exact in request (c) and the financial-incentive notice</w:t>
            </w:r>
          </w:p>
        </w:tc>
      </w:tr>
      <w:tr>
        <w:tc>
          <w:tcPr>
            <w:tcW w:type="dxa" w:w="1728"/>
          </w:tcPr>
          <w:p>
            <w:r/>
            <w:r>
              <w:rPr>
                <w:b w:val="0"/>
                <w:sz w:val="17"/>
              </w:rPr>
              <w:t>Opt-out link</w:t>
            </w:r>
          </w:p>
        </w:tc>
        <w:tc>
          <w:tcPr>
            <w:tcW w:type="dxa" w:w="4320"/>
          </w:tcPr>
          <w:p>
            <w:r/>
            <w:r>
              <w:rPr>
                <w:b w:val="0"/>
                <w:sz w:val="17"/>
              </w:rPr>
              <w:t>My Feb 9 email said CHG has no opt-out link; Thornbury (M-11) found a footer "Do Not Sell" link and ~3,500 opt-outs in 2024</w:t>
            </w:r>
          </w:p>
        </w:tc>
        <w:tc>
          <w:tcPr>
            <w:tcW w:type="dxa" w:w="3312"/>
          </w:tcPr>
          <w:p>
            <w:r/>
            <w:r>
              <w:rPr>
                <w:b w:val="0"/>
                <w:sz w:val="17"/>
              </w:rPr>
              <w:t>Confirm what the link does and whether opt-outs reach ADN/Prism</w:t>
            </w:r>
          </w:p>
        </w:tc>
      </w:tr>
      <w:tr>
        <w:tc>
          <w:tcPr>
            <w:tcW w:type="dxa" w:w="1728"/>
          </w:tcPr>
          <w:p>
            <w:r/>
            <w:r>
              <w:rPr>
                <w:b w:val="0"/>
                <w:sz w:val="17"/>
              </w:rPr>
              <w:t>Penalty citation and deadline</w:t>
            </w:r>
          </w:p>
        </w:tc>
        <w:tc>
          <w:tcPr>
            <w:tcW w:type="dxa" w:w="4320"/>
          </w:tcPr>
          <w:p>
            <w:r/>
            <w:r>
              <w:rPr>
                <w:b w:val="0"/>
                <w:sz w:val="17"/>
              </w:rPr>
              <w:t>Letter cites § 1798.199.55; research memo cites § 1798.155; deadline March 18 depends on excluding Presidents' Day</w:t>
            </w:r>
          </w:p>
        </w:tc>
        <w:tc>
          <w:tcPr>
            <w:tcW w:type="dxa" w:w="3312"/>
          </w:tcPr>
          <w:p>
            <w:r/>
            <w:r>
              <w:rPr>
                <w:b w:val="0"/>
                <w:sz w:val="17"/>
              </w:rPr>
              <w:t>Counsel to confirm; file early</w:t>
            </w:r>
          </w:p>
        </w:tc>
      </w:tr>
    </w:tbl>
    <w:p>
      <w:pPr>
        <w:spacing w:after="40"/>
      </w:pPr>
    </w:p>
    <w:p>
      <w:pPr>
        <w:pStyle w:val="Heading1"/>
      </w:pPr>
      <w:r>
        <w:t>IX. Next Steps</w:t>
      </w:r>
    </w:p>
    <w:p>
      <w:pPr>
        <w:pStyle w:val="ListNumber"/>
        <w:spacing w:after="60"/>
      </w:pPr>
      <w:r>
        <w:rPr>
          <w:b w:val="0"/>
        </w:rPr>
        <w:t>Lars: approve Decisions 1–5 (Section I) by February 21.</w:t>
      </w:r>
    </w:p>
    <w:p>
      <w:pPr>
        <w:pStyle w:val="ListNumber"/>
        <w:spacing w:after="60"/>
      </w:pPr>
      <w:r>
        <w:rPr>
          <w:b w:val="0"/>
        </w:rPr>
        <w:t>Maya: legal hold today; finalize Oakvale Hale engagement; counsel outreach to the CPPA analyst; board summary draft by February 24.</w:t>
      </w:r>
    </w:p>
    <w:p>
      <w:pPr>
        <w:pStyle w:val="ListNumber"/>
        <w:spacing w:after="60"/>
      </w:pPr>
      <w:r>
        <w:rPr>
          <w:b w:val="0"/>
        </w:rPr>
        <w:t>Fiona: Consumer A/B records; reconciled vendor inventory and request statistics; interim GPC rule and banner plan; staffing for the backlog.</w:t>
      </w:r>
    </w:p>
    <w:p>
      <w:pPr>
        <w:pStyle w:val="ListNumber"/>
        <w:spacing w:after="60"/>
      </w:pPr>
      <w:r>
        <w:rPr>
          <w:b w:val="0"/>
        </w:rPr>
        <w:t>Brian: ADN/Prism data-flow documentation; confirm opt-out suppression; Cascadia Rewards terms and value-of-data analysis for the financial-incentive notice; opt-out revenue scenarios for the board.</w:t>
      </w:r>
    </w:p>
    <w:p>
      <w:pPr>
        <w:spacing w:after="120"/>
      </w:pPr>
    </w:p>
    <w:p>
      <w:pPr>
        <w:spacing w:after="0"/>
      </w:pPr>
      <w:r>
        <w:rPr>
          <w:b w:val="0"/>
        </w:rPr>
        <w:t>Sources reviewed: Thornbury Risk Advisors LLP CPRA Compliance Audit Report (Jan. 15, 2025); CPPA Inquiry Letter, Case No. CPPA-ENF-2025-01847 (Feb. 3, 2025); CHG Legal, CPPA Enforcement Guidance and Actions Summary 2023–2025 (Feb. 10, 2025); CTO Vendor Agreements Summary workbook (Feb. 7, 2025); leadership email thread (Feb. 5–9, 2025). This memorandum provides preliminary legal analysis for internal decision-making and should be finalized with outside counsel.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