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CLOSING CHECKLIST DEVIATION REPORT</w:t>
      </w:r>
    </w:p>
    <w:p>
      <w:pPr>
        <w:jc w:val="center"/>
      </w:pPr>
      <w:r>
        <w:rPr>
          <w:i/>
          <w:sz w:val="22"/>
        </w:rPr>
        <w:t>Asset Purchase Agreement dated as of March 14, 2025 between Saxonbrook Industrial Holdings, Inc. (Buyer) and Cascade Precision Components, LLC (Seller)</w:t>
      </w:r>
    </w:p>
    <w:tbl>
      <w:tblPr>
        <w:tblW w:type="auto" w:w="0"/>
        <w:tblLook w:firstColumn="1" w:firstRow="1" w:lastColumn="0" w:lastRow="0" w:noHBand="0" w:noVBand="1" w:val="04A0"/>
      </w:tblPr>
      <w:tblGrid>
        <w:gridCol w:w="6912"/>
        <w:gridCol w:w="6912"/>
      </w:tblGrid>
      <w:tr>
        <w:tc>
          <w:tcPr>
            <w:tcW w:type="dxa" w:w="2304"/>
          </w:tcPr>
          <w:p>
            <w:pPr>
              <w:spacing w:after="0"/>
            </w:pPr>
            <w:r/>
            <w:r>
              <w:rPr>
                <w:b/>
                <w:sz w:val="20"/>
              </w:rPr>
              <w:t>To:</w:t>
            </w:r>
          </w:p>
        </w:tc>
        <w:tc>
          <w:tcPr>
            <w:tcW w:type="dxa" w:w="11376"/>
          </w:tcPr>
          <w:p>
            <w:pPr>
              <w:spacing w:after="0"/>
            </w:pPr>
            <w:r/>
            <w:r>
              <w:rPr>
                <w:b w:val="0"/>
                <w:sz w:val="20"/>
              </w:rPr>
              <w:t>Jonathan Reedmore, Partner, Whitfield &amp; Crane LLP</w:t>
            </w:r>
          </w:p>
        </w:tc>
      </w:tr>
      <w:tr>
        <w:tc>
          <w:tcPr>
            <w:tcW w:type="dxa" w:w="2304"/>
          </w:tcPr>
          <w:p>
            <w:pPr>
              <w:spacing w:after="0"/>
            </w:pPr>
            <w:r/>
            <w:r>
              <w:rPr>
                <w:b/>
                <w:sz w:val="20"/>
              </w:rPr>
              <w:t>Cc:</w:t>
            </w:r>
          </w:p>
        </w:tc>
        <w:tc>
          <w:tcPr>
            <w:tcW w:type="dxa" w:w="11376"/>
          </w:tcPr>
          <w:p>
            <w:pPr>
              <w:spacing w:after="0"/>
            </w:pPr>
            <w:r/>
            <w:r>
              <w:rPr>
                <w:b w:val="0"/>
                <w:sz w:val="20"/>
              </w:rPr>
              <w:t>Sarah Kwon, Associate (checklist preparer)</w:t>
            </w:r>
          </w:p>
        </w:tc>
      </w:tr>
      <w:tr>
        <w:tc>
          <w:tcPr>
            <w:tcW w:type="dxa" w:w="2304"/>
          </w:tcPr>
          <w:p>
            <w:pPr>
              <w:spacing w:after="0"/>
            </w:pPr>
            <w:r/>
            <w:r>
              <w:rPr>
                <w:b/>
                <w:sz w:val="20"/>
              </w:rPr>
              <w:t>From:</w:t>
            </w:r>
          </w:p>
        </w:tc>
        <w:tc>
          <w:tcPr>
            <w:tcW w:type="dxa" w:w="11376"/>
          </w:tcPr>
          <w:p>
            <w:pPr>
              <w:spacing w:after="0"/>
            </w:pPr>
            <w:r/>
            <w:r>
              <w:rPr>
                <w:b w:val="0"/>
                <w:sz w:val="20"/>
              </w:rPr>
              <w:t>Transaction team (APA conformity review)</w:t>
            </w:r>
          </w:p>
        </w:tc>
      </w:tr>
      <w:tr>
        <w:tc>
          <w:tcPr>
            <w:tcW w:type="dxa" w:w="2304"/>
          </w:tcPr>
          <w:p>
            <w:pPr>
              <w:spacing w:after="0"/>
            </w:pPr>
            <w:r/>
            <w:r>
              <w:rPr>
                <w:b/>
                <w:sz w:val="20"/>
              </w:rPr>
              <w:t>Re:</w:t>
            </w:r>
          </w:p>
        </w:tc>
        <w:tc>
          <w:tcPr>
            <w:tcW w:type="dxa" w:w="11376"/>
          </w:tcPr>
          <w:p>
            <w:pPr>
              <w:spacing w:after="0"/>
            </w:pPr>
            <w:r/>
            <w:r>
              <w:rPr>
                <w:b w:val="0"/>
                <w:sz w:val="20"/>
              </w:rPr>
              <w:t>Comparison of Closing Checklist (prepared April 28, 2025) against the executed APA; categorized, severity-rated deviations</w:t>
            </w:r>
          </w:p>
        </w:tc>
      </w:tr>
      <w:tr>
        <w:tc>
          <w:tcPr>
            <w:tcW w:type="dxa" w:w="2304"/>
          </w:tcPr>
          <w:p>
            <w:pPr>
              <w:spacing w:after="0"/>
            </w:pPr>
            <w:r/>
            <w:r>
              <w:rPr>
                <w:b/>
                <w:sz w:val="20"/>
              </w:rPr>
              <w:t>Scheduled Closing:</w:t>
            </w:r>
          </w:p>
        </w:tc>
        <w:tc>
          <w:tcPr>
            <w:tcW w:type="dxa" w:w="11376"/>
          </w:tcPr>
          <w:p>
            <w:pPr>
              <w:spacing w:after="0"/>
            </w:pPr>
            <w:r/>
            <w:r>
              <w:rPr>
                <w:b w:val="0"/>
                <w:sz w:val="20"/>
              </w:rPr>
              <w:t>Thursday, May 15, 2025 (APA Sec. 3.1)</w:t>
            </w:r>
          </w:p>
        </w:tc>
      </w:tr>
    </w:tbl>
    <w:p/>
    <w:p>
      <w:pPr>
        <w:pStyle w:val="Heading1"/>
      </w:pPr>
      <w:r>
        <w:t>1. Executive Summary</w:t>
      </w:r>
    </w:p>
    <w:p>
      <w:pPr>
        <w:spacing w:after="80"/>
      </w:pPr>
      <w:r>
        <w:rPr>
          <w:b w:val="0"/>
          <w:i w:val="0"/>
          <w:sz w:val="20"/>
        </w:rPr>
        <w:t>We compared every item in the Closing Checklist (Sections I through VIII) against the Asset Purchase Agreement (the "APA"), including its Article I definitions, Articles II, III and VI through X, and Schedules 2.2(d), 2.2(f), 4.10 and 7.1(d) and the Exhibit A-F term summaries. Under Section VIII of the checklist, the APA controls in any discrepancy. The checklist is not reliable for closing in its current form: it misstates the closing wire split, omits a Required Consent that is an express closing condition, omits three Seller deliverables required by Sec. 8.1, and contains wrong post-closing deadlines that would cause Buyer to miss its own contractual dates.</w:t>
      </w:r>
    </w:p>
    <w:p>
      <w:pPr>
        <w:spacing w:after="80"/>
      </w:pPr>
      <w:r>
        <w:rPr>
          <w:b w:val="0"/>
          <w:i w:val="0"/>
          <w:sz w:val="20"/>
        </w:rPr>
        <w:t>We identified 49 deviations: 6 Critical, 15 High, 13 Medium and 15 Low. We also identified 10 drafting inconsistencies within the APA itself (Part 6) that the checklist either reproduces or does not address.</w:t>
      </w:r>
    </w:p>
    <w:tbl>
      <w:tblPr>
        <w:tblStyle w:val="TableGrid"/>
        <w:tblW w:type="auto" w:w="0"/>
        <w:jc w:val="center"/>
        <w:tblLayout w:type="fixed"/>
        <w:tblLook w:firstColumn="1" w:firstRow="1" w:lastColumn="0" w:lastRow="0" w:noHBand="0" w:noVBand="1" w:val="04A0"/>
      </w:tblPr>
      <w:tblGrid>
        <w:gridCol w:w="1584"/>
        <w:gridCol w:w="1152"/>
        <w:gridCol w:w="10944"/>
      </w:tblGrid>
      <w:tr>
        <w:trPr>
          <w:tblHeader w:val="true"/>
        </w:trPr>
        <w:tc>
          <w:tcPr>
            <w:tcW w:type="dxa" w:w="1584"/>
            <w:shd w:val="clear" w:color="auto" w:fill="1F3A5F"/>
          </w:tcPr>
          <w:p>
            <w:pPr>
              <w:spacing w:after="0"/>
            </w:pPr>
            <w:r/>
            <w:r>
              <w:rPr>
                <w:b/>
                <w:color w:val="FFFFFF"/>
                <w:sz w:val="18"/>
              </w:rPr>
              <w:t>Severity</w:t>
            </w:r>
          </w:p>
        </w:tc>
        <w:tc>
          <w:tcPr>
            <w:tcW w:type="dxa" w:w="1152"/>
            <w:shd w:val="clear" w:color="auto" w:fill="1F3A5F"/>
          </w:tcPr>
          <w:p>
            <w:pPr>
              <w:spacing w:after="0"/>
            </w:pPr>
            <w:r/>
            <w:r>
              <w:rPr>
                <w:b/>
                <w:color w:val="FFFFFF"/>
                <w:sz w:val="18"/>
              </w:rPr>
              <w:t>Count</w:t>
            </w:r>
          </w:p>
        </w:tc>
        <w:tc>
          <w:tcPr>
            <w:tcW w:type="dxa" w:w="10944"/>
            <w:shd w:val="clear" w:color="auto" w:fill="1F3A5F"/>
          </w:tcPr>
          <w:p>
            <w:pPr>
              <w:spacing w:after="0"/>
            </w:pPr>
            <w:r/>
            <w:r>
              <w:rPr>
                <w:b/>
                <w:color w:val="FFFFFF"/>
                <w:sz w:val="18"/>
              </w:rPr>
              <w:t>Meaning</w:t>
            </w:r>
          </w:p>
        </w:tc>
      </w:tr>
      <w:tr>
        <w:tc>
          <w:tcPr>
            <w:tcW w:type="dxa" w:w="1584"/>
            <w:shd w:val="clear" w:color="auto" w:fill="C00000"/>
          </w:tcPr>
          <w:p>
            <w:pPr>
              <w:spacing w:after="0"/>
              <w:jc w:val="center"/>
            </w:pPr>
            <w:r/>
            <w:r>
              <w:rPr>
                <w:b/>
                <w:color w:val="FFFFFF"/>
                <w:sz w:val="18"/>
              </w:rPr>
              <w:t>Critical</w:t>
            </w:r>
          </w:p>
        </w:tc>
        <w:tc>
          <w:tcPr>
            <w:tcW w:type="dxa" w:w="1152"/>
          </w:tcPr>
          <w:p>
            <w:pPr>
              <w:spacing w:after="0"/>
            </w:pPr>
            <w:r/>
            <w:r>
              <w:rPr>
                <w:b w:val="0"/>
                <w:sz w:val="17"/>
              </w:rPr>
              <w:t>6</w:t>
            </w:r>
          </w:p>
        </w:tc>
        <w:tc>
          <w:tcPr>
            <w:tcW w:type="dxa" w:w="10944"/>
          </w:tcPr>
          <w:p>
            <w:pPr>
              <w:spacing w:after="0"/>
            </w:pPr>
            <w:r/>
            <w:r>
              <w:rPr>
                <w:b w:val="0"/>
                <w:sz w:val="17"/>
              </w:rPr>
              <w:t>Would cause a failed or defective Closing, a mis-directed payment, or a missed contractual deadline in the near term. Fix before any further circulation.</w:t>
            </w:r>
          </w:p>
        </w:tc>
      </w:tr>
      <w:tr>
        <w:tc>
          <w:tcPr>
            <w:tcW w:type="dxa" w:w="1584"/>
            <w:shd w:val="clear" w:color="auto" w:fill="E26B0A"/>
          </w:tcPr>
          <w:p>
            <w:pPr>
              <w:spacing w:after="0"/>
              <w:jc w:val="center"/>
            </w:pPr>
            <w:r/>
            <w:r>
              <w:rPr>
                <w:b/>
                <w:color w:val="FFFFFF"/>
                <w:sz w:val="18"/>
              </w:rPr>
              <w:t>High</w:t>
            </w:r>
          </w:p>
        </w:tc>
        <w:tc>
          <w:tcPr>
            <w:tcW w:type="dxa" w:w="1152"/>
          </w:tcPr>
          <w:p>
            <w:pPr>
              <w:spacing w:after="0"/>
            </w:pPr>
            <w:r/>
            <w:r>
              <w:rPr>
                <w:b w:val="0"/>
                <w:sz w:val="17"/>
              </w:rPr>
              <w:t>15</w:t>
            </w:r>
          </w:p>
        </w:tc>
        <w:tc>
          <w:tcPr>
            <w:tcW w:type="dxa" w:w="10944"/>
          </w:tcPr>
          <w:p>
            <w:pPr>
              <w:spacing w:after="0"/>
            </w:pPr>
            <w:r/>
            <w:r>
              <w:rPr>
                <w:b w:val="0"/>
                <w:sz w:val="17"/>
              </w:rPr>
              <w:t>Misstates a negotiated economic or protective term, or omits a required deliverable or condition; material exposure if not corrected before Closing.</w:t>
            </w:r>
          </w:p>
        </w:tc>
      </w:tr>
      <w:tr>
        <w:tc>
          <w:tcPr>
            <w:tcW w:type="dxa" w:w="1584"/>
            <w:shd w:val="clear" w:color="auto" w:fill="F2C200"/>
          </w:tcPr>
          <w:p>
            <w:pPr>
              <w:spacing w:after="0"/>
              <w:jc w:val="center"/>
            </w:pPr>
            <w:r/>
            <w:r>
              <w:rPr>
                <w:b/>
                <w:color w:val="000000"/>
                <w:sz w:val="18"/>
              </w:rPr>
              <w:t>Medium</w:t>
            </w:r>
          </w:p>
        </w:tc>
        <w:tc>
          <w:tcPr>
            <w:tcW w:type="dxa" w:w="1152"/>
          </w:tcPr>
          <w:p>
            <w:pPr>
              <w:spacing w:after="0"/>
            </w:pPr>
            <w:r/>
            <w:r>
              <w:rPr>
                <w:b w:val="0"/>
                <w:sz w:val="17"/>
              </w:rPr>
              <w:t>13</w:t>
            </w:r>
          </w:p>
        </w:tc>
        <w:tc>
          <w:tcPr>
            <w:tcW w:type="dxa" w:w="10944"/>
          </w:tcPr>
          <w:p>
            <w:pPr>
              <w:spacing w:after="0"/>
            </w:pPr>
            <w:r/>
            <w:r>
              <w:rPr>
                <w:b w:val="0"/>
                <w:sz w:val="17"/>
              </w:rPr>
              <w:t>Incorrect cite, description or scope that could carry into closing documents or produce a defective instrument; correct during document finalization.</w:t>
            </w:r>
          </w:p>
        </w:tc>
      </w:tr>
      <w:tr>
        <w:tc>
          <w:tcPr>
            <w:tcW w:type="dxa" w:w="1584"/>
            <w:shd w:val="clear" w:color="auto" w:fill="9BBB59"/>
          </w:tcPr>
          <w:p>
            <w:pPr>
              <w:spacing w:after="0"/>
              <w:jc w:val="center"/>
            </w:pPr>
            <w:r/>
            <w:r>
              <w:rPr>
                <w:b/>
                <w:color w:val="000000"/>
                <w:sz w:val="18"/>
              </w:rPr>
              <w:t>Low</w:t>
            </w:r>
          </w:p>
        </w:tc>
        <w:tc>
          <w:tcPr>
            <w:tcW w:type="dxa" w:w="1152"/>
          </w:tcPr>
          <w:p>
            <w:pPr>
              <w:spacing w:after="0"/>
            </w:pPr>
            <w:r/>
            <w:r>
              <w:rPr>
                <w:b w:val="0"/>
                <w:sz w:val="17"/>
              </w:rPr>
              <w:t>15</w:t>
            </w:r>
          </w:p>
        </w:tc>
        <w:tc>
          <w:tcPr>
            <w:tcW w:type="dxa" w:w="10944"/>
          </w:tcPr>
          <w:p>
            <w:pPr>
              <w:spacing w:after="0"/>
            </w:pPr>
            <w:r/>
            <w:r>
              <w:rPr>
                <w:b w:val="0"/>
                <w:sz w:val="17"/>
              </w:rPr>
              <w:t>Terminology, precision or completeness points; correct in the next turn of the checklist.</w:t>
            </w:r>
          </w:p>
        </w:tc>
      </w:tr>
    </w:tbl>
    <w:p/>
    <w:p>
      <w:pPr>
        <w:pStyle w:val="Heading2"/>
      </w:pPr>
      <w:r>
        <w:t>Immediate action items (Critical)</w:t>
      </w:r>
    </w:p>
    <w:p>
      <w:pPr>
        <w:pStyle w:val="ListBullet"/>
        <w:spacing w:after="40"/>
      </w:pPr>
      <w:r>
        <w:rPr>
          <w:b/>
        </w:rPr>
        <w:t xml:space="preserve">[A-1 / D-1] Closing Cash Payment: </w:t>
      </w:r>
      <w:r>
        <w:t>checklist $78,500,000; APA $78,750,000 (Secs. 2.5(b)(i), 8.2(a)). Seller would be short-paid $250,000, failing the Sec. 7.2(c) condition.</w:t>
      </w:r>
    </w:p>
    <w:p>
      <w:pPr>
        <w:pStyle w:val="ListBullet"/>
        <w:spacing w:after="40"/>
      </w:pPr>
      <w:r>
        <w:rPr>
          <w:b/>
        </w:rPr>
        <w:t xml:space="preserve">[A-2 / D-1] Escrow Amount: </w:t>
      </w:r>
      <w:r>
        <w:t>checklist $5,500,000; APA $5,250,000 (Secs. 2.5(b)(ii), 8.2(b), 9.5). The $84,000,000 total ties, so a total-only check will not catch the mis-split.</w:t>
      </w:r>
    </w:p>
    <w:p>
      <w:pPr>
        <w:pStyle w:val="ListBullet"/>
        <w:spacing w:after="40"/>
      </w:pPr>
      <w:r>
        <w:rPr>
          <w:b/>
        </w:rPr>
        <w:t xml:space="preserve">[B-1] Northwind Aerospace consent omitted: </w:t>
      </w:r>
      <w:r>
        <w:t>Schedule 7.1(d), item 3 and Sec. 7.1(d)(iii) make it an express closing condition; no one is tasked with obtaining it.</w:t>
      </w:r>
    </w:p>
    <w:p>
      <w:pPr>
        <w:pStyle w:val="ListBullet"/>
        <w:spacing w:after="40"/>
      </w:pPr>
      <w:r>
        <w:rPr>
          <w:b/>
        </w:rPr>
        <w:t xml:space="preserve">[E-1] Post-closing NWC statement deadline: </w:t>
      </w:r>
      <w:r>
        <w:t>checklist 90 days (August 13, 2025); APA 60 days, i.e., July 14, 2025 (Sec. 2.6(b)).</w:t>
      </w:r>
    </w:p>
    <w:p>
      <w:pPr>
        <w:pStyle w:val="ListBullet"/>
        <w:spacing w:after="40"/>
      </w:pPr>
      <w:r>
        <w:rPr>
          <w:b/>
        </w:rPr>
        <w:t xml:space="preserve">[H-1] Employee offers deadline: </w:t>
      </w:r>
      <w:r>
        <w:t>checklist 10 business days before Closing (May 1, 2025); APA 15 days before Closing, i.e., April 30, 2025 (Sec. 6.8(a)), two days after the checklist date.</w:t>
      </w:r>
    </w:p>
    <w:p>
      <w:pPr>
        <w:pStyle w:val="Heading2"/>
      </w:pPr>
      <w:r>
        <w:t>Other headline points</w:t>
      </w:r>
    </w:p>
    <w:p>
      <w:pPr>
        <w:pStyle w:val="ListBullet"/>
        <w:spacing w:after="40"/>
      </w:pPr>
      <w:r>
        <w:rPr>
          <w:b/>
        </w:rPr>
        <w:t xml:space="preserve">Escrow Period is 18 months, not 24 </w:t>
      </w:r>
      <w:r>
        <w:t>(release November 15, 2026, not May 15, 2027); General Indemnification Cap is $8,750,000, not $8,500,000; Outside Date is August 14, 2025, not July 14, 2025.</w:t>
      </w:r>
    </w:p>
    <w:p>
      <w:pPr>
        <w:pStyle w:val="ListBullet"/>
        <w:spacing w:after="40"/>
      </w:pPr>
      <w:r>
        <w:rPr>
          <w:b/>
        </w:rPr>
        <w:t xml:space="preserve">Ancillary terms are wrong: </w:t>
      </w:r>
      <w:r>
        <w:t>TSA fee is $45,000/month ($270,000), not $50,000 ($300,000); the non-compete runs 4 years, not 3.</w:t>
      </w:r>
    </w:p>
    <w:p>
      <w:pPr>
        <w:pStyle w:val="ListBullet"/>
        <w:spacing w:after="40"/>
      </w:pPr>
      <w:r>
        <w:rPr>
          <w:b/>
        </w:rPr>
        <w:t xml:space="preserve">Missing deliverables: </w:t>
      </w:r>
      <w:r>
        <w:t>FIRPTA Certificate (Sec. 8.1(f)/7.1(h)), landlord estoppel (Sec. 8.1(k)/7.1(f)), title insurance commitment (Sec. 8.1(l)), Washington good standing (Sec. 8.1(h)); and no deed for the Hillsboro owned real property (a gap in both documents).</w:t>
      </w:r>
    </w:p>
    <w:p>
      <w:pPr>
        <w:pStyle w:val="ListBullet"/>
        <w:spacing w:after="40"/>
      </w:pPr>
      <w:r>
        <w:rPr>
          <w:b/>
        </w:rPr>
        <w:t xml:space="preserve">Working capital: </w:t>
      </w:r>
      <w:r>
        <w:t>the $150,000 De Minimis Collar (Sec. 2.6(a), (d)) is omitted; it affects both the closing estimate and the final true-up.</w:t>
      </w:r>
    </w:p>
    <w:p>
      <w:pPr>
        <w:pStyle w:val="ListBullet"/>
        <w:spacing w:after="40"/>
      </w:pPr>
      <w:r>
        <w:rPr>
          <w:b/>
        </w:rPr>
        <w:t xml:space="preserve">Buyer identity: </w:t>
      </w:r>
      <w:r>
        <w:t>the APA cover page and Buyer signature block name "Vanguard Industrial Holdings, Inc." while the preamble names Saxonbrook; resolve before Closing.</w:t>
      </w:r>
    </w:p>
    <w:p>
      <w:pPr>
        <w:pStyle w:val="Heading1"/>
      </w:pPr>
      <w:r>
        <w:t>2. Scope, Method and Severity Scale</w:t>
      </w:r>
    </w:p>
    <w:p>
      <w:pPr>
        <w:spacing w:after="80"/>
      </w:pPr>
      <w:r>
        <w:rPr>
          <w:b w:val="0"/>
          <w:i w:val="0"/>
          <w:sz w:val="20"/>
        </w:rPr>
        <w:t>Documents reviewed: (1) Closing Checklist prepared by Whitfield &amp; Crane LLP, dated April 28, 2025 (all sections, item tables and item narratives); (2) Asset Purchase Agreement dated as of March 14, 2025, with Schedules and Exhibit term summaries. The full forms of Exhibits A-F and the Seller Disclosure Schedules other than those reproduced in the APA were not provided; where a conclusion depends on them we say so.</w:t>
      </w:r>
    </w:p>
    <w:p>
      <w:pPr>
        <w:spacing w:after="80"/>
      </w:pPr>
      <w:r>
        <w:rPr>
          <w:b w:val="0"/>
          <w:i w:val="0"/>
          <w:sz w:val="20"/>
        </w:rPr>
        <w:t>Method: each checklist statement of an amount, date, period, party, instrument, condition or cross-reference was tied to the controlling APA provision; each APA closing condition (Art. VII), closing deliverable (Art. VIII), pre-closing covenant (Art. VI) and post-closing mechanic (Arts. II, VI, IX) was then checked for a corresponding checklist entry to identify omissions. Dates assume a May 15, 2025 Closing; "days" are calendar days unless stated as Business Days (APA Sec. 1.2(g)). Each finding has a reference (e.g., A-1), the checklist location, what the checklist says, what the APA provides (with citation), a severity rating, and the impact and recommended action.</w:t>
      </w:r>
    </w:p>
    <w:p>
      <w:pPr>
        <w:pStyle w:val="Heading1"/>
      </w:pPr>
      <w:r>
        <w:t>3. Economic Terms Tie-Out</w:t>
      </w:r>
    </w:p>
    <w:tbl>
      <w:tblPr>
        <w:tblStyle w:val="TableGrid"/>
        <w:tblW w:type="auto" w:w="0"/>
        <w:jc w:val="center"/>
        <w:tblLayout w:type="fixed"/>
        <w:tblLook w:firstColumn="1" w:firstRow="1" w:lastColumn="0" w:lastRow="0" w:noHBand="0" w:noVBand="1" w:val="04A0"/>
      </w:tblPr>
      <w:tblGrid>
        <w:gridCol w:w="3168"/>
        <w:gridCol w:w="2880"/>
        <w:gridCol w:w="3168"/>
        <w:gridCol w:w="2304"/>
        <w:gridCol w:w="2160"/>
      </w:tblGrid>
      <w:tr>
        <w:trPr>
          <w:tblHeader w:val="true"/>
        </w:trPr>
        <w:tc>
          <w:tcPr>
            <w:tcW w:type="dxa" w:w="3168"/>
            <w:shd w:val="clear" w:color="auto" w:fill="1F3A5F"/>
          </w:tcPr>
          <w:p>
            <w:pPr>
              <w:spacing w:after="0"/>
            </w:pPr>
            <w:r/>
            <w:r>
              <w:rPr>
                <w:b/>
                <w:color w:val="FFFFFF"/>
                <w:sz w:val="18"/>
              </w:rPr>
              <w:t>Term</w:t>
            </w:r>
          </w:p>
        </w:tc>
        <w:tc>
          <w:tcPr>
            <w:tcW w:type="dxa" w:w="2880"/>
            <w:shd w:val="clear" w:color="auto" w:fill="1F3A5F"/>
          </w:tcPr>
          <w:p>
            <w:pPr>
              <w:spacing w:after="0"/>
            </w:pPr>
            <w:r/>
            <w:r>
              <w:rPr>
                <w:b/>
                <w:color w:val="FFFFFF"/>
                <w:sz w:val="18"/>
              </w:rPr>
              <w:t>Checklist</w:t>
            </w:r>
          </w:p>
        </w:tc>
        <w:tc>
          <w:tcPr>
            <w:tcW w:type="dxa" w:w="3168"/>
            <w:shd w:val="clear" w:color="auto" w:fill="1F3A5F"/>
          </w:tcPr>
          <w:p>
            <w:pPr>
              <w:spacing w:after="0"/>
            </w:pPr>
            <w:r/>
            <w:r>
              <w:rPr>
                <w:b/>
                <w:color w:val="FFFFFF"/>
                <w:sz w:val="18"/>
              </w:rPr>
              <w:t>APA</w:t>
            </w:r>
          </w:p>
        </w:tc>
        <w:tc>
          <w:tcPr>
            <w:tcW w:type="dxa" w:w="2304"/>
            <w:shd w:val="clear" w:color="auto" w:fill="1F3A5F"/>
          </w:tcPr>
          <w:p>
            <w:pPr>
              <w:spacing w:after="0"/>
            </w:pPr>
            <w:r/>
            <w:r>
              <w:rPr>
                <w:b/>
                <w:color w:val="FFFFFF"/>
                <w:sz w:val="18"/>
              </w:rPr>
              <w:t>APA Reference</w:t>
            </w:r>
          </w:p>
        </w:tc>
        <w:tc>
          <w:tcPr>
            <w:tcW w:type="dxa" w:w="2160"/>
            <w:shd w:val="clear" w:color="auto" w:fill="1F3A5F"/>
          </w:tcPr>
          <w:p>
            <w:pPr>
              <w:spacing w:after="0"/>
            </w:pPr>
            <w:r/>
            <w:r>
              <w:rPr>
                <w:b/>
                <w:color w:val="FFFFFF"/>
                <w:sz w:val="18"/>
              </w:rPr>
              <w:t>Result</w:t>
            </w:r>
          </w:p>
        </w:tc>
      </w:tr>
      <w:tr>
        <w:tc>
          <w:tcPr>
            <w:tcW w:type="dxa" w:w="3168"/>
          </w:tcPr>
          <w:p>
            <w:pPr>
              <w:spacing w:after="0"/>
            </w:pPr>
            <w:r/>
            <w:r>
              <w:rPr>
                <w:b/>
                <w:sz w:val="17"/>
              </w:rPr>
              <w:t>Purchase Price</w:t>
            </w:r>
          </w:p>
        </w:tc>
        <w:tc>
          <w:tcPr>
            <w:tcW w:type="dxa" w:w="2880"/>
          </w:tcPr>
          <w:p>
            <w:pPr>
              <w:spacing w:after="0"/>
            </w:pPr>
            <w:r/>
            <w:r>
              <w:rPr>
                <w:b w:val="0"/>
                <w:sz w:val="17"/>
              </w:rPr>
              <w:t>$87,500,000</w:t>
            </w:r>
          </w:p>
        </w:tc>
        <w:tc>
          <w:tcPr>
            <w:tcW w:type="dxa" w:w="3168"/>
          </w:tcPr>
          <w:p>
            <w:pPr>
              <w:spacing w:after="0"/>
            </w:pPr>
            <w:r/>
            <w:r>
              <w:rPr>
                <w:b w:val="0"/>
                <w:sz w:val="17"/>
              </w:rPr>
              <w:t>$87,500,000</w:t>
            </w:r>
          </w:p>
        </w:tc>
        <w:tc>
          <w:tcPr>
            <w:tcW w:type="dxa" w:w="2304"/>
          </w:tcPr>
          <w:p>
            <w:pPr>
              <w:spacing w:after="0"/>
            </w:pPr>
            <w:r/>
            <w:r>
              <w:rPr>
                <w:b w:val="0"/>
                <w:sz w:val="17"/>
              </w:rPr>
              <w:t>Sec. 2.5(a)</w:t>
            </w:r>
          </w:p>
        </w:tc>
        <w:tc>
          <w:tcPr>
            <w:tcW w:type="dxa" w:w="2160"/>
          </w:tcPr>
          <w:p>
            <w:pPr>
              <w:spacing w:after="0"/>
            </w:pPr>
            <w:r/>
            <w:r>
              <w:rPr>
                <w:b w:val="0"/>
                <w:sz w:val="17"/>
              </w:rPr>
              <w:t>Consistent</w:t>
            </w:r>
          </w:p>
        </w:tc>
      </w:tr>
      <w:tr>
        <w:tc>
          <w:tcPr>
            <w:tcW w:type="dxa" w:w="3168"/>
          </w:tcPr>
          <w:p>
            <w:pPr>
              <w:spacing w:after="0"/>
            </w:pPr>
            <w:r/>
            <w:r>
              <w:rPr>
                <w:b/>
                <w:sz w:val="17"/>
              </w:rPr>
              <w:t>Closing Cash Payment</w:t>
            </w:r>
          </w:p>
        </w:tc>
        <w:tc>
          <w:tcPr>
            <w:tcW w:type="dxa" w:w="2880"/>
          </w:tcPr>
          <w:p>
            <w:pPr>
              <w:spacing w:after="0"/>
            </w:pPr>
            <w:r/>
            <w:r>
              <w:rPr>
                <w:b w:val="0"/>
                <w:sz w:val="17"/>
              </w:rPr>
              <w:t>$78,500,000</w:t>
            </w:r>
          </w:p>
        </w:tc>
        <w:tc>
          <w:tcPr>
            <w:tcW w:type="dxa" w:w="3168"/>
          </w:tcPr>
          <w:p>
            <w:pPr>
              <w:spacing w:after="0"/>
            </w:pPr>
            <w:r/>
            <w:r>
              <w:rPr>
                <w:b w:val="0"/>
                <w:sz w:val="17"/>
              </w:rPr>
              <w:t>$78,750,000</w:t>
            </w:r>
          </w:p>
        </w:tc>
        <w:tc>
          <w:tcPr>
            <w:tcW w:type="dxa" w:w="2304"/>
          </w:tcPr>
          <w:p>
            <w:pPr>
              <w:spacing w:after="0"/>
            </w:pPr>
            <w:r/>
            <w:r>
              <w:rPr>
                <w:b w:val="0"/>
                <w:sz w:val="17"/>
              </w:rPr>
              <w:t>Secs. 2.5(b)(i), 8.2(a)</w:t>
            </w:r>
          </w:p>
        </w:tc>
        <w:tc>
          <w:tcPr>
            <w:tcW w:type="dxa" w:w="2160"/>
          </w:tcPr>
          <w:p>
            <w:pPr>
              <w:spacing w:after="0"/>
            </w:pPr>
            <w:r/>
            <w:r>
              <w:rPr>
                <w:b w:val="0"/>
                <w:sz w:val="17"/>
              </w:rPr>
              <w:t>Deviation (-$250,000)</w:t>
            </w:r>
          </w:p>
        </w:tc>
      </w:tr>
      <w:tr>
        <w:tc>
          <w:tcPr>
            <w:tcW w:type="dxa" w:w="3168"/>
          </w:tcPr>
          <w:p>
            <w:pPr>
              <w:spacing w:after="0"/>
            </w:pPr>
            <w:r/>
            <w:r>
              <w:rPr>
                <w:b/>
                <w:sz w:val="17"/>
              </w:rPr>
              <w:t>Escrow Amount</w:t>
            </w:r>
          </w:p>
        </w:tc>
        <w:tc>
          <w:tcPr>
            <w:tcW w:type="dxa" w:w="2880"/>
          </w:tcPr>
          <w:p>
            <w:pPr>
              <w:spacing w:after="0"/>
            </w:pPr>
            <w:r/>
            <w:r>
              <w:rPr>
                <w:b w:val="0"/>
                <w:sz w:val="17"/>
              </w:rPr>
              <w:t>$5,500,000 (~6%)</w:t>
            </w:r>
          </w:p>
        </w:tc>
        <w:tc>
          <w:tcPr>
            <w:tcW w:type="dxa" w:w="3168"/>
          </w:tcPr>
          <w:p>
            <w:pPr>
              <w:spacing w:after="0"/>
            </w:pPr>
            <w:r/>
            <w:r>
              <w:rPr>
                <w:b w:val="0"/>
                <w:sz w:val="17"/>
              </w:rPr>
              <w:t>$5,250,000 (6%)</w:t>
            </w:r>
          </w:p>
        </w:tc>
        <w:tc>
          <w:tcPr>
            <w:tcW w:type="dxa" w:w="2304"/>
          </w:tcPr>
          <w:p>
            <w:pPr>
              <w:spacing w:after="0"/>
            </w:pPr>
            <w:r/>
            <w:r>
              <w:rPr>
                <w:b w:val="0"/>
                <w:sz w:val="17"/>
              </w:rPr>
              <w:t>Secs. 2.5(b)(ii), 9.5</w:t>
            </w:r>
          </w:p>
        </w:tc>
        <w:tc>
          <w:tcPr>
            <w:tcW w:type="dxa" w:w="2160"/>
          </w:tcPr>
          <w:p>
            <w:pPr>
              <w:spacing w:after="0"/>
            </w:pPr>
            <w:r/>
            <w:r>
              <w:rPr>
                <w:b w:val="0"/>
                <w:sz w:val="17"/>
              </w:rPr>
              <w:t>Deviation (+$250,000)</w:t>
            </w:r>
          </w:p>
        </w:tc>
      </w:tr>
      <w:tr>
        <w:tc>
          <w:tcPr>
            <w:tcW w:type="dxa" w:w="3168"/>
          </w:tcPr>
          <w:p>
            <w:pPr>
              <w:spacing w:after="0"/>
            </w:pPr>
            <w:r/>
            <w:r>
              <w:rPr>
                <w:b/>
                <w:sz w:val="17"/>
              </w:rPr>
              <w:t>Holdback Amount</w:t>
            </w:r>
          </w:p>
        </w:tc>
        <w:tc>
          <w:tcPr>
            <w:tcW w:type="dxa" w:w="2880"/>
          </w:tcPr>
          <w:p>
            <w:pPr>
              <w:spacing w:after="0"/>
            </w:pPr>
            <w:r/>
            <w:r>
              <w:rPr>
                <w:b w:val="0"/>
                <w:sz w:val="17"/>
              </w:rPr>
              <w:t>$3,500,000 (5%)</w:t>
            </w:r>
          </w:p>
        </w:tc>
        <w:tc>
          <w:tcPr>
            <w:tcW w:type="dxa" w:w="3168"/>
          </w:tcPr>
          <w:p>
            <w:pPr>
              <w:spacing w:after="0"/>
            </w:pPr>
            <w:r/>
            <w:r>
              <w:rPr>
                <w:b w:val="0"/>
                <w:sz w:val="17"/>
              </w:rPr>
              <w:t>$3,500,000 (4%)</w:t>
            </w:r>
          </w:p>
        </w:tc>
        <w:tc>
          <w:tcPr>
            <w:tcW w:type="dxa" w:w="2304"/>
          </w:tcPr>
          <w:p>
            <w:pPr>
              <w:spacing w:after="0"/>
            </w:pPr>
            <w:r/>
            <w:r>
              <w:rPr>
                <w:b w:val="0"/>
                <w:sz w:val="17"/>
              </w:rPr>
              <w:t>Sec. 2.5(b)(iii)</w:t>
            </w:r>
          </w:p>
        </w:tc>
        <w:tc>
          <w:tcPr>
            <w:tcW w:type="dxa" w:w="2160"/>
          </w:tcPr>
          <w:p>
            <w:pPr>
              <w:spacing w:after="0"/>
            </w:pPr>
            <w:r/>
            <w:r>
              <w:rPr>
                <w:b w:val="0"/>
                <w:sz w:val="17"/>
              </w:rPr>
              <w:t>Percentage error</w:t>
            </w:r>
          </w:p>
        </w:tc>
      </w:tr>
      <w:tr>
        <w:tc>
          <w:tcPr>
            <w:tcW w:type="dxa" w:w="3168"/>
          </w:tcPr>
          <w:p>
            <w:pPr>
              <w:spacing w:after="0"/>
            </w:pPr>
            <w:r/>
            <w:r>
              <w:rPr>
                <w:b/>
                <w:sz w:val="17"/>
              </w:rPr>
              <w:t>Total wired at Closing (before payoff/NWC)</w:t>
            </w:r>
          </w:p>
        </w:tc>
        <w:tc>
          <w:tcPr>
            <w:tcW w:type="dxa" w:w="2880"/>
          </w:tcPr>
          <w:p>
            <w:pPr>
              <w:spacing w:after="0"/>
            </w:pPr>
            <w:r/>
            <w:r>
              <w:rPr>
                <w:b w:val="0"/>
                <w:sz w:val="17"/>
              </w:rPr>
              <w:t>$84,000,000</w:t>
            </w:r>
          </w:p>
        </w:tc>
        <w:tc>
          <w:tcPr>
            <w:tcW w:type="dxa" w:w="3168"/>
          </w:tcPr>
          <w:p>
            <w:pPr>
              <w:spacing w:after="0"/>
            </w:pPr>
            <w:r/>
            <w:r>
              <w:rPr>
                <w:b w:val="0"/>
                <w:sz w:val="17"/>
              </w:rPr>
              <w:t>$84,000,000</w:t>
            </w:r>
          </w:p>
        </w:tc>
        <w:tc>
          <w:tcPr>
            <w:tcW w:type="dxa" w:w="2304"/>
          </w:tcPr>
          <w:p>
            <w:pPr>
              <w:spacing w:after="0"/>
            </w:pPr>
            <w:r/>
            <w:r>
              <w:rPr>
                <w:b w:val="0"/>
                <w:sz w:val="17"/>
              </w:rPr>
              <w:t>Derived</w:t>
            </w:r>
          </w:p>
        </w:tc>
        <w:tc>
          <w:tcPr>
            <w:tcW w:type="dxa" w:w="2160"/>
          </w:tcPr>
          <w:p>
            <w:pPr>
              <w:spacing w:after="0"/>
            </w:pPr>
            <w:r/>
            <w:r>
              <w:rPr>
                <w:b w:val="0"/>
                <w:sz w:val="17"/>
              </w:rPr>
              <w:t>Total ties; split wrong</w:t>
            </w:r>
          </w:p>
        </w:tc>
      </w:tr>
      <w:tr>
        <w:tc>
          <w:tcPr>
            <w:tcW w:type="dxa" w:w="3168"/>
          </w:tcPr>
          <w:p>
            <w:pPr>
              <w:spacing w:after="0"/>
            </w:pPr>
            <w:r/>
            <w:r>
              <w:rPr>
                <w:b/>
                <w:sz w:val="17"/>
              </w:rPr>
              <w:t>Target NWC</w:t>
            </w:r>
          </w:p>
        </w:tc>
        <w:tc>
          <w:tcPr>
            <w:tcW w:type="dxa" w:w="2880"/>
          </w:tcPr>
          <w:p>
            <w:pPr>
              <w:spacing w:after="0"/>
            </w:pPr>
            <w:r/>
            <w:r>
              <w:rPr>
                <w:b w:val="0"/>
                <w:sz w:val="17"/>
              </w:rPr>
              <w:t>$6,800,000</w:t>
            </w:r>
          </w:p>
        </w:tc>
        <w:tc>
          <w:tcPr>
            <w:tcW w:type="dxa" w:w="3168"/>
          </w:tcPr>
          <w:p>
            <w:pPr>
              <w:spacing w:after="0"/>
            </w:pPr>
            <w:r/>
            <w:r>
              <w:rPr>
                <w:b w:val="0"/>
                <w:sz w:val="17"/>
              </w:rPr>
              <w:t>$6,800,000</w:t>
            </w:r>
          </w:p>
        </w:tc>
        <w:tc>
          <w:tcPr>
            <w:tcW w:type="dxa" w:w="2304"/>
          </w:tcPr>
          <w:p>
            <w:pPr>
              <w:spacing w:after="0"/>
            </w:pPr>
            <w:r/>
            <w:r>
              <w:rPr>
                <w:b w:val="0"/>
                <w:sz w:val="17"/>
              </w:rPr>
              <w:t>Sec. 2.6(d)</w:t>
            </w:r>
          </w:p>
        </w:tc>
        <w:tc>
          <w:tcPr>
            <w:tcW w:type="dxa" w:w="2160"/>
          </w:tcPr>
          <w:p>
            <w:pPr>
              <w:spacing w:after="0"/>
            </w:pPr>
            <w:r/>
            <w:r>
              <w:rPr>
                <w:b w:val="0"/>
                <w:sz w:val="17"/>
              </w:rPr>
              <w:t>Consistent</w:t>
            </w:r>
          </w:p>
        </w:tc>
      </w:tr>
      <w:tr>
        <w:tc>
          <w:tcPr>
            <w:tcW w:type="dxa" w:w="3168"/>
          </w:tcPr>
          <w:p>
            <w:pPr>
              <w:spacing w:after="0"/>
            </w:pPr>
            <w:r/>
            <w:r>
              <w:rPr>
                <w:b/>
                <w:sz w:val="17"/>
              </w:rPr>
              <w:t>De Minimis Collar</w:t>
            </w:r>
          </w:p>
        </w:tc>
        <w:tc>
          <w:tcPr>
            <w:tcW w:type="dxa" w:w="2880"/>
          </w:tcPr>
          <w:p>
            <w:pPr>
              <w:spacing w:after="0"/>
            </w:pPr>
            <w:r/>
            <w:r>
              <w:rPr>
                <w:b w:val="0"/>
                <w:sz w:val="17"/>
              </w:rPr>
              <w:t>Not stated</w:t>
            </w:r>
          </w:p>
        </w:tc>
        <w:tc>
          <w:tcPr>
            <w:tcW w:type="dxa" w:w="3168"/>
          </w:tcPr>
          <w:p>
            <w:pPr>
              <w:spacing w:after="0"/>
            </w:pPr>
            <w:r/>
            <w:r>
              <w:rPr>
                <w:b w:val="0"/>
                <w:sz w:val="17"/>
              </w:rPr>
              <w:t>$150,000 (threshold, not deductible)</w:t>
            </w:r>
          </w:p>
        </w:tc>
        <w:tc>
          <w:tcPr>
            <w:tcW w:type="dxa" w:w="2304"/>
          </w:tcPr>
          <w:p>
            <w:pPr>
              <w:spacing w:after="0"/>
            </w:pPr>
            <w:r/>
            <w:r>
              <w:rPr>
                <w:b w:val="0"/>
                <w:sz w:val="17"/>
              </w:rPr>
              <w:t>Sec. 2.6(a), (d)</w:t>
            </w:r>
          </w:p>
        </w:tc>
        <w:tc>
          <w:tcPr>
            <w:tcW w:type="dxa" w:w="2160"/>
          </w:tcPr>
          <w:p>
            <w:pPr>
              <w:spacing w:after="0"/>
            </w:pPr>
            <w:r/>
            <w:r>
              <w:rPr>
                <w:b w:val="0"/>
                <w:sz w:val="17"/>
              </w:rPr>
              <w:t>Omitted</w:t>
            </w:r>
          </w:p>
        </w:tc>
      </w:tr>
      <w:tr>
        <w:tc>
          <w:tcPr>
            <w:tcW w:type="dxa" w:w="3168"/>
          </w:tcPr>
          <w:p>
            <w:pPr>
              <w:spacing w:after="0"/>
            </w:pPr>
            <w:r/>
            <w:r>
              <w:rPr>
                <w:b/>
                <w:sz w:val="17"/>
              </w:rPr>
              <w:t>Escrow Period</w:t>
            </w:r>
          </w:p>
        </w:tc>
        <w:tc>
          <w:tcPr>
            <w:tcW w:type="dxa" w:w="2880"/>
          </w:tcPr>
          <w:p>
            <w:pPr>
              <w:spacing w:after="0"/>
            </w:pPr>
            <w:r/>
            <w:r>
              <w:rPr>
                <w:b w:val="0"/>
                <w:sz w:val="17"/>
              </w:rPr>
              <w:t>24 months</w:t>
            </w:r>
          </w:p>
        </w:tc>
        <w:tc>
          <w:tcPr>
            <w:tcW w:type="dxa" w:w="3168"/>
          </w:tcPr>
          <w:p>
            <w:pPr>
              <w:spacing w:after="0"/>
            </w:pPr>
            <w:r/>
            <w:r>
              <w:rPr>
                <w:b w:val="0"/>
                <w:sz w:val="17"/>
              </w:rPr>
              <w:t>18 months</w:t>
            </w:r>
          </w:p>
        </w:tc>
        <w:tc>
          <w:tcPr>
            <w:tcW w:type="dxa" w:w="2304"/>
          </w:tcPr>
          <w:p>
            <w:pPr>
              <w:spacing w:after="0"/>
            </w:pPr>
            <w:r/>
            <w:r>
              <w:rPr>
                <w:b w:val="0"/>
                <w:sz w:val="17"/>
              </w:rPr>
              <w:t>Sec. 9.5; Ex. F</w:t>
            </w:r>
          </w:p>
        </w:tc>
        <w:tc>
          <w:tcPr>
            <w:tcW w:type="dxa" w:w="2160"/>
          </w:tcPr>
          <w:p>
            <w:pPr>
              <w:spacing w:after="0"/>
            </w:pPr>
            <w:r/>
            <w:r>
              <w:rPr>
                <w:b w:val="0"/>
                <w:sz w:val="17"/>
              </w:rPr>
              <w:t>Deviation</w:t>
            </w:r>
          </w:p>
        </w:tc>
      </w:tr>
      <w:tr>
        <w:tc>
          <w:tcPr>
            <w:tcW w:type="dxa" w:w="3168"/>
          </w:tcPr>
          <w:p>
            <w:pPr>
              <w:spacing w:after="0"/>
            </w:pPr>
            <w:r/>
            <w:r>
              <w:rPr>
                <w:b/>
                <w:sz w:val="17"/>
              </w:rPr>
              <w:t>General Indemnification Cap</w:t>
            </w:r>
          </w:p>
        </w:tc>
        <w:tc>
          <w:tcPr>
            <w:tcW w:type="dxa" w:w="2880"/>
          </w:tcPr>
          <w:p>
            <w:pPr>
              <w:spacing w:after="0"/>
            </w:pPr>
            <w:r/>
            <w:r>
              <w:rPr>
                <w:b w:val="0"/>
                <w:sz w:val="17"/>
              </w:rPr>
              <w:t>$8,500,000</w:t>
            </w:r>
          </w:p>
        </w:tc>
        <w:tc>
          <w:tcPr>
            <w:tcW w:type="dxa" w:w="3168"/>
          </w:tcPr>
          <w:p>
            <w:pPr>
              <w:spacing w:after="0"/>
            </w:pPr>
            <w:r/>
            <w:r>
              <w:rPr>
                <w:b w:val="0"/>
                <w:sz w:val="17"/>
              </w:rPr>
              <w:t>$8,750,000 (10%)</w:t>
            </w:r>
          </w:p>
        </w:tc>
        <w:tc>
          <w:tcPr>
            <w:tcW w:type="dxa" w:w="2304"/>
          </w:tcPr>
          <w:p>
            <w:pPr>
              <w:spacing w:after="0"/>
            </w:pPr>
            <w:r/>
            <w:r>
              <w:rPr>
                <w:b w:val="0"/>
                <w:sz w:val="17"/>
              </w:rPr>
              <w:t>Sec. 9.4(c)</w:t>
            </w:r>
          </w:p>
        </w:tc>
        <w:tc>
          <w:tcPr>
            <w:tcW w:type="dxa" w:w="2160"/>
          </w:tcPr>
          <w:p>
            <w:pPr>
              <w:spacing w:after="0"/>
            </w:pPr>
            <w:r/>
            <w:r>
              <w:rPr>
                <w:b w:val="0"/>
                <w:sz w:val="17"/>
              </w:rPr>
              <w:t>Deviation (-$250,000)</w:t>
            </w:r>
          </w:p>
        </w:tc>
      </w:tr>
      <w:tr>
        <w:tc>
          <w:tcPr>
            <w:tcW w:type="dxa" w:w="3168"/>
          </w:tcPr>
          <w:p>
            <w:pPr>
              <w:spacing w:after="0"/>
            </w:pPr>
            <w:r/>
            <w:r>
              <w:rPr>
                <w:b/>
                <w:sz w:val="17"/>
              </w:rPr>
              <w:t>Basket (true deductible)</w:t>
            </w:r>
          </w:p>
        </w:tc>
        <w:tc>
          <w:tcPr>
            <w:tcW w:type="dxa" w:w="2880"/>
          </w:tcPr>
          <w:p>
            <w:pPr>
              <w:spacing w:after="0"/>
            </w:pPr>
            <w:r/>
            <w:r>
              <w:rPr>
                <w:b w:val="0"/>
                <w:sz w:val="17"/>
              </w:rPr>
              <w:t>$875,000</w:t>
            </w:r>
          </w:p>
        </w:tc>
        <w:tc>
          <w:tcPr>
            <w:tcW w:type="dxa" w:w="3168"/>
          </w:tcPr>
          <w:p>
            <w:pPr>
              <w:spacing w:after="0"/>
            </w:pPr>
            <w:r/>
            <w:r>
              <w:rPr>
                <w:b w:val="0"/>
                <w:sz w:val="17"/>
              </w:rPr>
              <w:t>$875,000 (1%)</w:t>
            </w:r>
          </w:p>
        </w:tc>
        <w:tc>
          <w:tcPr>
            <w:tcW w:type="dxa" w:w="2304"/>
          </w:tcPr>
          <w:p>
            <w:pPr>
              <w:spacing w:after="0"/>
            </w:pPr>
            <w:r/>
            <w:r>
              <w:rPr>
                <w:b w:val="0"/>
                <w:sz w:val="17"/>
              </w:rPr>
              <w:t>Sec. 9.4(a)</w:t>
            </w:r>
          </w:p>
        </w:tc>
        <w:tc>
          <w:tcPr>
            <w:tcW w:type="dxa" w:w="2160"/>
          </w:tcPr>
          <w:p>
            <w:pPr>
              <w:spacing w:after="0"/>
            </w:pPr>
            <w:r/>
            <w:r>
              <w:rPr>
                <w:b w:val="0"/>
                <w:sz w:val="17"/>
              </w:rPr>
              <w:t>Consistent</w:t>
            </w:r>
          </w:p>
        </w:tc>
      </w:tr>
      <w:tr>
        <w:tc>
          <w:tcPr>
            <w:tcW w:type="dxa" w:w="3168"/>
          </w:tcPr>
          <w:p>
            <w:pPr>
              <w:spacing w:after="0"/>
            </w:pPr>
            <w:r/>
            <w:r>
              <w:rPr>
                <w:b/>
                <w:sz w:val="17"/>
              </w:rPr>
              <w:t>Mini-Basket</w:t>
            </w:r>
          </w:p>
        </w:tc>
        <w:tc>
          <w:tcPr>
            <w:tcW w:type="dxa" w:w="2880"/>
          </w:tcPr>
          <w:p>
            <w:pPr>
              <w:spacing w:after="0"/>
            </w:pPr>
            <w:r/>
            <w:r>
              <w:rPr>
                <w:b w:val="0"/>
                <w:sz w:val="17"/>
              </w:rPr>
              <w:t>$50,000</w:t>
            </w:r>
          </w:p>
        </w:tc>
        <w:tc>
          <w:tcPr>
            <w:tcW w:type="dxa" w:w="3168"/>
          </w:tcPr>
          <w:p>
            <w:pPr>
              <w:spacing w:after="0"/>
            </w:pPr>
            <w:r/>
            <w:r>
              <w:rPr>
                <w:b w:val="0"/>
                <w:sz w:val="17"/>
              </w:rPr>
              <w:t>$50,000</w:t>
            </w:r>
          </w:p>
        </w:tc>
        <w:tc>
          <w:tcPr>
            <w:tcW w:type="dxa" w:w="2304"/>
          </w:tcPr>
          <w:p>
            <w:pPr>
              <w:spacing w:after="0"/>
            </w:pPr>
            <w:r/>
            <w:r>
              <w:rPr>
                <w:b w:val="0"/>
                <w:sz w:val="17"/>
              </w:rPr>
              <w:t>Sec. 9.4(b)</w:t>
            </w:r>
          </w:p>
        </w:tc>
        <w:tc>
          <w:tcPr>
            <w:tcW w:type="dxa" w:w="2160"/>
          </w:tcPr>
          <w:p>
            <w:pPr>
              <w:spacing w:after="0"/>
            </w:pPr>
            <w:r/>
            <w:r>
              <w:rPr>
                <w:b w:val="0"/>
                <w:sz w:val="17"/>
              </w:rPr>
              <w:t>Consistent (scope nuance)</w:t>
            </w:r>
          </w:p>
        </w:tc>
      </w:tr>
      <w:tr>
        <w:tc>
          <w:tcPr>
            <w:tcW w:type="dxa" w:w="3168"/>
          </w:tcPr>
          <w:p>
            <w:pPr>
              <w:spacing w:after="0"/>
            </w:pPr>
            <w:r/>
            <w:r>
              <w:rPr>
                <w:b/>
                <w:sz w:val="17"/>
              </w:rPr>
              <w:t>Fundamental Representations Cap</w:t>
            </w:r>
          </w:p>
        </w:tc>
        <w:tc>
          <w:tcPr>
            <w:tcW w:type="dxa" w:w="2880"/>
          </w:tcPr>
          <w:p>
            <w:pPr>
              <w:spacing w:after="0"/>
            </w:pPr>
            <w:r/>
            <w:r>
              <w:rPr>
                <w:b w:val="0"/>
                <w:sz w:val="17"/>
              </w:rPr>
              <w:t>$87,500,000</w:t>
            </w:r>
          </w:p>
        </w:tc>
        <w:tc>
          <w:tcPr>
            <w:tcW w:type="dxa" w:w="3168"/>
          </w:tcPr>
          <w:p>
            <w:pPr>
              <w:spacing w:after="0"/>
            </w:pPr>
            <w:r/>
            <w:r>
              <w:rPr>
                <w:b w:val="0"/>
                <w:sz w:val="17"/>
              </w:rPr>
              <w:t>$87,500,000</w:t>
            </w:r>
          </w:p>
        </w:tc>
        <w:tc>
          <w:tcPr>
            <w:tcW w:type="dxa" w:w="2304"/>
          </w:tcPr>
          <w:p>
            <w:pPr>
              <w:spacing w:after="0"/>
            </w:pPr>
            <w:r/>
            <w:r>
              <w:rPr>
                <w:b w:val="0"/>
                <w:sz w:val="17"/>
              </w:rPr>
              <w:t>Sec. 9.4(d)</w:t>
            </w:r>
          </w:p>
        </w:tc>
        <w:tc>
          <w:tcPr>
            <w:tcW w:type="dxa" w:w="2160"/>
          </w:tcPr>
          <w:p>
            <w:pPr>
              <w:spacing w:after="0"/>
            </w:pPr>
            <w:r/>
            <w:r>
              <w:rPr>
                <w:b w:val="0"/>
                <w:sz w:val="17"/>
              </w:rPr>
              <w:t>Consistent</w:t>
            </w:r>
          </w:p>
        </w:tc>
      </w:tr>
      <w:tr>
        <w:tc>
          <w:tcPr>
            <w:tcW w:type="dxa" w:w="3168"/>
          </w:tcPr>
          <w:p>
            <w:pPr>
              <w:spacing w:after="0"/>
            </w:pPr>
            <w:r/>
            <w:r>
              <w:rPr>
                <w:b/>
                <w:sz w:val="17"/>
              </w:rPr>
              <w:t>General / Fundamental survival</w:t>
            </w:r>
          </w:p>
        </w:tc>
        <w:tc>
          <w:tcPr>
            <w:tcW w:type="dxa" w:w="2880"/>
          </w:tcPr>
          <w:p>
            <w:pPr>
              <w:spacing w:after="0"/>
            </w:pPr>
            <w:r/>
            <w:r>
              <w:rPr>
                <w:b w:val="0"/>
                <w:sz w:val="17"/>
              </w:rPr>
              <w:t>18 / 36 months</w:t>
            </w:r>
          </w:p>
        </w:tc>
        <w:tc>
          <w:tcPr>
            <w:tcW w:type="dxa" w:w="3168"/>
          </w:tcPr>
          <w:p>
            <w:pPr>
              <w:spacing w:after="0"/>
            </w:pPr>
            <w:r/>
            <w:r>
              <w:rPr>
                <w:b w:val="0"/>
                <w:sz w:val="17"/>
              </w:rPr>
              <w:t>18 / 36 months</w:t>
            </w:r>
          </w:p>
        </w:tc>
        <w:tc>
          <w:tcPr>
            <w:tcW w:type="dxa" w:w="2304"/>
          </w:tcPr>
          <w:p>
            <w:pPr>
              <w:spacing w:after="0"/>
            </w:pPr>
            <w:r/>
            <w:r>
              <w:rPr>
                <w:b w:val="0"/>
                <w:sz w:val="17"/>
              </w:rPr>
              <w:t>Sec. 9.1(a), (c)</w:t>
            </w:r>
          </w:p>
        </w:tc>
        <w:tc>
          <w:tcPr>
            <w:tcW w:type="dxa" w:w="2160"/>
          </w:tcPr>
          <w:p>
            <w:pPr>
              <w:spacing w:after="0"/>
            </w:pPr>
            <w:r/>
            <w:r>
              <w:rPr>
                <w:b w:val="0"/>
                <w:sz w:val="17"/>
              </w:rPr>
              <w:t>Consistent</w:t>
            </w:r>
          </w:p>
        </w:tc>
      </w:tr>
      <w:tr>
        <w:tc>
          <w:tcPr>
            <w:tcW w:type="dxa" w:w="3168"/>
          </w:tcPr>
          <w:p>
            <w:pPr>
              <w:spacing w:after="0"/>
            </w:pPr>
            <w:r/>
            <w:r>
              <w:rPr>
                <w:b/>
                <w:sz w:val="17"/>
              </w:rPr>
              <w:t>Reverse Break-Up Fee</w:t>
            </w:r>
          </w:p>
        </w:tc>
        <w:tc>
          <w:tcPr>
            <w:tcW w:type="dxa" w:w="2880"/>
          </w:tcPr>
          <w:p>
            <w:pPr>
              <w:spacing w:after="0"/>
            </w:pPr>
            <w:r/>
            <w:r>
              <w:rPr>
                <w:b w:val="0"/>
                <w:sz w:val="17"/>
              </w:rPr>
              <w:t>$2,625,000 (Sec. 9.1(d))</w:t>
            </w:r>
          </w:p>
        </w:tc>
        <w:tc>
          <w:tcPr>
            <w:tcW w:type="dxa" w:w="3168"/>
          </w:tcPr>
          <w:p>
            <w:pPr>
              <w:spacing w:after="0"/>
            </w:pPr>
            <w:r/>
            <w:r>
              <w:rPr>
                <w:b w:val="0"/>
                <w:sz w:val="17"/>
              </w:rPr>
              <w:t>$2,625,000 (Secs. 10.1(e), 10.3)</w:t>
            </w:r>
          </w:p>
        </w:tc>
        <w:tc>
          <w:tcPr>
            <w:tcW w:type="dxa" w:w="2304"/>
          </w:tcPr>
          <w:p>
            <w:pPr>
              <w:spacing w:after="0"/>
            </w:pPr>
            <w:r/>
            <w:r>
              <w:rPr>
                <w:b w:val="0"/>
                <w:sz w:val="17"/>
              </w:rPr>
              <w:t>Sec. 10.3</w:t>
            </w:r>
          </w:p>
        </w:tc>
        <w:tc>
          <w:tcPr>
            <w:tcW w:type="dxa" w:w="2160"/>
          </w:tcPr>
          <w:p>
            <w:pPr>
              <w:spacing w:after="0"/>
            </w:pPr>
            <w:r/>
            <w:r>
              <w:rPr>
                <w:b w:val="0"/>
                <w:sz w:val="17"/>
              </w:rPr>
              <w:t>Trigger / cite error</w:t>
            </w:r>
          </w:p>
        </w:tc>
      </w:tr>
      <w:tr>
        <w:tc>
          <w:tcPr>
            <w:tcW w:type="dxa" w:w="3168"/>
          </w:tcPr>
          <w:p>
            <w:pPr>
              <w:spacing w:after="0"/>
            </w:pPr>
            <w:r/>
            <w:r>
              <w:rPr>
                <w:b/>
                <w:sz w:val="17"/>
              </w:rPr>
              <w:t>TSA monthly / aggregate fee</w:t>
            </w:r>
          </w:p>
        </w:tc>
        <w:tc>
          <w:tcPr>
            <w:tcW w:type="dxa" w:w="2880"/>
          </w:tcPr>
          <w:p>
            <w:pPr>
              <w:spacing w:after="0"/>
            </w:pPr>
            <w:r/>
            <w:r>
              <w:rPr>
                <w:b w:val="0"/>
                <w:sz w:val="17"/>
              </w:rPr>
              <w:t>$50,000 / $300,000</w:t>
            </w:r>
          </w:p>
        </w:tc>
        <w:tc>
          <w:tcPr>
            <w:tcW w:type="dxa" w:w="3168"/>
          </w:tcPr>
          <w:p>
            <w:pPr>
              <w:spacing w:after="0"/>
            </w:pPr>
            <w:r/>
            <w:r>
              <w:rPr>
                <w:b w:val="0"/>
                <w:sz w:val="17"/>
              </w:rPr>
              <w:t>$45,000 / $270,000</w:t>
            </w:r>
          </w:p>
        </w:tc>
        <w:tc>
          <w:tcPr>
            <w:tcW w:type="dxa" w:w="2304"/>
          </w:tcPr>
          <w:p>
            <w:pPr>
              <w:spacing w:after="0"/>
            </w:pPr>
            <w:r/>
            <w:r>
              <w:rPr>
                <w:b w:val="0"/>
                <w:sz w:val="17"/>
              </w:rPr>
              <w:t>Sec. 8.1(d); Ex. D</w:t>
            </w:r>
          </w:p>
        </w:tc>
        <w:tc>
          <w:tcPr>
            <w:tcW w:type="dxa" w:w="2160"/>
          </w:tcPr>
          <w:p>
            <w:pPr>
              <w:spacing w:after="0"/>
            </w:pPr>
            <w:r/>
            <w:r>
              <w:rPr>
                <w:b w:val="0"/>
                <w:sz w:val="17"/>
              </w:rPr>
              <w:t>Deviation</w:t>
            </w:r>
          </w:p>
        </w:tc>
      </w:tr>
      <w:tr>
        <w:tc>
          <w:tcPr>
            <w:tcW w:type="dxa" w:w="3168"/>
          </w:tcPr>
          <w:p>
            <w:pPr>
              <w:spacing w:after="0"/>
            </w:pPr>
            <w:r/>
            <w:r>
              <w:rPr>
                <w:b/>
                <w:sz w:val="17"/>
              </w:rPr>
              <w:t>Non-compete term</w:t>
            </w:r>
          </w:p>
        </w:tc>
        <w:tc>
          <w:tcPr>
            <w:tcW w:type="dxa" w:w="2880"/>
          </w:tcPr>
          <w:p>
            <w:pPr>
              <w:spacing w:after="0"/>
            </w:pPr>
            <w:r/>
            <w:r>
              <w:rPr>
                <w:b w:val="0"/>
                <w:sz w:val="17"/>
              </w:rPr>
              <w:t>3 years</w:t>
            </w:r>
          </w:p>
        </w:tc>
        <w:tc>
          <w:tcPr>
            <w:tcW w:type="dxa" w:w="3168"/>
          </w:tcPr>
          <w:p>
            <w:pPr>
              <w:spacing w:after="0"/>
            </w:pPr>
            <w:r/>
            <w:r>
              <w:rPr>
                <w:b w:val="0"/>
                <w:sz w:val="17"/>
              </w:rPr>
              <w:t>4 years</w:t>
            </w:r>
          </w:p>
        </w:tc>
        <w:tc>
          <w:tcPr>
            <w:tcW w:type="dxa" w:w="2304"/>
          </w:tcPr>
          <w:p>
            <w:pPr>
              <w:spacing w:after="0"/>
            </w:pPr>
            <w:r/>
            <w:r>
              <w:rPr>
                <w:b w:val="0"/>
                <w:sz w:val="17"/>
              </w:rPr>
              <w:t>Sec. 8.1(e); Ex. E</w:t>
            </w:r>
          </w:p>
        </w:tc>
        <w:tc>
          <w:tcPr>
            <w:tcW w:type="dxa" w:w="2160"/>
          </w:tcPr>
          <w:p>
            <w:pPr>
              <w:spacing w:after="0"/>
            </w:pPr>
            <w:r/>
            <w:r>
              <w:rPr>
                <w:b w:val="0"/>
                <w:sz w:val="17"/>
              </w:rPr>
              <w:t>Deviation</w:t>
            </w:r>
          </w:p>
        </w:tc>
      </w:tr>
      <w:tr>
        <w:tc>
          <w:tcPr>
            <w:tcW w:type="dxa" w:w="3168"/>
          </w:tcPr>
          <w:p>
            <w:pPr>
              <w:spacing w:after="0"/>
            </w:pPr>
            <w:r/>
            <w:r>
              <w:rPr>
                <w:b/>
                <w:sz w:val="17"/>
              </w:rPr>
              <w:t>Employee offers</w:t>
            </w:r>
          </w:p>
        </w:tc>
        <w:tc>
          <w:tcPr>
            <w:tcW w:type="dxa" w:w="2880"/>
          </w:tcPr>
          <w:p>
            <w:pPr>
              <w:spacing w:after="0"/>
            </w:pPr>
            <w:r/>
            <w:r>
              <w:rPr>
                <w:b w:val="0"/>
                <w:sz w:val="17"/>
              </w:rPr>
              <w:t>at least 108 of 127; 10 business days pre-Closing</w:t>
            </w:r>
          </w:p>
        </w:tc>
        <w:tc>
          <w:tcPr>
            <w:tcW w:type="dxa" w:w="3168"/>
          </w:tcPr>
          <w:p>
            <w:pPr>
              <w:spacing w:after="0"/>
            </w:pPr>
            <w:r/>
            <w:r>
              <w:rPr>
                <w:b w:val="0"/>
                <w:sz w:val="17"/>
              </w:rPr>
              <w:t>at least 108 of 127; 15 days pre-Closing</w:t>
            </w:r>
          </w:p>
        </w:tc>
        <w:tc>
          <w:tcPr>
            <w:tcW w:type="dxa" w:w="2304"/>
          </w:tcPr>
          <w:p>
            <w:pPr>
              <w:spacing w:after="0"/>
            </w:pPr>
            <w:r/>
            <w:r>
              <w:rPr>
                <w:b w:val="0"/>
                <w:sz w:val="17"/>
              </w:rPr>
              <w:t>Sec. 6.8(a)</w:t>
            </w:r>
          </w:p>
        </w:tc>
        <w:tc>
          <w:tcPr>
            <w:tcW w:type="dxa" w:w="2160"/>
          </w:tcPr>
          <w:p>
            <w:pPr>
              <w:spacing w:after="0"/>
            </w:pPr>
            <w:r/>
            <w:r>
              <w:rPr>
                <w:b w:val="0"/>
                <w:sz w:val="17"/>
              </w:rPr>
              <w:t>Deadline deviation</w:t>
            </w:r>
          </w:p>
        </w:tc>
      </w:tr>
      <w:tr>
        <w:tc>
          <w:tcPr>
            <w:tcW w:type="dxa" w:w="3168"/>
          </w:tcPr>
          <w:p>
            <w:pPr>
              <w:spacing w:after="0"/>
            </w:pPr>
            <w:r/>
            <w:r>
              <w:rPr>
                <w:b/>
                <w:sz w:val="17"/>
              </w:rPr>
              <w:t>Accrued PTO assumed</w:t>
            </w:r>
          </w:p>
        </w:tc>
        <w:tc>
          <w:tcPr>
            <w:tcW w:type="dxa" w:w="2880"/>
          </w:tcPr>
          <w:p>
            <w:pPr>
              <w:spacing w:after="0"/>
            </w:pPr>
            <w:r/>
            <w:r>
              <w:rPr>
                <w:b w:val="0"/>
                <w:sz w:val="17"/>
              </w:rPr>
              <w:t>~$387,000 (Sec. 2.3(c))</w:t>
            </w:r>
          </w:p>
        </w:tc>
        <w:tc>
          <w:tcPr>
            <w:tcW w:type="dxa" w:w="3168"/>
          </w:tcPr>
          <w:p>
            <w:pPr>
              <w:spacing w:after="0"/>
            </w:pPr>
            <w:r/>
            <w:r>
              <w:rPr>
                <w:b w:val="0"/>
                <w:sz w:val="17"/>
              </w:rPr>
              <w:t>~$387,000 (Sec. 2.3(d))</w:t>
            </w:r>
          </w:p>
        </w:tc>
        <w:tc>
          <w:tcPr>
            <w:tcW w:type="dxa" w:w="2304"/>
          </w:tcPr>
          <w:p>
            <w:pPr>
              <w:spacing w:after="0"/>
            </w:pPr>
            <w:r/>
            <w:r>
              <w:rPr>
                <w:b w:val="0"/>
                <w:sz w:val="17"/>
              </w:rPr>
              <w:t>Sec. 2.3(d)</w:t>
            </w:r>
          </w:p>
        </w:tc>
        <w:tc>
          <w:tcPr>
            <w:tcW w:type="dxa" w:w="2160"/>
          </w:tcPr>
          <w:p>
            <w:pPr>
              <w:spacing w:after="0"/>
            </w:pPr>
            <w:r/>
            <w:r>
              <w:rPr>
                <w:b w:val="0"/>
                <w:sz w:val="17"/>
              </w:rPr>
              <w:t>Cite error</w:t>
            </w:r>
          </w:p>
        </w:tc>
      </w:tr>
      <w:tr>
        <w:tc>
          <w:tcPr>
            <w:tcW w:type="dxa" w:w="3168"/>
          </w:tcPr>
          <w:p>
            <w:pPr>
              <w:spacing w:after="0"/>
            </w:pPr>
            <w:r/>
            <w:r>
              <w:rPr>
                <w:b/>
                <w:sz w:val="17"/>
              </w:rPr>
              <w:t>Summit Ridge facility</w:t>
            </w:r>
          </w:p>
        </w:tc>
        <w:tc>
          <w:tcPr>
            <w:tcW w:type="dxa" w:w="2880"/>
          </w:tcPr>
          <w:p>
            <w:pPr>
              <w:spacing w:after="0"/>
            </w:pPr>
            <w:r/>
            <w:r>
              <w:rPr>
                <w:b w:val="0"/>
                <w:sz w:val="17"/>
              </w:rPr>
              <w:t>~$14.3 million</w:t>
            </w:r>
          </w:p>
        </w:tc>
        <w:tc>
          <w:tcPr>
            <w:tcW w:type="dxa" w:w="3168"/>
          </w:tcPr>
          <w:p>
            <w:pPr>
              <w:spacing w:after="0"/>
            </w:pPr>
            <w:r/>
            <w:r>
              <w:rPr>
                <w:b w:val="0"/>
                <w:sz w:val="17"/>
              </w:rPr>
              <w:t>~$14,300,000</w:t>
            </w:r>
          </w:p>
        </w:tc>
        <w:tc>
          <w:tcPr>
            <w:tcW w:type="dxa" w:w="2304"/>
          </w:tcPr>
          <w:p>
            <w:pPr>
              <w:spacing w:after="0"/>
            </w:pPr>
            <w:r/>
            <w:r>
              <w:rPr>
                <w:b w:val="0"/>
                <w:sz w:val="17"/>
              </w:rPr>
              <w:t>Secs. 1.1, 2.4(a)</w:t>
            </w:r>
          </w:p>
        </w:tc>
        <w:tc>
          <w:tcPr>
            <w:tcW w:type="dxa" w:w="2160"/>
          </w:tcPr>
          <w:p>
            <w:pPr>
              <w:spacing w:after="0"/>
            </w:pPr>
            <w:r/>
            <w:r>
              <w:rPr>
                <w:b w:val="0"/>
                <w:sz w:val="17"/>
              </w:rPr>
              <w:t>Consistent</w:t>
            </w:r>
          </w:p>
        </w:tc>
      </w:tr>
    </w:tbl>
    <w:p/>
    <w:p>
      <w:pPr>
        <w:spacing w:after="80"/>
      </w:pPr>
      <w:r>
        <w:rPr>
          <w:b/>
          <w:i w:val="0"/>
          <w:sz w:val="20"/>
        </w:rPr>
        <w:t>Funds flow tie-out at a May 15, 2025 Closing (before any Sec. 2.6(a) estimated NWC adjustment and before netting the Summit Ridge payoff from Seller proceeds):</w:t>
      </w:r>
    </w:p>
    <w:tbl>
      <w:tblPr>
        <w:tblStyle w:val="TableGrid"/>
        <w:tblW w:type="auto" w:w="0"/>
        <w:jc w:val="center"/>
        <w:tblLayout w:type="fixed"/>
        <w:tblLook w:firstColumn="1" w:firstRow="1" w:lastColumn="0" w:lastRow="0" w:noHBand="0" w:noVBand="1" w:val="04A0"/>
      </w:tblPr>
      <w:tblGrid>
        <w:gridCol w:w="4608"/>
        <w:gridCol w:w="2592"/>
        <w:gridCol w:w="2592"/>
        <w:gridCol w:w="3888"/>
      </w:tblGrid>
      <w:tr>
        <w:trPr>
          <w:tblHeader w:val="true"/>
        </w:trPr>
        <w:tc>
          <w:tcPr>
            <w:tcW w:type="dxa" w:w="4608"/>
            <w:shd w:val="clear" w:color="auto" w:fill="1F3A5F"/>
          </w:tcPr>
          <w:p>
            <w:pPr>
              <w:spacing w:after="0"/>
            </w:pPr>
            <w:r/>
            <w:r>
              <w:rPr>
                <w:b/>
                <w:color w:val="FFFFFF"/>
                <w:sz w:val="18"/>
              </w:rPr>
              <w:t>Payee</w:t>
            </w:r>
          </w:p>
        </w:tc>
        <w:tc>
          <w:tcPr>
            <w:tcW w:type="dxa" w:w="2592"/>
            <w:shd w:val="clear" w:color="auto" w:fill="1F3A5F"/>
          </w:tcPr>
          <w:p>
            <w:pPr>
              <w:spacing w:after="0"/>
            </w:pPr>
            <w:r/>
            <w:r>
              <w:rPr>
                <w:b/>
                <w:color w:val="FFFFFF"/>
                <w:sz w:val="18"/>
              </w:rPr>
              <w:t>Checklist</w:t>
            </w:r>
          </w:p>
        </w:tc>
        <w:tc>
          <w:tcPr>
            <w:tcW w:type="dxa" w:w="2592"/>
            <w:shd w:val="clear" w:color="auto" w:fill="1F3A5F"/>
          </w:tcPr>
          <w:p>
            <w:pPr>
              <w:spacing w:after="0"/>
            </w:pPr>
            <w:r/>
            <w:r>
              <w:rPr>
                <w:b/>
                <w:color w:val="FFFFFF"/>
                <w:sz w:val="18"/>
              </w:rPr>
              <w:t>APA</w:t>
            </w:r>
          </w:p>
        </w:tc>
        <w:tc>
          <w:tcPr>
            <w:tcW w:type="dxa" w:w="3888"/>
            <w:shd w:val="clear" w:color="auto" w:fill="1F3A5F"/>
          </w:tcPr>
          <w:p>
            <w:pPr>
              <w:spacing w:after="0"/>
            </w:pPr>
            <w:r/>
            <w:r>
              <w:rPr>
                <w:b/>
                <w:color w:val="FFFFFF"/>
                <w:sz w:val="18"/>
              </w:rPr>
              <w:t>Difference</w:t>
            </w:r>
          </w:p>
        </w:tc>
      </w:tr>
      <w:tr>
        <w:tc>
          <w:tcPr>
            <w:tcW w:type="dxa" w:w="4608"/>
          </w:tcPr>
          <w:p>
            <w:pPr>
              <w:spacing w:after="0"/>
            </w:pPr>
            <w:r/>
            <w:r>
              <w:rPr>
                <w:b/>
                <w:sz w:val="17"/>
              </w:rPr>
              <w:t>Seller (Closing Cash Payment)</w:t>
            </w:r>
          </w:p>
        </w:tc>
        <w:tc>
          <w:tcPr>
            <w:tcW w:type="dxa" w:w="2592"/>
          </w:tcPr>
          <w:p>
            <w:pPr>
              <w:spacing w:after="0"/>
            </w:pPr>
            <w:r/>
            <w:r>
              <w:rPr>
                <w:b w:val="0"/>
                <w:sz w:val="17"/>
              </w:rPr>
              <w:t>$78,500,000</w:t>
            </w:r>
          </w:p>
        </w:tc>
        <w:tc>
          <w:tcPr>
            <w:tcW w:type="dxa" w:w="2592"/>
          </w:tcPr>
          <w:p>
            <w:pPr>
              <w:spacing w:after="0"/>
            </w:pPr>
            <w:r/>
            <w:r>
              <w:rPr>
                <w:b w:val="0"/>
                <w:sz w:val="17"/>
              </w:rPr>
              <w:t>$78,750,000</w:t>
            </w:r>
          </w:p>
        </w:tc>
        <w:tc>
          <w:tcPr>
            <w:tcW w:type="dxa" w:w="3888"/>
          </w:tcPr>
          <w:p>
            <w:pPr>
              <w:spacing w:after="0"/>
            </w:pPr>
            <w:r/>
            <w:r>
              <w:rPr>
                <w:b w:val="0"/>
                <w:sz w:val="17"/>
              </w:rPr>
              <w:t>-$250,000 (Seller under-paid)</w:t>
            </w:r>
          </w:p>
        </w:tc>
      </w:tr>
      <w:tr>
        <w:tc>
          <w:tcPr>
            <w:tcW w:type="dxa" w:w="4608"/>
          </w:tcPr>
          <w:p>
            <w:pPr>
              <w:spacing w:after="0"/>
            </w:pPr>
            <w:r/>
            <w:r>
              <w:rPr>
                <w:b/>
                <w:sz w:val="17"/>
              </w:rPr>
              <w:t>Pinnacle Trust Company, N.A. (Escrow Amount)</w:t>
            </w:r>
          </w:p>
        </w:tc>
        <w:tc>
          <w:tcPr>
            <w:tcW w:type="dxa" w:w="2592"/>
          </w:tcPr>
          <w:p>
            <w:pPr>
              <w:spacing w:after="0"/>
            </w:pPr>
            <w:r/>
            <w:r>
              <w:rPr>
                <w:b w:val="0"/>
                <w:sz w:val="17"/>
              </w:rPr>
              <w:t>$5,500,000</w:t>
            </w:r>
          </w:p>
        </w:tc>
        <w:tc>
          <w:tcPr>
            <w:tcW w:type="dxa" w:w="2592"/>
          </w:tcPr>
          <w:p>
            <w:pPr>
              <w:spacing w:after="0"/>
            </w:pPr>
            <w:r/>
            <w:r>
              <w:rPr>
                <w:b w:val="0"/>
                <w:sz w:val="17"/>
              </w:rPr>
              <w:t>$5,250,000</w:t>
            </w:r>
          </w:p>
        </w:tc>
        <w:tc>
          <w:tcPr>
            <w:tcW w:type="dxa" w:w="3888"/>
          </w:tcPr>
          <w:p>
            <w:pPr>
              <w:spacing w:after="0"/>
            </w:pPr>
            <w:r/>
            <w:r>
              <w:rPr>
                <w:b w:val="0"/>
                <w:sz w:val="17"/>
              </w:rPr>
              <w:t>+$250,000 (escrow over-funded)</w:t>
            </w:r>
          </w:p>
        </w:tc>
      </w:tr>
      <w:tr>
        <w:tc>
          <w:tcPr>
            <w:tcW w:type="dxa" w:w="4608"/>
          </w:tcPr>
          <w:p>
            <w:pPr>
              <w:spacing w:after="0"/>
            </w:pPr>
            <w:r/>
            <w:r>
              <w:rPr>
                <w:b/>
                <w:sz w:val="17"/>
              </w:rPr>
              <w:t>Retained by Buyer (Holdback Amount)</w:t>
            </w:r>
          </w:p>
        </w:tc>
        <w:tc>
          <w:tcPr>
            <w:tcW w:type="dxa" w:w="2592"/>
          </w:tcPr>
          <w:p>
            <w:pPr>
              <w:spacing w:after="0"/>
            </w:pPr>
            <w:r/>
            <w:r>
              <w:rPr>
                <w:b w:val="0"/>
                <w:sz w:val="17"/>
              </w:rPr>
              <w:t>$3,500,000</w:t>
            </w:r>
          </w:p>
        </w:tc>
        <w:tc>
          <w:tcPr>
            <w:tcW w:type="dxa" w:w="2592"/>
          </w:tcPr>
          <w:p>
            <w:pPr>
              <w:spacing w:after="0"/>
            </w:pPr>
            <w:r/>
            <w:r>
              <w:rPr>
                <w:b w:val="0"/>
                <w:sz w:val="17"/>
              </w:rPr>
              <w:t>$3,500,000</w:t>
            </w:r>
          </w:p>
        </w:tc>
        <w:tc>
          <w:tcPr>
            <w:tcW w:type="dxa" w:w="3888"/>
          </w:tcPr>
          <w:p>
            <w:pPr>
              <w:spacing w:after="0"/>
            </w:pPr>
            <w:r/>
            <w:r>
              <w:rPr>
                <w:b w:val="0"/>
                <w:sz w:val="17"/>
              </w:rPr>
              <w:t>None</w:t>
            </w:r>
          </w:p>
        </w:tc>
      </w:tr>
      <w:tr>
        <w:tc>
          <w:tcPr>
            <w:tcW w:type="dxa" w:w="4608"/>
          </w:tcPr>
          <w:p>
            <w:pPr>
              <w:spacing w:after="0"/>
            </w:pPr>
            <w:r/>
            <w:r>
              <w:rPr>
                <w:b/>
                <w:sz w:val="17"/>
              </w:rPr>
              <w:t>Total Purchase Price</w:t>
            </w:r>
          </w:p>
        </w:tc>
        <w:tc>
          <w:tcPr>
            <w:tcW w:type="dxa" w:w="2592"/>
          </w:tcPr>
          <w:p>
            <w:pPr>
              <w:spacing w:after="0"/>
            </w:pPr>
            <w:r/>
            <w:r>
              <w:rPr>
                <w:b w:val="0"/>
                <w:sz w:val="17"/>
              </w:rPr>
              <w:t>$87,500,000</w:t>
            </w:r>
          </w:p>
        </w:tc>
        <w:tc>
          <w:tcPr>
            <w:tcW w:type="dxa" w:w="2592"/>
          </w:tcPr>
          <w:p>
            <w:pPr>
              <w:spacing w:after="0"/>
            </w:pPr>
            <w:r/>
            <w:r>
              <w:rPr>
                <w:b w:val="0"/>
                <w:sz w:val="17"/>
              </w:rPr>
              <w:t>$87,500,000</w:t>
            </w:r>
          </w:p>
        </w:tc>
        <w:tc>
          <w:tcPr>
            <w:tcW w:type="dxa" w:w="3888"/>
          </w:tcPr>
          <w:p>
            <w:pPr>
              <w:spacing w:after="0"/>
            </w:pPr>
            <w:r/>
            <w:r>
              <w:rPr>
                <w:b w:val="0"/>
                <w:sz w:val="17"/>
              </w:rPr>
              <w:t>None</w:t>
            </w:r>
          </w:p>
        </w:tc>
      </w:tr>
      <w:tr>
        <w:tc>
          <w:tcPr>
            <w:tcW w:type="dxa" w:w="4608"/>
          </w:tcPr>
          <w:p>
            <w:pPr>
              <w:spacing w:after="0"/>
            </w:pPr>
            <w:r/>
            <w:r>
              <w:rPr>
                <w:b/>
                <w:sz w:val="17"/>
              </w:rPr>
              <w:t>Total wired at Closing</w:t>
            </w:r>
          </w:p>
        </w:tc>
        <w:tc>
          <w:tcPr>
            <w:tcW w:type="dxa" w:w="2592"/>
          </w:tcPr>
          <w:p>
            <w:pPr>
              <w:spacing w:after="0"/>
            </w:pPr>
            <w:r/>
            <w:r>
              <w:rPr>
                <w:b w:val="0"/>
                <w:sz w:val="17"/>
              </w:rPr>
              <w:t>$84,000,000</w:t>
            </w:r>
          </w:p>
        </w:tc>
        <w:tc>
          <w:tcPr>
            <w:tcW w:type="dxa" w:w="2592"/>
          </w:tcPr>
          <w:p>
            <w:pPr>
              <w:spacing w:after="0"/>
            </w:pPr>
            <w:r/>
            <w:r>
              <w:rPr>
                <w:b w:val="0"/>
                <w:sz w:val="17"/>
              </w:rPr>
              <w:t>$84,000,000</w:t>
            </w:r>
          </w:p>
        </w:tc>
        <w:tc>
          <w:tcPr>
            <w:tcW w:type="dxa" w:w="3888"/>
          </w:tcPr>
          <w:p>
            <w:pPr>
              <w:spacing w:after="0"/>
            </w:pPr>
            <w:r/>
            <w:r>
              <w:rPr>
                <w:b w:val="0"/>
                <w:sz w:val="17"/>
              </w:rPr>
              <w:t>None - the error is in the split only</w:t>
            </w:r>
          </w:p>
        </w:tc>
      </w:tr>
    </w:tbl>
    <w:p/>
    <w:p>
      <w:pPr>
        <w:pStyle w:val="Heading1"/>
      </w:pPr>
      <w:r>
        <w:t>4. Corrected Key Dates (assuming Closing on May 15, 2025)</w:t>
      </w:r>
    </w:p>
    <w:tbl>
      <w:tblPr>
        <w:tblStyle w:val="TableGrid"/>
        <w:tblW w:type="auto" w:w="0"/>
        <w:jc w:val="center"/>
        <w:tblLayout w:type="fixed"/>
        <w:tblLook w:firstColumn="1" w:firstRow="1" w:lastColumn="0" w:lastRow="0" w:noHBand="0" w:noVBand="1" w:val="04A0"/>
      </w:tblPr>
      <w:tblGrid>
        <w:gridCol w:w="3600"/>
        <w:gridCol w:w="2880"/>
        <w:gridCol w:w="3456"/>
        <w:gridCol w:w="2015"/>
        <w:gridCol w:w="1728"/>
      </w:tblGrid>
      <w:tr>
        <w:trPr>
          <w:tblHeader w:val="true"/>
        </w:trPr>
        <w:tc>
          <w:tcPr>
            <w:tcW w:type="dxa" w:w="3600"/>
            <w:shd w:val="clear" w:color="auto" w:fill="1F3A5F"/>
          </w:tcPr>
          <w:p>
            <w:pPr>
              <w:spacing w:after="0"/>
            </w:pPr>
            <w:r/>
            <w:r>
              <w:rPr>
                <w:b/>
                <w:color w:val="FFFFFF"/>
                <w:sz w:val="18"/>
              </w:rPr>
              <w:t>Event</w:t>
            </w:r>
          </w:p>
        </w:tc>
        <w:tc>
          <w:tcPr>
            <w:tcW w:type="dxa" w:w="2880"/>
            <w:shd w:val="clear" w:color="auto" w:fill="1F3A5F"/>
          </w:tcPr>
          <w:p>
            <w:pPr>
              <w:spacing w:after="0"/>
            </w:pPr>
            <w:r/>
            <w:r>
              <w:rPr>
                <w:b/>
                <w:color w:val="FFFFFF"/>
                <w:sz w:val="18"/>
              </w:rPr>
              <w:t>Checklist</w:t>
            </w:r>
          </w:p>
        </w:tc>
        <w:tc>
          <w:tcPr>
            <w:tcW w:type="dxa" w:w="3456"/>
            <w:shd w:val="clear" w:color="auto" w:fill="1F3A5F"/>
          </w:tcPr>
          <w:p>
            <w:pPr>
              <w:spacing w:after="0"/>
            </w:pPr>
            <w:r/>
            <w:r>
              <w:rPr>
                <w:b/>
                <w:color w:val="FFFFFF"/>
                <w:sz w:val="18"/>
              </w:rPr>
              <w:t>Per APA</w:t>
            </w:r>
          </w:p>
        </w:tc>
        <w:tc>
          <w:tcPr>
            <w:tcW w:type="dxa" w:w="2016"/>
            <w:shd w:val="clear" w:color="auto" w:fill="1F3A5F"/>
          </w:tcPr>
          <w:p>
            <w:pPr>
              <w:spacing w:after="0"/>
            </w:pPr>
            <w:r/>
            <w:r>
              <w:rPr>
                <w:b/>
                <w:color w:val="FFFFFF"/>
                <w:sz w:val="18"/>
              </w:rPr>
              <w:t>APA Reference</w:t>
            </w:r>
          </w:p>
        </w:tc>
        <w:tc>
          <w:tcPr>
            <w:tcW w:type="dxa" w:w="1728"/>
            <w:shd w:val="clear" w:color="auto" w:fill="1F3A5F"/>
          </w:tcPr>
          <w:p>
            <w:pPr>
              <w:spacing w:after="0"/>
            </w:pPr>
            <w:r/>
            <w:r>
              <w:rPr>
                <w:b/>
                <w:color w:val="FFFFFF"/>
                <w:sz w:val="18"/>
              </w:rPr>
              <w:t>Action</w:t>
            </w:r>
          </w:p>
        </w:tc>
      </w:tr>
      <w:tr>
        <w:tc>
          <w:tcPr>
            <w:tcW w:type="dxa" w:w="3600"/>
          </w:tcPr>
          <w:p>
            <w:pPr>
              <w:spacing w:after="0"/>
            </w:pPr>
            <w:r/>
            <w:r>
              <w:rPr>
                <w:b/>
                <w:sz w:val="17"/>
              </w:rPr>
              <w:t>APA Execution Date</w:t>
            </w:r>
          </w:p>
        </w:tc>
        <w:tc>
          <w:tcPr>
            <w:tcW w:type="dxa" w:w="2880"/>
          </w:tcPr>
          <w:p>
            <w:pPr>
              <w:spacing w:after="0"/>
            </w:pPr>
            <w:r/>
            <w:r>
              <w:rPr>
                <w:b w:val="0"/>
                <w:sz w:val="17"/>
              </w:rPr>
              <w:t>March 14, 2025</w:t>
            </w:r>
          </w:p>
        </w:tc>
        <w:tc>
          <w:tcPr>
            <w:tcW w:type="dxa" w:w="3456"/>
          </w:tcPr>
          <w:p>
            <w:pPr>
              <w:spacing w:after="0"/>
            </w:pPr>
            <w:r/>
            <w:r>
              <w:rPr>
                <w:b w:val="0"/>
                <w:sz w:val="17"/>
              </w:rPr>
              <w:t>March 14, 2025</w:t>
            </w:r>
          </w:p>
        </w:tc>
        <w:tc>
          <w:tcPr>
            <w:tcW w:type="dxa" w:w="2016"/>
          </w:tcPr>
          <w:p>
            <w:pPr>
              <w:spacing w:after="0"/>
            </w:pPr>
            <w:r/>
            <w:r>
              <w:rPr>
                <w:b w:val="0"/>
                <w:sz w:val="17"/>
              </w:rPr>
              <w:t>Preamble</w:t>
            </w:r>
          </w:p>
        </w:tc>
        <w:tc>
          <w:tcPr>
            <w:tcW w:type="dxa" w:w="1728"/>
          </w:tcPr>
          <w:p>
            <w:pPr>
              <w:spacing w:after="0"/>
            </w:pPr>
            <w:r/>
            <w:r>
              <w:rPr>
                <w:b w:val="0"/>
                <w:sz w:val="17"/>
              </w:rPr>
              <w:t>Consistent</w:t>
            </w:r>
          </w:p>
        </w:tc>
      </w:tr>
      <w:tr>
        <w:tc>
          <w:tcPr>
            <w:tcW w:type="dxa" w:w="3600"/>
          </w:tcPr>
          <w:p>
            <w:pPr>
              <w:spacing w:after="0"/>
            </w:pPr>
            <w:r/>
            <w:r>
              <w:rPr>
                <w:b/>
                <w:sz w:val="17"/>
              </w:rPr>
              <w:t>HSR filing (due within 7 Business Days, i.e., by March 25, 2025)</w:t>
            </w:r>
          </w:p>
        </w:tc>
        <w:tc>
          <w:tcPr>
            <w:tcW w:type="dxa" w:w="2880"/>
          </w:tcPr>
          <w:p>
            <w:pPr>
              <w:spacing w:after="0"/>
            </w:pPr>
            <w:r/>
            <w:r>
              <w:rPr>
                <w:b w:val="0"/>
                <w:sz w:val="17"/>
              </w:rPr>
              <w:t>March 21, 2025</w:t>
            </w:r>
          </w:p>
        </w:tc>
        <w:tc>
          <w:tcPr>
            <w:tcW w:type="dxa" w:w="3456"/>
          </w:tcPr>
          <w:p>
            <w:pPr>
              <w:spacing w:after="0"/>
            </w:pPr>
            <w:r/>
            <w:r>
              <w:rPr>
                <w:b w:val="0"/>
                <w:sz w:val="17"/>
              </w:rPr>
              <w:t>March 21, 2025</w:t>
            </w:r>
          </w:p>
        </w:tc>
        <w:tc>
          <w:tcPr>
            <w:tcW w:type="dxa" w:w="2016"/>
          </w:tcPr>
          <w:p>
            <w:pPr>
              <w:spacing w:after="0"/>
            </w:pPr>
            <w:r/>
            <w:r>
              <w:rPr>
                <w:b w:val="0"/>
                <w:sz w:val="17"/>
              </w:rPr>
              <w:t>Sec. 6.3</w:t>
            </w:r>
          </w:p>
        </w:tc>
        <w:tc>
          <w:tcPr>
            <w:tcW w:type="dxa" w:w="1728"/>
          </w:tcPr>
          <w:p>
            <w:pPr>
              <w:spacing w:after="0"/>
            </w:pPr>
            <w:r/>
            <w:r>
              <w:rPr>
                <w:b w:val="0"/>
                <w:sz w:val="17"/>
              </w:rPr>
              <w:t>Consistent; timely</w:t>
            </w:r>
          </w:p>
        </w:tc>
      </w:tr>
      <w:tr>
        <w:tc>
          <w:tcPr>
            <w:tcW w:type="dxa" w:w="3600"/>
          </w:tcPr>
          <w:p>
            <w:pPr>
              <w:spacing w:after="0"/>
            </w:pPr>
            <w:r/>
            <w:r>
              <w:rPr>
                <w:b/>
                <w:sz w:val="17"/>
              </w:rPr>
              <w:t>HSR early termination</w:t>
            </w:r>
          </w:p>
        </w:tc>
        <w:tc>
          <w:tcPr>
            <w:tcW w:type="dxa" w:w="2880"/>
          </w:tcPr>
          <w:p>
            <w:pPr>
              <w:spacing w:after="0"/>
            </w:pPr>
            <w:r/>
            <w:r>
              <w:rPr>
                <w:b w:val="0"/>
                <w:sz w:val="17"/>
              </w:rPr>
              <w:t>April 8, 2025</w:t>
            </w:r>
          </w:p>
        </w:tc>
        <w:tc>
          <w:tcPr>
            <w:tcW w:type="dxa" w:w="3456"/>
          </w:tcPr>
          <w:p>
            <w:pPr>
              <w:spacing w:after="0"/>
            </w:pPr>
            <w:r/>
            <w:r>
              <w:rPr>
                <w:b w:val="0"/>
                <w:sz w:val="17"/>
              </w:rPr>
              <w:t>April 8, 2025</w:t>
            </w:r>
          </w:p>
        </w:tc>
        <w:tc>
          <w:tcPr>
            <w:tcW w:type="dxa" w:w="2016"/>
          </w:tcPr>
          <w:p>
            <w:pPr>
              <w:spacing w:after="0"/>
            </w:pPr>
            <w:r/>
            <w:r>
              <w:rPr>
                <w:b w:val="0"/>
                <w:sz w:val="17"/>
              </w:rPr>
              <w:t>Sec. 6.3</w:t>
            </w:r>
          </w:p>
        </w:tc>
        <w:tc>
          <w:tcPr>
            <w:tcW w:type="dxa" w:w="1728"/>
          </w:tcPr>
          <w:p>
            <w:pPr>
              <w:spacing w:after="0"/>
            </w:pPr>
            <w:r/>
            <w:r>
              <w:rPr>
                <w:b w:val="0"/>
                <w:sz w:val="17"/>
              </w:rPr>
              <w:t>Consistent</w:t>
            </w:r>
          </w:p>
        </w:tc>
      </w:tr>
      <w:tr>
        <w:tc>
          <w:tcPr>
            <w:tcW w:type="dxa" w:w="3600"/>
          </w:tcPr>
          <w:p>
            <w:pPr>
              <w:spacing w:after="0"/>
            </w:pPr>
            <w:r/>
            <w:r>
              <w:rPr>
                <w:b/>
                <w:sz w:val="17"/>
              </w:rPr>
              <w:t>Buyer offers of employment to at least 108 employees</w:t>
            </w:r>
          </w:p>
        </w:tc>
        <w:tc>
          <w:tcPr>
            <w:tcW w:type="dxa" w:w="2880"/>
          </w:tcPr>
          <w:p>
            <w:pPr>
              <w:spacing w:after="0"/>
            </w:pPr>
            <w:r/>
            <w:r>
              <w:rPr>
                <w:b w:val="0"/>
                <w:sz w:val="17"/>
              </w:rPr>
              <w:t>~May 1, 2025 (10 business days before)</w:t>
            </w:r>
          </w:p>
        </w:tc>
        <w:tc>
          <w:tcPr>
            <w:tcW w:type="dxa" w:w="3456"/>
          </w:tcPr>
          <w:p>
            <w:pPr>
              <w:spacing w:after="0"/>
            </w:pPr>
            <w:r/>
            <w:r>
              <w:rPr>
                <w:b w:val="0"/>
                <w:sz w:val="17"/>
              </w:rPr>
              <w:t>April 30, 2025 (15 days before Closing)</w:t>
            </w:r>
          </w:p>
        </w:tc>
        <w:tc>
          <w:tcPr>
            <w:tcW w:type="dxa" w:w="2016"/>
          </w:tcPr>
          <w:p>
            <w:pPr>
              <w:spacing w:after="0"/>
            </w:pPr>
            <w:r/>
            <w:r>
              <w:rPr>
                <w:b w:val="0"/>
                <w:sz w:val="17"/>
              </w:rPr>
              <w:t>Sec. 6.8(a)</w:t>
            </w:r>
          </w:p>
        </w:tc>
        <w:tc>
          <w:tcPr>
            <w:tcW w:type="dxa" w:w="1728"/>
          </w:tcPr>
          <w:p>
            <w:pPr>
              <w:spacing w:after="0"/>
            </w:pPr>
            <w:r/>
            <w:r>
              <w:rPr>
                <w:b w:val="0"/>
                <w:sz w:val="17"/>
              </w:rPr>
              <w:t>CORRECT - urgent</w:t>
            </w:r>
          </w:p>
        </w:tc>
      </w:tr>
      <w:tr>
        <w:tc>
          <w:tcPr>
            <w:tcW w:type="dxa" w:w="3600"/>
          </w:tcPr>
          <w:p>
            <w:pPr>
              <w:spacing w:after="0"/>
            </w:pPr>
            <w:r/>
            <w:r>
              <w:rPr>
                <w:b/>
                <w:sz w:val="17"/>
              </w:rPr>
              <w:t>Good standing certificates (OR and WA) dated on or after</w:t>
            </w:r>
          </w:p>
        </w:tc>
        <w:tc>
          <w:tcPr>
            <w:tcW w:type="dxa" w:w="2880"/>
          </w:tcPr>
          <w:p>
            <w:pPr>
              <w:spacing w:after="0"/>
            </w:pPr>
            <w:r/>
            <w:r>
              <w:rPr>
                <w:b w:val="0"/>
                <w:sz w:val="17"/>
              </w:rPr>
              <w:t>10 business days before Scheduled Closing (OR only)</w:t>
            </w:r>
          </w:p>
        </w:tc>
        <w:tc>
          <w:tcPr>
            <w:tcW w:type="dxa" w:w="3456"/>
          </w:tcPr>
          <w:p>
            <w:pPr>
              <w:spacing w:after="0"/>
            </w:pPr>
            <w:r/>
            <w:r>
              <w:rPr>
                <w:b w:val="0"/>
                <w:sz w:val="17"/>
              </w:rPr>
              <w:t>May 1, 2025 (within 10 Business Days of Closing)</w:t>
            </w:r>
          </w:p>
        </w:tc>
        <w:tc>
          <w:tcPr>
            <w:tcW w:type="dxa" w:w="2016"/>
          </w:tcPr>
          <w:p>
            <w:pPr>
              <w:spacing w:after="0"/>
            </w:pPr>
            <w:r/>
            <w:r>
              <w:rPr>
                <w:b w:val="0"/>
                <w:sz w:val="17"/>
              </w:rPr>
              <w:t>Secs. 8.1(h), 8.2(g)</w:t>
            </w:r>
          </w:p>
        </w:tc>
        <w:tc>
          <w:tcPr>
            <w:tcW w:type="dxa" w:w="1728"/>
          </w:tcPr>
          <w:p>
            <w:pPr>
              <w:spacing w:after="0"/>
            </w:pPr>
            <w:r/>
            <w:r>
              <w:rPr>
                <w:b w:val="0"/>
                <w:sz w:val="17"/>
              </w:rPr>
              <w:t>Add Washington</w:t>
            </w:r>
          </w:p>
        </w:tc>
      </w:tr>
      <w:tr>
        <w:tc>
          <w:tcPr>
            <w:tcW w:type="dxa" w:w="3600"/>
          </w:tcPr>
          <w:p>
            <w:pPr>
              <w:spacing w:after="0"/>
            </w:pPr>
            <w:r/>
            <w:r>
              <w:rPr>
                <w:b/>
                <w:sz w:val="17"/>
              </w:rPr>
              <w:t>Estimated Closing Statement delivered by Seller</w:t>
            </w:r>
          </w:p>
        </w:tc>
        <w:tc>
          <w:tcPr>
            <w:tcW w:type="dxa" w:w="2880"/>
          </w:tcPr>
          <w:p>
            <w:pPr>
              <w:spacing w:after="0"/>
            </w:pPr>
            <w:r/>
            <w:r>
              <w:rPr>
                <w:b w:val="0"/>
                <w:sz w:val="17"/>
              </w:rPr>
              <w:t>3 business days before Closing (no date)</w:t>
            </w:r>
          </w:p>
        </w:tc>
        <w:tc>
          <w:tcPr>
            <w:tcW w:type="dxa" w:w="3456"/>
          </w:tcPr>
          <w:p>
            <w:pPr>
              <w:spacing w:after="0"/>
            </w:pPr>
            <w:r/>
            <w:r>
              <w:rPr>
                <w:b w:val="0"/>
                <w:sz w:val="17"/>
              </w:rPr>
              <w:t>May 12, 2025</w:t>
            </w:r>
          </w:p>
        </w:tc>
        <w:tc>
          <w:tcPr>
            <w:tcW w:type="dxa" w:w="2016"/>
          </w:tcPr>
          <w:p>
            <w:pPr>
              <w:spacing w:after="0"/>
            </w:pPr>
            <w:r/>
            <w:r>
              <w:rPr>
                <w:b w:val="0"/>
                <w:sz w:val="17"/>
              </w:rPr>
              <w:t>Sec. 2.6(a)</w:t>
            </w:r>
          </w:p>
        </w:tc>
        <w:tc>
          <w:tcPr>
            <w:tcW w:type="dxa" w:w="1728"/>
          </w:tcPr>
          <w:p>
            <w:pPr>
              <w:spacing w:after="0"/>
            </w:pPr>
            <w:r/>
            <w:r>
              <w:rPr>
                <w:b w:val="0"/>
                <w:sz w:val="17"/>
              </w:rPr>
              <w:t>Add date</w:t>
            </w:r>
          </w:p>
        </w:tc>
      </w:tr>
      <w:tr>
        <w:tc>
          <w:tcPr>
            <w:tcW w:type="dxa" w:w="3600"/>
          </w:tcPr>
          <w:p>
            <w:pPr>
              <w:spacing w:after="0"/>
            </w:pPr>
            <w:r/>
            <w:r>
              <w:rPr>
                <w:b/>
                <w:sz w:val="17"/>
              </w:rPr>
              <w:t>Seller written wire account designation</w:t>
            </w:r>
          </w:p>
        </w:tc>
        <w:tc>
          <w:tcPr>
            <w:tcW w:type="dxa" w:w="2880"/>
          </w:tcPr>
          <w:p>
            <w:pPr>
              <w:spacing w:after="0"/>
            </w:pPr>
            <w:r/>
            <w:r>
              <w:rPr>
                <w:b w:val="0"/>
                <w:sz w:val="17"/>
              </w:rPr>
              <w:t>Not tracked</w:t>
            </w:r>
          </w:p>
        </w:tc>
        <w:tc>
          <w:tcPr>
            <w:tcW w:type="dxa" w:w="3456"/>
          </w:tcPr>
          <w:p>
            <w:pPr>
              <w:spacing w:after="0"/>
            </w:pPr>
            <w:r/>
            <w:r>
              <w:rPr>
                <w:b w:val="0"/>
                <w:sz w:val="17"/>
              </w:rPr>
              <w:t>May 13, 2025 (2 Business Days before)</w:t>
            </w:r>
          </w:p>
        </w:tc>
        <w:tc>
          <w:tcPr>
            <w:tcW w:type="dxa" w:w="2016"/>
          </w:tcPr>
          <w:p>
            <w:pPr>
              <w:spacing w:after="0"/>
            </w:pPr>
            <w:r/>
            <w:r>
              <w:rPr>
                <w:b w:val="0"/>
                <w:sz w:val="17"/>
              </w:rPr>
              <w:t>Secs. 2.5(b)(i), 8.2(a)</w:t>
            </w:r>
          </w:p>
        </w:tc>
        <w:tc>
          <w:tcPr>
            <w:tcW w:type="dxa" w:w="1728"/>
          </w:tcPr>
          <w:p>
            <w:pPr>
              <w:spacing w:after="0"/>
            </w:pPr>
            <w:r/>
            <w:r>
              <w:rPr>
                <w:b w:val="0"/>
                <w:sz w:val="17"/>
              </w:rPr>
              <w:t>Add item</w:t>
            </w:r>
          </w:p>
        </w:tc>
      </w:tr>
      <w:tr>
        <w:tc>
          <w:tcPr>
            <w:tcW w:type="dxa" w:w="3600"/>
          </w:tcPr>
          <w:p>
            <w:pPr>
              <w:spacing w:after="0"/>
            </w:pPr>
            <w:r/>
            <w:r>
              <w:rPr>
                <w:b/>
                <w:sz w:val="17"/>
              </w:rPr>
              <w:t>Scheduled Closing Date</w:t>
            </w:r>
          </w:p>
        </w:tc>
        <w:tc>
          <w:tcPr>
            <w:tcW w:type="dxa" w:w="2880"/>
          </w:tcPr>
          <w:p>
            <w:pPr>
              <w:spacing w:after="0"/>
            </w:pPr>
            <w:r/>
            <w:r>
              <w:rPr>
                <w:b w:val="0"/>
                <w:sz w:val="17"/>
              </w:rPr>
              <w:t>May 15, 2025</w:t>
            </w:r>
          </w:p>
        </w:tc>
        <w:tc>
          <w:tcPr>
            <w:tcW w:type="dxa" w:w="3456"/>
          </w:tcPr>
          <w:p>
            <w:pPr>
              <w:spacing w:after="0"/>
            </w:pPr>
            <w:r/>
            <w:r>
              <w:rPr>
                <w:b w:val="0"/>
                <w:sz w:val="17"/>
              </w:rPr>
              <w:t>May 15, 2025</w:t>
            </w:r>
          </w:p>
        </w:tc>
        <w:tc>
          <w:tcPr>
            <w:tcW w:type="dxa" w:w="2016"/>
          </w:tcPr>
          <w:p>
            <w:pPr>
              <w:spacing w:after="0"/>
            </w:pPr>
            <w:r/>
            <w:r>
              <w:rPr>
                <w:b w:val="0"/>
                <w:sz w:val="17"/>
              </w:rPr>
              <w:t>Sec. 3.1</w:t>
            </w:r>
          </w:p>
        </w:tc>
        <w:tc>
          <w:tcPr>
            <w:tcW w:type="dxa" w:w="1728"/>
          </w:tcPr>
          <w:p>
            <w:pPr>
              <w:spacing w:after="0"/>
            </w:pPr>
            <w:r/>
            <w:r>
              <w:rPr>
                <w:b w:val="0"/>
                <w:sz w:val="17"/>
              </w:rPr>
              <w:t>Consistent</w:t>
            </w:r>
          </w:p>
        </w:tc>
      </w:tr>
      <w:tr>
        <w:tc>
          <w:tcPr>
            <w:tcW w:type="dxa" w:w="3600"/>
          </w:tcPr>
          <w:p>
            <w:pPr>
              <w:spacing w:after="0"/>
            </w:pPr>
            <w:r/>
            <w:r>
              <w:rPr>
                <w:b/>
                <w:sz w:val="17"/>
              </w:rPr>
              <w:t>Proposed Final Closing Statement (Buyer)</w:t>
            </w:r>
          </w:p>
        </w:tc>
        <w:tc>
          <w:tcPr>
            <w:tcW w:type="dxa" w:w="2880"/>
          </w:tcPr>
          <w:p>
            <w:pPr>
              <w:spacing w:after="0"/>
            </w:pPr>
            <w:r/>
            <w:r>
              <w:rPr>
                <w:b w:val="0"/>
                <w:sz w:val="17"/>
              </w:rPr>
              <w:t>August 13, 2025 (90 days)</w:t>
            </w:r>
          </w:p>
        </w:tc>
        <w:tc>
          <w:tcPr>
            <w:tcW w:type="dxa" w:w="3456"/>
          </w:tcPr>
          <w:p>
            <w:pPr>
              <w:spacing w:after="0"/>
            </w:pPr>
            <w:r/>
            <w:r>
              <w:rPr>
                <w:b w:val="0"/>
                <w:sz w:val="17"/>
              </w:rPr>
              <w:t>July 14, 2025 (60 days)</w:t>
            </w:r>
          </w:p>
        </w:tc>
        <w:tc>
          <w:tcPr>
            <w:tcW w:type="dxa" w:w="2016"/>
          </w:tcPr>
          <w:p>
            <w:pPr>
              <w:spacing w:after="0"/>
            </w:pPr>
            <w:r/>
            <w:r>
              <w:rPr>
                <w:b w:val="0"/>
                <w:sz w:val="17"/>
              </w:rPr>
              <w:t>Sec. 2.6(b)</w:t>
            </w:r>
          </w:p>
        </w:tc>
        <w:tc>
          <w:tcPr>
            <w:tcW w:type="dxa" w:w="1728"/>
          </w:tcPr>
          <w:p>
            <w:pPr>
              <w:spacing w:after="0"/>
            </w:pPr>
            <w:r/>
            <w:r>
              <w:rPr>
                <w:b w:val="0"/>
                <w:sz w:val="17"/>
              </w:rPr>
              <w:t>CORRECT</w:t>
            </w:r>
          </w:p>
        </w:tc>
      </w:tr>
      <w:tr>
        <w:tc>
          <w:tcPr>
            <w:tcW w:type="dxa" w:w="3600"/>
          </w:tcPr>
          <w:p>
            <w:pPr>
              <w:spacing w:after="0"/>
            </w:pPr>
            <w:r/>
            <w:r>
              <w:rPr>
                <w:b/>
                <w:sz w:val="17"/>
              </w:rPr>
              <w:t>Outside Date</w:t>
            </w:r>
          </w:p>
        </w:tc>
        <w:tc>
          <w:tcPr>
            <w:tcW w:type="dxa" w:w="2880"/>
          </w:tcPr>
          <w:p>
            <w:pPr>
              <w:spacing w:after="0"/>
            </w:pPr>
            <w:r/>
            <w:r>
              <w:rPr>
                <w:b w:val="0"/>
                <w:sz w:val="17"/>
              </w:rPr>
              <w:t>July 14, 2025 (Sec. 9.1(b))</w:t>
            </w:r>
          </w:p>
        </w:tc>
        <w:tc>
          <w:tcPr>
            <w:tcW w:type="dxa" w:w="3456"/>
          </w:tcPr>
          <w:p>
            <w:pPr>
              <w:spacing w:after="0"/>
            </w:pPr>
            <w:r/>
            <w:r>
              <w:rPr>
                <w:b w:val="0"/>
                <w:sz w:val="17"/>
              </w:rPr>
              <w:t>August 14, 2025</w:t>
            </w:r>
          </w:p>
        </w:tc>
        <w:tc>
          <w:tcPr>
            <w:tcW w:type="dxa" w:w="2016"/>
          </w:tcPr>
          <w:p>
            <w:pPr>
              <w:spacing w:after="0"/>
            </w:pPr>
            <w:r/>
            <w:r>
              <w:rPr>
                <w:b w:val="0"/>
                <w:sz w:val="17"/>
              </w:rPr>
              <w:t>Sec. 10.1(b)</w:t>
            </w:r>
          </w:p>
        </w:tc>
        <w:tc>
          <w:tcPr>
            <w:tcW w:type="dxa" w:w="1728"/>
          </w:tcPr>
          <w:p>
            <w:pPr>
              <w:spacing w:after="0"/>
            </w:pPr>
            <w:r/>
            <w:r>
              <w:rPr>
                <w:b w:val="0"/>
                <w:sz w:val="17"/>
              </w:rPr>
              <w:t>CORRECT</w:t>
            </w:r>
          </w:p>
        </w:tc>
      </w:tr>
      <w:tr>
        <w:tc>
          <w:tcPr>
            <w:tcW w:type="dxa" w:w="3600"/>
          </w:tcPr>
          <w:p>
            <w:pPr>
              <w:spacing w:after="0"/>
            </w:pPr>
            <w:r/>
            <w:r>
              <w:rPr>
                <w:b/>
                <w:sz w:val="17"/>
              </w:rPr>
              <w:t>Holdback release / adjustment payment</w:t>
            </w:r>
          </w:p>
        </w:tc>
        <w:tc>
          <w:tcPr>
            <w:tcW w:type="dxa" w:w="2880"/>
          </w:tcPr>
          <w:p>
            <w:pPr>
              <w:spacing w:after="0"/>
            </w:pPr>
            <w:r/>
            <w:r>
              <w:rPr>
                <w:b w:val="0"/>
                <w:sz w:val="17"/>
              </w:rPr>
              <w:t>90 days after final determination</w:t>
            </w:r>
          </w:p>
        </w:tc>
        <w:tc>
          <w:tcPr>
            <w:tcW w:type="dxa" w:w="3456"/>
          </w:tcPr>
          <w:p>
            <w:pPr>
              <w:spacing w:after="0"/>
            </w:pPr>
            <w:r/>
            <w:r>
              <w:rPr>
                <w:b w:val="0"/>
                <w:sz w:val="17"/>
              </w:rPr>
              <w:t>5 Business Days after final determination (Sec. 2.6(e)); 90 days (Sec. 2.5(b)(iii))</w:t>
            </w:r>
          </w:p>
        </w:tc>
        <w:tc>
          <w:tcPr>
            <w:tcW w:type="dxa" w:w="2016"/>
          </w:tcPr>
          <w:p>
            <w:pPr>
              <w:spacing w:after="0"/>
            </w:pPr>
            <w:r/>
            <w:r>
              <w:rPr>
                <w:b w:val="0"/>
                <w:sz w:val="17"/>
              </w:rPr>
              <w:t>Secs. 2.5(b)(iii), 2.6(e)</w:t>
            </w:r>
          </w:p>
        </w:tc>
        <w:tc>
          <w:tcPr>
            <w:tcW w:type="dxa" w:w="1728"/>
          </w:tcPr>
          <w:p>
            <w:pPr>
              <w:spacing w:after="0"/>
            </w:pPr>
            <w:r/>
            <w:r>
              <w:rPr>
                <w:b w:val="0"/>
                <w:sz w:val="17"/>
              </w:rPr>
              <w:t>APA inconsistent - docket 5 BD</w:t>
            </w:r>
          </w:p>
        </w:tc>
      </w:tr>
      <w:tr>
        <w:tc>
          <w:tcPr>
            <w:tcW w:type="dxa" w:w="3600"/>
          </w:tcPr>
          <w:p>
            <w:pPr>
              <w:spacing w:after="0"/>
            </w:pPr>
            <w:r/>
            <w:r>
              <w:rPr>
                <w:b/>
                <w:sz w:val="17"/>
              </w:rPr>
              <w:t>Purchase price Allocation (Buyer)</w:t>
            </w:r>
          </w:p>
        </w:tc>
        <w:tc>
          <w:tcPr>
            <w:tcW w:type="dxa" w:w="2880"/>
          </w:tcPr>
          <w:p>
            <w:pPr>
              <w:spacing w:after="0"/>
            </w:pPr>
            <w:r/>
            <w:r>
              <w:rPr>
                <w:b w:val="0"/>
                <w:sz w:val="17"/>
              </w:rPr>
              <w:t>Not tracked</w:t>
            </w:r>
          </w:p>
        </w:tc>
        <w:tc>
          <w:tcPr>
            <w:tcW w:type="dxa" w:w="3456"/>
          </w:tcPr>
          <w:p>
            <w:pPr>
              <w:spacing w:after="0"/>
            </w:pPr>
            <w:r/>
            <w:r>
              <w:rPr>
                <w:b w:val="0"/>
                <w:sz w:val="17"/>
              </w:rPr>
              <w:t>90 days after final determination</w:t>
            </w:r>
          </w:p>
        </w:tc>
        <w:tc>
          <w:tcPr>
            <w:tcW w:type="dxa" w:w="2016"/>
          </w:tcPr>
          <w:p>
            <w:pPr>
              <w:spacing w:after="0"/>
            </w:pPr>
            <w:r/>
            <w:r>
              <w:rPr>
                <w:b w:val="0"/>
                <w:sz w:val="17"/>
              </w:rPr>
              <w:t>Sec. 6.7(b)</w:t>
            </w:r>
          </w:p>
        </w:tc>
        <w:tc>
          <w:tcPr>
            <w:tcW w:type="dxa" w:w="1728"/>
          </w:tcPr>
          <w:p>
            <w:pPr>
              <w:spacing w:after="0"/>
            </w:pPr>
            <w:r/>
            <w:r>
              <w:rPr>
                <w:b w:val="0"/>
                <w:sz w:val="17"/>
              </w:rPr>
              <w:t>Add item</w:t>
            </w:r>
          </w:p>
        </w:tc>
      </w:tr>
      <w:tr>
        <w:tc>
          <w:tcPr>
            <w:tcW w:type="dxa" w:w="3600"/>
          </w:tcPr>
          <w:p>
            <w:pPr>
              <w:spacing w:after="0"/>
            </w:pPr>
            <w:r/>
            <w:r>
              <w:rPr>
                <w:b/>
                <w:sz w:val="17"/>
              </w:rPr>
              <w:t>TSA expiration</w:t>
            </w:r>
          </w:p>
        </w:tc>
        <w:tc>
          <w:tcPr>
            <w:tcW w:type="dxa" w:w="2880"/>
          </w:tcPr>
          <w:p>
            <w:pPr>
              <w:spacing w:after="0"/>
            </w:pPr>
            <w:r/>
            <w:r>
              <w:rPr>
                <w:b w:val="0"/>
                <w:sz w:val="17"/>
              </w:rPr>
              <w:t>November 15, 2025</w:t>
            </w:r>
          </w:p>
        </w:tc>
        <w:tc>
          <w:tcPr>
            <w:tcW w:type="dxa" w:w="3456"/>
          </w:tcPr>
          <w:p>
            <w:pPr>
              <w:spacing w:after="0"/>
            </w:pPr>
            <w:r/>
            <w:r>
              <w:rPr>
                <w:b w:val="0"/>
                <w:sz w:val="17"/>
              </w:rPr>
              <w:t>November 15, 2025 (6 months)</w:t>
            </w:r>
          </w:p>
        </w:tc>
        <w:tc>
          <w:tcPr>
            <w:tcW w:type="dxa" w:w="2016"/>
          </w:tcPr>
          <w:p>
            <w:pPr>
              <w:spacing w:after="0"/>
            </w:pPr>
            <w:r/>
            <w:r>
              <w:rPr>
                <w:b w:val="0"/>
                <w:sz w:val="17"/>
              </w:rPr>
              <w:t>Sec. 8.1(d)</w:t>
            </w:r>
          </w:p>
        </w:tc>
        <w:tc>
          <w:tcPr>
            <w:tcW w:type="dxa" w:w="1728"/>
          </w:tcPr>
          <w:p>
            <w:pPr>
              <w:spacing w:after="0"/>
            </w:pPr>
            <w:r/>
            <w:r>
              <w:rPr>
                <w:b w:val="0"/>
                <w:sz w:val="17"/>
              </w:rPr>
              <w:t>Consistent</w:t>
            </w:r>
          </w:p>
        </w:tc>
      </w:tr>
      <w:tr>
        <w:tc>
          <w:tcPr>
            <w:tcW w:type="dxa" w:w="3600"/>
          </w:tcPr>
          <w:p>
            <w:pPr>
              <w:spacing w:after="0"/>
            </w:pPr>
            <w:r/>
            <w:r>
              <w:rPr>
                <w:b/>
                <w:sz w:val="17"/>
              </w:rPr>
              <w:t>Escrow Period expiration / release</w:t>
            </w:r>
          </w:p>
        </w:tc>
        <w:tc>
          <w:tcPr>
            <w:tcW w:type="dxa" w:w="2880"/>
          </w:tcPr>
          <w:p>
            <w:pPr>
              <w:spacing w:after="0"/>
            </w:pPr>
            <w:r/>
            <w:r>
              <w:rPr>
                <w:b w:val="0"/>
                <w:sz w:val="17"/>
              </w:rPr>
              <w:t>~May 15, 2027 (24 months)</w:t>
            </w:r>
          </w:p>
        </w:tc>
        <w:tc>
          <w:tcPr>
            <w:tcW w:type="dxa" w:w="3456"/>
          </w:tcPr>
          <w:p>
            <w:pPr>
              <w:spacing w:after="0"/>
            </w:pPr>
            <w:r/>
            <w:r>
              <w:rPr>
                <w:b w:val="0"/>
                <w:sz w:val="17"/>
              </w:rPr>
              <w:t>November 15, 2026 (18 months)</w:t>
            </w:r>
          </w:p>
        </w:tc>
        <w:tc>
          <w:tcPr>
            <w:tcW w:type="dxa" w:w="2016"/>
          </w:tcPr>
          <w:p>
            <w:pPr>
              <w:spacing w:after="0"/>
            </w:pPr>
            <w:r/>
            <w:r>
              <w:rPr>
                <w:b w:val="0"/>
                <w:sz w:val="17"/>
              </w:rPr>
              <w:t>Sec. 9.5</w:t>
            </w:r>
          </w:p>
        </w:tc>
        <w:tc>
          <w:tcPr>
            <w:tcW w:type="dxa" w:w="1728"/>
          </w:tcPr>
          <w:p>
            <w:pPr>
              <w:spacing w:after="0"/>
            </w:pPr>
            <w:r/>
            <w:r>
              <w:rPr>
                <w:b w:val="0"/>
                <w:sz w:val="17"/>
              </w:rPr>
              <w:t>CORRECT</w:t>
            </w:r>
          </w:p>
        </w:tc>
      </w:tr>
      <w:tr>
        <w:tc>
          <w:tcPr>
            <w:tcW w:type="dxa" w:w="3600"/>
          </w:tcPr>
          <w:p>
            <w:pPr>
              <w:spacing w:after="0"/>
            </w:pPr>
            <w:r/>
            <w:r>
              <w:rPr>
                <w:b/>
                <w:sz w:val="17"/>
              </w:rPr>
              <w:t>General Survival Period expiration</w:t>
            </w:r>
          </w:p>
        </w:tc>
        <w:tc>
          <w:tcPr>
            <w:tcW w:type="dxa" w:w="2880"/>
          </w:tcPr>
          <w:p>
            <w:pPr>
              <w:spacing w:after="0"/>
            </w:pPr>
            <w:r/>
            <w:r>
              <w:rPr>
                <w:b w:val="0"/>
                <w:sz w:val="17"/>
              </w:rPr>
              <w:t>November 15, 2026</w:t>
            </w:r>
          </w:p>
        </w:tc>
        <w:tc>
          <w:tcPr>
            <w:tcW w:type="dxa" w:w="3456"/>
          </w:tcPr>
          <w:p>
            <w:pPr>
              <w:spacing w:after="0"/>
            </w:pPr>
            <w:r/>
            <w:r>
              <w:rPr>
                <w:b w:val="0"/>
                <w:sz w:val="17"/>
              </w:rPr>
              <w:t>November 15, 2026 (18 months)</w:t>
            </w:r>
          </w:p>
        </w:tc>
        <w:tc>
          <w:tcPr>
            <w:tcW w:type="dxa" w:w="2016"/>
          </w:tcPr>
          <w:p>
            <w:pPr>
              <w:spacing w:after="0"/>
            </w:pPr>
            <w:r/>
            <w:r>
              <w:rPr>
                <w:b w:val="0"/>
                <w:sz w:val="17"/>
              </w:rPr>
              <w:t>Sec. 9.1(a)</w:t>
            </w:r>
          </w:p>
        </w:tc>
        <w:tc>
          <w:tcPr>
            <w:tcW w:type="dxa" w:w="1728"/>
          </w:tcPr>
          <w:p>
            <w:pPr>
              <w:spacing w:after="0"/>
            </w:pPr>
            <w:r/>
            <w:r>
              <w:rPr>
                <w:b w:val="0"/>
                <w:sz w:val="17"/>
              </w:rPr>
              <w:t>Consistent</w:t>
            </w:r>
          </w:p>
        </w:tc>
      </w:tr>
      <w:tr>
        <w:tc>
          <w:tcPr>
            <w:tcW w:type="dxa" w:w="3600"/>
          </w:tcPr>
          <w:p>
            <w:pPr>
              <w:spacing w:after="0"/>
            </w:pPr>
            <w:r/>
            <w:r>
              <w:rPr>
                <w:b/>
                <w:sz w:val="17"/>
              </w:rPr>
              <w:t>Fundamental Representations survival expiration</w:t>
            </w:r>
          </w:p>
        </w:tc>
        <w:tc>
          <w:tcPr>
            <w:tcW w:type="dxa" w:w="2880"/>
          </w:tcPr>
          <w:p>
            <w:pPr>
              <w:spacing w:after="0"/>
            </w:pPr>
            <w:r/>
            <w:r>
              <w:rPr>
                <w:b w:val="0"/>
                <w:sz w:val="17"/>
              </w:rPr>
              <w:t>May 15, 2028</w:t>
            </w:r>
          </w:p>
        </w:tc>
        <w:tc>
          <w:tcPr>
            <w:tcW w:type="dxa" w:w="3456"/>
          </w:tcPr>
          <w:p>
            <w:pPr>
              <w:spacing w:after="0"/>
            </w:pPr>
            <w:r/>
            <w:r>
              <w:rPr>
                <w:b w:val="0"/>
                <w:sz w:val="17"/>
              </w:rPr>
              <w:t>May 15, 2028 (36 months)</w:t>
            </w:r>
          </w:p>
        </w:tc>
        <w:tc>
          <w:tcPr>
            <w:tcW w:type="dxa" w:w="2016"/>
          </w:tcPr>
          <w:p>
            <w:pPr>
              <w:spacing w:after="0"/>
            </w:pPr>
            <w:r/>
            <w:r>
              <w:rPr>
                <w:b w:val="0"/>
                <w:sz w:val="17"/>
              </w:rPr>
              <w:t>Sec. 9.1(c)</w:t>
            </w:r>
          </w:p>
        </w:tc>
        <w:tc>
          <w:tcPr>
            <w:tcW w:type="dxa" w:w="1728"/>
          </w:tcPr>
          <w:p>
            <w:pPr>
              <w:spacing w:after="0"/>
            </w:pPr>
            <w:r/>
            <w:r>
              <w:rPr>
                <w:b w:val="0"/>
                <w:sz w:val="17"/>
              </w:rPr>
              <w:t>Consistent</w:t>
            </w:r>
          </w:p>
        </w:tc>
      </w:tr>
      <w:tr>
        <w:tc>
          <w:tcPr>
            <w:tcW w:type="dxa" w:w="3600"/>
          </w:tcPr>
          <w:p>
            <w:pPr>
              <w:spacing w:after="0"/>
            </w:pPr>
            <w:r/>
            <w:r>
              <w:rPr>
                <w:b/>
                <w:sz w:val="17"/>
              </w:rPr>
              <w:t>Tax representations survival</w:t>
            </w:r>
          </w:p>
        </w:tc>
        <w:tc>
          <w:tcPr>
            <w:tcW w:type="dxa" w:w="2880"/>
          </w:tcPr>
          <w:p>
            <w:pPr>
              <w:spacing w:after="0"/>
            </w:pPr>
            <w:r/>
            <w:r>
              <w:rPr>
                <w:b w:val="0"/>
                <w:sz w:val="17"/>
              </w:rPr>
              <w:t>SOL + 60 days</w:t>
            </w:r>
          </w:p>
        </w:tc>
        <w:tc>
          <w:tcPr>
            <w:tcW w:type="dxa" w:w="3456"/>
          </w:tcPr>
          <w:p>
            <w:pPr>
              <w:spacing w:after="0"/>
            </w:pPr>
            <w:r/>
            <w:r>
              <w:rPr>
                <w:b w:val="0"/>
                <w:sz w:val="17"/>
              </w:rPr>
              <w:t>SOL + 60 days (Sec. 9.1(b)) or 36 months (Sec. 9.1(c))</w:t>
            </w:r>
          </w:p>
        </w:tc>
        <w:tc>
          <w:tcPr>
            <w:tcW w:type="dxa" w:w="2016"/>
          </w:tcPr>
          <w:p>
            <w:pPr>
              <w:spacing w:after="0"/>
            </w:pPr>
            <w:r/>
            <w:r>
              <w:rPr>
                <w:b w:val="0"/>
                <w:sz w:val="17"/>
              </w:rPr>
              <w:t>Secs. 9.1(b)-(c)</w:t>
            </w:r>
          </w:p>
        </w:tc>
        <w:tc>
          <w:tcPr>
            <w:tcW w:type="dxa" w:w="1728"/>
          </w:tcPr>
          <w:p>
            <w:pPr>
              <w:spacing w:after="0"/>
            </w:pPr>
            <w:r/>
            <w:r>
              <w:rPr>
                <w:b w:val="0"/>
                <w:sz w:val="17"/>
              </w:rPr>
              <w:t>APA inconsistent - flag</w:t>
            </w:r>
          </w:p>
        </w:tc>
      </w:tr>
      <w:tr>
        <w:tc>
          <w:tcPr>
            <w:tcW w:type="dxa" w:w="3600"/>
          </w:tcPr>
          <w:p>
            <w:pPr>
              <w:spacing w:after="0"/>
            </w:pPr>
            <w:r/>
            <w:r>
              <w:rPr>
                <w:b/>
                <w:sz w:val="17"/>
              </w:rPr>
              <w:t>Non-compete expiration</w:t>
            </w:r>
          </w:p>
        </w:tc>
        <w:tc>
          <w:tcPr>
            <w:tcW w:type="dxa" w:w="2880"/>
          </w:tcPr>
          <w:p>
            <w:pPr>
              <w:spacing w:after="0"/>
            </w:pPr>
            <w:r/>
            <w:r>
              <w:rPr>
                <w:b w:val="0"/>
                <w:sz w:val="17"/>
              </w:rPr>
              <w:t>May 15, 2028 (3 years)</w:t>
            </w:r>
          </w:p>
        </w:tc>
        <w:tc>
          <w:tcPr>
            <w:tcW w:type="dxa" w:w="3456"/>
          </w:tcPr>
          <w:p>
            <w:pPr>
              <w:spacing w:after="0"/>
            </w:pPr>
            <w:r/>
            <w:r>
              <w:rPr>
                <w:b w:val="0"/>
                <w:sz w:val="17"/>
              </w:rPr>
              <w:t>May 15, 2029 (4 years)</w:t>
            </w:r>
          </w:p>
        </w:tc>
        <w:tc>
          <w:tcPr>
            <w:tcW w:type="dxa" w:w="2016"/>
          </w:tcPr>
          <w:p>
            <w:pPr>
              <w:spacing w:after="0"/>
            </w:pPr>
            <w:r/>
            <w:r>
              <w:rPr>
                <w:b w:val="0"/>
                <w:sz w:val="17"/>
              </w:rPr>
              <w:t>Sec. 8.1(e); Ex. E</w:t>
            </w:r>
          </w:p>
        </w:tc>
        <w:tc>
          <w:tcPr>
            <w:tcW w:type="dxa" w:w="1728"/>
          </w:tcPr>
          <w:p>
            <w:pPr>
              <w:spacing w:after="0"/>
            </w:pPr>
            <w:r/>
            <w:r>
              <w:rPr>
                <w:b w:val="0"/>
                <w:sz w:val="17"/>
              </w:rPr>
              <w:t>CORRECT</w:t>
            </w:r>
          </w:p>
        </w:tc>
      </w:tr>
    </w:tbl>
    <w:p/>
    <w:p>
      <w:pPr>
        <w:pStyle w:val="Heading1"/>
      </w:pPr>
      <w:r>
        <w:t>5. Detailed Deviation Report by Category</w:t>
      </w:r>
    </w:p>
    <w:p>
      <w:pPr>
        <w:spacing w:after="80"/>
      </w:pPr>
      <w:r>
        <w:rPr>
          <w:b w:val="0"/>
          <w:i/>
          <w:sz w:val="20"/>
        </w:rPr>
        <w:t>Findings are grouped by subject matter. Within each category the severity column is color-coded (Critical red; High orange; Medium yellow; Low green).</w:t>
      </w:r>
    </w:p>
    <w:p>
      <w:pPr>
        <w:pStyle w:val="Heading2"/>
      </w:pPr>
      <w:r>
        <w:t>A. Purchase Price, Closing Payments and Funds Flow</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A-1</w:t>
            </w:r>
          </w:p>
        </w:tc>
        <w:tc>
          <w:tcPr>
            <w:tcW w:type="dxa" w:w="1512"/>
          </w:tcPr>
          <w:p>
            <w:pPr>
              <w:spacing w:after="0"/>
            </w:pPr>
            <w:r/>
            <w:r>
              <w:rPr>
                <w:b w:val="0"/>
                <w:sz w:val="17"/>
              </w:rPr>
              <w:t>Sec. I (Closing Cash Payment); P-5(a); B-1(a)</w:t>
            </w:r>
          </w:p>
        </w:tc>
        <w:tc>
          <w:tcPr>
            <w:tcW w:type="dxa" w:w="2736"/>
          </w:tcPr>
          <w:p>
            <w:pPr>
              <w:spacing w:after="0"/>
            </w:pPr>
            <w:r/>
            <w:r>
              <w:rPr>
                <w:b w:val="0"/>
                <w:sz w:val="17"/>
              </w:rPr>
              <w:t>Closing Cash Payment of $78,500,000, computed as $87,500,000 less $5,500,000 Escrow less $3,500,000 Holdback.</w:t>
            </w:r>
          </w:p>
        </w:tc>
        <w:tc>
          <w:tcPr>
            <w:tcW w:type="dxa" w:w="3600"/>
          </w:tcPr>
          <w:p>
            <w:pPr>
              <w:spacing w:after="0"/>
            </w:pPr>
            <w:r/>
            <w:r>
              <w:rPr>
                <w:b w:val="0"/>
                <w:sz w:val="17"/>
              </w:rPr>
              <w:t>Closing Cash Payment is $78,750,000 ($87,500,000 - $5,250,000 - $3,500,000). Sec. 1.1 ("Closing Cash Payment"); Sec. 2.5(b)(i); Sec. 8.2(a).</w:t>
            </w:r>
          </w:p>
        </w:tc>
        <w:tc>
          <w:tcPr>
            <w:tcW w:type="dxa" w:w="1080"/>
            <w:shd w:val="clear" w:color="auto" w:fill="C00000"/>
          </w:tcPr>
          <w:p>
            <w:pPr>
              <w:spacing w:after="0"/>
              <w:jc w:val="center"/>
            </w:pPr>
            <w:r/>
            <w:r>
              <w:rPr>
                <w:b/>
                <w:color w:val="FFFFFF"/>
                <w:sz w:val="18"/>
              </w:rPr>
              <w:t>Critical</w:t>
            </w:r>
          </w:p>
        </w:tc>
        <w:tc>
          <w:tcPr>
            <w:tcW w:type="dxa" w:w="4248"/>
          </w:tcPr>
          <w:p>
            <w:pPr>
              <w:spacing w:after="0"/>
            </w:pPr>
            <w:r/>
            <w:r>
              <w:rPr>
                <w:b w:val="0"/>
                <w:sz w:val="17"/>
              </w:rPr>
              <w:t>Seller would be under-paid by $250,000 at Closing, which is a failure to deliver a Sec. 8.2(a) deliverable and a failure of the Sec. 7.2(c) condition to Seller’s obligation to close. Correct the Summary, P-5 and B-1, and rebuild the Funds Flow Memorandum at $78,750,000 (as adjusted under Sec. 2.6(a) if Estimated NWC falls outside the De Minimis Collar; see A-4).</w:t>
            </w:r>
          </w:p>
        </w:tc>
      </w:tr>
      <w:tr>
        <w:tc>
          <w:tcPr>
            <w:tcW w:type="dxa" w:w="648"/>
          </w:tcPr>
          <w:p>
            <w:pPr>
              <w:spacing w:after="0"/>
            </w:pPr>
            <w:r/>
            <w:r>
              <w:rPr>
                <w:b/>
                <w:sz w:val="17"/>
              </w:rPr>
              <w:t>A-2</w:t>
            </w:r>
          </w:p>
        </w:tc>
        <w:tc>
          <w:tcPr>
            <w:tcW w:type="dxa" w:w="1512"/>
          </w:tcPr>
          <w:p>
            <w:pPr>
              <w:spacing w:after="0"/>
            </w:pPr>
            <w:r/>
            <w:r>
              <w:rPr>
                <w:b w:val="0"/>
                <w:sz w:val="17"/>
              </w:rPr>
              <w:t>Sec. I (Escrow Amount); P-5(b); B-1(b); B-4; PC-3</w:t>
            </w:r>
          </w:p>
        </w:tc>
        <w:tc>
          <w:tcPr>
            <w:tcW w:type="dxa" w:w="2736"/>
          </w:tcPr>
          <w:p>
            <w:pPr>
              <w:spacing w:after="0"/>
            </w:pPr>
            <w:r/>
            <w:r>
              <w:rPr>
                <w:b w:val="0"/>
                <w:sz w:val="17"/>
              </w:rPr>
              <w:t>Escrow Amount of $5,500,000 ("approximately 6%") wired to Pinnacle Trust Company, N.A.</w:t>
            </w:r>
          </w:p>
        </w:tc>
        <w:tc>
          <w:tcPr>
            <w:tcW w:type="dxa" w:w="3600"/>
          </w:tcPr>
          <w:p>
            <w:pPr>
              <w:spacing w:after="0"/>
            </w:pPr>
            <w:r/>
            <w:r>
              <w:rPr>
                <w:b w:val="0"/>
                <w:sz w:val="17"/>
              </w:rPr>
              <w:t>Escrow Amount is $5,250,000, exactly 6% of the Purchase Price. Sec. 1.1 ("Escrow Amount"); Sec. 2.5(b)(ii); Sec. 8.2(b); Sec. 9.5; Exhibit F.</w:t>
            </w:r>
          </w:p>
        </w:tc>
        <w:tc>
          <w:tcPr>
            <w:tcW w:type="dxa" w:w="1080"/>
            <w:shd w:val="clear" w:color="auto" w:fill="C00000"/>
          </w:tcPr>
          <w:p>
            <w:pPr>
              <w:spacing w:after="0"/>
              <w:jc w:val="center"/>
            </w:pPr>
            <w:r/>
            <w:r>
              <w:rPr>
                <w:b/>
                <w:color w:val="FFFFFF"/>
                <w:sz w:val="18"/>
              </w:rPr>
              <w:t>Critical</w:t>
            </w:r>
          </w:p>
        </w:tc>
        <w:tc>
          <w:tcPr>
            <w:tcW w:type="dxa" w:w="4248"/>
          </w:tcPr>
          <w:p>
            <w:pPr>
              <w:spacing w:after="0"/>
            </w:pPr>
            <w:r/>
            <w:r>
              <w:rPr>
                <w:b w:val="0"/>
                <w:sz w:val="17"/>
              </w:rPr>
              <w:t>Over-funding the escrow by $250,000 (and under-paying Seller by the same amount) conflicts with Sec. 2.5(b) and the Exhibit F form. The aggregate wire ($84,000,000) happens to match the APA, so a total-only funds-flow tie-out will not catch the error. Correct every reference; confirm the amount in the Escrow Agreement execution draft and with Linda Garza (Pinnacle).</w:t>
            </w:r>
          </w:p>
        </w:tc>
      </w:tr>
      <w:tr>
        <w:tc>
          <w:tcPr>
            <w:tcW w:type="dxa" w:w="648"/>
          </w:tcPr>
          <w:p>
            <w:pPr>
              <w:spacing w:after="0"/>
            </w:pPr>
            <w:r/>
            <w:r>
              <w:rPr>
                <w:b/>
                <w:sz w:val="17"/>
              </w:rPr>
              <w:t>A-3</w:t>
            </w:r>
          </w:p>
        </w:tc>
        <w:tc>
          <w:tcPr>
            <w:tcW w:type="dxa" w:w="1512"/>
          </w:tcPr>
          <w:p>
            <w:pPr>
              <w:spacing w:after="0"/>
            </w:pPr>
            <w:r/>
            <w:r>
              <w:rPr>
                <w:b w:val="0"/>
                <w:sz w:val="17"/>
              </w:rPr>
              <w:t>Sec. I (Holdback Amount); PC-1</w:t>
            </w:r>
          </w:p>
        </w:tc>
        <w:tc>
          <w:tcPr>
            <w:tcW w:type="dxa" w:w="2736"/>
          </w:tcPr>
          <w:p>
            <w:pPr>
              <w:spacing w:after="0"/>
            </w:pPr>
            <w:r/>
            <w:r>
              <w:rPr>
                <w:b w:val="0"/>
                <w:sz w:val="17"/>
              </w:rPr>
              <w:t>Holdback of $3,500,000 described as "5% of the Purchase Price."</w:t>
            </w:r>
          </w:p>
        </w:tc>
        <w:tc>
          <w:tcPr>
            <w:tcW w:type="dxa" w:w="3600"/>
          </w:tcPr>
          <w:p>
            <w:pPr>
              <w:spacing w:after="0"/>
            </w:pPr>
            <w:r/>
            <w:r>
              <w:rPr>
                <w:b w:val="0"/>
                <w:sz w:val="17"/>
              </w:rPr>
              <w:t>Holdback Amount is $3,500,000, described as four percent (4%) of the Purchase Price. Sec. 1.1 ("Holdback Amount"); Sec. 2.5(b)(iii).</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Dollar amount is correct; the percentage is wrong ($3.5M / $87.5M = 4%). Correct the description so it does not migrate into closing documents or the funds flow.</w:t>
            </w:r>
          </w:p>
        </w:tc>
      </w:tr>
      <w:tr>
        <w:tc>
          <w:tcPr>
            <w:tcW w:type="dxa" w:w="648"/>
          </w:tcPr>
          <w:p>
            <w:pPr>
              <w:spacing w:after="0"/>
            </w:pPr>
            <w:r/>
            <w:r>
              <w:rPr>
                <w:b/>
                <w:sz w:val="17"/>
              </w:rPr>
              <w:t>A-4</w:t>
            </w:r>
          </w:p>
        </w:tc>
        <w:tc>
          <w:tcPr>
            <w:tcW w:type="dxa" w:w="1512"/>
          </w:tcPr>
          <w:p>
            <w:pPr>
              <w:spacing w:after="0"/>
            </w:pPr>
            <w:r/>
            <w:r>
              <w:rPr>
                <w:b w:val="0"/>
                <w:sz w:val="17"/>
              </w:rPr>
              <w:t>Sec. I (Working Capital Adjustment); P-4; PC-1</w:t>
            </w:r>
          </w:p>
        </w:tc>
        <w:tc>
          <w:tcPr>
            <w:tcW w:type="dxa" w:w="2736"/>
          </w:tcPr>
          <w:p>
            <w:pPr>
              <w:spacing w:after="0"/>
            </w:pPr>
            <w:r/>
            <w:r>
              <w:rPr>
                <w:b w:val="0"/>
                <w:sz w:val="17"/>
              </w:rPr>
              <w:t>"Dollar-for-dollar adjustment for any deviation" from the $6,800,000 Target NWC, both at the estimated stage and post-closing.</w:t>
            </w:r>
          </w:p>
        </w:tc>
        <w:tc>
          <w:tcPr>
            <w:tcW w:type="dxa" w:w="3600"/>
          </w:tcPr>
          <w:p>
            <w:pPr>
              <w:spacing w:after="0"/>
            </w:pPr>
            <w:r/>
            <w:r>
              <w:rPr>
                <w:b w:val="0"/>
                <w:sz w:val="17"/>
              </w:rPr>
              <w:t>No adjustment unless the difference exceeds the $150,000 De Minimis Collar; once exceeded, the full amount (not only the excess over $150,000) is paid. The collar applies to the Estimated Closing Statement adjustment of the Closing Cash Payment (Sec. 2.6(a)) and to the final adjustment (Sec. 2.6(d)). Sec. 1.1 ("De Minimis Collar").</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The checklist omits the De Minimis Collar entirely. An estimated NWC within +/- $150,000 of Target produces no change to the Closing Cash Payment; anything outside it adjusts dollar-for-dollar from the first dollar. Add the collar to the Summary, P-4, P-5 and PC-1, and build the funds flow to apply the Sec. 2.6(a) test.</w:t>
            </w:r>
          </w:p>
        </w:tc>
      </w:tr>
      <w:tr>
        <w:tc>
          <w:tcPr>
            <w:tcW w:type="dxa" w:w="648"/>
          </w:tcPr>
          <w:p>
            <w:pPr>
              <w:spacing w:after="0"/>
            </w:pPr>
            <w:r/>
            <w:r>
              <w:rPr>
                <w:b/>
                <w:sz w:val="17"/>
              </w:rPr>
              <w:t>A-5</w:t>
            </w:r>
          </w:p>
        </w:tc>
        <w:tc>
          <w:tcPr>
            <w:tcW w:type="dxa" w:w="1512"/>
          </w:tcPr>
          <w:p>
            <w:pPr>
              <w:spacing w:after="0"/>
            </w:pPr>
            <w:r/>
            <w:r>
              <w:rPr>
                <w:b w:val="0"/>
                <w:sz w:val="17"/>
              </w:rPr>
              <w:t>P-5; B-1</w:t>
            </w:r>
          </w:p>
        </w:tc>
        <w:tc>
          <w:tcPr>
            <w:tcW w:type="dxa" w:w="2736"/>
          </w:tcPr>
          <w:p>
            <w:pPr>
              <w:spacing w:after="0"/>
            </w:pPr>
            <w:r/>
            <w:r>
              <w:rPr>
                <w:b w:val="0"/>
                <w:sz w:val="17"/>
              </w:rPr>
              <w:t>Funds flow lists wires to Seller ($78.5M), Escrow Agent ($5.5M) and Summit Ridge Bank (payoff); B-1 totals $84.0M with no mention of the payoff or any NWC adjustment.</w:t>
            </w:r>
          </w:p>
        </w:tc>
        <w:tc>
          <w:tcPr>
            <w:tcW w:type="dxa" w:w="3600"/>
          </w:tcPr>
          <w:p>
            <w:pPr>
              <w:spacing w:after="0"/>
            </w:pPr>
            <w:r/>
            <w:r>
              <w:rPr>
                <w:b w:val="0"/>
                <w:sz w:val="17"/>
              </w:rPr>
              <w:t>The Summit Ridge Credit Facility (approx. $14,300,000) is Indebtedness and an Excluded Liability (Sec. 2.4(a)); a payoff letter is required (Sec. 8.1(i)). Sec. 2.5(b)(i) requires Seller to designate its account in writing not less than 2 Business Days before Closing (by May 13, 2025). The APA does not expressly authorize Buyer to pay the payoff out of the Closing Cash Payment.</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Clarify that the Summit Ridge payoff is paid on Seller’s behalf out of (not in addition to) the Closing Cash Payment, and obtain a signed Seller payment direction letter authorizing the split. Track Seller’s written account designation (due May 13, 2025) as a separate item. Reconcile B-1 to show gross Closing Cash Payment, any estimated NWC adjustment, payoff amount and net to Seller.</w:t>
            </w:r>
          </w:p>
        </w:tc>
      </w:tr>
    </w:tbl>
    <w:p/>
    <w:p>
      <w:pPr>
        <w:pStyle w:val="Heading2"/>
      </w:pPr>
      <w:r>
        <w:t>B. Conditions to Closing and Required Consents</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B-1</w:t>
            </w:r>
          </w:p>
        </w:tc>
        <w:tc>
          <w:tcPr>
            <w:tcW w:type="dxa" w:w="1512"/>
          </w:tcPr>
          <w:p>
            <w:pPr>
              <w:spacing w:after="0"/>
            </w:pPr>
            <w:r/>
            <w:r>
              <w:rPr>
                <w:b w:val="0"/>
                <w:sz w:val="17"/>
              </w:rPr>
              <w:t>P-2; S-9</w:t>
            </w:r>
          </w:p>
        </w:tc>
        <w:tc>
          <w:tcPr>
            <w:tcW w:type="dxa" w:w="2736"/>
          </w:tcPr>
          <w:p>
            <w:pPr>
              <w:spacing w:after="0"/>
            </w:pPr>
            <w:r/>
            <w:r>
              <w:rPr>
                <w:b w:val="0"/>
                <w:sz w:val="17"/>
              </w:rPr>
              <w:t>Lists four Required Consents: (i) Summit Ridge Bank, (ii) Crestline, (iii) Burnham Street Properties (Portland Lease), (iv) HSR.</w:t>
            </w:r>
          </w:p>
        </w:tc>
        <w:tc>
          <w:tcPr>
            <w:tcW w:type="dxa" w:w="3600"/>
          </w:tcPr>
          <w:p>
            <w:pPr>
              <w:spacing w:after="0"/>
            </w:pPr>
            <w:r/>
            <w:r>
              <w:rPr>
                <w:b w:val="0"/>
                <w:sz w:val="17"/>
              </w:rPr>
              <w:t>Schedule 7.1(d) lists five Required Consents, including (item 3) Northwind Aerospace, Inc. under the Supply Agreement dated April 12, 2021 (anti-assignment clause, Sec. 12.3), which the schedule calls "a material commercial relationship of the Business" and expressly "a condition to Closing." Sec. 4.9(a); Sec. 7.1(d)(iii); Sec. 8.1(j).</w:t>
            </w:r>
          </w:p>
        </w:tc>
        <w:tc>
          <w:tcPr>
            <w:tcW w:type="dxa" w:w="1080"/>
            <w:shd w:val="clear" w:color="auto" w:fill="C00000"/>
          </w:tcPr>
          <w:p>
            <w:pPr>
              <w:spacing w:after="0"/>
              <w:jc w:val="center"/>
            </w:pPr>
            <w:r/>
            <w:r>
              <w:rPr>
                <w:b/>
                <w:color w:val="FFFFFF"/>
                <w:sz w:val="18"/>
              </w:rPr>
              <w:t>Critical</w:t>
            </w:r>
          </w:p>
        </w:tc>
        <w:tc>
          <w:tcPr>
            <w:tcW w:type="dxa" w:w="4248"/>
          </w:tcPr>
          <w:p>
            <w:pPr>
              <w:spacing w:after="0"/>
            </w:pPr>
            <w:r/>
            <w:r>
              <w:rPr>
                <w:b w:val="0"/>
                <w:sz w:val="17"/>
              </w:rPr>
              <w:t>The Northwind consent is missing from the checklist altogether, so no one is tasked with obtaining it. Without it the Sec. 7.1(d) condition fails and the Sec. 8.1(j) deliverable is incomplete; assignment without consent would breach the Northwind Supply Agreement. Add it as a new P-2 item immediately and confirm whether a request has been made. If consent cannot be obtained by May 15, 2025, Buyer must decide whether to waive the condition and rely on the Sec. 6.4 alternative arrangement (economic pass-through) or defer Closing (the Outside Date is August 14, 2025).</w:t>
            </w:r>
          </w:p>
        </w:tc>
      </w:tr>
      <w:tr>
        <w:tc>
          <w:tcPr>
            <w:tcW w:type="dxa" w:w="648"/>
          </w:tcPr>
          <w:p>
            <w:pPr>
              <w:spacing w:after="0"/>
            </w:pPr>
            <w:r/>
            <w:r>
              <w:rPr>
                <w:b/>
                <w:sz w:val="17"/>
              </w:rPr>
              <w:t>B-2</w:t>
            </w:r>
          </w:p>
        </w:tc>
        <w:tc>
          <w:tcPr>
            <w:tcW w:type="dxa" w:w="1512"/>
          </w:tcPr>
          <w:p>
            <w:pPr>
              <w:spacing w:after="0"/>
            </w:pPr>
            <w:r/>
            <w:r>
              <w:rPr>
                <w:b w:val="0"/>
                <w:sz w:val="17"/>
              </w:rPr>
              <w:t>P-2(ii); S-6</w:t>
            </w:r>
          </w:p>
        </w:tc>
        <w:tc>
          <w:tcPr>
            <w:tcW w:type="dxa" w:w="2736"/>
          </w:tcPr>
          <w:p>
            <w:pPr>
              <w:spacing w:after="0"/>
            </w:pPr>
            <w:r/>
            <w:r>
              <w:rPr>
                <w:b w:val="0"/>
                <w:sz w:val="17"/>
              </w:rPr>
              <w:t>Crestline consent under Section 8.4 of the "Amended and Restated Limited Liability Company Agreement"; S-6 would certify copies of the "Amended and Restated" LLC Agreement.</w:t>
            </w:r>
          </w:p>
        </w:tc>
        <w:tc>
          <w:tcPr>
            <w:tcW w:type="dxa" w:w="3600"/>
          </w:tcPr>
          <w:p>
            <w:pPr>
              <w:spacing w:after="0"/>
            </w:pPr>
            <w:r/>
            <w:r>
              <w:rPr>
                <w:b w:val="0"/>
                <w:sz w:val="17"/>
              </w:rPr>
              <w:t>The governing document is the "Second Amended and Restated Limited Liability Company Agreement" dated March 1, 2019; Section 8.4 requires approval of holders of at least 75% of membership interests (Novak holds 72%, so Crestline’s 28% is required). Sec. 4.1; Sec. 4.2; Sec. 7.1(d)(ii); Schedule 7.1(d), item 2.</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The wrong instrument name in the consent and the Secretary’s Certificate could produce a defective consent or certification. Conform the Crestline consent form and the S-6 certificate to the Second A&amp;R LLC Agreement and confirm the 75% threshold is met by the executed consent.</w:t>
            </w:r>
          </w:p>
        </w:tc>
      </w:tr>
      <w:tr>
        <w:tc>
          <w:tcPr>
            <w:tcW w:type="dxa" w:w="648"/>
          </w:tcPr>
          <w:p>
            <w:pPr>
              <w:spacing w:after="0"/>
            </w:pPr>
            <w:r/>
            <w:r>
              <w:rPr>
                <w:b/>
                <w:sz w:val="17"/>
              </w:rPr>
              <w:t>B-3</w:t>
            </w:r>
          </w:p>
        </w:tc>
        <w:tc>
          <w:tcPr>
            <w:tcW w:type="dxa" w:w="1512"/>
          </w:tcPr>
          <w:p>
            <w:pPr>
              <w:spacing w:after="0"/>
            </w:pPr>
            <w:r/>
            <w:r>
              <w:rPr>
                <w:b w:val="0"/>
                <w:sz w:val="17"/>
              </w:rPr>
              <w:t>P-2(ii); S-6</w:t>
            </w:r>
          </w:p>
        </w:tc>
        <w:tc>
          <w:tcPr>
            <w:tcW w:type="dxa" w:w="2736"/>
          </w:tcPr>
          <w:p>
            <w:pPr>
              <w:spacing w:after="0"/>
            </w:pPr>
            <w:r/>
            <w:r>
              <w:rPr>
                <w:b w:val="0"/>
                <w:sz w:val="17"/>
              </w:rPr>
              <w:t>Crestline consent shown as Pending ("has indicated willingness to consent").</w:t>
            </w:r>
          </w:p>
        </w:tc>
        <w:tc>
          <w:tcPr>
            <w:tcW w:type="dxa" w:w="3600"/>
          </w:tcPr>
          <w:p>
            <w:pPr>
              <w:spacing w:after="0"/>
            </w:pPr>
            <w:r/>
            <w:r>
              <w:rPr>
                <w:b w:val="0"/>
                <w:sz w:val="17"/>
              </w:rPr>
              <w:t>In Sec. 4.2 Seller represents that the transaction has "been duly authorized ... including the consent of Crestline Capital Partners LLC pursuant to Section 8.4." Representations must be true at Closing (Art. IV lead-in; Sec. 7.1(a)); Sec. 4.2 is a Fundamental Representation (Sec. 9.1(c)).</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If Crestline had not consented as of March 14, 2025, Sec. 4.2 was inaccurate when made (indemnifiable under Sec. 9.2(a) without the Basket, up to the Purchase Price). Confirm whether a consent was given at signing; if not, obtain it before Closing and have Seller address the point in the Seller’s Closing Certificate.</w:t>
            </w:r>
          </w:p>
        </w:tc>
      </w:tr>
      <w:tr>
        <w:tc>
          <w:tcPr>
            <w:tcW w:type="dxa" w:w="648"/>
          </w:tcPr>
          <w:p>
            <w:pPr>
              <w:spacing w:after="0"/>
            </w:pPr>
            <w:r/>
            <w:r>
              <w:rPr>
                <w:b/>
                <w:sz w:val="17"/>
              </w:rPr>
              <w:t>B-4</w:t>
            </w:r>
          </w:p>
        </w:tc>
        <w:tc>
          <w:tcPr>
            <w:tcW w:type="dxa" w:w="1512"/>
          </w:tcPr>
          <w:p>
            <w:pPr>
              <w:spacing w:after="0"/>
            </w:pPr>
            <w:r/>
            <w:r>
              <w:rPr>
                <w:b w:val="0"/>
                <w:sz w:val="17"/>
              </w:rPr>
              <w:t>P-2(iii)</w:t>
            </w:r>
          </w:p>
        </w:tc>
        <w:tc>
          <w:tcPr>
            <w:tcW w:type="dxa" w:w="2736"/>
          </w:tcPr>
          <w:p>
            <w:pPr>
              <w:spacing w:after="0"/>
            </w:pPr>
            <w:r/>
            <w:r>
              <w:rPr>
                <w:b w:val="0"/>
                <w:sz w:val="17"/>
              </w:rPr>
              <w:t>Portland Lease described as a "Commercial Lease Agreement dated September 1, 2019."</w:t>
            </w:r>
          </w:p>
        </w:tc>
        <w:tc>
          <w:tcPr>
            <w:tcW w:type="dxa" w:w="3600"/>
          </w:tcPr>
          <w:p>
            <w:pPr>
              <w:spacing w:after="0"/>
            </w:pPr>
            <w:r/>
            <w:r>
              <w:rPr>
                <w:b w:val="0"/>
                <w:sz w:val="17"/>
              </w:rPr>
              <w:t>Schedule 7.1(d), item 4 describes the Portland Lease as a "Lease Agreement dated February 14, 2018"; its Sec. 17.2 restricts assignment without landlord consent (not to be unreasonably withheld). Sec. 1.1 ("Portland Lease"); Sec. 7.1(d)(iv).</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Reconcile the date against the lease on file (there may be an amendment or a second instrument). A consent that misidentifies the lease may be ineffective. Conform the consent request, the estoppel (C-2) and the Assignment and Assumption Agreement schedule to the correct lease and all amendments.</w:t>
            </w:r>
          </w:p>
        </w:tc>
      </w:tr>
      <w:tr>
        <w:tc>
          <w:tcPr>
            <w:tcW w:type="dxa" w:w="648"/>
          </w:tcPr>
          <w:p>
            <w:pPr>
              <w:spacing w:after="0"/>
            </w:pPr>
            <w:r/>
            <w:r>
              <w:rPr>
                <w:b/>
                <w:sz w:val="17"/>
              </w:rPr>
              <w:t>B-5</w:t>
            </w:r>
          </w:p>
        </w:tc>
        <w:tc>
          <w:tcPr>
            <w:tcW w:type="dxa" w:w="1512"/>
          </w:tcPr>
          <w:p>
            <w:pPr>
              <w:spacing w:after="0"/>
            </w:pPr>
            <w:r/>
            <w:r>
              <w:rPr>
                <w:b w:val="0"/>
                <w:sz w:val="17"/>
              </w:rPr>
              <w:t>P-2(i)</w:t>
            </w:r>
          </w:p>
        </w:tc>
        <w:tc>
          <w:tcPr>
            <w:tcW w:type="dxa" w:w="2736"/>
          </w:tcPr>
          <w:p>
            <w:pPr>
              <w:spacing w:after="0"/>
            </w:pPr>
            <w:r/>
            <w:r>
              <w:rPr>
                <w:b w:val="0"/>
                <w:sz w:val="17"/>
              </w:rPr>
              <w:t>Summit Ridge consent "expected to be delivered in connection with the payoff."</w:t>
            </w:r>
          </w:p>
        </w:tc>
        <w:tc>
          <w:tcPr>
            <w:tcW w:type="dxa" w:w="3600"/>
          </w:tcPr>
          <w:p>
            <w:pPr>
              <w:spacing w:after="0"/>
            </w:pPr>
            <w:r/>
            <w:r>
              <w:rPr>
                <w:b w:val="0"/>
                <w:sz w:val="17"/>
              </w:rPr>
              <w:t>Schedule 7.1(d), item 1 requires the bank’s prior written consent under the Credit Agreement dated September 8, 2021 to a sale of substantially all assets. Sec. 7.1(d)(i).</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A payoff letter that releases all liens addresses the bank’s interest in practice, but the APA treats the consent as a separate condition. Either have the payoff letter expressly include the bank’s consent to the sale, or have Buyer waive Sec. 7.1(d)(i) in writing (Sec. 11.5). Add the Credit Agreement date to the description.</w:t>
            </w:r>
          </w:p>
        </w:tc>
      </w:tr>
      <w:tr>
        <w:tc>
          <w:tcPr>
            <w:tcW w:type="dxa" w:w="648"/>
          </w:tcPr>
          <w:p>
            <w:pPr>
              <w:spacing w:after="0"/>
            </w:pPr>
            <w:r/>
            <w:r>
              <w:rPr>
                <w:b/>
                <w:sz w:val="17"/>
              </w:rPr>
              <w:t>B-6</w:t>
            </w:r>
          </w:p>
        </w:tc>
        <w:tc>
          <w:tcPr>
            <w:tcW w:type="dxa" w:w="1512"/>
          </w:tcPr>
          <w:p>
            <w:pPr>
              <w:spacing w:after="0"/>
            </w:pPr>
            <w:r/>
            <w:r>
              <w:rPr>
                <w:b w:val="0"/>
                <w:sz w:val="17"/>
              </w:rPr>
              <w:t>Not addressed</w:t>
            </w:r>
          </w:p>
        </w:tc>
        <w:tc>
          <w:tcPr>
            <w:tcW w:type="dxa" w:w="2736"/>
          </w:tcPr>
          <w:p>
            <w:pPr>
              <w:spacing w:after="0"/>
            </w:pPr>
            <w:r/>
            <w:r>
              <w:rPr>
                <w:b w:val="0"/>
                <w:sz w:val="17"/>
              </w:rPr>
              <w:t>No pre-closing item for landlord estoppel certificates.</w:t>
            </w:r>
          </w:p>
        </w:tc>
        <w:tc>
          <w:tcPr>
            <w:tcW w:type="dxa" w:w="3600"/>
          </w:tcPr>
          <w:p>
            <w:pPr>
              <w:spacing w:after="0"/>
            </w:pPr>
            <w:r/>
            <w:r>
              <w:rPr>
                <w:b w:val="0"/>
                <w:sz w:val="17"/>
              </w:rPr>
              <w:t>Receipt of estoppel certificates from all landlords under Assigned Real Property Leases (here, Burnham Street Properties LLC) is a separate condition to Buyer’s obligation. Sec. 7.1(f); Sec. 8.1(k).</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See C-2. Add a pre-closing item to request the Portland Lease estoppel together with the consent request; landlords often take 10 or more days to respond.</w:t>
            </w:r>
          </w:p>
        </w:tc>
      </w:tr>
      <w:tr>
        <w:tc>
          <w:tcPr>
            <w:tcW w:type="dxa" w:w="648"/>
          </w:tcPr>
          <w:p>
            <w:pPr>
              <w:spacing w:after="0"/>
            </w:pPr>
            <w:r/>
            <w:r>
              <w:rPr>
                <w:b/>
                <w:sz w:val="17"/>
              </w:rPr>
              <w:t>B-7</w:t>
            </w:r>
          </w:p>
        </w:tc>
        <w:tc>
          <w:tcPr>
            <w:tcW w:type="dxa" w:w="1512"/>
          </w:tcPr>
          <w:p>
            <w:pPr>
              <w:spacing w:after="0"/>
            </w:pPr>
            <w:r/>
            <w:r>
              <w:rPr>
                <w:b w:val="0"/>
                <w:sz w:val="17"/>
              </w:rPr>
              <w:t>P-8</w:t>
            </w:r>
          </w:p>
        </w:tc>
        <w:tc>
          <w:tcPr>
            <w:tcW w:type="dxa" w:w="2736"/>
          </w:tcPr>
          <w:p>
            <w:pPr>
              <w:spacing w:after="0"/>
            </w:pPr>
            <w:r/>
            <w:r>
              <w:rPr>
                <w:b w:val="0"/>
                <w:sz w:val="17"/>
              </w:rPr>
              <w:t>Monitoring Aeromet litigation for injunctive relief "consistent with the closing condition set forth in Section 7.1(g)."</w:t>
            </w:r>
          </w:p>
        </w:tc>
        <w:tc>
          <w:tcPr>
            <w:tcW w:type="dxa" w:w="3600"/>
          </w:tcPr>
          <w:p>
            <w:pPr>
              <w:spacing w:after="0"/>
            </w:pPr>
            <w:r/>
            <w:r>
              <w:rPr>
                <w:b w:val="0"/>
                <w:sz w:val="17"/>
              </w:rPr>
              <w:t>Sec. 7.1(g) addresses Orders or Actions by a Governmental Authority restraining the Closing; Aeromet is a private-party breach-of-contract case (Schedule 4.10). Its liabilities are Excluded Liabilities under Sec. 2.4(d), indemnifiable under Sec. 9.2(c).</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The characterization is slightly off: a private-party claim bears on Sec. 7.1(a) (accuracy of Sec. 4.10) or Sec. 7.1(c) (MAE) rather than Sec. 7.1(g). Revise the description, and note that Sec. 2.4(d) also excludes all other pre-Closing Actions, not only Aeromet.</w:t>
            </w:r>
          </w:p>
        </w:tc>
      </w:tr>
    </w:tbl>
    <w:p/>
    <w:p>
      <w:pPr>
        <w:pStyle w:val="Heading2"/>
      </w:pPr>
      <w:r>
        <w:t>C. Seller Closing Deliverables (APA Sec. 8.1)</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C-1</w:t>
            </w:r>
          </w:p>
        </w:tc>
        <w:tc>
          <w:tcPr>
            <w:tcW w:type="dxa" w:w="1512"/>
          </w:tcPr>
          <w:p>
            <w:pPr>
              <w:spacing w:after="0"/>
            </w:pPr>
            <w:r/>
            <w:r>
              <w:rPr>
                <w:b w:val="0"/>
                <w:sz w:val="17"/>
              </w:rPr>
              <w:t>Sec. IV (omitted)</w:t>
            </w:r>
          </w:p>
        </w:tc>
        <w:tc>
          <w:tcPr>
            <w:tcW w:type="dxa" w:w="2736"/>
          </w:tcPr>
          <w:p>
            <w:pPr>
              <w:spacing w:after="0"/>
            </w:pPr>
            <w:r/>
            <w:r>
              <w:rPr>
                <w:b w:val="0"/>
                <w:sz w:val="17"/>
              </w:rPr>
              <w:t>No FIRPTA item; the Seller deliverables table jumps from Sec. 8.1(e) (S-5) to Sec. 8.1(g) (S-6).</w:t>
            </w:r>
          </w:p>
        </w:tc>
        <w:tc>
          <w:tcPr>
            <w:tcW w:type="dxa" w:w="3600"/>
          </w:tcPr>
          <w:p>
            <w:pPr>
              <w:spacing w:after="0"/>
            </w:pPr>
            <w:r/>
            <w:r>
              <w:rPr>
                <w:b w:val="0"/>
                <w:sz w:val="17"/>
              </w:rPr>
              <w:t>Seller must deliver a certificate of non-foreign status under Treas. Reg. Sec. 1.1445-2(b)(2). Sec. 8.1(f); also an independent closing condition, Sec. 7.1(h); see Sec. 4.11(f).</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Missing deliverable and condition. Without it, Buyer faces Section 1445 withholding exposure (the Purchased Assets include U.S. real property, the Hillsboro facility). Add a new S-item and prepare the certificate (confirm Seller’s tax classification; if Seller is a disregarded entity, the certificate must be given by its owner).</w:t>
            </w:r>
          </w:p>
        </w:tc>
      </w:tr>
      <w:tr>
        <w:tc>
          <w:tcPr>
            <w:tcW w:type="dxa" w:w="648"/>
          </w:tcPr>
          <w:p>
            <w:pPr>
              <w:spacing w:after="0"/>
            </w:pPr>
            <w:r/>
            <w:r>
              <w:rPr>
                <w:b/>
                <w:sz w:val="17"/>
              </w:rPr>
              <w:t>C-2</w:t>
            </w:r>
          </w:p>
        </w:tc>
        <w:tc>
          <w:tcPr>
            <w:tcW w:type="dxa" w:w="1512"/>
          </w:tcPr>
          <w:p>
            <w:pPr>
              <w:spacing w:after="0"/>
            </w:pPr>
            <w:r/>
            <w:r>
              <w:rPr>
                <w:b w:val="0"/>
                <w:sz w:val="17"/>
              </w:rPr>
              <w:t>Sec. IV (omitted)</w:t>
            </w:r>
          </w:p>
        </w:tc>
        <w:tc>
          <w:tcPr>
            <w:tcW w:type="dxa" w:w="2736"/>
          </w:tcPr>
          <w:p>
            <w:pPr>
              <w:spacing w:after="0"/>
            </w:pPr>
            <w:r/>
            <w:r>
              <w:rPr>
                <w:b w:val="0"/>
                <w:sz w:val="17"/>
              </w:rPr>
              <w:t>No estoppel certificate deliverable.</w:t>
            </w:r>
          </w:p>
        </w:tc>
        <w:tc>
          <w:tcPr>
            <w:tcW w:type="dxa" w:w="3600"/>
          </w:tcPr>
          <w:p>
            <w:pPr>
              <w:spacing w:after="0"/>
            </w:pPr>
            <w:r/>
            <w:r>
              <w:rPr>
                <w:b w:val="0"/>
                <w:sz w:val="17"/>
              </w:rPr>
              <w:t>Estoppel certificates from all landlords under Assigned Real Property Leases, reasonably satisfactory to Buyer. Sec. 8.1(k); Sec. 7.1(f).</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Add an S-item for the Burnham Street Properties estoppel for the Portland Lease (lease in full force, no defaults, material terms). Responsible party: Seller / Seller’s Counsel, with Buyer’s Counsel preparing the form.</w:t>
            </w:r>
          </w:p>
        </w:tc>
      </w:tr>
      <w:tr>
        <w:tc>
          <w:tcPr>
            <w:tcW w:type="dxa" w:w="648"/>
          </w:tcPr>
          <w:p>
            <w:pPr>
              <w:spacing w:after="0"/>
            </w:pPr>
            <w:r/>
            <w:r>
              <w:rPr>
                <w:b/>
                <w:sz w:val="17"/>
              </w:rPr>
              <w:t>C-3</w:t>
            </w:r>
          </w:p>
        </w:tc>
        <w:tc>
          <w:tcPr>
            <w:tcW w:type="dxa" w:w="1512"/>
          </w:tcPr>
          <w:p>
            <w:pPr>
              <w:spacing w:after="0"/>
            </w:pPr>
            <w:r/>
            <w:r>
              <w:rPr>
                <w:b w:val="0"/>
                <w:sz w:val="17"/>
              </w:rPr>
              <w:t>P-6 only; no S-item</w:t>
            </w:r>
          </w:p>
        </w:tc>
        <w:tc>
          <w:tcPr>
            <w:tcW w:type="dxa" w:w="2736"/>
          </w:tcPr>
          <w:p>
            <w:pPr>
              <w:spacing w:after="0"/>
            </w:pPr>
            <w:r/>
            <w:r>
              <w:rPr>
                <w:b w:val="0"/>
                <w:sz w:val="17"/>
              </w:rPr>
              <w:t>Title search ordered and preliminary title report awaited; no title deliverable listed.</w:t>
            </w:r>
          </w:p>
        </w:tc>
        <w:tc>
          <w:tcPr>
            <w:tcW w:type="dxa" w:w="3600"/>
          </w:tcPr>
          <w:p>
            <w:pPr>
              <w:spacing w:after="0"/>
            </w:pPr>
            <w:r/>
            <w:r>
              <w:rPr>
                <w:b w:val="0"/>
                <w:sz w:val="17"/>
              </w:rPr>
              <w:t>Seller must deliver commitments for title insurance from Cascadia Title &amp; Guaranty Co. for all Owned Real Property (Hillsboro), insuring Buyer’s fee simple title free and clear of all Encumbrances other than Permitted Encumbrances. Sec. 8.1(l); Sec. 4.4; Sec. 4.7(a).</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A preliminary report is not the APA deliverable. Add an S-item for the title commitment (with requirements and exceptions acceptable to Buyer) and a pre-closing item to review exceptions against the Permitted Encumbrances definition. Note that the APA makes this a Seller deliverable although Buyer’s Counsel ordered the search.</w:t>
            </w:r>
          </w:p>
        </w:tc>
      </w:tr>
      <w:tr>
        <w:tc>
          <w:tcPr>
            <w:tcW w:type="dxa" w:w="648"/>
          </w:tcPr>
          <w:p>
            <w:pPr>
              <w:spacing w:after="0"/>
            </w:pPr>
            <w:r/>
            <w:r>
              <w:rPr>
                <w:b/>
                <w:sz w:val="17"/>
              </w:rPr>
              <w:t>C-4</w:t>
            </w:r>
          </w:p>
        </w:tc>
        <w:tc>
          <w:tcPr>
            <w:tcW w:type="dxa" w:w="1512"/>
          </w:tcPr>
          <w:p>
            <w:pPr>
              <w:spacing w:after="0"/>
            </w:pPr>
            <w:r/>
            <w:r>
              <w:rPr>
                <w:b w:val="0"/>
                <w:sz w:val="17"/>
              </w:rPr>
              <w:t>Sec. IV (omitted); APA gap</w:t>
            </w:r>
          </w:p>
        </w:tc>
        <w:tc>
          <w:tcPr>
            <w:tcW w:type="dxa" w:w="2736"/>
          </w:tcPr>
          <w:p>
            <w:pPr>
              <w:spacing w:after="0"/>
            </w:pPr>
            <w:r/>
            <w:r>
              <w:rPr>
                <w:b w:val="0"/>
                <w:sz w:val="17"/>
              </w:rPr>
              <w:t>No deed or other real property conveyance instrument is listed.</w:t>
            </w:r>
          </w:p>
        </w:tc>
        <w:tc>
          <w:tcPr>
            <w:tcW w:type="dxa" w:w="3600"/>
          </w:tcPr>
          <w:p>
            <w:pPr>
              <w:spacing w:after="0"/>
            </w:pPr>
            <w:r/>
            <w:r>
              <w:rPr>
                <w:b w:val="0"/>
                <w:sz w:val="17"/>
              </w:rPr>
              <w:t>The Hillsboro facility is a Purchased Asset (Sec. 2.1(e)), but Sec. 8.1 contains no deed; the Bill of Sale covers only tangible personal property (Sec. 8.1(a); Exhibit A). Sec. 4.4 states that at Closing Seller "will convey" good and marketable title.</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Neither the APA nor the checklist provides a conveyance instrument for the owned real property. Add a statutory warranty deed (or other agreed form) for 1195 NE Cornell Road, Hillsboro, with any required Oregon recording and transfer documents, and obtain Seller’s agreement (Sec. 6.9 further assurances supports the request). Coordinate recording at Closing with Cascadia Title.</w:t>
            </w:r>
          </w:p>
        </w:tc>
      </w:tr>
      <w:tr>
        <w:tc>
          <w:tcPr>
            <w:tcW w:type="dxa" w:w="648"/>
          </w:tcPr>
          <w:p>
            <w:pPr>
              <w:spacing w:after="0"/>
            </w:pPr>
            <w:r/>
            <w:r>
              <w:rPr>
                <w:b/>
                <w:sz w:val="17"/>
              </w:rPr>
              <w:t>C-5</w:t>
            </w:r>
          </w:p>
        </w:tc>
        <w:tc>
          <w:tcPr>
            <w:tcW w:type="dxa" w:w="1512"/>
          </w:tcPr>
          <w:p>
            <w:pPr>
              <w:spacing w:after="0"/>
            </w:pPr>
            <w:r/>
            <w:r>
              <w:rPr>
                <w:b w:val="0"/>
                <w:sz w:val="17"/>
              </w:rPr>
              <w:t>S-1</w:t>
            </w:r>
          </w:p>
        </w:tc>
        <w:tc>
          <w:tcPr>
            <w:tcW w:type="dxa" w:w="2736"/>
          </w:tcPr>
          <w:p>
            <w:pPr>
              <w:spacing w:after="0"/>
            </w:pPr>
            <w:r/>
            <w:r>
              <w:rPr>
                <w:b w:val="0"/>
                <w:sz w:val="17"/>
              </w:rPr>
              <w:t>General Bill of Sale conveying all of Seller’s right, title and interest in the "Acquired Assets."</w:t>
            </w:r>
          </w:p>
        </w:tc>
        <w:tc>
          <w:tcPr>
            <w:tcW w:type="dxa" w:w="3600"/>
          </w:tcPr>
          <w:p>
            <w:pPr>
              <w:spacing w:after="0"/>
            </w:pPr>
            <w:r/>
            <w:r>
              <w:rPr>
                <w:b w:val="0"/>
                <w:sz w:val="17"/>
              </w:rPr>
              <w:t>The Bill of Sale conveys the tangible personal property included in the Purchased Assets, in the form of Exhibit A. Sec. 8.1(a). "Acquired Assets" is not a defined term; the APA uses "Purchased Assets" (Sec. 2.1).</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Conform the scope to Exhibit A (intangibles pass under the Assignment and Assumption Agreement and IP Assignment) and replace "Acquired Assets" with "Purchased Assets" throughout the checklist and closing drafts.</w:t>
            </w:r>
          </w:p>
        </w:tc>
      </w:tr>
      <w:tr>
        <w:tc>
          <w:tcPr>
            <w:tcW w:type="dxa" w:w="648"/>
          </w:tcPr>
          <w:p>
            <w:pPr>
              <w:spacing w:after="0"/>
            </w:pPr>
            <w:r/>
            <w:r>
              <w:rPr>
                <w:b/>
                <w:sz w:val="17"/>
              </w:rPr>
              <w:t>C-6</w:t>
            </w:r>
          </w:p>
        </w:tc>
        <w:tc>
          <w:tcPr>
            <w:tcW w:type="dxa" w:w="1512"/>
          </w:tcPr>
          <w:p>
            <w:pPr>
              <w:spacing w:after="0"/>
            </w:pPr>
            <w:r/>
            <w:r>
              <w:rPr>
                <w:b w:val="0"/>
                <w:sz w:val="17"/>
              </w:rPr>
              <w:t>S-2; B-2</w:t>
            </w:r>
          </w:p>
        </w:tc>
        <w:tc>
          <w:tcPr>
            <w:tcW w:type="dxa" w:w="2736"/>
          </w:tcPr>
          <w:p>
            <w:pPr>
              <w:spacing w:after="0"/>
            </w:pPr>
            <w:r/>
            <w:r>
              <w:rPr>
                <w:b w:val="0"/>
                <w:sz w:val="17"/>
              </w:rPr>
              <w:t>Assignment and Assumption Agreement covering the Assigned Contracts and Assumed Liabilities.</w:t>
            </w:r>
          </w:p>
        </w:tc>
        <w:tc>
          <w:tcPr>
            <w:tcW w:type="dxa" w:w="3600"/>
          </w:tcPr>
          <w:p>
            <w:pPr>
              <w:spacing w:after="0"/>
            </w:pPr>
            <w:r/>
            <w:r>
              <w:rPr>
                <w:b w:val="0"/>
                <w:sz w:val="17"/>
              </w:rPr>
              <w:t>It must also assign the Assigned Real Property Leases (Portland Lease). Sec. 8.1(b); Exhibit B. Excluded Contracts (Tigard Warehouse Lease; Novak Engineering Services consulting agreement) are carved out. Sec. 2.2(d); Schedule 2.2(d).</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Add the Portland Lease to the scope (or prepare a separate lease assignment acceptable to the landlord), and confirm the contract schedule excludes the Schedule 2.2(d) contracts and the aircraft-related agreements (Schedule 2.2(f)).</w:t>
            </w:r>
          </w:p>
        </w:tc>
      </w:tr>
      <w:tr>
        <w:tc>
          <w:tcPr>
            <w:tcW w:type="dxa" w:w="648"/>
          </w:tcPr>
          <w:p>
            <w:pPr>
              <w:spacing w:after="0"/>
            </w:pPr>
            <w:r/>
            <w:r>
              <w:rPr>
                <w:b/>
                <w:sz w:val="17"/>
              </w:rPr>
              <w:t>C-7</w:t>
            </w:r>
          </w:p>
        </w:tc>
        <w:tc>
          <w:tcPr>
            <w:tcW w:type="dxa" w:w="1512"/>
          </w:tcPr>
          <w:p>
            <w:pPr>
              <w:spacing w:after="0"/>
            </w:pPr>
            <w:r/>
            <w:r>
              <w:rPr>
                <w:b w:val="0"/>
                <w:sz w:val="17"/>
              </w:rPr>
              <w:t>S-4; B-3; PC-6</w:t>
            </w:r>
          </w:p>
        </w:tc>
        <w:tc>
          <w:tcPr>
            <w:tcW w:type="dxa" w:w="2736"/>
          </w:tcPr>
          <w:p>
            <w:pPr>
              <w:spacing w:after="0"/>
            </w:pPr>
            <w:r/>
            <w:r>
              <w:rPr>
                <w:b w:val="0"/>
                <w:sz w:val="17"/>
              </w:rPr>
              <w:t>TSA fee of $50,000 per month, $300,000 total; services: IT systems migration, CRM transition, administrative functions.</w:t>
            </w:r>
          </w:p>
        </w:tc>
        <w:tc>
          <w:tcPr>
            <w:tcW w:type="dxa" w:w="3600"/>
          </w:tcPr>
          <w:p>
            <w:pPr>
              <w:spacing w:after="0"/>
            </w:pPr>
            <w:r/>
            <w:r>
              <w:rPr>
                <w:b w:val="0"/>
                <w:sz w:val="17"/>
              </w:rPr>
              <w:t>TSA fee is $45,000 per month, $270,000 aggregate, for six months. Services: IT support, financial reporting/accounting assistance, HR and payroll transition support, vendor relationship management and other administrative services. Sec. 8.1(d); Exhibit D.</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Buyer would overpay $5,000 per month ($30,000 in total), and the services list does not match Exhibit D (HR/payroll and financial reporting are omitted; CRM transition is not in Exhibit D). Conform the TSA draft to Exhibit D. The checklist’s payment timing (first business day of each month) is not in the APA; confirm it is in the agreed TSA form.</w:t>
            </w:r>
          </w:p>
        </w:tc>
      </w:tr>
      <w:tr>
        <w:tc>
          <w:tcPr>
            <w:tcW w:type="dxa" w:w="648"/>
          </w:tcPr>
          <w:p>
            <w:pPr>
              <w:spacing w:after="0"/>
            </w:pPr>
            <w:r/>
            <w:r>
              <w:rPr>
                <w:b/>
                <w:sz w:val="17"/>
              </w:rPr>
              <w:t>C-8</w:t>
            </w:r>
          </w:p>
        </w:tc>
        <w:tc>
          <w:tcPr>
            <w:tcW w:type="dxa" w:w="1512"/>
          </w:tcPr>
          <w:p>
            <w:pPr>
              <w:spacing w:after="0"/>
            </w:pPr>
            <w:r/>
            <w:r>
              <w:rPr>
                <w:b w:val="0"/>
                <w:sz w:val="17"/>
              </w:rPr>
              <w:t>S-5; Sec. VII</w:t>
            </w:r>
          </w:p>
        </w:tc>
        <w:tc>
          <w:tcPr>
            <w:tcW w:type="dxa" w:w="2736"/>
          </w:tcPr>
          <w:p>
            <w:pPr>
              <w:spacing w:after="0"/>
            </w:pPr>
            <w:r/>
            <w:r>
              <w:rPr>
                <w:b w:val="0"/>
                <w:sz w:val="17"/>
              </w:rPr>
              <w:t>Non-Competition Agreement term of three (3) years (expiring May 15, 2028), including customer and employee non-solicitation covenants.</w:t>
            </w:r>
          </w:p>
        </w:tc>
        <w:tc>
          <w:tcPr>
            <w:tcW w:type="dxa" w:w="3600"/>
          </w:tcPr>
          <w:p>
            <w:pPr>
              <w:spacing w:after="0"/>
            </w:pPr>
            <w:r/>
            <w:r>
              <w:rPr>
                <w:b w:val="0"/>
                <w:sz w:val="17"/>
              </w:rPr>
              <w:t>The non-competition period is four (4) years following the Closing Date (expiring May 15, 2029), covering the United States and Canada. Sec. 8.1(e); Exhibit E. Neither Sec. 8.1(e) nor Exhibit E describes non-solicitation covenants; Exhibit E includes a 2% passive public-company ownership exception.</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A 3-year term would give up one year of negotiated protection for Buyer. Conform the draft to 4 years and correct the Key Dates table. Non-solicits not reflected in Exhibit E will likely draw Seller objection; confirm whether the attached Exhibit E form contains them before relying on them.</w:t>
            </w:r>
          </w:p>
        </w:tc>
      </w:tr>
      <w:tr>
        <w:tc>
          <w:tcPr>
            <w:tcW w:type="dxa" w:w="648"/>
          </w:tcPr>
          <w:p>
            <w:pPr>
              <w:spacing w:after="0"/>
            </w:pPr>
            <w:r/>
            <w:r>
              <w:rPr>
                <w:b/>
                <w:sz w:val="17"/>
              </w:rPr>
              <w:t>C-9</w:t>
            </w:r>
          </w:p>
        </w:tc>
        <w:tc>
          <w:tcPr>
            <w:tcW w:type="dxa" w:w="1512"/>
          </w:tcPr>
          <w:p>
            <w:pPr>
              <w:spacing w:after="0"/>
            </w:pPr>
            <w:r/>
            <w:r>
              <w:rPr>
                <w:b w:val="0"/>
                <w:sz w:val="17"/>
              </w:rPr>
              <w:t>S-6</w:t>
            </w:r>
          </w:p>
        </w:tc>
        <w:tc>
          <w:tcPr>
            <w:tcW w:type="dxa" w:w="2736"/>
          </w:tcPr>
          <w:p>
            <w:pPr>
              <w:spacing w:after="0"/>
            </w:pPr>
            <w:r/>
            <w:r>
              <w:rPr>
                <w:b w:val="0"/>
                <w:sz w:val="17"/>
              </w:rPr>
              <w:t>Secretary’s Certificate certifying member resolutions, incumbency and organizational documents.</w:t>
            </w:r>
          </w:p>
        </w:tc>
        <w:tc>
          <w:tcPr>
            <w:tcW w:type="dxa" w:w="3600"/>
          </w:tcPr>
          <w:p>
            <w:pPr>
              <w:spacing w:after="0"/>
            </w:pPr>
            <w:r/>
            <w:r>
              <w:rPr>
                <w:b w:val="0"/>
                <w:sz w:val="17"/>
              </w:rPr>
              <w:t>The resolutions must include the consent of Crestline Capital Partners LLC; the certificate is dated as of the Closing Date; organizational documents are those in effect on the Closing Date. Sec. 8.1(g).</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Add the Crestline consent as a required attachment and the Closing-Date dating requirement, and correct the LLC Agreement name (B-2).</w:t>
            </w:r>
          </w:p>
        </w:tc>
      </w:tr>
      <w:tr>
        <w:tc>
          <w:tcPr>
            <w:tcW w:type="dxa" w:w="648"/>
          </w:tcPr>
          <w:p>
            <w:pPr>
              <w:spacing w:after="0"/>
            </w:pPr>
            <w:r/>
            <w:r>
              <w:rPr>
                <w:b/>
                <w:sz w:val="17"/>
              </w:rPr>
              <w:t>C-10</w:t>
            </w:r>
          </w:p>
        </w:tc>
        <w:tc>
          <w:tcPr>
            <w:tcW w:type="dxa" w:w="1512"/>
          </w:tcPr>
          <w:p>
            <w:pPr>
              <w:spacing w:after="0"/>
            </w:pPr>
            <w:r/>
            <w:r>
              <w:rPr>
                <w:b w:val="0"/>
                <w:sz w:val="17"/>
              </w:rPr>
              <w:t>S-7</w:t>
            </w:r>
          </w:p>
        </w:tc>
        <w:tc>
          <w:tcPr>
            <w:tcW w:type="dxa" w:w="2736"/>
          </w:tcPr>
          <w:p>
            <w:pPr>
              <w:spacing w:after="0"/>
            </w:pPr>
            <w:r/>
            <w:r>
              <w:rPr>
                <w:b w:val="0"/>
                <w:sz w:val="17"/>
              </w:rPr>
              <w:t>Good standing certificate from the Oregon Secretary of State only, dated no earlier than 10 business days before the Scheduled Closing Date.</w:t>
            </w:r>
          </w:p>
        </w:tc>
        <w:tc>
          <w:tcPr>
            <w:tcW w:type="dxa" w:w="3600"/>
          </w:tcPr>
          <w:p>
            <w:pPr>
              <w:spacing w:after="0"/>
            </w:pPr>
            <w:r/>
            <w:r>
              <w:rPr>
                <w:b w:val="0"/>
                <w:sz w:val="17"/>
              </w:rPr>
              <w:t>Good standing certificates from Oregon AND Washington (each state in which Seller is qualified), each dated within 10 Business Days of the Closing Date. Sec. 8.1(h); Sec. 1.1 ("Good Standing Certificates"); Sec. 4.1.</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The Washington certificate is missing. Order both, and tie the date window to the actual Closing Date (if Closing slips, re-order). For a May 15, 2025 Closing, certificates must be dated on or after May 1, 2025.</w:t>
            </w:r>
          </w:p>
        </w:tc>
      </w:tr>
      <w:tr>
        <w:tc>
          <w:tcPr>
            <w:tcW w:type="dxa" w:w="648"/>
          </w:tcPr>
          <w:p>
            <w:pPr>
              <w:spacing w:after="0"/>
            </w:pPr>
            <w:r/>
            <w:r>
              <w:rPr>
                <w:b/>
                <w:sz w:val="17"/>
              </w:rPr>
              <w:t>C-11</w:t>
            </w:r>
          </w:p>
        </w:tc>
        <w:tc>
          <w:tcPr>
            <w:tcW w:type="dxa" w:w="1512"/>
          </w:tcPr>
          <w:p>
            <w:pPr>
              <w:spacing w:after="0"/>
            </w:pPr>
            <w:r/>
            <w:r>
              <w:rPr>
                <w:b w:val="0"/>
                <w:sz w:val="17"/>
              </w:rPr>
              <w:t>S-8; PC-4</w:t>
            </w:r>
          </w:p>
        </w:tc>
        <w:tc>
          <w:tcPr>
            <w:tcW w:type="dxa" w:w="2736"/>
          </w:tcPr>
          <w:p>
            <w:pPr>
              <w:spacing w:after="0"/>
            </w:pPr>
            <w:r/>
            <w:r>
              <w:rPr>
                <w:b w:val="0"/>
                <w:sz w:val="17"/>
              </w:rPr>
              <w:t>Payoff letter, with UCC termination statements to be filed after Closing.</w:t>
            </w:r>
          </w:p>
        </w:tc>
        <w:tc>
          <w:tcPr>
            <w:tcW w:type="dxa" w:w="3600"/>
          </w:tcPr>
          <w:p>
            <w:pPr>
              <w:spacing w:after="0"/>
            </w:pPr>
            <w:r/>
            <w:r>
              <w:rPr>
                <w:b w:val="0"/>
                <w:sz w:val="17"/>
              </w:rPr>
              <w:t>The payoff letter must be in form and substance reasonably satisfactory to Buyer and evidence that all Encumbrances will be released, "including UCC-3 termination statements, releases of deeds of trust, and other appropriate release documentation." Sec. 8.1(i).</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Add deed of trust release(s) for the Hillsboro facility (and any fixture filings) to S-8 and PC-4, and coordinate with Cascadia Title so the release records with the deed. Add Buyer approval of the payoff letter form.</w:t>
            </w:r>
          </w:p>
        </w:tc>
      </w:tr>
      <w:tr>
        <w:tc>
          <w:tcPr>
            <w:tcW w:type="dxa" w:w="648"/>
          </w:tcPr>
          <w:p>
            <w:pPr>
              <w:spacing w:after="0"/>
            </w:pPr>
            <w:r/>
            <w:r>
              <w:rPr>
                <w:b/>
                <w:sz w:val="17"/>
              </w:rPr>
              <w:t>C-12</w:t>
            </w:r>
          </w:p>
        </w:tc>
        <w:tc>
          <w:tcPr>
            <w:tcW w:type="dxa" w:w="1512"/>
          </w:tcPr>
          <w:p>
            <w:pPr>
              <w:spacing w:after="0"/>
            </w:pPr>
            <w:r/>
            <w:r>
              <w:rPr>
                <w:b w:val="0"/>
                <w:sz w:val="17"/>
              </w:rPr>
              <w:t>S-10</w:t>
            </w:r>
          </w:p>
        </w:tc>
        <w:tc>
          <w:tcPr>
            <w:tcW w:type="dxa" w:w="2736"/>
          </w:tcPr>
          <w:p>
            <w:pPr>
              <w:spacing w:after="0"/>
            </w:pPr>
            <w:r/>
            <w:r>
              <w:rPr>
                <w:b w:val="0"/>
                <w:sz w:val="17"/>
              </w:rPr>
              <w:t>Seller’s Closing Certificate signed by Gerald Novak as "Managing Member," certifying that all Sec. 7.1 conditions are satisfied.</w:t>
            </w:r>
          </w:p>
        </w:tc>
        <w:tc>
          <w:tcPr>
            <w:tcW w:type="dxa" w:w="3600"/>
          </w:tcPr>
          <w:p>
            <w:pPr>
              <w:spacing w:after="0"/>
            </w:pPr>
            <w:r/>
            <w:r>
              <w:rPr>
                <w:b w:val="0"/>
                <w:sz w:val="17"/>
              </w:rPr>
              <w:t>Certificate by an authorized officer certifying satisfaction of Secs. 7.1(a), 7.1(b) and 7.1(c) only. Sec. 8.1(m). The APA identifies Mr. Novak as "Manager" (signature block; Sec. 1.1 "Knowledge of Seller"; Sec. 11.1).</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Conform the scope to Sec. 8.1(m) (Seller will resist certifying third-party conditions such as consents and estoppels) and the signatory’s title to "Manager" unless the Second A&amp;R LLC Agreement provides otherwise.</w:t>
            </w:r>
          </w:p>
        </w:tc>
      </w:tr>
    </w:tbl>
    <w:p/>
    <w:p>
      <w:pPr>
        <w:pStyle w:val="Heading2"/>
      </w:pPr>
      <w:r>
        <w:t>D. Buyer Closing Deliverables (APA Sec. 8.2)</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D-1</w:t>
            </w:r>
          </w:p>
        </w:tc>
        <w:tc>
          <w:tcPr>
            <w:tcW w:type="dxa" w:w="1512"/>
          </w:tcPr>
          <w:p>
            <w:pPr>
              <w:spacing w:after="0"/>
            </w:pPr>
            <w:r/>
            <w:r>
              <w:rPr>
                <w:b w:val="0"/>
                <w:sz w:val="17"/>
              </w:rPr>
              <w:t>B-1</w:t>
            </w:r>
          </w:p>
        </w:tc>
        <w:tc>
          <w:tcPr>
            <w:tcW w:type="dxa" w:w="2736"/>
          </w:tcPr>
          <w:p>
            <w:pPr>
              <w:spacing w:after="0"/>
            </w:pPr>
            <w:r/>
            <w:r>
              <w:rPr>
                <w:b w:val="0"/>
                <w:sz w:val="17"/>
              </w:rPr>
              <w:t>Wires of $78,500,000 to Seller and $5,500,000 to the Escrow Agent.</w:t>
            </w:r>
          </w:p>
        </w:tc>
        <w:tc>
          <w:tcPr>
            <w:tcW w:type="dxa" w:w="3600"/>
          </w:tcPr>
          <w:p>
            <w:pPr>
              <w:spacing w:after="0"/>
            </w:pPr>
            <w:r/>
            <w:r>
              <w:rPr>
                <w:b w:val="0"/>
                <w:sz w:val="17"/>
              </w:rPr>
              <w:t>$78,750,000 and $5,250,000. Sec. 8.2(a)-(b).</w:t>
            </w:r>
          </w:p>
        </w:tc>
        <w:tc>
          <w:tcPr>
            <w:tcW w:type="dxa" w:w="1080"/>
            <w:shd w:val="clear" w:color="auto" w:fill="C00000"/>
          </w:tcPr>
          <w:p>
            <w:pPr>
              <w:spacing w:after="0"/>
              <w:jc w:val="center"/>
            </w:pPr>
            <w:r/>
            <w:r>
              <w:rPr>
                <w:b/>
                <w:color w:val="FFFFFF"/>
                <w:sz w:val="18"/>
              </w:rPr>
              <w:t>Critical</w:t>
            </w:r>
          </w:p>
        </w:tc>
        <w:tc>
          <w:tcPr>
            <w:tcW w:type="dxa" w:w="4248"/>
          </w:tcPr>
          <w:p>
            <w:pPr>
              <w:spacing w:after="0"/>
            </w:pPr>
            <w:r/>
            <w:r>
              <w:rPr>
                <w:b w:val="0"/>
                <w:sz w:val="17"/>
              </w:rPr>
              <w:t>See A-1 and A-2.</w:t>
            </w:r>
          </w:p>
        </w:tc>
      </w:tr>
      <w:tr>
        <w:tc>
          <w:tcPr>
            <w:tcW w:type="dxa" w:w="648"/>
          </w:tcPr>
          <w:p>
            <w:pPr>
              <w:spacing w:after="0"/>
            </w:pPr>
            <w:r/>
            <w:r>
              <w:rPr>
                <w:b/>
                <w:sz w:val="17"/>
              </w:rPr>
              <w:t>D-2</w:t>
            </w:r>
          </w:p>
        </w:tc>
        <w:tc>
          <w:tcPr>
            <w:tcW w:type="dxa" w:w="1512"/>
          </w:tcPr>
          <w:p>
            <w:pPr>
              <w:spacing w:after="0"/>
            </w:pPr>
            <w:r/>
            <w:r>
              <w:rPr>
                <w:b w:val="0"/>
                <w:sz w:val="17"/>
              </w:rPr>
              <w:t>B-4</w:t>
            </w:r>
          </w:p>
        </w:tc>
        <w:tc>
          <w:tcPr>
            <w:tcW w:type="dxa" w:w="2736"/>
          </w:tcPr>
          <w:p>
            <w:pPr>
              <w:spacing w:after="0"/>
            </w:pPr>
            <w:r/>
            <w:r>
              <w:rPr>
                <w:b w:val="0"/>
                <w:sz w:val="17"/>
              </w:rPr>
              <w:t>Escrow Agreement duly executed by Buyer; 24-month escrow; securing indemnity under "Article X."</w:t>
            </w:r>
          </w:p>
        </w:tc>
        <w:tc>
          <w:tcPr>
            <w:tcW w:type="dxa" w:w="3600"/>
          </w:tcPr>
          <w:p>
            <w:pPr>
              <w:spacing w:after="0"/>
            </w:pPr>
            <w:r/>
            <w:r>
              <w:rPr>
                <w:b w:val="0"/>
                <w:sz w:val="17"/>
              </w:rPr>
              <w:t>The Escrow Agreement must be executed by Buyer AND the Escrow Agent (Sec. 8.2(e)); the Escrow Period is 18 months (Sec. 9.5; Exhibit F); indemnification is Article IX. Sec. 8.1 does not list Seller’s counterpart of the Escrow Agreement although Seller is a party (Sec. 1.1 "Escrow Agreement").</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Add Escrow Agent execution and Pinnacle onboarding/KYC as a pre-closing item, and correct the term (F-1) and Article reference (I-1). Because Seller’s counterpart is not an express Sec. 8.1 deliverable, obtain Seller’s agreement to sign at Closing (Secs. 3.2 and 6.9 support the request) and list it on the checklist.</w:t>
            </w:r>
          </w:p>
        </w:tc>
      </w:tr>
      <w:tr>
        <w:tc>
          <w:tcPr>
            <w:tcW w:type="dxa" w:w="648"/>
          </w:tcPr>
          <w:p>
            <w:pPr>
              <w:spacing w:after="0"/>
            </w:pPr>
            <w:r/>
            <w:r>
              <w:rPr>
                <w:b/>
                <w:sz w:val="17"/>
              </w:rPr>
              <w:t>D-3</w:t>
            </w:r>
          </w:p>
        </w:tc>
        <w:tc>
          <w:tcPr>
            <w:tcW w:type="dxa" w:w="1512"/>
          </w:tcPr>
          <w:p>
            <w:pPr>
              <w:spacing w:after="0"/>
            </w:pPr>
            <w:r/>
            <w:r>
              <w:rPr>
                <w:b w:val="0"/>
                <w:sz w:val="17"/>
              </w:rPr>
              <w:t>B-7</w:t>
            </w:r>
          </w:p>
        </w:tc>
        <w:tc>
          <w:tcPr>
            <w:tcW w:type="dxa" w:w="2736"/>
          </w:tcPr>
          <w:p>
            <w:pPr>
              <w:spacing w:after="0"/>
            </w:pPr>
            <w:r/>
            <w:r>
              <w:rPr>
                <w:b w:val="0"/>
                <w:sz w:val="17"/>
              </w:rPr>
              <w:t>Buyer’s Closing Certificate certifying that all Sec. 7.2 conditions are satisfied.</w:t>
            </w:r>
          </w:p>
        </w:tc>
        <w:tc>
          <w:tcPr>
            <w:tcW w:type="dxa" w:w="3600"/>
          </w:tcPr>
          <w:p>
            <w:pPr>
              <w:spacing w:after="0"/>
            </w:pPr>
            <w:r/>
            <w:r>
              <w:rPr>
                <w:b w:val="0"/>
                <w:sz w:val="17"/>
              </w:rPr>
              <w:t>Certifies only Secs. 7.2(a) and 7.2(b). Sec. 8.2(h).</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Conform the scope; Buyer should not certify Sec. 7.2(c) or 7.2(d).</w:t>
            </w:r>
          </w:p>
        </w:tc>
      </w:tr>
      <w:tr>
        <w:tc>
          <w:tcPr>
            <w:tcW w:type="dxa" w:w="648"/>
          </w:tcPr>
          <w:p>
            <w:pPr>
              <w:spacing w:after="0"/>
            </w:pPr>
            <w:r/>
            <w:r>
              <w:rPr>
                <w:b/>
                <w:sz w:val="17"/>
              </w:rPr>
              <w:t>D-4</w:t>
            </w:r>
          </w:p>
        </w:tc>
        <w:tc>
          <w:tcPr>
            <w:tcW w:type="dxa" w:w="1512"/>
          </w:tcPr>
          <w:p>
            <w:pPr>
              <w:spacing w:after="0"/>
            </w:pPr>
            <w:r/>
            <w:r>
              <w:rPr>
                <w:b w:val="0"/>
                <w:sz w:val="17"/>
              </w:rPr>
              <w:t>B-5; B-6; throughout</w:t>
            </w:r>
          </w:p>
        </w:tc>
        <w:tc>
          <w:tcPr>
            <w:tcW w:type="dxa" w:w="2736"/>
          </w:tcPr>
          <w:p>
            <w:pPr>
              <w:spacing w:after="0"/>
            </w:pPr>
            <w:r/>
            <w:r>
              <w:rPr>
                <w:b w:val="0"/>
                <w:sz w:val="17"/>
              </w:rPr>
              <w:t>Buyer identified throughout as Saxonbrook Industrial Holdings, Inc.</w:t>
            </w:r>
          </w:p>
        </w:tc>
        <w:tc>
          <w:tcPr>
            <w:tcW w:type="dxa" w:w="3600"/>
          </w:tcPr>
          <w:p>
            <w:pPr>
              <w:spacing w:after="0"/>
            </w:pPr>
            <w:r/>
            <w:r>
              <w:rPr>
                <w:b w:val="0"/>
                <w:sz w:val="17"/>
              </w:rPr>
              <w:t>The APA preamble, recitals and notices name Saxonbrook Industrial Holdings, Inc., but the cover page and Buyer signature block read "VANGUARD INDUSTRIAL HOLDINGS, INC." and the Buyer notice email is dhu@vanguardindustrial.com. Sec. 11.1; signature page.</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The APA may have been signed in the name of an entity other than the named Buyer. Confirm the correct legal name (and whether Vanguard is a former name or an affiliate). If it is an error, paper a written amendment or confirmation under Sec. 11.5 before Closing. Make sure the Secretary’s Certificate, Delaware good standing and all closing documents use the correct entity; if Buyer intends to close through an affiliate, use Sec. 11.6 (Buyer remains jointly and severally liable).</w:t>
            </w:r>
          </w:p>
        </w:tc>
      </w:tr>
    </w:tbl>
    <w:p/>
    <w:p>
      <w:pPr>
        <w:pStyle w:val="Heading2"/>
      </w:pPr>
      <w:r>
        <w:t>E. Post-Closing Items and Deadlines</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E-1</w:t>
            </w:r>
          </w:p>
        </w:tc>
        <w:tc>
          <w:tcPr>
            <w:tcW w:type="dxa" w:w="1512"/>
          </w:tcPr>
          <w:p>
            <w:pPr>
              <w:spacing w:after="0"/>
            </w:pPr>
            <w:r/>
            <w:r>
              <w:rPr>
                <w:b w:val="0"/>
                <w:sz w:val="17"/>
              </w:rPr>
              <w:t>PC-1; Sec. VII</w:t>
            </w:r>
          </w:p>
        </w:tc>
        <w:tc>
          <w:tcPr>
            <w:tcW w:type="dxa" w:w="2736"/>
          </w:tcPr>
          <w:p>
            <w:pPr>
              <w:spacing w:after="0"/>
            </w:pPr>
            <w:r/>
            <w:r>
              <w:rPr>
                <w:b w:val="0"/>
                <w:sz w:val="17"/>
              </w:rPr>
              <w:t>Buyer delivers the Final Closing Statement within 90 days after Closing (by August 13, 2025).</w:t>
            </w:r>
          </w:p>
        </w:tc>
        <w:tc>
          <w:tcPr>
            <w:tcW w:type="dxa" w:w="3600"/>
          </w:tcPr>
          <w:p>
            <w:pPr>
              <w:spacing w:after="0"/>
            </w:pPr>
            <w:r/>
            <w:r>
              <w:rPr>
                <w:b w:val="0"/>
                <w:sz w:val="17"/>
              </w:rPr>
              <w:t>Buyer must deliver the Proposed Final Closing Statement within sixty (60) days after the Closing Date, i.e., by Monday, July 14, 2025 for a May 15, 2025 Closing. Sec. 2.6(b).</w:t>
            </w:r>
          </w:p>
        </w:tc>
        <w:tc>
          <w:tcPr>
            <w:tcW w:type="dxa" w:w="1080"/>
            <w:shd w:val="clear" w:color="auto" w:fill="C00000"/>
          </w:tcPr>
          <w:p>
            <w:pPr>
              <w:spacing w:after="0"/>
              <w:jc w:val="center"/>
            </w:pPr>
            <w:r/>
            <w:r>
              <w:rPr>
                <w:b/>
                <w:color w:val="FFFFFF"/>
                <w:sz w:val="18"/>
              </w:rPr>
              <w:t>Critical</w:t>
            </w:r>
          </w:p>
        </w:tc>
        <w:tc>
          <w:tcPr>
            <w:tcW w:type="dxa" w:w="4248"/>
          </w:tcPr>
          <w:p>
            <w:pPr>
              <w:spacing w:after="0"/>
            </w:pPr>
            <w:r/>
            <w:r>
              <w:rPr>
                <w:b w:val="0"/>
                <w:sz w:val="17"/>
              </w:rPr>
              <w:t>Docketing the checklist date would put Buyer 30 days late on its own adjustment statement, inviting Seller to argue that Buyer has waived or lost its adjustment position. Re-docket to July 14, 2025 and correct the Key Dates table. Also correct terminology: the APA calls Buyer’s statement the "Proposed Final Closing Statement" and Seller’s response a "Dispute Notice."</w:t>
            </w:r>
          </w:p>
        </w:tc>
      </w:tr>
      <w:tr>
        <w:tc>
          <w:tcPr>
            <w:tcW w:type="dxa" w:w="648"/>
          </w:tcPr>
          <w:p>
            <w:pPr>
              <w:spacing w:after="0"/>
            </w:pPr>
            <w:r/>
            <w:r>
              <w:rPr>
                <w:b/>
                <w:sz w:val="17"/>
              </w:rPr>
              <w:t>E-2</w:t>
            </w:r>
          </w:p>
        </w:tc>
        <w:tc>
          <w:tcPr>
            <w:tcW w:type="dxa" w:w="1512"/>
          </w:tcPr>
          <w:p>
            <w:pPr>
              <w:spacing w:after="0"/>
            </w:pPr>
            <w:r/>
            <w:r>
              <w:rPr>
                <w:b w:val="0"/>
                <w:sz w:val="17"/>
              </w:rPr>
              <w:t>PC-1</w:t>
            </w:r>
          </w:p>
        </w:tc>
        <w:tc>
          <w:tcPr>
            <w:tcW w:type="dxa" w:w="2736"/>
          </w:tcPr>
          <w:p>
            <w:pPr>
              <w:spacing w:after="0"/>
            </w:pPr>
            <w:r/>
            <w:r>
              <w:rPr>
                <w:b w:val="0"/>
                <w:sz w:val="17"/>
              </w:rPr>
              <w:t>Seller has 30 days to object; disputes resolved under Sec. 2.6(c).</w:t>
            </w:r>
          </w:p>
        </w:tc>
        <w:tc>
          <w:tcPr>
            <w:tcW w:type="dxa" w:w="3600"/>
          </w:tcPr>
          <w:p>
            <w:pPr>
              <w:spacing w:after="0"/>
            </w:pPr>
            <w:r/>
            <w:r>
              <w:rPr>
                <w:b w:val="0"/>
                <w:sz w:val="17"/>
              </w:rPr>
              <w:t>30-day Review Period (deemed acceptance if no Dispute Notice); 15-day good-faith Resolution Period; then the Accounting Firm decides within 30 days; Accounting Firm costs borne equally; undisputed items become final when the Dispute Notice is delivered. Sec. 2.6(c).</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Add the full sequence and docket each step once the Proposed Final Closing Statement is delivered.</w:t>
            </w:r>
          </w:p>
        </w:tc>
      </w:tr>
      <w:tr>
        <w:tc>
          <w:tcPr>
            <w:tcW w:type="dxa" w:w="648"/>
          </w:tcPr>
          <w:p>
            <w:pPr>
              <w:spacing w:after="0"/>
            </w:pPr>
            <w:r/>
            <w:r>
              <w:rPr>
                <w:b/>
                <w:sz w:val="17"/>
              </w:rPr>
              <w:t>E-3</w:t>
            </w:r>
          </w:p>
        </w:tc>
        <w:tc>
          <w:tcPr>
            <w:tcW w:type="dxa" w:w="1512"/>
          </w:tcPr>
          <w:p>
            <w:pPr>
              <w:spacing w:after="0"/>
            </w:pPr>
            <w:r/>
            <w:r>
              <w:rPr>
                <w:b w:val="0"/>
                <w:sz w:val="17"/>
              </w:rPr>
              <w:t>PC-1; PC-2</w:t>
            </w:r>
          </w:p>
        </w:tc>
        <w:tc>
          <w:tcPr>
            <w:tcW w:type="dxa" w:w="2736"/>
          </w:tcPr>
          <w:p>
            <w:pPr>
              <w:spacing w:after="0"/>
            </w:pPr>
            <w:r/>
            <w:r>
              <w:rPr>
                <w:b w:val="0"/>
                <w:sz w:val="17"/>
              </w:rPr>
              <w:t>Holdback (net) released within 90 days after final determination; cites Sec. 2.6(d).</w:t>
            </w:r>
          </w:p>
        </w:tc>
        <w:tc>
          <w:tcPr>
            <w:tcW w:type="dxa" w:w="3600"/>
          </w:tcPr>
          <w:p>
            <w:pPr>
              <w:spacing w:after="0"/>
            </w:pPr>
            <w:r/>
            <w:r>
              <w:rPr>
                <w:b w:val="0"/>
                <w:sz w:val="17"/>
              </w:rPr>
              <w:t>Sec. 2.5(b)(iii) provides for release within 90 days after final determination, but Sec. 2.6(e) requires adjustment payments within five (5) Business Days after final determination and, if Buyer owes Seller, release of the Holdback "simultaneously"; if Seller owes Buyer, Buyer first offsets against the Holdback and releases the balance, with any excess paid by Seller within the same 5 Business Days.</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The APA is internally inconsistent, and the checklist adopts the 90-day outside date and cites the wrong subsection. The conservative approach is to docket release at 5 Business Days after final determination (Sec. 2.6(e)) and flag the inconsistency for the partner. Correct the cite to Sec. 2.6(e).</w:t>
            </w:r>
          </w:p>
        </w:tc>
      </w:tr>
      <w:tr>
        <w:tc>
          <w:tcPr>
            <w:tcW w:type="dxa" w:w="648"/>
          </w:tcPr>
          <w:p>
            <w:pPr>
              <w:spacing w:after="0"/>
            </w:pPr>
            <w:r/>
            <w:r>
              <w:rPr>
                <w:b/>
                <w:sz w:val="17"/>
              </w:rPr>
              <w:t>E-4</w:t>
            </w:r>
          </w:p>
        </w:tc>
        <w:tc>
          <w:tcPr>
            <w:tcW w:type="dxa" w:w="1512"/>
          </w:tcPr>
          <w:p>
            <w:pPr>
              <w:spacing w:after="0"/>
            </w:pPr>
            <w:r/>
            <w:r>
              <w:rPr>
                <w:b w:val="0"/>
                <w:sz w:val="17"/>
              </w:rPr>
              <w:t>PC-3; Sec. VII</w:t>
            </w:r>
          </w:p>
        </w:tc>
        <w:tc>
          <w:tcPr>
            <w:tcW w:type="dxa" w:w="2736"/>
          </w:tcPr>
          <w:p>
            <w:pPr>
              <w:spacing w:after="0"/>
            </w:pPr>
            <w:r/>
            <w:r>
              <w:rPr>
                <w:b w:val="0"/>
                <w:sz w:val="17"/>
              </w:rPr>
              <w:t>Escrow released on expiry of a 24-month escrow period (approx. May 15, 2027).</w:t>
            </w:r>
          </w:p>
        </w:tc>
        <w:tc>
          <w:tcPr>
            <w:tcW w:type="dxa" w:w="3600"/>
          </w:tcPr>
          <w:p>
            <w:pPr>
              <w:spacing w:after="0"/>
            </w:pPr>
            <w:r/>
            <w:r>
              <w:rPr>
                <w:b w:val="0"/>
                <w:sz w:val="17"/>
              </w:rPr>
              <w:t>The Escrow Period is eighteen (18) months, expiring November 15, 2026 for a May 15, 2025 Closing; funds are retained only for claims noticed to the Escrow Agent before expiry. Sec. 1.1 ("Escrow Period"); Sec. 9.5; Exhibit F.</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Buyer would believe it has six more months of escrow protection than it does; claim notices delivered after November 15, 2026 would not hold back funds. Re-docket, and add reminders (e.g., 60 and 30 days before November 15, 2026) to deliver any claim notices to the Escrow Agent. The Escrow Period and General Survival Period expire on the same date.</w:t>
            </w:r>
          </w:p>
        </w:tc>
      </w:tr>
      <w:tr>
        <w:tc>
          <w:tcPr>
            <w:tcW w:type="dxa" w:w="648"/>
          </w:tcPr>
          <w:p>
            <w:pPr>
              <w:spacing w:after="0"/>
            </w:pPr>
            <w:r/>
            <w:r>
              <w:rPr>
                <w:b/>
                <w:sz w:val="17"/>
              </w:rPr>
              <w:t>E-5</w:t>
            </w:r>
          </w:p>
        </w:tc>
        <w:tc>
          <w:tcPr>
            <w:tcW w:type="dxa" w:w="1512"/>
          </w:tcPr>
          <w:p>
            <w:pPr>
              <w:spacing w:after="0"/>
            </w:pPr>
            <w:r/>
            <w:r>
              <w:rPr>
                <w:b w:val="0"/>
                <w:sz w:val="17"/>
              </w:rPr>
              <w:t>Sec. VI (omitted)</w:t>
            </w:r>
          </w:p>
        </w:tc>
        <w:tc>
          <w:tcPr>
            <w:tcW w:type="dxa" w:w="2736"/>
          </w:tcPr>
          <w:p>
            <w:pPr>
              <w:spacing w:after="0"/>
            </w:pPr>
            <w:r/>
            <w:r>
              <w:rPr>
                <w:b w:val="0"/>
                <w:sz w:val="17"/>
              </w:rPr>
              <w:t>No purchase price allocation item.</w:t>
            </w:r>
          </w:p>
        </w:tc>
        <w:tc>
          <w:tcPr>
            <w:tcW w:type="dxa" w:w="3600"/>
          </w:tcPr>
          <w:p>
            <w:pPr>
              <w:spacing w:after="0"/>
            </w:pPr>
            <w:r/>
            <w:r>
              <w:rPr>
                <w:b w:val="0"/>
                <w:sz w:val="17"/>
              </w:rPr>
              <w:t>Buyer must deliver a proposed Section 1060 Allocation within 90 days after final determination of the Final Closing Statement; Seller has 30 days to object. Sec. 6.7(b).</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Add as a post-closing item (Buyer responsibility) and coordinate with the IRS Form 8594 filings.</w:t>
            </w:r>
          </w:p>
        </w:tc>
      </w:tr>
      <w:tr>
        <w:tc>
          <w:tcPr>
            <w:tcW w:type="dxa" w:w="648"/>
          </w:tcPr>
          <w:p>
            <w:pPr>
              <w:spacing w:after="0"/>
            </w:pPr>
            <w:r/>
            <w:r>
              <w:rPr>
                <w:b/>
                <w:sz w:val="17"/>
              </w:rPr>
              <w:t>E-6</w:t>
            </w:r>
          </w:p>
        </w:tc>
        <w:tc>
          <w:tcPr>
            <w:tcW w:type="dxa" w:w="1512"/>
          </w:tcPr>
          <w:p>
            <w:pPr>
              <w:spacing w:after="0"/>
            </w:pPr>
            <w:r/>
            <w:r>
              <w:rPr>
                <w:b w:val="0"/>
                <w:sz w:val="17"/>
              </w:rPr>
              <w:t>Sec. VI (omitted)</w:t>
            </w:r>
          </w:p>
        </w:tc>
        <w:tc>
          <w:tcPr>
            <w:tcW w:type="dxa" w:w="2736"/>
          </w:tcPr>
          <w:p>
            <w:pPr>
              <w:spacing w:after="0"/>
            </w:pPr>
            <w:r/>
            <w:r>
              <w:rPr>
                <w:b w:val="0"/>
                <w:sz w:val="17"/>
              </w:rPr>
              <w:t>No tax proration or record-retention items.</w:t>
            </w:r>
          </w:p>
        </w:tc>
        <w:tc>
          <w:tcPr>
            <w:tcW w:type="dxa" w:w="3600"/>
          </w:tcPr>
          <w:p>
            <w:pPr>
              <w:spacing w:after="0"/>
            </w:pPr>
            <w:r/>
            <w:r>
              <w:rPr>
                <w:b w:val="0"/>
                <w:sz w:val="17"/>
              </w:rPr>
              <w:t>Straddle Period property and similar Taxes are prorated as of the Closing Date (Sec. 6.7(c)); tax records must be kept for at least 7 years (Sec. 6.7(a)); Tax refunds for Pre-Closing Tax Periods are Excluded Assets (Sec. 2.2(e)).</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Add proration (e.g., Hillsboro property taxes) to the closing statement and funds flow, and a record-retention docket entry.</w:t>
            </w:r>
          </w:p>
        </w:tc>
      </w:tr>
      <w:tr>
        <w:tc>
          <w:tcPr>
            <w:tcW w:type="dxa" w:w="648"/>
          </w:tcPr>
          <w:p>
            <w:pPr>
              <w:spacing w:after="0"/>
            </w:pPr>
            <w:r/>
            <w:r>
              <w:rPr>
                <w:b/>
                <w:sz w:val="17"/>
              </w:rPr>
              <w:t>E-7</w:t>
            </w:r>
          </w:p>
        </w:tc>
        <w:tc>
          <w:tcPr>
            <w:tcW w:type="dxa" w:w="1512"/>
          </w:tcPr>
          <w:p>
            <w:pPr>
              <w:spacing w:after="0"/>
            </w:pPr>
            <w:r/>
            <w:r>
              <w:rPr>
                <w:b w:val="0"/>
                <w:sz w:val="17"/>
              </w:rPr>
              <w:t>PC-4</w:t>
            </w:r>
          </w:p>
        </w:tc>
        <w:tc>
          <w:tcPr>
            <w:tcW w:type="dxa" w:w="2736"/>
          </w:tcPr>
          <w:p>
            <w:pPr>
              <w:spacing w:after="0"/>
            </w:pPr>
            <w:r/>
            <w:r>
              <w:rPr>
                <w:b w:val="0"/>
                <w:sz w:val="17"/>
              </w:rPr>
              <w:t>UCC-3 terminations within 10 business days after Closing.</w:t>
            </w:r>
          </w:p>
        </w:tc>
        <w:tc>
          <w:tcPr>
            <w:tcW w:type="dxa" w:w="3600"/>
          </w:tcPr>
          <w:p>
            <w:pPr>
              <w:spacing w:after="0"/>
            </w:pPr>
            <w:r/>
            <w:r>
              <w:rPr>
                <w:b w:val="0"/>
                <w:sz w:val="17"/>
              </w:rPr>
              <w:t>Encumbrances are to be released "at or promptly following the Closing," including deed of trust releases. Sec. 8.1(i).</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The timing is a reasonable internal target. Add recording of the deed of trust release and confirmatory post-filing lien searches. See C-11.</w:t>
            </w:r>
          </w:p>
        </w:tc>
      </w:tr>
      <w:tr>
        <w:tc>
          <w:tcPr>
            <w:tcW w:type="dxa" w:w="648"/>
          </w:tcPr>
          <w:p>
            <w:pPr>
              <w:spacing w:after="0"/>
            </w:pPr>
            <w:r/>
            <w:r>
              <w:rPr>
                <w:b/>
                <w:sz w:val="17"/>
              </w:rPr>
              <w:t>E-8</w:t>
            </w:r>
          </w:p>
        </w:tc>
        <w:tc>
          <w:tcPr>
            <w:tcW w:type="dxa" w:w="1512"/>
          </w:tcPr>
          <w:p>
            <w:pPr>
              <w:spacing w:after="0"/>
            </w:pPr>
            <w:r/>
            <w:r>
              <w:rPr>
                <w:b w:val="0"/>
                <w:sz w:val="17"/>
              </w:rPr>
              <w:t>PC-5</w:t>
            </w:r>
          </w:p>
        </w:tc>
        <w:tc>
          <w:tcPr>
            <w:tcW w:type="dxa" w:w="2736"/>
          </w:tcPr>
          <w:p>
            <w:pPr>
              <w:spacing w:after="0"/>
            </w:pPr>
            <w:r/>
            <w:r>
              <w:rPr>
                <w:b w:val="0"/>
                <w:sz w:val="17"/>
              </w:rPr>
              <w:t>Seller remains responsible for WARN Act obligations.</w:t>
            </w:r>
          </w:p>
        </w:tc>
        <w:tc>
          <w:tcPr>
            <w:tcW w:type="dxa" w:w="3600"/>
          </w:tcPr>
          <w:p>
            <w:pPr>
              <w:spacing w:after="0"/>
            </w:pPr>
            <w:r/>
            <w:r>
              <w:rPr>
                <w:b w:val="0"/>
                <w:sz w:val="17"/>
              </w:rPr>
              <w:t>Seller is responsible for WARN obligations from actions prior to or in connection with Closing; Buyer is responsible for actions it takes after Closing. Sec. 6.8(c).</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Add Buyer’s post-Closing WARN responsibility, which matters if fewer than all 127 employees are hired or post-Closing reductions are planned.</w:t>
            </w:r>
          </w:p>
        </w:tc>
      </w:tr>
    </w:tbl>
    <w:p/>
    <w:p>
      <w:pPr>
        <w:pStyle w:val="Heading2"/>
      </w:pPr>
      <w:r>
        <w:t>F. Indemnification, Escrow and Survival (APA Article IX)</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F-1</w:t>
            </w:r>
          </w:p>
        </w:tc>
        <w:tc>
          <w:tcPr>
            <w:tcW w:type="dxa" w:w="1512"/>
          </w:tcPr>
          <w:p>
            <w:pPr>
              <w:spacing w:after="0"/>
            </w:pPr>
            <w:r/>
            <w:r>
              <w:rPr>
                <w:b w:val="0"/>
                <w:sz w:val="17"/>
              </w:rPr>
              <w:t>Sec. I (Escrow Period)</w:t>
            </w:r>
          </w:p>
        </w:tc>
        <w:tc>
          <w:tcPr>
            <w:tcW w:type="dxa" w:w="2736"/>
          </w:tcPr>
          <w:p>
            <w:pPr>
              <w:spacing w:after="0"/>
            </w:pPr>
            <w:r/>
            <w:r>
              <w:rPr>
                <w:b w:val="0"/>
                <w:sz w:val="17"/>
              </w:rPr>
              <w:t>Escrow Period of 24 months securing indemnification under Article X.</w:t>
            </w:r>
          </w:p>
        </w:tc>
        <w:tc>
          <w:tcPr>
            <w:tcW w:type="dxa" w:w="3600"/>
          </w:tcPr>
          <w:p>
            <w:pPr>
              <w:spacing w:after="0"/>
            </w:pPr>
            <w:r/>
            <w:r>
              <w:rPr>
                <w:b w:val="0"/>
                <w:sz w:val="17"/>
              </w:rPr>
              <w:t>18 months (Sec. 1.1; Sec. 9.5; Exhibit F); indemnification is in Article IX.</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See E-4 and I-1.</w:t>
            </w:r>
          </w:p>
        </w:tc>
      </w:tr>
      <w:tr>
        <w:tc>
          <w:tcPr>
            <w:tcW w:type="dxa" w:w="648"/>
          </w:tcPr>
          <w:p>
            <w:pPr>
              <w:spacing w:after="0"/>
            </w:pPr>
            <w:r/>
            <w:r>
              <w:rPr>
                <w:b/>
                <w:sz w:val="17"/>
              </w:rPr>
              <w:t>F-2</w:t>
            </w:r>
          </w:p>
        </w:tc>
        <w:tc>
          <w:tcPr>
            <w:tcW w:type="dxa" w:w="1512"/>
          </w:tcPr>
          <w:p>
            <w:pPr>
              <w:spacing w:after="0"/>
            </w:pPr>
            <w:r/>
            <w:r>
              <w:rPr>
                <w:b w:val="0"/>
                <w:sz w:val="17"/>
              </w:rPr>
              <w:t>Sec. I (General Cap); PC-7</w:t>
            </w:r>
          </w:p>
        </w:tc>
        <w:tc>
          <w:tcPr>
            <w:tcW w:type="dxa" w:w="2736"/>
          </w:tcPr>
          <w:p>
            <w:pPr>
              <w:spacing w:after="0"/>
            </w:pPr>
            <w:r/>
            <w:r>
              <w:rPr>
                <w:b w:val="0"/>
                <w:sz w:val="17"/>
              </w:rPr>
              <w:t>General Indemnification Cap of $8,500,000 ("approximately 10%").</w:t>
            </w:r>
          </w:p>
        </w:tc>
        <w:tc>
          <w:tcPr>
            <w:tcW w:type="dxa" w:w="3600"/>
          </w:tcPr>
          <w:p>
            <w:pPr>
              <w:spacing w:after="0"/>
            </w:pPr>
            <w:r/>
            <w:r>
              <w:rPr>
                <w:b w:val="0"/>
                <w:sz w:val="17"/>
              </w:rPr>
              <w:t>The General Indemnification Cap is $8,750,000, exactly 10% of the Purchase Price. Sec. 1.1; Sec. 9.4(c).</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Understates Buyer’s recovery capacity by $250,000, which would distort claim evaluation and settlement. Correct the Summary and the PC-7 docket.</w:t>
            </w:r>
          </w:p>
        </w:tc>
      </w:tr>
      <w:tr>
        <w:tc>
          <w:tcPr>
            <w:tcW w:type="dxa" w:w="648"/>
          </w:tcPr>
          <w:p>
            <w:pPr>
              <w:spacing w:after="0"/>
            </w:pPr>
            <w:r/>
            <w:r>
              <w:rPr>
                <w:b/>
                <w:sz w:val="17"/>
              </w:rPr>
              <w:t>F-3</w:t>
            </w:r>
          </w:p>
        </w:tc>
        <w:tc>
          <w:tcPr>
            <w:tcW w:type="dxa" w:w="1512"/>
          </w:tcPr>
          <w:p>
            <w:pPr>
              <w:spacing w:after="0"/>
            </w:pPr>
            <w:r/>
            <w:r>
              <w:rPr>
                <w:b w:val="0"/>
                <w:sz w:val="17"/>
              </w:rPr>
              <w:t>Sec. I (Basket; Mini-Basket); PC-7</w:t>
            </w:r>
          </w:p>
        </w:tc>
        <w:tc>
          <w:tcPr>
            <w:tcW w:type="dxa" w:w="2736"/>
          </w:tcPr>
          <w:p>
            <w:pPr>
              <w:spacing w:after="0"/>
            </w:pPr>
            <w:r/>
            <w:r>
              <w:rPr>
                <w:b w:val="0"/>
                <w:sz w:val="17"/>
              </w:rPr>
              <w:t>Basket of $875,000 true deductible; Mini-Basket excludes Losses of $50,000 or less from the Basket calculation.</w:t>
            </w:r>
          </w:p>
        </w:tc>
        <w:tc>
          <w:tcPr>
            <w:tcW w:type="dxa" w:w="3600"/>
          </w:tcPr>
          <w:p>
            <w:pPr>
              <w:spacing w:after="0"/>
            </w:pPr>
            <w:r/>
            <w:r>
              <w:rPr>
                <w:b w:val="0"/>
                <w:sz w:val="17"/>
              </w:rPr>
              <w:t>The amounts are consistent. But: (i) the Basket does not apply to Fundamental Representations or Fraud (Sec. 9.4(a)); (ii) a claim not exceeding the Mini-Basket is disregarded "in its entirety for all purposes" and is not recoverable even after the Basket is met (Sec. 9.4(b)); (iii) the Basket, Mini-Basket and caps apply only to Sec. 9.2(a) representation claims, not to covenant, Excluded Liability or Excluded Asset claims (Secs. 9.2(b)-(d), 9.4(a)-(c)).</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Expand the PC-7 parameters so claim screening applies the limitations correctly (e.g., Aeromet losses under Sec. 9.2(c) are not subject to the Basket or General Cap).</w:t>
            </w:r>
          </w:p>
        </w:tc>
      </w:tr>
      <w:tr>
        <w:tc>
          <w:tcPr>
            <w:tcW w:type="dxa" w:w="648"/>
          </w:tcPr>
          <w:p>
            <w:pPr>
              <w:spacing w:after="0"/>
            </w:pPr>
            <w:r/>
            <w:r>
              <w:rPr>
                <w:b/>
                <w:sz w:val="17"/>
              </w:rPr>
              <w:t>F-4</w:t>
            </w:r>
          </w:p>
        </w:tc>
        <w:tc>
          <w:tcPr>
            <w:tcW w:type="dxa" w:w="1512"/>
          </w:tcPr>
          <w:p>
            <w:pPr>
              <w:spacing w:after="0"/>
            </w:pPr>
            <w:r/>
            <w:r>
              <w:rPr>
                <w:b w:val="0"/>
                <w:sz w:val="17"/>
              </w:rPr>
              <w:t>PC-7</w:t>
            </w:r>
          </w:p>
        </w:tc>
        <w:tc>
          <w:tcPr>
            <w:tcW w:type="dxa" w:w="2736"/>
          </w:tcPr>
          <w:p>
            <w:pPr>
              <w:spacing w:after="0"/>
            </w:pPr>
            <w:r/>
            <w:r>
              <w:rPr>
                <w:b w:val="0"/>
                <w:sz w:val="17"/>
              </w:rPr>
              <w:t>Tax representations survive until 60 days after the applicable statute of limitations; Fundamental Representations survive 36 months.</w:t>
            </w:r>
          </w:p>
        </w:tc>
        <w:tc>
          <w:tcPr>
            <w:tcW w:type="dxa" w:w="3600"/>
          </w:tcPr>
          <w:p>
            <w:pPr>
              <w:spacing w:after="0"/>
            </w:pPr>
            <w:r/>
            <w:r>
              <w:rPr>
                <w:b w:val="0"/>
                <w:sz w:val="17"/>
              </w:rPr>
              <w:t>Sec. 9.1(b) gives Sec. 4.11 (Tax) SOL + 60 days, but Sec. 9.1(c) lists Sec. 4.11 among the Fundamental Representations surviving 36 months "[n]otwithstanding Section 9.1(a)."</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This is an internal APA inconsistency. The better reading (Sec. 9.1(b) is specific, and Sec. 9.1(c) only overrides Sec. 9.1(a)) supports the longer SOL-based period, but Seller may argue 36 months. Docket the earlier date (May 15, 2028) as the conservative claim deadline for tax matters and flag for the partner.</w:t>
            </w:r>
          </w:p>
        </w:tc>
      </w:tr>
      <w:tr>
        <w:tc>
          <w:tcPr>
            <w:tcW w:type="dxa" w:w="648"/>
          </w:tcPr>
          <w:p>
            <w:pPr>
              <w:spacing w:after="0"/>
            </w:pPr>
            <w:r/>
            <w:r>
              <w:rPr>
                <w:b/>
                <w:sz w:val="17"/>
              </w:rPr>
              <w:t>F-5</w:t>
            </w:r>
          </w:p>
        </w:tc>
        <w:tc>
          <w:tcPr>
            <w:tcW w:type="dxa" w:w="1512"/>
          </w:tcPr>
          <w:p>
            <w:pPr>
              <w:spacing w:after="0"/>
            </w:pPr>
            <w:r/>
            <w:r>
              <w:rPr>
                <w:b w:val="0"/>
                <w:sz w:val="17"/>
              </w:rPr>
              <w:t>PC-7</w:t>
            </w:r>
          </w:p>
        </w:tc>
        <w:tc>
          <w:tcPr>
            <w:tcW w:type="dxa" w:w="2736"/>
          </w:tcPr>
          <w:p>
            <w:pPr>
              <w:spacing w:after="0"/>
            </w:pPr>
            <w:r/>
            <w:r>
              <w:rPr>
                <w:b w:val="0"/>
                <w:sz w:val="17"/>
              </w:rPr>
              <w:t>Fraud: unlimited (no cap, no basket, no time limit).</w:t>
            </w:r>
          </w:p>
        </w:tc>
        <w:tc>
          <w:tcPr>
            <w:tcW w:type="dxa" w:w="3600"/>
          </w:tcPr>
          <w:p>
            <w:pPr>
              <w:spacing w:after="0"/>
            </w:pPr>
            <w:r/>
            <w:r>
              <w:rPr>
                <w:b w:val="0"/>
                <w:sz w:val="17"/>
              </w:rPr>
              <w:t>Fraud survives indefinitely and the Sec. 9.4 and 9.5 limitations do not apply (Sec. 9.1(d); Sec. 9.4(e)). "Fraud" is narrowly defined (actual and intentional, with specific intent and justifiable reliance) (Sec. 1.1); indemnity is the exclusive remedy except for Fraud and specific performance (Sec. 9.7).</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Consistent. Add the narrow Fraud definition, the exclusive-remedy provision and the Sec. 9.6 claim procedures (prompt Claim Notice; 30-day response; deemed acceptance of Direct Claims) to the monitoring memo.</w:t>
            </w:r>
          </w:p>
        </w:tc>
      </w:tr>
    </w:tbl>
    <w:p/>
    <w:p>
      <w:pPr>
        <w:pStyle w:val="Heading2"/>
      </w:pPr>
      <w:r>
        <w:t>G. Termination and Outside Date (APA Article X)</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G-1</w:t>
            </w:r>
          </w:p>
        </w:tc>
        <w:tc>
          <w:tcPr>
            <w:tcW w:type="dxa" w:w="1512"/>
          </w:tcPr>
          <w:p>
            <w:pPr>
              <w:spacing w:after="0"/>
            </w:pPr>
            <w:r/>
            <w:r>
              <w:rPr>
                <w:b w:val="0"/>
                <w:sz w:val="17"/>
              </w:rPr>
              <w:t>Sec. I (Outside Date); Sec. VII</w:t>
            </w:r>
          </w:p>
        </w:tc>
        <w:tc>
          <w:tcPr>
            <w:tcW w:type="dxa" w:w="2736"/>
          </w:tcPr>
          <w:p>
            <w:pPr>
              <w:spacing w:after="0"/>
            </w:pPr>
            <w:r/>
            <w:r>
              <w:rPr>
                <w:b w:val="0"/>
                <w:sz w:val="17"/>
              </w:rPr>
              <w:t>Outside Date of July 14, 2025 under Section 9.1(b).</w:t>
            </w:r>
          </w:p>
        </w:tc>
        <w:tc>
          <w:tcPr>
            <w:tcW w:type="dxa" w:w="3600"/>
          </w:tcPr>
          <w:p>
            <w:pPr>
              <w:spacing w:after="0"/>
            </w:pPr>
            <w:r/>
            <w:r>
              <w:rPr>
                <w:b w:val="0"/>
                <w:sz w:val="17"/>
              </w:rPr>
              <w:t>The Outside Date is August 14, 2025 under Section 10.1(b) (Sec. 9.1(b) concerns survival of Tax representations). Sec. 1.1 ("Outside Date").</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A party relying on July 14, 2025 could serve a premature termination notice that is ineffective and could be treated as repudiation. The error also understates the time available to obtain the Northwind consent (B-1). Correct the date and citation.</w:t>
            </w:r>
          </w:p>
        </w:tc>
      </w:tr>
      <w:tr>
        <w:tc>
          <w:tcPr>
            <w:tcW w:type="dxa" w:w="648"/>
          </w:tcPr>
          <w:p>
            <w:pPr>
              <w:spacing w:after="0"/>
            </w:pPr>
            <w:r/>
            <w:r>
              <w:rPr>
                <w:b/>
                <w:sz w:val="17"/>
              </w:rPr>
              <w:t>G-2</w:t>
            </w:r>
          </w:p>
        </w:tc>
        <w:tc>
          <w:tcPr>
            <w:tcW w:type="dxa" w:w="1512"/>
          </w:tcPr>
          <w:p>
            <w:pPr>
              <w:spacing w:after="0"/>
            </w:pPr>
            <w:r/>
            <w:r>
              <w:rPr>
                <w:b w:val="0"/>
                <w:sz w:val="17"/>
              </w:rPr>
              <w:t>Sec. I (Reverse Break-Up Fee)</w:t>
            </w:r>
          </w:p>
        </w:tc>
        <w:tc>
          <w:tcPr>
            <w:tcW w:type="dxa" w:w="2736"/>
          </w:tcPr>
          <w:p>
            <w:pPr>
              <w:spacing w:after="0"/>
            </w:pPr>
            <w:r/>
            <w:r>
              <w:rPr>
                <w:b w:val="0"/>
                <w:sz w:val="17"/>
              </w:rPr>
              <w:t>$2,625,000 payable by Buyer upon termination by Seller under Section 9.1(d).</w:t>
            </w:r>
          </w:p>
        </w:tc>
        <w:tc>
          <w:tcPr>
            <w:tcW w:type="dxa" w:w="3600"/>
          </w:tcPr>
          <w:p>
            <w:pPr>
              <w:spacing w:after="0"/>
            </w:pPr>
            <w:r/>
            <w:r>
              <w:rPr>
                <w:b w:val="0"/>
                <w:sz w:val="17"/>
              </w:rPr>
              <w:t>Payable only if Seller terminates under Sec. 10.1(e) because Buyer failed to close when all Article VII conditions were satisfied or waived; payable within 5 Business Days; Seller’s sole and exclusive remedy for that termination except for Fraud or willful and material breach; no fee is payable by Seller. Sec. 10.3. (Sec. 9.1(d) is the Fraud survival clause; Sec. 10.1(d) is a Buyer termination right.)</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The amount is correct but the trigger and cite are wrong, and the description omits the conditions to payment. Correct to Secs. 10.1(e)/10.3 and describe the trigger accurately.</w:t>
            </w:r>
          </w:p>
        </w:tc>
      </w:tr>
    </w:tbl>
    <w:p/>
    <w:p>
      <w:pPr>
        <w:pStyle w:val="Heading2"/>
      </w:pPr>
      <w:r>
        <w:t>H. Employee Matters (APA Sec. 6.8)</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H-1</w:t>
            </w:r>
          </w:p>
        </w:tc>
        <w:tc>
          <w:tcPr>
            <w:tcW w:type="dxa" w:w="1512"/>
          </w:tcPr>
          <w:p>
            <w:pPr>
              <w:spacing w:after="0"/>
            </w:pPr>
            <w:r/>
            <w:r>
              <w:rPr>
                <w:b w:val="0"/>
                <w:sz w:val="17"/>
              </w:rPr>
              <w:t>P-7</w:t>
            </w:r>
          </w:p>
        </w:tc>
        <w:tc>
          <w:tcPr>
            <w:tcW w:type="dxa" w:w="2736"/>
          </w:tcPr>
          <w:p>
            <w:pPr>
              <w:spacing w:after="0"/>
            </w:pPr>
            <w:r/>
            <w:r>
              <w:rPr>
                <w:b w:val="0"/>
                <w:sz w:val="17"/>
              </w:rPr>
              <w:t>Offer letters to be delivered no later than ten (10) business days before the Scheduled Closing Date (i.e., May 1, 2025); cites Section 6.1.</w:t>
            </w:r>
          </w:p>
        </w:tc>
        <w:tc>
          <w:tcPr>
            <w:tcW w:type="dxa" w:w="3600"/>
          </w:tcPr>
          <w:p>
            <w:pPr>
              <w:spacing w:after="0"/>
            </w:pPr>
            <w:r/>
            <w:r>
              <w:rPr>
                <w:b w:val="0"/>
                <w:sz w:val="17"/>
              </w:rPr>
              <w:t>Buyer must offer employment to at least 108 of the 127 full-time employees "no later than fifteen (15) days prior to the Closing Date," i.e., by Wednesday, April 30, 2025 for a May 15, 2025 Closing (calendar days, Sec. 1.2(g)). Sec. 6.8(a). Sec. 6.1 is the interim operating covenant.</w:t>
            </w:r>
          </w:p>
        </w:tc>
        <w:tc>
          <w:tcPr>
            <w:tcW w:type="dxa" w:w="1080"/>
            <w:shd w:val="clear" w:color="auto" w:fill="C00000"/>
          </w:tcPr>
          <w:p>
            <w:pPr>
              <w:spacing w:after="0"/>
              <w:jc w:val="center"/>
            </w:pPr>
            <w:r/>
            <w:r>
              <w:rPr>
                <w:b/>
                <w:color w:val="FFFFFF"/>
                <w:sz w:val="18"/>
              </w:rPr>
              <w:t>Critical</w:t>
            </w:r>
          </w:p>
        </w:tc>
        <w:tc>
          <w:tcPr>
            <w:tcW w:type="dxa" w:w="4248"/>
          </w:tcPr>
          <w:p>
            <w:pPr>
              <w:spacing w:after="0"/>
            </w:pPr>
            <w:r/>
            <w:r>
              <w:rPr>
                <w:b w:val="0"/>
                <w:sz w:val="17"/>
              </w:rPr>
              <w:t>The checklist deadline is one day late, and the checklist (dated April 28, 2025) leaves only two days. Missing the date is a breach of a Buyer covenant that bears on Sec. 7.2(b) and the Buyer’s Closing Certificate. Escalate immediately, confirm at least 108 offers are out by April 30, 2025, correct the cite to Sec. 6.8(a) and add the date to Key Dates.</w:t>
            </w:r>
          </w:p>
        </w:tc>
      </w:tr>
      <w:tr>
        <w:tc>
          <w:tcPr>
            <w:tcW w:type="dxa" w:w="648"/>
          </w:tcPr>
          <w:p>
            <w:pPr>
              <w:spacing w:after="0"/>
            </w:pPr>
            <w:r/>
            <w:r>
              <w:rPr>
                <w:b/>
                <w:sz w:val="17"/>
              </w:rPr>
              <w:t>H-2</w:t>
            </w:r>
          </w:p>
        </w:tc>
        <w:tc>
          <w:tcPr>
            <w:tcW w:type="dxa" w:w="1512"/>
          </w:tcPr>
          <w:p>
            <w:pPr>
              <w:spacing w:after="0"/>
            </w:pPr>
            <w:r/>
            <w:r>
              <w:rPr>
                <w:b w:val="0"/>
                <w:sz w:val="17"/>
              </w:rPr>
              <w:t>Sec. I (Employee Matters); P-7; PC-5</w:t>
            </w:r>
          </w:p>
        </w:tc>
        <w:tc>
          <w:tcPr>
            <w:tcW w:type="dxa" w:w="2736"/>
          </w:tcPr>
          <w:p>
            <w:pPr>
              <w:spacing w:after="0"/>
            </w:pPr>
            <w:r/>
            <w:r>
              <w:rPr>
                <w:b w:val="0"/>
                <w:sz w:val="17"/>
              </w:rPr>
              <w:t>Substantially comparable compensation and benefits for not less than 12 months.</w:t>
            </w:r>
          </w:p>
        </w:tc>
        <w:tc>
          <w:tcPr>
            <w:tcW w:type="dxa" w:w="3600"/>
          </w:tcPr>
          <w:p>
            <w:pPr>
              <w:spacing w:after="0"/>
            </w:pPr>
            <w:r/>
            <w:r>
              <w:rPr>
                <w:b w:val="0"/>
                <w:sz w:val="17"/>
              </w:rPr>
              <w:t>Comparable "in the aggregate," covering base salary/wage, annual bonus opportunity and employee benefit plan coverage, measured against what Seller provided immediately before Closing. Sec. 6.8(b). No third-party beneficiary rights, and Buyer may terminate employees post-Closing (Sec. 6.8(d)); but Sec. 11.10 carves Sec. 6.8 out of the no-third-party-beneficiary clause.</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Conform the description so HR offers track the Sec. 6.8(b) components (including bonus opportunity). Flag the Sec. 6.8(d) / Sec. 11.10 tension for the partner.</w:t>
            </w:r>
          </w:p>
        </w:tc>
      </w:tr>
      <w:tr>
        <w:tc>
          <w:tcPr>
            <w:tcW w:type="dxa" w:w="648"/>
          </w:tcPr>
          <w:p>
            <w:pPr>
              <w:spacing w:after="0"/>
            </w:pPr>
            <w:r/>
            <w:r>
              <w:rPr>
                <w:b/>
                <w:sz w:val="17"/>
              </w:rPr>
              <w:t>H-3</w:t>
            </w:r>
          </w:p>
        </w:tc>
        <w:tc>
          <w:tcPr>
            <w:tcW w:type="dxa" w:w="1512"/>
          </w:tcPr>
          <w:p>
            <w:pPr>
              <w:spacing w:after="0"/>
            </w:pPr>
            <w:r/>
            <w:r>
              <w:rPr>
                <w:b w:val="0"/>
                <w:sz w:val="17"/>
              </w:rPr>
              <w:t>Sec. I (Accrued PTO)</w:t>
            </w:r>
          </w:p>
        </w:tc>
        <w:tc>
          <w:tcPr>
            <w:tcW w:type="dxa" w:w="2736"/>
          </w:tcPr>
          <w:p>
            <w:pPr>
              <w:spacing w:after="0"/>
            </w:pPr>
            <w:r/>
            <w:r>
              <w:rPr>
                <w:b w:val="0"/>
                <w:sz w:val="17"/>
              </w:rPr>
              <w:t>PTO of approx. $387,000 "as of the anticipated Closing Date" is an Assumed Liability under Section 2.3(c).</w:t>
            </w:r>
          </w:p>
        </w:tc>
        <w:tc>
          <w:tcPr>
            <w:tcW w:type="dxa" w:w="3600"/>
          </w:tcPr>
          <w:p>
            <w:pPr>
              <w:spacing w:after="0"/>
            </w:pPr>
            <w:r/>
            <w:r>
              <w:rPr>
                <w:b w:val="0"/>
                <w:sz w:val="17"/>
              </w:rPr>
              <w:t>PTO is an Assumed Liability under Sec. 2.3(d) (Sec. 2.3(c) covers warranty obligations), estimated at $387,000 as of the Execution Date and to be adjusted to actual balances at Closing. Sec. 4.12(b) describes the $387,000 as the balance for all employees, while Sec. 2.3(d) assumes only Transferred Employees’ balances.</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Correct the cite and measuring date. Obtain an updated PTO schedule limited to Transferred Employees and confirm its treatment in Net Working Capital (to avoid double-counting with the Sec. 2.6 adjustment).</w:t>
            </w:r>
          </w:p>
        </w:tc>
      </w:tr>
    </w:tbl>
    <w:p/>
    <w:p>
      <w:pPr>
        <w:pStyle w:val="Heading2"/>
      </w:pPr>
      <w:r>
        <w:t>I. Cross-References, Terminology and Key Dates</w:t>
      </w:r>
    </w:p>
    <w:tbl>
      <w:tblPr>
        <w:tblStyle w:val="TableGrid"/>
        <w:tblW w:type="auto" w:w="0"/>
        <w:jc w:val="center"/>
        <w:tblLayout w:type="fixed"/>
        <w:tblLook w:firstColumn="1" w:firstRow="1" w:lastColumn="0" w:lastRow="0" w:noHBand="0" w:noVBand="1" w:val="04A0"/>
      </w:tblPr>
      <w:tblGrid>
        <w:gridCol w:w="648"/>
        <w:gridCol w:w="1512"/>
        <w:gridCol w:w="2736"/>
        <w:gridCol w:w="3600"/>
        <w:gridCol w:w="1080"/>
        <w:gridCol w:w="4248"/>
      </w:tblGrid>
      <w:tr>
        <w:trPr>
          <w:tblHeader w:val="true"/>
        </w:trPr>
        <w:tc>
          <w:tcPr>
            <w:tcW w:type="dxa" w:w="648"/>
            <w:shd w:val="clear" w:color="auto" w:fill="1F3A5F"/>
          </w:tcPr>
          <w:p>
            <w:pPr>
              <w:spacing w:after="0"/>
            </w:pPr>
            <w:r/>
            <w:r>
              <w:rPr>
                <w:b/>
                <w:color w:val="FFFFFF"/>
                <w:sz w:val="18"/>
              </w:rPr>
              <w:t>Ref.</w:t>
            </w:r>
          </w:p>
        </w:tc>
        <w:tc>
          <w:tcPr>
            <w:tcW w:type="dxa" w:w="1512"/>
            <w:shd w:val="clear" w:color="auto" w:fill="1F3A5F"/>
          </w:tcPr>
          <w:p>
            <w:pPr>
              <w:spacing w:after="0"/>
            </w:pPr>
            <w:r/>
            <w:r>
              <w:rPr>
                <w:b/>
                <w:color w:val="FFFFFF"/>
                <w:sz w:val="18"/>
              </w:rPr>
              <w:t>Checklist Item</w:t>
            </w:r>
          </w:p>
        </w:tc>
        <w:tc>
          <w:tcPr>
            <w:tcW w:type="dxa" w:w="2736"/>
            <w:shd w:val="clear" w:color="auto" w:fill="1F3A5F"/>
          </w:tcPr>
          <w:p>
            <w:pPr>
              <w:spacing w:after="0"/>
            </w:pPr>
            <w:r/>
            <w:r>
              <w:rPr>
                <w:b/>
                <w:color w:val="FFFFFF"/>
                <w:sz w:val="18"/>
              </w:rPr>
              <w:t>Checklist States</w:t>
            </w:r>
          </w:p>
        </w:tc>
        <w:tc>
          <w:tcPr>
            <w:tcW w:type="dxa" w:w="3600"/>
            <w:shd w:val="clear" w:color="auto" w:fill="1F3A5F"/>
          </w:tcPr>
          <w:p>
            <w:pPr>
              <w:spacing w:after="0"/>
            </w:pPr>
            <w:r/>
            <w:r>
              <w:rPr>
                <w:b/>
                <w:color w:val="FFFFFF"/>
                <w:sz w:val="18"/>
              </w:rPr>
              <w:t>APA Provides</w:t>
            </w:r>
          </w:p>
        </w:tc>
        <w:tc>
          <w:tcPr>
            <w:tcW w:type="dxa" w:w="1080"/>
            <w:shd w:val="clear" w:color="auto" w:fill="1F3A5F"/>
          </w:tcPr>
          <w:p>
            <w:pPr>
              <w:spacing w:after="0"/>
            </w:pPr>
            <w:r/>
            <w:r>
              <w:rPr>
                <w:b/>
                <w:color w:val="FFFFFF"/>
                <w:sz w:val="18"/>
              </w:rPr>
              <w:t>Severity</w:t>
            </w:r>
          </w:p>
        </w:tc>
        <w:tc>
          <w:tcPr>
            <w:tcW w:type="dxa" w:w="4248"/>
            <w:shd w:val="clear" w:color="auto" w:fill="1F3A5F"/>
          </w:tcPr>
          <w:p>
            <w:pPr>
              <w:spacing w:after="0"/>
            </w:pPr>
            <w:r/>
            <w:r>
              <w:rPr>
                <w:b/>
                <w:color w:val="FFFFFF"/>
                <w:sz w:val="18"/>
              </w:rPr>
              <w:t>Impact and Recommended Action</w:t>
            </w:r>
          </w:p>
        </w:tc>
      </w:tr>
      <w:tr>
        <w:tc>
          <w:tcPr>
            <w:tcW w:type="dxa" w:w="648"/>
          </w:tcPr>
          <w:p>
            <w:pPr>
              <w:spacing w:after="0"/>
            </w:pPr>
            <w:r/>
            <w:r>
              <w:rPr>
                <w:b/>
                <w:sz w:val="17"/>
              </w:rPr>
              <w:t>I-1</w:t>
            </w:r>
          </w:p>
        </w:tc>
        <w:tc>
          <w:tcPr>
            <w:tcW w:type="dxa" w:w="1512"/>
          </w:tcPr>
          <w:p>
            <w:pPr>
              <w:spacing w:after="0"/>
            </w:pPr>
            <w:r/>
            <w:r>
              <w:rPr>
                <w:b w:val="0"/>
                <w:sz w:val="17"/>
              </w:rPr>
              <w:t>Sec. I; B-4; PC-7</w:t>
            </w:r>
          </w:p>
        </w:tc>
        <w:tc>
          <w:tcPr>
            <w:tcW w:type="dxa" w:w="2736"/>
          </w:tcPr>
          <w:p>
            <w:pPr>
              <w:spacing w:after="0"/>
            </w:pPr>
            <w:r/>
            <w:r>
              <w:rPr>
                <w:b w:val="0"/>
                <w:sz w:val="17"/>
              </w:rPr>
              <w:t>Indemnification referred to as Article X.</w:t>
            </w:r>
          </w:p>
        </w:tc>
        <w:tc>
          <w:tcPr>
            <w:tcW w:type="dxa" w:w="3600"/>
          </w:tcPr>
          <w:p>
            <w:pPr>
              <w:spacing w:after="0"/>
            </w:pPr>
            <w:r/>
            <w:r>
              <w:rPr>
                <w:b w:val="0"/>
                <w:sz w:val="17"/>
              </w:rPr>
              <w:t>Indemnification is Article IX; Article X is Termination.</w:t>
            </w:r>
          </w:p>
        </w:tc>
        <w:tc>
          <w:tcPr>
            <w:tcW w:type="dxa" w:w="1080"/>
            <w:shd w:val="clear" w:color="auto" w:fill="F2C200"/>
          </w:tcPr>
          <w:p>
            <w:pPr>
              <w:spacing w:after="0"/>
              <w:jc w:val="center"/>
            </w:pPr>
            <w:r/>
            <w:r>
              <w:rPr>
                <w:b/>
                <w:color w:val="000000"/>
                <w:sz w:val="18"/>
              </w:rPr>
              <w:t>Medium</w:t>
            </w:r>
          </w:p>
        </w:tc>
        <w:tc>
          <w:tcPr>
            <w:tcW w:type="dxa" w:w="4248"/>
          </w:tcPr>
          <w:p>
            <w:pPr>
              <w:spacing w:after="0"/>
            </w:pPr>
            <w:r/>
            <w:r>
              <w:rPr>
                <w:b w:val="0"/>
                <w:sz w:val="17"/>
              </w:rPr>
              <w:t>Correct all references; a wrong Article reference carried into the Escrow Agreement would create interpretive risk.</w:t>
            </w:r>
          </w:p>
        </w:tc>
      </w:tr>
      <w:tr>
        <w:tc>
          <w:tcPr>
            <w:tcW w:type="dxa" w:w="648"/>
          </w:tcPr>
          <w:p>
            <w:pPr>
              <w:spacing w:after="0"/>
            </w:pPr>
            <w:r/>
            <w:r>
              <w:rPr>
                <w:b/>
                <w:sz w:val="17"/>
              </w:rPr>
              <w:t>I-2</w:t>
            </w:r>
          </w:p>
        </w:tc>
        <w:tc>
          <w:tcPr>
            <w:tcW w:type="dxa" w:w="1512"/>
          </w:tcPr>
          <w:p>
            <w:pPr>
              <w:spacing w:after="0"/>
            </w:pPr>
            <w:r/>
            <w:r>
              <w:rPr>
                <w:b w:val="0"/>
                <w:sz w:val="17"/>
              </w:rPr>
              <w:t>Sec. VII (Key Dates)</w:t>
            </w:r>
          </w:p>
        </w:tc>
        <w:tc>
          <w:tcPr>
            <w:tcW w:type="dxa" w:w="2736"/>
          </w:tcPr>
          <w:p>
            <w:pPr>
              <w:spacing w:after="0"/>
            </w:pPr>
            <w:r/>
            <w:r>
              <w:rPr>
                <w:b w:val="0"/>
                <w:sz w:val="17"/>
              </w:rPr>
              <w:t>Outside Date July 14, 2025; Final Closing Statement August 13, 2025; Escrow release ~May 15, 2027; Non-compete expiry May 15, 2028.</w:t>
            </w:r>
          </w:p>
        </w:tc>
        <w:tc>
          <w:tcPr>
            <w:tcW w:type="dxa" w:w="3600"/>
          </w:tcPr>
          <w:p>
            <w:pPr>
              <w:spacing w:after="0"/>
            </w:pPr>
            <w:r/>
            <w:r>
              <w:rPr>
                <w:b w:val="0"/>
                <w:sz w:val="17"/>
              </w:rPr>
              <w:t>August 14, 2025 (Sec. 10.1(b)); July 14, 2025 (Sec. 2.6(b)); November 15, 2026 (Sec. 9.5); May 15, 2029 (Sec. 8.1(e)).</w:t>
            </w:r>
          </w:p>
        </w:tc>
        <w:tc>
          <w:tcPr>
            <w:tcW w:type="dxa" w:w="1080"/>
            <w:shd w:val="clear" w:color="auto" w:fill="E26B0A"/>
          </w:tcPr>
          <w:p>
            <w:pPr>
              <w:spacing w:after="0"/>
              <w:jc w:val="center"/>
            </w:pPr>
            <w:r/>
            <w:r>
              <w:rPr>
                <w:b/>
                <w:color w:val="FFFFFF"/>
                <w:sz w:val="18"/>
              </w:rPr>
              <w:t>High</w:t>
            </w:r>
          </w:p>
        </w:tc>
        <w:tc>
          <w:tcPr>
            <w:tcW w:type="dxa" w:w="4248"/>
          </w:tcPr>
          <w:p>
            <w:pPr>
              <w:spacing w:after="0"/>
            </w:pPr>
            <w:r/>
            <w:r>
              <w:rPr>
                <w:b w:val="0"/>
                <w:sz w:val="17"/>
              </w:rPr>
              <w:t>Replace with the corrected Key Dates table in Part 4 of this report, which also adds missing dates (employee offers, Estimated Closing Statement, Seller account designation, good standing window).</w:t>
            </w:r>
          </w:p>
        </w:tc>
      </w:tr>
      <w:tr>
        <w:tc>
          <w:tcPr>
            <w:tcW w:type="dxa" w:w="648"/>
          </w:tcPr>
          <w:p>
            <w:pPr>
              <w:spacing w:after="0"/>
            </w:pPr>
            <w:r/>
            <w:r>
              <w:rPr>
                <w:b/>
                <w:sz w:val="17"/>
              </w:rPr>
              <w:t>I-3</w:t>
            </w:r>
          </w:p>
        </w:tc>
        <w:tc>
          <w:tcPr>
            <w:tcW w:type="dxa" w:w="1512"/>
          </w:tcPr>
          <w:p>
            <w:pPr>
              <w:spacing w:after="0"/>
            </w:pPr>
            <w:r/>
            <w:r>
              <w:rPr>
                <w:b w:val="0"/>
                <w:sz w:val="17"/>
              </w:rPr>
              <w:t>Throughout</w:t>
            </w:r>
          </w:p>
        </w:tc>
        <w:tc>
          <w:tcPr>
            <w:tcW w:type="dxa" w:w="2736"/>
          </w:tcPr>
          <w:p>
            <w:pPr>
              <w:spacing w:after="0"/>
            </w:pPr>
            <w:r/>
            <w:r>
              <w:rPr>
                <w:b w:val="0"/>
                <w:sz w:val="17"/>
              </w:rPr>
              <w:t>Uses "Acquired Assets"; "Final Closing Statement" for Buyer’s draft; "notice of objection."</w:t>
            </w:r>
          </w:p>
        </w:tc>
        <w:tc>
          <w:tcPr>
            <w:tcW w:type="dxa" w:w="3600"/>
          </w:tcPr>
          <w:p>
            <w:pPr>
              <w:spacing w:after="0"/>
            </w:pPr>
            <w:r/>
            <w:r>
              <w:rPr>
                <w:b w:val="0"/>
                <w:sz w:val="17"/>
              </w:rPr>
              <w:t>The defined terms are "Purchased Assets," "Proposed Final Closing Statement" and "Dispute Notice." Secs. 2.1, 2.6(b)-(c).</w:t>
            </w:r>
          </w:p>
        </w:tc>
        <w:tc>
          <w:tcPr>
            <w:tcW w:type="dxa" w:w="1080"/>
            <w:shd w:val="clear" w:color="auto" w:fill="9BBB59"/>
          </w:tcPr>
          <w:p>
            <w:pPr>
              <w:spacing w:after="0"/>
              <w:jc w:val="center"/>
            </w:pPr>
            <w:r/>
            <w:r>
              <w:rPr>
                <w:b/>
                <w:color w:val="000000"/>
                <w:sz w:val="18"/>
              </w:rPr>
              <w:t>Low</w:t>
            </w:r>
          </w:p>
        </w:tc>
        <w:tc>
          <w:tcPr>
            <w:tcW w:type="dxa" w:w="4248"/>
          </w:tcPr>
          <w:p>
            <w:pPr>
              <w:spacing w:after="0"/>
            </w:pPr>
            <w:r/>
            <w:r>
              <w:rPr>
                <w:b w:val="0"/>
                <w:sz w:val="17"/>
              </w:rPr>
              <w:t>Conform terminology so closing documents drafted from the checklist do not use undefined terms.</w:t>
            </w:r>
          </w:p>
        </w:tc>
      </w:tr>
    </w:tbl>
    <w:p/>
    <w:p>
      <w:pPr>
        <w:pStyle w:val="Heading1"/>
      </w:pPr>
      <w:r>
        <w:t>6. Drafting Inconsistencies Within the APA</w:t>
      </w:r>
    </w:p>
    <w:p>
      <w:pPr>
        <w:spacing w:after="80"/>
      </w:pPr>
      <w:r>
        <w:rPr>
          <w:b w:val="0"/>
          <w:i w:val="0"/>
          <w:sz w:val="20"/>
        </w:rPr>
        <w:t>These are not checklist errors as such, but the checklist should reflect how they will be handled. Recommended treatment is noted; several warrant a short amendment or side letter under Sec. 11.5 before Closing.</w:t>
      </w:r>
    </w:p>
    <w:tbl>
      <w:tblPr>
        <w:tblStyle w:val="TableGrid"/>
        <w:tblW w:type="auto" w:w="0"/>
        <w:jc w:val="center"/>
        <w:tblLayout w:type="fixed"/>
        <w:tblLook w:firstColumn="1" w:firstRow="1" w:lastColumn="0" w:lastRow="0" w:noHBand="0" w:noVBand="1" w:val="04A0"/>
      </w:tblPr>
      <w:tblGrid>
        <w:gridCol w:w="2592"/>
        <w:gridCol w:w="6623"/>
        <w:gridCol w:w="4464"/>
      </w:tblGrid>
      <w:tr>
        <w:trPr>
          <w:tblHeader w:val="true"/>
        </w:trPr>
        <w:tc>
          <w:tcPr>
            <w:tcW w:type="dxa" w:w="2592"/>
            <w:shd w:val="clear" w:color="auto" w:fill="1F3A5F"/>
          </w:tcPr>
          <w:p>
            <w:pPr>
              <w:spacing w:after="0"/>
            </w:pPr>
            <w:r/>
            <w:r>
              <w:rPr>
                <w:b/>
                <w:color w:val="FFFFFF"/>
                <w:sz w:val="18"/>
              </w:rPr>
              <w:t>Issue</w:t>
            </w:r>
          </w:p>
        </w:tc>
        <w:tc>
          <w:tcPr>
            <w:tcW w:type="dxa" w:w="6624"/>
            <w:shd w:val="clear" w:color="auto" w:fill="1F3A5F"/>
          </w:tcPr>
          <w:p>
            <w:pPr>
              <w:spacing w:after="0"/>
            </w:pPr>
            <w:r/>
            <w:r>
              <w:rPr>
                <w:b/>
                <w:color w:val="FFFFFF"/>
                <w:sz w:val="18"/>
              </w:rPr>
              <w:t>APA Provisions in Tension</w:t>
            </w:r>
          </w:p>
        </w:tc>
        <w:tc>
          <w:tcPr>
            <w:tcW w:type="dxa" w:w="4464"/>
            <w:shd w:val="clear" w:color="auto" w:fill="1F3A5F"/>
          </w:tcPr>
          <w:p>
            <w:pPr>
              <w:spacing w:after="0"/>
            </w:pPr>
            <w:r/>
            <w:r>
              <w:rPr>
                <w:b/>
                <w:color w:val="FFFFFF"/>
                <w:sz w:val="18"/>
              </w:rPr>
              <w:t>Recommended Treatment</w:t>
            </w:r>
          </w:p>
        </w:tc>
      </w:tr>
      <w:tr>
        <w:tc>
          <w:tcPr>
            <w:tcW w:type="dxa" w:w="2592"/>
          </w:tcPr>
          <w:p>
            <w:pPr>
              <w:spacing w:after="0"/>
            </w:pPr>
            <w:r/>
            <w:r>
              <w:rPr>
                <w:b/>
                <w:sz w:val="17"/>
              </w:rPr>
              <w:t>Buyer name</w:t>
            </w:r>
          </w:p>
        </w:tc>
        <w:tc>
          <w:tcPr>
            <w:tcW w:type="dxa" w:w="6624"/>
          </w:tcPr>
          <w:p>
            <w:pPr>
              <w:spacing w:after="0"/>
            </w:pPr>
            <w:r/>
            <w:r>
              <w:rPr>
                <w:b w:val="0"/>
                <w:sz w:val="17"/>
              </w:rPr>
              <w:t>Cover page and signature block: "Vanguard Industrial Holdings, Inc."; preamble and notices: "Saxonbrook Industrial Holdings, Inc."; Buyer email domain vanguardindustrial.com.</w:t>
            </w:r>
          </w:p>
        </w:tc>
        <w:tc>
          <w:tcPr>
            <w:tcW w:type="dxa" w:w="4464"/>
          </w:tcPr>
          <w:p>
            <w:pPr>
              <w:spacing w:after="0"/>
            </w:pPr>
            <w:r/>
            <w:r>
              <w:rPr>
                <w:b w:val="0"/>
                <w:sz w:val="17"/>
              </w:rPr>
              <w:t>Confirm the legal entity; amendment or confirmation under Sec. 11.5 (D-4).</w:t>
            </w:r>
          </w:p>
        </w:tc>
      </w:tr>
      <w:tr>
        <w:tc>
          <w:tcPr>
            <w:tcW w:type="dxa" w:w="2592"/>
          </w:tcPr>
          <w:p>
            <w:pPr>
              <w:spacing w:after="0"/>
            </w:pPr>
            <w:r/>
            <w:r>
              <w:rPr>
                <w:b/>
                <w:sz w:val="17"/>
              </w:rPr>
              <w:t>Holdback release timing</w:t>
            </w:r>
          </w:p>
        </w:tc>
        <w:tc>
          <w:tcPr>
            <w:tcW w:type="dxa" w:w="6624"/>
          </w:tcPr>
          <w:p>
            <w:pPr>
              <w:spacing w:after="0"/>
            </w:pPr>
            <w:r/>
            <w:r>
              <w:rPr>
                <w:b w:val="0"/>
                <w:sz w:val="17"/>
              </w:rPr>
              <w:t>Sec. 2.5(b)(iii) (within 90 days after final determination) vs. Sec. 2.6(e) (within 5 Business Days, simultaneously with the adjustment payment).</w:t>
            </w:r>
          </w:p>
        </w:tc>
        <w:tc>
          <w:tcPr>
            <w:tcW w:type="dxa" w:w="4464"/>
          </w:tcPr>
          <w:p>
            <w:pPr>
              <w:spacing w:after="0"/>
            </w:pPr>
            <w:r/>
            <w:r>
              <w:rPr>
                <w:b w:val="0"/>
                <w:sz w:val="17"/>
              </w:rPr>
              <w:t>Docket 5 Business Days; consider a clarifying side letter (E-3).</w:t>
            </w:r>
          </w:p>
        </w:tc>
      </w:tr>
      <w:tr>
        <w:tc>
          <w:tcPr>
            <w:tcW w:type="dxa" w:w="2592"/>
          </w:tcPr>
          <w:p>
            <w:pPr>
              <w:spacing w:after="0"/>
            </w:pPr>
            <w:r/>
            <w:r>
              <w:rPr>
                <w:b/>
                <w:sz w:val="17"/>
              </w:rPr>
              <w:t>Tax representation survival</w:t>
            </w:r>
          </w:p>
        </w:tc>
        <w:tc>
          <w:tcPr>
            <w:tcW w:type="dxa" w:w="6624"/>
          </w:tcPr>
          <w:p>
            <w:pPr>
              <w:spacing w:after="0"/>
            </w:pPr>
            <w:r/>
            <w:r>
              <w:rPr>
                <w:b w:val="0"/>
                <w:sz w:val="17"/>
              </w:rPr>
              <w:t>Sec. 9.1(b) (SOL + 60 days) vs. Sec. 9.1(c) (Sec. 4.11 listed as Fundamental, 36 months).</w:t>
            </w:r>
          </w:p>
        </w:tc>
        <w:tc>
          <w:tcPr>
            <w:tcW w:type="dxa" w:w="4464"/>
          </w:tcPr>
          <w:p>
            <w:pPr>
              <w:spacing w:after="0"/>
            </w:pPr>
            <w:r/>
            <w:r>
              <w:rPr>
                <w:b w:val="0"/>
                <w:sz w:val="17"/>
              </w:rPr>
              <w:t>Docket the earlier date conservatively (F-4).</w:t>
            </w:r>
          </w:p>
        </w:tc>
      </w:tr>
      <w:tr>
        <w:tc>
          <w:tcPr>
            <w:tcW w:type="dxa" w:w="2592"/>
          </w:tcPr>
          <w:p>
            <w:pPr>
              <w:spacing w:after="0"/>
            </w:pPr>
            <w:r/>
            <w:r>
              <w:rPr>
                <w:b/>
                <w:sz w:val="17"/>
              </w:rPr>
              <w:t>Real property conveyance</w:t>
            </w:r>
          </w:p>
        </w:tc>
        <w:tc>
          <w:tcPr>
            <w:tcW w:type="dxa" w:w="6624"/>
          </w:tcPr>
          <w:p>
            <w:pPr>
              <w:spacing w:after="0"/>
            </w:pPr>
            <w:r/>
            <w:r>
              <w:rPr>
                <w:b w:val="0"/>
                <w:sz w:val="17"/>
              </w:rPr>
              <w:t>Sec. 2.1(e) transfers the Hillsboro facility, but Sec. 8.1 lists no deed.</w:t>
            </w:r>
          </w:p>
        </w:tc>
        <w:tc>
          <w:tcPr>
            <w:tcW w:type="dxa" w:w="4464"/>
          </w:tcPr>
          <w:p>
            <w:pPr>
              <w:spacing w:after="0"/>
            </w:pPr>
            <w:r/>
            <w:r>
              <w:rPr>
                <w:b w:val="0"/>
                <w:sz w:val="17"/>
              </w:rPr>
              <w:t>Add a deed as a closing deliverable (C-4).</w:t>
            </w:r>
          </w:p>
        </w:tc>
      </w:tr>
      <w:tr>
        <w:tc>
          <w:tcPr>
            <w:tcW w:type="dxa" w:w="2592"/>
          </w:tcPr>
          <w:p>
            <w:pPr>
              <w:spacing w:after="0"/>
            </w:pPr>
            <w:r/>
            <w:r>
              <w:rPr>
                <w:b/>
                <w:sz w:val="17"/>
              </w:rPr>
              <w:t>Escrow Agreement execution</w:t>
            </w:r>
          </w:p>
        </w:tc>
        <w:tc>
          <w:tcPr>
            <w:tcW w:type="dxa" w:w="6624"/>
          </w:tcPr>
          <w:p>
            <w:pPr>
              <w:spacing w:after="0"/>
            </w:pPr>
            <w:r/>
            <w:r>
              <w:rPr>
                <w:b w:val="0"/>
                <w:sz w:val="17"/>
              </w:rPr>
              <w:t>The Escrow Agreement is among Buyer, Seller and the Escrow Agent (Sec. 1.1), but Sec. 8.1 does not require Seller’s counterpart.</w:t>
            </w:r>
          </w:p>
        </w:tc>
        <w:tc>
          <w:tcPr>
            <w:tcW w:type="dxa" w:w="4464"/>
          </w:tcPr>
          <w:p>
            <w:pPr>
              <w:spacing w:after="0"/>
            </w:pPr>
            <w:r/>
            <w:r>
              <w:rPr>
                <w:b w:val="0"/>
                <w:sz w:val="17"/>
              </w:rPr>
              <w:t>Add to the checklist; obtain Seller’s agreement (D-2).</w:t>
            </w:r>
          </w:p>
        </w:tc>
      </w:tr>
      <w:tr>
        <w:tc>
          <w:tcPr>
            <w:tcW w:type="dxa" w:w="2592"/>
          </w:tcPr>
          <w:p>
            <w:pPr>
              <w:spacing w:after="0"/>
            </w:pPr>
            <w:r/>
            <w:r>
              <w:rPr>
                <w:b/>
                <w:sz w:val="17"/>
              </w:rPr>
              <w:t>PTO amount</w:t>
            </w:r>
          </w:p>
        </w:tc>
        <w:tc>
          <w:tcPr>
            <w:tcW w:type="dxa" w:w="6624"/>
          </w:tcPr>
          <w:p>
            <w:pPr>
              <w:spacing w:after="0"/>
            </w:pPr>
            <w:r/>
            <w:r>
              <w:rPr>
                <w:b w:val="0"/>
                <w:sz w:val="17"/>
              </w:rPr>
              <w:t>Sec. 4.12(b) ($387,000 for all employees) vs. Sec. 2.3(d) ($387,000 for Transferred Employees).</w:t>
            </w:r>
          </w:p>
        </w:tc>
        <w:tc>
          <w:tcPr>
            <w:tcW w:type="dxa" w:w="4464"/>
          </w:tcPr>
          <w:p>
            <w:pPr>
              <w:spacing w:after="0"/>
            </w:pPr>
            <w:r/>
            <w:r>
              <w:rPr>
                <w:b w:val="0"/>
                <w:sz w:val="17"/>
              </w:rPr>
              <w:t>Obtain an updated Transferred Employee PTO schedule (H-3).</w:t>
            </w:r>
          </w:p>
        </w:tc>
      </w:tr>
      <w:tr>
        <w:tc>
          <w:tcPr>
            <w:tcW w:type="dxa" w:w="2592"/>
          </w:tcPr>
          <w:p>
            <w:pPr>
              <w:spacing w:after="0"/>
            </w:pPr>
            <w:r/>
            <w:r>
              <w:rPr>
                <w:b/>
                <w:sz w:val="17"/>
              </w:rPr>
              <w:t>Third-party beneficiaries</w:t>
            </w:r>
          </w:p>
        </w:tc>
        <w:tc>
          <w:tcPr>
            <w:tcW w:type="dxa" w:w="6624"/>
          </w:tcPr>
          <w:p>
            <w:pPr>
              <w:spacing w:after="0"/>
            </w:pPr>
            <w:r/>
            <w:r>
              <w:rPr>
                <w:b w:val="0"/>
                <w:sz w:val="17"/>
              </w:rPr>
              <w:t>Sec. 6.8(d) (no third-party rights for employees) vs. Sec. 11.10 (carve-out for Sec. 6.8).</w:t>
            </w:r>
          </w:p>
        </w:tc>
        <w:tc>
          <w:tcPr>
            <w:tcW w:type="dxa" w:w="4464"/>
          </w:tcPr>
          <w:p>
            <w:pPr>
              <w:spacing w:after="0"/>
            </w:pPr>
            <w:r/>
            <w:r>
              <w:rPr>
                <w:b w:val="0"/>
                <w:sz w:val="17"/>
              </w:rPr>
              <w:t>Partner to consider; relevant to any employee claims.</w:t>
            </w:r>
          </w:p>
        </w:tc>
      </w:tr>
      <w:tr>
        <w:tc>
          <w:tcPr>
            <w:tcW w:type="dxa" w:w="2592"/>
          </w:tcPr>
          <w:p>
            <w:pPr>
              <w:spacing w:after="0"/>
            </w:pPr>
            <w:r/>
            <w:r>
              <w:rPr>
                <w:b/>
                <w:sz w:val="17"/>
              </w:rPr>
              <w:t>Crestline consent</w:t>
            </w:r>
          </w:p>
        </w:tc>
        <w:tc>
          <w:tcPr>
            <w:tcW w:type="dxa" w:w="6624"/>
          </w:tcPr>
          <w:p>
            <w:pPr>
              <w:spacing w:after="0"/>
            </w:pPr>
            <w:r/>
            <w:r>
              <w:rPr>
                <w:b w:val="0"/>
                <w:sz w:val="17"/>
              </w:rPr>
              <w:t>Sec. 4.2 represents that Crestline’s consent was obtained; Schedule 7.1(d) and the checklist treat it as outstanding.</w:t>
            </w:r>
          </w:p>
        </w:tc>
        <w:tc>
          <w:tcPr>
            <w:tcW w:type="dxa" w:w="4464"/>
          </w:tcPr>
          <w:p>
            <w:pPr>
              <w:spacing w:after="0"/>
            </w:pPr>
            <w:r/>
            <w:r>
              <w:rPr>
                <w:b w:val="0"/>
                <w:sz w:val="17"/>
              </w:rPr>
              <w:t>Confirm status (B-3).</w:t>
            </w:r>
          </w:p>
        </w:tc>
      </w:tr>
      <w:tr>
        <w:tc>
          <w:tcPr>
            <w:tcW w:type="dxa" w:w="2592"/>
          </w:tcPr>
          <w:p>
            <w:pPr>
              <w:spacing w:after="0"/>
            </w:pPr>
            <w:r/>
            <w:r>
              <w:rPr>
                <w:b/>
                <w:sz w:val="17"/>
              </w:rPr>
              <w:t>Portland Lease date</w:t>
            </w:r>
          </w:p>
        </w:tc>
        <w:tc>
          <w:tcPr>
            <w:tcW w:type="dxa" w:w="6624"/>
          </w:tcPr>
          <w:p>
            <w:pPr>
              <w:spacing w:after="0"/>
            </w:pPr>
            <w:r/>
            <w:r>
              <w:rPr>
                <w:b w:val="0"/>
                <w:sz w:val="17"/>
              </w:rPr>
              <w:t>Schedule 7.1(d) (February 14, 2018) vs. the checklist (September 1, 2019); the APA definitions give no date.</w:t>
            </w:r>
          </w:p>
        </w:tc>
        <w:tc>
          <w:tcPr>
            <w:tcW w:type="dxa" w:w="4464"/>
          </w:tcPr>
          <w:p>
            <w:pPr>
              <w:spacing w:after="0"/>
            </w:pPr>
            <w:r/>
            <w:r>
              <w:rPr>
                <w:b w:val="0"/>
                <w:sz w:val="17"/>
              </w:rPr>
              <w:t>Confirm against the lease file (B-4).</w:t>
            </w:r>
          </w:p>
        </w:tc>
      </w:tr>
      <w:tr>
        <w:tc>
          <w:tcPr>
            <w:tcW w:type="dxa" w:w="2592"/>
          </w:tcPr>
          <w:p>
            <w:pPr>
              <w:spacing w:after="0"/>
            </w:pPr>
            <w:r/>
            <w:r>
              <w:rPr>
                <w:b/>
                <w:sz w:val="17"/>
              </w:rPr>
              <w:t>Duplicate clause</w:t>
            </w:r>
          </w:p>
        </w:tc>
        <w:tc>
          <w:tcPr>
            <w:tcW w:type="dxa" w:w="6624"/>
          </w:tcPr>
          <w:p>
            <w:pPr>
              <w:spacing w:after="0"/>
            </w:pPr>
            <w:r/>
            <w:r>
              <w:rPr>
                <w:b w:val="0"/>
                <w:sz w:val="17"/>
              </w:rPr>
              <w:t>Sec. 2.4(e) (Environmental Liabilities) appears twice verbatim.</w:t>
            </w:r>
          </w:p>
        </w:tc>
        <w:tc>
          <w:tcPr>
            <w:tcW w:type="dxa" w:w="4464"/>
          </w:tcPr>
          <w:p>
            <w:pPr>
              <w:spacing w:after="0"/>
            </w:pPr>
            <w:r/>
            <w:r>
              <w:rPr>
                <w:b w:val="0"/>
                <w:sz w:val="17"/>
              </w:rPr>
              <w:t>Clean-up only; no substantive effect.</w:t>
            </w:r>
          </w:p>
        </w:tc>
      </w:tr>
    </w:tbl>
    <w:p/>
    <w:p>
      <w:pPr>
        <w:pStyle w:val="Heading1"/>
      </w:pPr>
      <w:r>
        <w:t>7. Items Verified as Consistent</w:t>
      </w:r>
    </w:p>
    <w:p>
      <w:pPr>
        <w:pStyle w:val="ListBullet"/>
        <w:spacing w:after="40"/>
      </w:pPr>
      <w:r>
        <w:t>Purchase Price ($87,500,000), Holdback dollar amount ($3,500,000) and purpose (Secs. 2.5(a), 2.5(b)(iii)).</w:t>
      </w:r>
    </w:p>
    <w:p>
      <w:pPr>
        <w:pStyle w:val="ListBullet"/>
        <w:spacing w:after="40"/>
      </w:pPr>
      <w:r>
        <w:t>Target NWC ($6,800,000); Seller Estimated Closing Statement due 3 Business Days before Closing; 30-day Seller review period (Secs. 2.6(a), (c), (d)).</w:t>
      </w:r>
    </w:p>
    <w:p>
      <w:pPr>
        <w:pStyle w:val="ListBullet"/>
        <w:spacing w:after="40"/>
      </w:pPr>
      <w:r>
        <w:t>HSR: filing on March 21, 2025 (within the 7-Business-Day covenant), early termination April 8, 2025; Required Consent item 5 and Sec. 7.2(d) satisfied (Sec. 6.3; Schedule 7.1(d)).</w:t>
      </w:r>
    </w:p>
    <w:p>
      <w:pPr>
        <w:pStyle w:val="ListBullet"/>
        <w:spacing w:after="40"/>
      </w:pPr>
      <w:r>
        <w:t>Basket $875,000 true deductible; Mini-Basket $50,000; Fundamental Representations Cap equal to the Purchase Price; General Survival 18 months (November 15, 2026); Fundamental survival 36 months (May 15, 2028); Fraud carve-outs (Secs. 9.1, 9.4).</w:t>
      </w:r>
    </w:p>
    <w:p>
      <w:pPr>
        <w:pStyle w:val="ListBullet"/>
        <w:spacing w:after="40"/>
      </w:pPr>
      <w:r>
        <w:t>Reverse Break-Up Fee amount ($2,625,000; 3%) (Sec. 10.3), subject to G-2.</w:t>
      </w:r>
    </w:p>
    <w:p>
      <w:pPr>
        <w:pStyle w:val="ListBullet"/>
        <w:spacing w:after="40"/>
      </w:pPr>
      <w:r>
        <w:t>TSA term of six months, expiring November 15, 2025 (Sec. 8.1(d)), subject to C-7.</w:t>
      </w:r>
    </w:p>
    <w:p>
      <w:pPr>
        <w:pStyle w:val="ListBullet"/>
        <w:spacing w:after="40"/>
      </w:pPr>
      <w:r>
        <w:t>Non-compete geographic scope (United States and Canada) and restricted party (Gerald Novak) (Sec. 8.1(e); Exhibit E), subject to C-8.</w:t>
      </w:r>
    </w:p>
    <w:p>
      <w:pPr>
        <w:pStyle w:val="ListBullet"/>
        <w:spacing w:after="40"/>
      </w:pPr>
      <w:r>
        <w:t>Employee headcount (at least 108 of 127) and 12-month comparability period (Sec. 6.8), subject to H-1 and H-2.</w:t>
      </w:r>
    </w:p>
    <w:p>
      <w:pPr>
        <w:pStyle w:val="ListBullet"/>
        <w:spacing w:after="40"/>
      </w:pPr>
      <w:r>
        <w:t>Aeromet litigation is an Excluded Liability (Sec. 2.4(d); Schedule 4.10); Seller retains WARN Act responsibility for pre-Closing actions (Sec. 6.8(c)).</w:t>
      </w:r>
    </w:p>
    <w:p>
      <w:pPr>
        <w:pStyle w:val="ListBullet"/>
        <w:spacing w:after="40"/>
      </w:pPr>
      <w:r>
        <w:t>Escrow Agent (Pinnacle Trust Company, N.A., Linda Garza), title company (Cascadia Title &amp; Guaranty Co.), parties, counsel and addresses of the Hillsboro and Portland facilities.</w:t>
      </w:r>
    </w:p>
    <w:p>
      <w:pPr>
        <w:pStyle w:val="ListBullet"/>
        <w:spacing w:after="40"/>
      </w:pPr>
      <w:r>
        <w:t>Buyer deliverables B-2, B-3, B-5 and B-6 track Secs. 8.2(c), (d), (f) and (g) (subject to D-4 on Buyer’s legal name); Seller deliverables S-2, S-3 and S-8 track Secs. 8.1(b), (c) and (i) in substance (subject to C-6 and C-11).</w:t>
      </w:r>
    </w:p>
    <w:p>
      <w:pPr>
        <w:pStyle w:val="Heading1"/>
      </w:pPr>
      <w:r>
        <w:t>8. Recommended Next Steps</w:t>
      </w:r>
    </w:p>
    <w:p>
      <w:pPr>
        <w:pStyle w:val="ListBullet"/>
        <w:spacing w:after="40"/>
      </w:pPr>
      <w:r>
        <w:rPr>
          <w:b/>
        </w:rPr>
        <w:t xml:space="preserve">Buyer / Buyer HR (today): </w:t>
      </w:r>
      <w:r>
        <w:t>deliver offers to at least 108 employees no later than April 30, 2025 (H-1).</w:t>
      </w:r>
    </w:p>
    <w:p>
      <w:pPr>
        <w:pStyle w:val="ListBullet"/>
        <w:spacing w:after="40"/>
      </w:pPr>
      <w:r>
        <w:rPr>
          <w:b/>
        </w:rPr>
        <w:t xml:space="preserve">Seller’s Counsel (immediately): </w:t>
      </w:r>
      <w:r>
        <w:t>send the Northwind Aerospace consent request; add Burnham Street estoppel request alongside the lease consent; confirm Crestline consent status and correct the LLC Agreement name (B-1 to B-4, C-2).</w:t>
      </w:r>
    </w:p>
    <w:p>
      <w:pPr>
        <w:pStyle w:val="ListBullet"/>
        <w:spacing w:after="40"/>
      </w:pPr>
      <w:r>
        <w:rPr>
          <w:b/>
        </w:rPr>
        <w:t xml:space="preserve">Buyer’s Counsel: </w:t>
      </w:r>
      <w:r>
        <w:t>issue a revised checklist correcting every Critical and High item, adding new items for FIRPTA, estoppel, title commitment, deed, Washington good standing, Northwind consent, Seller account designation, Allocation and tax proration, and replacing Section VII with the Part 4 dates.</w:t>
      </w:r>
    </w:p>
    <w:p>
      <w:pPr>
        <w:pStyle w:val="ListBullet"/>
        <w:spacing w:after="40"/>
      </w:pPr>
      <w:r>
        <w:rPr>
          <w:b/>
        </w:rPr>
        <w:t xml:space="preserve">Buyer’s Counsel: </w:t>
      </w:r>
      <w:r>
        <w:t>re-cut the Funds Flow Memorandum at $78,750,000 / $5,250,000, apply the $150,000 De Minimis Collar test to the Estimated Closing Statement (due May 12, 2025), and add a Seller payment direction letter covering the Summit Ridge payoff (A-1, A-2, A-4, A-5).</w:t>
      </w:r>
    </w:p>
    <w:p>
      <w:pPr>
        <w:pStyle w:val="ListBullet"/>
        <w:spacing w:after="40"/>
      </w:pPr>
      <w:r>
        <w:rPr>
          <w:b/>
        </w:rPr>
        <w:t xml:space="preserve">Buyer’s Counsel: </w:t>
      </w:r>
      <w:r>
        <w:t>conform the TSA ($45,000/month; Exhibit D services), Non-Competition Agreement (4 years), Escrow Agreement (18 months; $5,250,000; Article IX; Escrow Agent signature) and closing certificates (scope per Secs. 8.1(m), 8.2(h)) to the APA.</w:t>
      </w:r>
    </w:p>
    <w:p>
      <w:pPr>
        <w:pStyle w:val="ListBullet"/>
        <w:spacing w:after="40"/>
      </w:pPr>
      <w:r>
        <w:rPr>
          <w:b/>
        </w:rPr>
        <w:t xml:space="preserve">Partner decision: </w:t>
      </w:r>
      <w:r>
        <w:t>Buyer legal name on the APA signature page (D-4); approach to the APA inconsistencies on Holdback release timing and Tax representation survival (E-3, F-4); whether to seek a short APA amendment adding a deed and Seller’s Escrow Agreement counterpart (C-4, D-2).</w:t>
      </w:r>
    </w:p>
    <w:p>
      <w:pPr>
        <w:pStyle w:val="ListBullet"/>
        <w:spacing w:after="40"/>
      </w:pPr>
      <w:r>
        <w:rPr>
          <w:b/>
        </w:rPr>
        <w:t xml:space="preserve">Docketing: </w:t>
      </w:r>
      <w:r>
        <w:t>Proposed Final Closing Statement July 14, 2025; Outside Date August 14, 2025; Escrow Period and General Survival November 15, 2026 (with claim-notice reminders); Fundamental survival May 15, 2028; non-compete May 15, 2029.</w:t>
      </w:r>
    </w:p>
    <w:p>
      <w:pPr>
        <w:spacing w:after="80"/>
      </w:pPr>
      <w:r>
        <w:rPr>
          <w:b w:val="0"/>
          <w:i/>
          <w:sz w:val="18"/>
        </w:rPr>
        <w:t>This report reflects the documents provided. It does not amend the APA; it should be updated once the full Exhibit forms, the Seller Disclosure Schedules and the third-party consents are available.</w:t>
      </w:r>
    </w:p>
    <w:sectPr w:rsidR="00FC693F" w:rsidRPr="0006063C" w:rsidSect="00034616">
      <w:headerReference w:type="default" r:id="rId9"/>
      <w:footerReference w:type="default" r:id="rId10"/>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Closing Checklist Deviation Report - Saxonbrook / Cascade APA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AND CONFIDENTIAL - ATTORNEY WORK PRODUCT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