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8"/>
        </w:rPr>
        <w:t>PRIVILEGED AND CONFIDENTIAL — ATTORNEY WORK PRODUCT</w:t>
      </w:r>
    </w:p>
    <w:p>
      <w:pPr>
        <w:spacing w:after="40"/>
        <w:jc w:val="center"/>
      </w:pPr>
      <w:r>
        <w:rPr>
          <w:b/>
          <w:i w:val="0"/>
          <w:sz w:val="28"/>
        </w:rPr>
        <w:t>CALLOWAY, BRIGGS &amp; STERN LLP</w:t>
      </w:r>
    </w:p>
    <w:p>
      <w:pPr>
        <w:spacing w:after="200"/>
        <w:jc w:val="center"/>
      </w:pPr>
      <w:r>
        <w:rPr>
          <w:b/>
          <w:i w:val="0"/>
          <w:sz w:val="26"/>
        </w:rPr>
        <w:t>MEMORANDUM</w:t>
      </w:r>
    </w:p>
    <w:tbl>
      <w:tblPr>
        <w:tblW w:type="auto" w:w="0"/>
        <w:tblLook w:firstColumn="1" w:firstRow="1" w:lastColumn="0" w:lastRow="0" w:noHBand="0" w:noVBand="1" w:val="04A0"/>
      </w:tblPr>
      <w:tblGrid>
        <w:gridCol w:w="4680"/>
        <w:gridCol w:w="4680"/>
      </w:tblGrid>
      <w:tr>
        <w:tc>
          <w:tcPr>
            <w:tcW w:type="dxa" w:w="1296"/>
          </w:tcPr>
          <w:p>
            <w:r/>
            <w:r>
              <w:rPr>
                <w:b/>
              </w:rPr>
              <w:t>TO:</w:t>
            </w:r>
          </w:p>
        </w:tc>
        <w:tc>
          <w:tcPr>
            <w:tcW w:type="dxa" w:w="8064"/>
          </w:tcPr>
          <w:p>
            <w:r/>
            <w:r>
              <w:t>Marcus J. Briggs, Partner (Relationship Partner)</w:t>
            </w:r>
          </w:p>
        </w:tc>
      </w:tr>
      <w:tr>
        <w:tc>
          <w:tcPr>
            <w:tcW w:type="dxa" w:w="1296"/>
          </w:tcPr>
          <w:p>
            <w:r/>
            <w:r>
              <w:rPr>
                <w:b/>
              </w:rPr>
              <w:t>CC:</w:t>
            </w:r>
          </w:p>
        </w:tc>
        <w:tc>
          <w:tcPr>
            <w:tcW w:type="dxa" w:w="8064"/>
          </w:tcPr>
          <w:p>
            <w:r/>
            <w:r>
              <w:t>Lena Okafor, Associate Partner (Deal Lead); Victoria Calloway, Senior Partner (for information)</w:t>
            </w:r>
          </w:p>
        </w:tc>
      </w:tr>
      <w:tr>
        <w:tc>
          <w:tcPr>
            <w:tcW w:type="dxa" w:w="1296"/>
          </w:tcPr>
          <w:p>
            <w:r/>
            <w:r>
              <w:rPr>
                <w:b/>
              </w:rPr>
              <w:t>FROM:</w:t>
            </w:r>
          </w:p>
        </w:tc>
        <w:tc>
          <w:tcPr>
            <w:tcW w:type="dxa" w:w="8064"/>
          </w:tcPr>
          <w:p>
            <w:r/>
            <w:r>
              <w:t>[Associate], Corporate / M&amp;A</w:t>
            </w:r>
          </w:p>
        </w:tc>
      </w:tr>
      <w:tr>
        <w:tc>
          <w:tcPr>
            <w:tcW w:type="dxa" w:w="1296"/>
          </w:tcPr>
          <w:p>
            <w:r/>
            <w:r>
              <w:rPr>
                <w:b/>
              </w:rPr>
              <w:t>DATE:</w:t>
            </w:r>
          </w:p>
        </w:tc>
        <w:tc>
          <w:tcPr>
            <w:tcW w:type="dxa" w:w="8064"/>
          </w:tcPr>
          <w:p>
            <w:r/>
            <w:r>
              <w:t>[●] (prepared on review of the Matter Plan circulated May 12, 2025)</w:t>
            </w:r>
          </w:p>
        </w:tc>
      </w:tr>
      <w:tr>
        <w:tc>
          <w:tcPr>
            <w:tcW w:type="dxa" w:w="1296"/>
          </w:tcPr>
          <w:p>
            <w:r/>
            <w:r>
              <w:rPr>
                <w:b/>
              </w:rPr>
              <w:t>RE:</w:t>
            </w:r>
          </w:p>
        </w:tc>
        <w:tc>
          <w:tcPr>
            <w:tcW w:type="dxa" w:w="8064"/>
          </w:tcPr>
          <w:p>
            <w:r/>
            <w:r>
              <w:t>Hargrove Medical Devices, Inc. Acquisition (Matter No. CBS-2025-04187) — Discrepancy Analysis: Matter Plan (May 12, 2025) vs. Engagement Letter (May 5, 2025)</w:t>
            </w:r>
          </w:p>
        </w:tc>
      </w:tr>
    </w:tbl>
    <w:p>
      <w:pPr>
        <w:spacing w:after="120"/>
      </w:pPr>
      <w:r>
        <w:t>_______________________________________________________________________________________________</w:t>
      </w:r>
    </w:p>
    <w:p>
      <w:pPr>
        <w:pStyle w:val="Heading1"/>
      </w:pPr>
      <w:r>
        <w:t>I. Purpose and Bottom Line</w:t>
      </w:r>
    </w:p>
    <w:p>
      <w:pPr>
        <w:spacing w:after="120"/>
      </w:pPr>
      <w:r>
        <w:rPr>
          <w:b w:val="0"/>
          <w:i w:val="0"/>
        </w:rPr>
        <w:t>You asked for a line-by-line comparison of the internal Matter Plan circulated by Lena Okafor on May 12, 2025 (the “Matter Plan” or “MP”) against the executed Engagement Letter with Whitfield Capital Partners LLC dated May 5, 2025, including Exhibit A (the “Engagement Letter” or “EL”). This memorandum identifies every material and non-material inconsistency I found, explains the consequence of each, and recommends corrective action.</w:t>
      </w:r>
    </w:p>
    <w:p>
      <w:pPr>
        <w:spacing w:after="120"/>
      </w:pPr>
      <w:r>
        <w:rPr>
          <w:b/>
          <w:i w:val="0"/>
        </w:rPr>
        <w:t>Bottom line.</w:t>
      </w:r>
      <w:r>
        <w:rPr>
          <w:b w:val="0"/>
          <w:i w:val="0"/>
        </w:rPr>
        <w:t xml:space="preserve"> The Matter Plan departs from the Engagement Letter on nearly every core commercial term and omits an entire contracted workstream. Because the Engagement Letter is the controlling contract (EL §§1, 15; MP §11.2 itself concedes this), each discrepancy is an error in the Matter Plan, not a change to our deal with the client — unless and until a written amendment signed by both parties is obtained (EL §15, “Amendments”). If the team executes against the Matter Plan as written, we will (i) bill at the wrong rates, (ii) budget and monitor against a fee cap that is $100,000 higher than the one we agreed, with fees above $1,850,000 unrecoverable absent prior written client approval (EL §5), (iii) fail to perform the contracted IP and Patent Portfolio Review (EL §3.6) for an orthopedic implant manufacturer, (iv) apply the $150,000 trust retainer in a manner the client did not authorize, and (v) quote an incorrect late-payment rate and an incorrect enterprise value. The Matter Plan should be withdrawn and reissued before it is shared with Ms. Takahashi (the MP legend authorizes distribution to her on request) or used to set up billing.</w:t>
      </w:r>
    </w:p>
    <w:p>
      <w:pPr>
        <w:spacing w:after="60"/>
      </w:pPr>
      <w:r>
        <w:rPr>
          <w:b/>
          <w:i w:val="0"/>
        </w:rPr>
        <w:t>Most urgent items (action before first invoice / before further work):</w:t>
      </w:r>
    </w:p>
    <w:p>
      <w:pPr>
        <w:pStyle w:val="ListBullet"/>
        <w:spacing w:after="60"/>
      </w:pPr>
      <w:r>
        <w:rPr>
          <w:b/>
          <w:i w:val="0"/>
        </w:rPr>
        <w:t>Fee cap:</w:t>
      </w:r>
      <w:r>
        <w:rPr>
          <w:b w:val="0"/>
          <w:i w:val="0"/>
        </w:rPr>
        <w:t xml:space="preserve"> correct to $1,850,000 (EL §5) from $1,950,000 (MP §§5.2, 9.3, R-006); recalibrate the 85% early-warning trigger to $1,572,500.</w:t>
      </w:r>
    </w:p>
    <w:p>
      <w:pPr>
        <w:pStyle w:val="ListBullet"/>
        <w:spacing w:after="60"/>
      </w:pPr>
      <w:r>
        <w:rPr>
          <w:b/>
          <w:i w:val="0"/>
        </w:rPr>
        <w:t>Discount and rates:</w:t>
      </w:r>
      <w:r>
        <w:rPr>
          <w:b w:val="0"/>
          <w:i w:val="0"/>
        </w:rPr>
        <w:t xml:space="preserve"> correct to 12% (EL §5) from 15% (MP §§4.1, 5.4, 9.4); load the EL rate card ($1,012 / $836 / $726 / $550 / $418 / $418 / $242) into billing before the May 2025 invoice is generated.</w:t>
      </w:r>
    </w:p>
    <w:p>
      <w:pPr>
        <w:pStyle w:val="ListBullet"/>
        <w:spacing w:after="60"/>
      </w:pPr>
      <w:r>
        <w:rPr>
          <w:b/>
          <w:i w:val="0"/>
        </w:rPr>
        <w:t>IP and Patent Portfolio Review (EL §3.6):</w:t>
      </w:r>
      <w:r>
        <w:rPr>
          <w:b w:val="0"/>
          <w:i w:val="0"/>
        </w:rPr>
        <w:t xml:space="preserve"> add as a workstream; staff, schedule and budget it, and add IP categories to the diligence request list due May 23, 2025.</w:t>
      </w:r>
    </w:p>
    <w:p>
      <w:pPr>
        <w:pStyle w:val="ListBullet"/>
        <w:spacing w:after="60"/>
      </w:pPr>
      <w:r>
        <w:rPr>
          <w:b/>
          <w:i w:val="0"/>
        </w:rPr>
        <w:t>Retainer:</w:t>
      </w:r>
      <w:r>
        <w:rPr>
          <w:b w:val="0"/>
          <w:i w:val="0"/>
        </w:rPr>
        <w:t xml:space="preserve"> do not apply $50,000 credits to the May–July invoices (MP §9.2). Under EL §7 the retainer stays in the NC trust account and is applied to the final invoice(s).</w:t>
      </w:r>
    </w:p>
    <w:p>
      <w:pPr>
        <w:pStyle w:val="ListBullet"/>
        <w:spacing w:after="60"/>
      </w:pPr>
      <w:r>
        <w:rPr>
          <w:b/>
          <w:i w:val="0"/>
        </w:rPr>
        <w:t>Post-closing support:</w:t>
      </w:r>
      <w:r>
        <w:rPr>
          <w:b w:val="0"/>
          <w:i w:val="0"/>
        </w:rPr>
        <w:t xml:space="preserve"> 60 days ending November 14, 2025 (EL §§3.8, 9), not 90 days ending December 14, 2025 (MP WS 7, §§6.1, 6.2, 11.1(7)).</w:t>
      </w:r>
    </w:p>
    <w:p>
      <w:pPr>
        <w:pStyle w:val="ListBullet"/>
        <w:spacing w:after="60"/>
      </w:pPr>
      <w:r>
        <w:rPr>
          <w:b/>
          <w:i w:val="0"/>
        </w:rPr>
        <w:t>Regulatory associate:</w:t>
      </w:r>
      <w:r>
        <w:rPr>
          <w:b w:val="0"/>
          <w:i w:val="0"/>
        </w:rPr>
        <w:t xml:space="preserve"> the EL names Priya Dasgupta; the MP substitutes James Ortega. Either revert or give the client advance notice of the core-team change (EL §4).</w:t>
      </w:r>
    </w:p>
    <w:p>
      <w:pPr>
        <w:pStyle w:val="Heading1"/>
      </w:pPr>
      <w:r>
        <w:t>II. Documents Reviewed; Governing Hierarchy</w:t>
      </w:r>
    </w:p>
    <w:p>
      <w:pPr>
        <w:pStyle w:val="ListBullet"/>
        <w:spacing w:after="60"/>
      </w:pPr>
      <w:r>
        <w:rPr>
          <w:b/>
          <w:i w:val="0"/>
        </w:rPr>
        <w:t>Engagement Letter</w:t>
      </w:r>
      <w:r>
        <w:rPr>
          <w:b w:val="0"/>
          <w:i w:val="0"/>
        </w:rPr>
        <w:t xml:space="preserve"> dated May 5, 2025, CBS to Denise Takahashi, General Counsel, Whitfield Capital Partners LLC, countersigned May 5, 2025, with Exhibit A (Standard Terms and Conditions).</w:t>
      </w:r>
    </w:p>
    <w:p>
      <w:pPr>
        <w:pStyle w:val="ListBullet"/>
        <w:spacing w:after="60"/>
      </w:pPr>
      <w:r>
        <w:rPr>
          <w:b/>
          <w:i w:val="0"/>
        </w:rPr>
        <w:t>Matter Plan — Confidential</w:t>
      </w:r>
      <w:r>
        <w:rPr>
          <w:b w:val="0"/>
          <w:i w:val="0"/>
        </w:rPr>
        <w:t>, Matter No. CBS-2025-04187, prepared by Lena Okafor, circulated May 12, 2025, including Appendices A (Preliminary Diligence Request List Categories) and B (Contact Directory).</w:t>
      </w:r>
    </w:p>
    <w:p>
      <w:pPr>
        <w:spacing w:after="120"/>
      </w:pPr>
      <w:r>
        <w:rPr>
          <w:b/>
          <w:i w:val="0"/>
        </w:rPr>
        <w:t>Hierarchy.</w:t>
      </w:r>
      <w:r>
        <w:rPr>
          <w:b w:val="0"/>
          <w:i w:val="0"/>
        </w:rPr>
        <w:t xml:space="preserve"> The Engagement Letter, together with Exhibit A, is the “entire agreement” and supersedes prior communications regarding scope, fees or terms (EL §§1, 15). It may be amended only “by a written instrument signed by an authorized representative of each party” (EL §15), services outside the eight listed workstreams require “prior written agreement” (EL §3), and fees above the Fee Cap require the client’s “prior written approval,” failing which CBS “shall not be entitled to recover” them (EL §5). The Matter Plan is an internal planning document; it expressly “does not constitute legal advice,” is for “internal planning and resource allocation purposes only,” and provides that the Engagement Letter controls in the event of conflict (MP §11.2). Accordingly, in every discrepancy below the EL term governs, and the Matter Plan must be conformed — unless the partner group decides to seek a signed amendment from the client.</w:t>
      </w:r>
    </w:p>
    <w:p>
      <w:pPr>
        <w:spacing w:after="120"/>
      </w:pPr>
      <w:r>
        <w:rPr>
          <w:b/>
          <w:i w:val="0"/>
        </w:rPr>
        <w:t>Method.</w:t>
      </w:r>
      <w:r>
        <w:rPr>
          <w:b w:val="0"/>
          <w:i w:val="0"/>
        </w:rPr>
        <w:t xml:space="preserve"> I compared the two documents section by section (transaction facts, scope, staffing, fees, budget, disbursements, retainer, billing, timeline, conflicts and other terms), checked all arithmetic and date calculations in both documents, and noted items that are consistent so the team can rely on them (Appendix 1). Severity ratings reflect contractual, financial, ethical and transaction-execution consequences: </w:t>
      </w:r>
      <w:r>
        <w:rPr>
          <w:b/>
          <w:i w:val="0"/>
        </w:rPr>
        <w:t>Critical</w:t>
      </w:r>
      <w:r>
        <w:rPr>
          <w:b w:val="0"/>
          <w:i w:val="0"/>
        </w:rPr>
        <w:t xml:space="preserve"> (contract breach, unrecoverable fees or ethics exposure; fix immediately), </w:t>
      </w:r>
      <w:r>
        <w:rPr>
          <w:b/>
          <w:i w:val="0"/>
        </w:rPr>
        <w:t>High</w:t>
      </w:r>
      <w:r>
        <w:rPr>
          <w:b w:val="0"/>
          <w:i w:val="0"/>
        </w:rPr>
        <w:t xml:space="preserve"> (material client-facing error; fix before the plan is used or shared), </w:t>
      </w:r>
      <w:r>
        <w:rPr>
          <w:b/>
          <w:i w:val="0"/>
        </w:rPr>
        <w:t>Medium</w:t>
      </w:r>
      <w:r>
        <w:rPr>
          <w:b w:val="0"/>
          <w:i w:val="0"/>
        </w:rPr>
        <w:t xml:space="preserve"> (scope/budget drift requiring a decision or client communication), </w:t>
      </w:r>
      <w:r>
        <w:rPr>
          <w:b/>
          <w:i w:val="0"/>
        </w:rPr>
        <w:t>Low</w:t>
      </w:r>
      <w:r>
        <w:rPr>
          <w:b w:val="0"/>
          <w:i w:val="0"/>
        </w:rPr>
        <w:t xml:space="preserve"> (housekeeping).</w:t>
      </w:r>
    </w:p>
    <w:p>
      <w:pPr>
        <w:pStyle w:val="Heading1"/>
      </w:pPr>
      <w:r>
        <w:t>III. Summary Discrepancy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48"/>
            <w:shd w:val="clear" w:color="auto" w:fill="1F3A5F"/>
          </w:tcPr>
          <w:p>
            <w:r/>
            <w:r>
              <w:rPr>
                <w:b/>
                <w:color w:val="FFFFFF"/>
                <w:sz w:val="16"/>
              </w:rPr>
              <w:t>No.</w:t>
            </w:r>
          </w:p>
        </w:tc>
        <w:tc>
          <w:tcPr>
            <w:tcW w:type="dxa" w:w="1512"/>
            <w:shd w:val="clear" w:color="auto" w:fill="1F3A5F"/>
          </w:tcPr>
          <w:p>
            <w:r/>
            <w:r>
              <w:rPr>
                <w:b/>
                <w:color w:val="FFFFFF"/>
                <w:sz w:val="16"/>
              </w:rPr>
              <w:t>Topic</w:t>
            </w:r>
          </w:p>
        </w:tc>
        <w:tc>
          <w:tcPr>
            <w:tcW w:type="dxa" w:w="2952"/>
            <w:shd w:val="clear" w:color="auto" w:fill="1F3A5F"/>
          </w:tcPr>
          <w:p>
            <w:r/>
            <w:r>
              <w:rPr>
                <w:b/>
                <w:color w:val="FFFFFF"/>
                <w:sz w:val="16"/>
              </w:rPr>
              <w:t>Engagement Letter (controls)</w:t>
            </w:r>
          </w:p>
        </w:tc>
        <w:tc>
          <w:tcPr>
            <w:tcW w:type="dxa" w:w="3096"/>
            <w:shd w:val="clear" w:color="auto" w:fill="1F3A5F"/>
          </w:tcPr>
          <w:p>
            <w:r/>
            <w:r>
              <w:rPr>
                <w:b/>
                <w:color w:val="FFFFFF"/>
                <w:sz w:val="16"/>
              </w:rPr>
              <w:t>Matter Plan</w:t>
            </w:r>
          </w:p>
        </w:tc>
        <w:tc>
          <w:tcPr>
            <w:tcW w:type="dxa" w:w="1152"/>
            <w:shd w:val="clear" w:color="auto" w:fill="1F3A5F"/>
          </w:tcPr>
          <w:p>
            <w:r/>
            <w:r>
              <w:rPr>
                <w:b/>
                <w:color w:val="FFFFFF"/>
                <w:sz w:val="16"/>
              </w:rPr>
              <w:t>Severity</w:t>
            </w:r>
          </w:p>
        </w:tc>
      </w:tr>
      <w:tr>
        <w:tc>
          <w:tcPr>
            <w:tcW w:type="dxa" w:w="648"/>
          </w:tcPr>
          <w:p>
            <w:r/>
            <w:r>
              <w:rPr>
                <w:b w:val="0"/>
                <w:i w:val="0"/>
                <w:sz w:val="16"/>
              </w:rPr>
              <w:t>D-1</w:t>
            </w:r>
          </w:p>
        </w:tc>
        <w:tc>
          <w:tcPr>
            <w:tcW w:type="dxa" w:w="1512"/>
          </w:tcPr>
          <w:p>
            <w:r/>
            <w:r>
              <w:rPr>
                <w:b w:val="0"/>
                <w:i w:val="0"/>
                <w:sz w:val="16"/>
              </w:rPr>
              <w:t>Fee Cap</w:t>
            </w:r>
          </w:p>
        </w:tc>
        <w:tc>
          <w:tcPr>
            <w:tcW w:type="dxa" w:w="2952"/>
          </w:tcPr>
          <w:p>
            <w:r/>
            <w:r>
              <w:rPr>
                <w:b w:val="0"/>
                <w:i w:val="0"/>
                <w:sz w:val="16"/>
              </w:rPr>
              <w:t>$1,850,000 (§5)</w:t>
            </w:r>
          </w:p>
        </w:tc>
        <w:tc>
          <w:tcPr>
            <w:tcW w:type="dxa" w:w="3096"/>
          </w:tcPr>
          <w:p>
            <w:r/>
            <w:r>
              <w:rPr>
                <w:b w:val="0"/>
                <w:i w:val="0"/>
                <w:sz w:val="16"/>
              </w:rPr>
              <w:t>$1,950,000 (§§5.2, 9.3; R-006); 85% trigger implied at $1,657,500</w:t>
            </w:r>
          </w:p>
        </w:tc>
        <w:tc>
          <w:tcPr>
            <w:tcW w:type="dxa" w:w="1152"/>
            <w:shd w:val="clear" w:color="auto" w:fill="F4B6B6"/>
          </w:tcPr>
          <w:p>
            <w:r/>
            <w:r>
              <w:rPr>
                <w:b w:val="0"/>
                <w:i w:val="0"/>
                <w:sz w:val="16"/>
              </w:rPr>
              <w:t>Critical</w:t>
            </w:r>
          </w:p>
        </w:tc>
      </w:tr>
      <w:tr>
        <w:tc>
          <w:tcPr>
            <w:tcW w:type="dxa" w:w="648"/>
          </w:tcPr>
          <w:p>
            <w:r/>
            <w:r>
              <w:rPr>
                <w:b w:val="0"/>
                <w:i w:val="0"/>
                <w:sz w:val="16"/>
              </w:rPr>
              <w:t>D-2</w:t>
            </w:r>
          </w:p>
        </w:tc>
        <w:tc>
          <w:tcPr>
            <w:tcW w:type="dxa" w:w="1512"/>
          </w:tcPr>
          <w:p>
            <w:r/>
            <w:r>
              <w:rPr>
                <w:b w:val="0"/>
                <w:i w:val="0"/>
                <w:sz w:val="16"/>
              </w:rPr>
              <w:t>Rate discount / rate card</w:t>
            </w:r>
          </w:p>
        </w:tc>
        <w:tc>
          <w:tcPr>
            <w:tcW w:type="dxa" w:w="2952"/>
          </w:tcPr>
          <w:p>
            <w:r/>
            <w:r>
              <w:rPr>
                <w:b w:val="0"/>
                <w:i w:val="0"/>
                <w:sz w:val="16"/>
              </w:rPr>
              <w:t>12% discount; Calloway $1,012, Briggs $836, Okafor $726, Windham $550, Muñoz $418, Dasgupta $418, Tran $242 (§5)</w:t>
            </w:r>
          </w:p>
        </w:tc>
        <w:tc>
          <w:tcPr>
            <w:tcW w:type="dxa" w:w="3096"/>
          </w:tcPr>
          <w:p>
            <w:r/>
            <w:r>
              <w:rPr>
                <w:b w:val="0"/>
                <w:i w:val="0"/>
                <w:sz w:val="16"/>
              </w:rPr>
              <w:t>15% discount; $977.50 / $807.50 / $701.25 / $531.25 / $403.75 / $403.75 (Ortega) / $233.75 (§§4.1, 5.4, 9.4)</w:t>
            </w:r>
          </w:p>
        </w:tc>
        <w:tc>
          <w:tcPr>
            <w:tcW w:type="dxa" w:w="1152"/>
            <w:shd w:val="clear" w:color="auto" w:fill="F4B6B6"/>
          </w:tcPr>
          <w:p>
            <w:r/>
            <w:r>
              <w:rPr>
                <w:b w:val="0"/>
                <w:i w:val="0"/>
                <w:sz w:val="16"/>
              </w:rPr>
              <w:t>Critical</w:t>
            </w:r>
          </w:p>
        </w:tc>
      </w:tr>
      <w:tr>
        <w:tc>
          <w:tcPr>
            <w:tcW w:type="dxa" w:w="648"/>
          </w:tcPr>
          <w:p>
            <w:r/>
            <w:r>
              <w:rPr>
                <w:b w:val="0"/>
                <w:i w:val="0"/>
                <w:sz w:val="16"/>
              </w:rPr>
              <w:t>D-3</w:t>
            </w:r>
          </w:p>
        </w:tc>
        <w:tc>
          <w:tcPr>
            <w:tcW w:type="dxa" w:w="1512"/>
          </w:tcPr>
          <w:p>
            <w:r/>
            <w:r>
              <w:rPr>
                <w:b w:val="0"/>
                <w:i w:val="0"/>
                <w:sz w:val="16"/>
              </w:rPr>
              <w:t>IP and Patent Portfolio Review</w:t>
            </w:r>
          </w:p>
        </w:tc>
        <w:tc>
          <w:tcPr>
            <w:tcW w:type="dxa" w:w="2952"/>
          </w:tcPr>
          <w:p>
            <w:r/>
            <w:r>
              <w:rPr>
                <w:b w:val="0"/>
                <w:i w:val="0"/>
                <w:sz w:val="16"/>
              </w:rPr>
              <w:t>Workstream 3.6 (patents, applications, trademarks, trade secrets, copyrights, in/out-licenses, FTO and infringement; memo to client); 8 workstreams</w:t>
            </w:r>
          </w:p>
        </w:tc>
        <w:tc>
          <w:tcPr>
            <w:tcW w:type="dxa" w:w="3096"/>
          </w:tcPr>
          <w:p>
            <w:r/>
            <w:r>
              <w:rPr>
                <w:b w:val="0"/>
                <w:i w:val="0"/>
                <w:sz w:val="16"/>
              </w:rPr>
              <w:t>Omitted entirely; “seven workstreams” (§3, §4.2, §11.1(5)); no staffing, budget, milestone, risk entry or diligence request category</w:t>
            </w:r>
          </w:p>
        </w:tc>
        <w:tc>
          <w:tcPr>
            <w:tcW w:type="dxa" w:w="1152"/>
            <w:shd w:val="clear" w:color="auto" w:fill="F4B6B6"/>
          </w:tcPr>
          <w:p>
            <w:r/>
            <w:r>
              <w:rPr>
                <w:b w:val="0"/>
                <w:i w:val="0"/>
                <w:sz w:val="16"/>
              </w:rPr>
              <w:t>Critical</w:t>
            </w:r>
          </w:p>
        </w:tc>
      </w:tr>
      <w:tr>
        <w:tc>
          <w:tcPr>
            <w:tcW w:type="dxa" w:w="648"/>
          </w:tcPr>
          <w:p>
            <w:r/>
            <w:r>
              <w:rPr>
                <w:b w:val="0"/>
                <w:i w:val="0"/>
                <w:sz w:val="16"/>
              </w:rPr>
              <w:t>D-4</w:t>
            </w:r>
          </w:p>
        </w:tc>
        <w:tc>
          <w:tcPr>
            <w:tcW w:type="dxa" w:w="1512"/>
          </w:tcPr>
          <w:p>
            <w:r/>
            <w:r>
              <w:rPr>
                <w:b w:val="0"/>
                <w:i w:val="0"/>
                <w:sz w:val="16"/>
              </w:rPr>
              <w:t>Retainer application</w:t>
            </w:r>
          </w:p>
        </w:tc>
        <w:tc>
          <w:tcPr>
            <w:tcW w:type="dxa" w:w="2952"/>
          </w:tcPr>
          <w:p>
            <w:r/>
            <w:r>
              <w:rPr>
                <w:b w:val="0"/>
                <w:i w:val="0"/>
                <w:sz w:val="16"/>
              </w:rPr>
              <w:t>$150,000 held in CBS trust account (First Hollcroft Bank) and applied to final invoice(s); balance refunded (§7)</w:t>
            </w:r>
          </w:p>
        </w:tc>
        <w:tc>
          <w:tcPr>
            <w:tcW w:type="dxa" w:w="3096"/>
          </w:tcPr>
          <w:p>
            <w:r/>
            <w:r>
              <w:rPr>
                <w:b w:val="0"/>
                <w:i w:val="0"/>
                <w:sz w:val="16"/>
              </w:rPr>
              <w:t>$50,000 applied to each of the May, June and July 2025 invoices (§9.2)</w:t>
            </w:r>
          </w:p>
        </w:tc>
        <w:tc>
          <w:tcPr>
            <w:tcW w:type="dxa" w:w="1152"/>
            <w:shd w:val="clear" w:color="auto" w:fill="F4B6B6"/>
          </w:tcPr>
          <w:p>
            <w:r/>
            <w:r>
              <w:rPr>
                <w:b w:val="0"/>
                <w:i w:val="0"/>
                <w:sz w:val="16"/>
              </w:rPr>
              <w:t>Critical</w:t>
            </w:r>
          </w:p>
        </w:tc>
      </w:tr>
      <w:tr>
        <w:tc>
          <w:tcPr>
            <w:tcW w:type="dxa" w:w="648"/>
          </w:tcPr>
          <w:p>
            <w:r/>
            <w:r>
              <w:rPr>
                <w:b w:val="0"/>
                <w:i w:val="0"/>
                <w:sz w:val="16"/>
              </w:rPr>
              <w:t>D-5</w:t>
            </w:r>
          </w:p>
        </w:tc>
        <w:tc>
          <w:tcPr>
            <w:tcW w:type="dxa" w:w="1512"/>
          </w:tcPr>
          <w:p>
            <w:r/>
            <w:r>
              <w:rPr>
                <w:b w:val="0"/>
                <w:i w:val="0"/>
                <w:sz w:val="16"/>
              </w:rPr>
              <w:t>Post-closing support period</w:t>
            </w:r>
          </w:p>
        </w:tc>
        <w:tc>
          <w:tcPr>
            <w:tcW w:type="dxa" w:w="2952"/>
          </w:tcPr>
          <w:p>
            <w:r/>
            <w:r>
              <w:rPr>
                <w:b w:val="0"/>
                <w:i w:val="0"/>
                <w:sz w:val="16"/>
              </w:rPr>
              <w:t>60 days; Sept. 15 – Nov. 14, 2025 (§§3.8, 9)</w:t>
            </w:r>
          </w:p>
        </w:tc>
        <w:tc>
          <w:tcPr>
            <w:tcW w:type="dxa" w:w="3096"/>
          </w:tcPr>
          <w:p>
            <w:r/>
            <w:r>
              <w:rPr>
                <w:b w:val="0"/>
                <w:i w:val="0"/>
                <w:sz w:val="16"/>
              </w:rPr>
              <w:t>90 days; through Dec. 14, 2025 (WS 7; §§5.1, 6.1, 6.2, 11.1(7))</w:t>
            </w:r>
          </w:p>
        </w:tc>
        <w:tc>
          <w:tcPr>
            <w:tcW w:type="dxa" w:w="1152"/>
            <w:shd w:val="clear" w:color="auto" w:fill="F8D7A8"/>
          </w:tcPr>
          <w:p>
            <w:r/>
            <w:r>
              <w:rPr>
                <w:b w:val="0"/>
                <w:i w:val="0"/>
                <w:sz w:val="16"/>
              </w:rPr>
              <w:t>High</w:t>
            </w:r>
          </w:p>
        </w:tc>
      </w:tr>
      <w:tr>
        <w:tc>
          <w:tcPr>
            <w:tcW w:type="dxa" w:w="648"/>
          </w:tcPr>
          <w:p>
            <w:r/>
            <w:r>
              <w:rPr>
                <w:b w:val="0"/>
                <w:i w:val="0"/>
                <w:sz w:val="16"/>
              </w:rPr>
              <w:t>D-6</w:t>
            </w:r>
          </w:p>
        </w:tc>
        <w:tc>
          <w:tcPr>
            <w:tcW w:type="dxa" w:w="1512"/>
          </w:tcPr>
          <w:p>
            <w:r/>
            <w:r>
              <w:rPr>
                <w:b w:val="0"/>
                <w:i w:val="0"/>
                <w:sz w:val="16"/>
              </w:rPr>
              <w:t>Enterprise value</w:t>
            </w:r>
          </w:p>
        </w:tc>
        <w:tc>
          <w:tcPr>
            <w:tcW w:type="dxa" w:w="2952"/>
          </w:tcPr>
          <w:p>
            <w:r/>
            <w:r>
              <w:rPr>
                <w:b w:val="0"/>
                <w:i w:val="0"/>
                <w:sz w:val="16"/>
              </w:rPr>
              <w:t>$142,000,000 (§2); EV – $23.4M net debt = $118.6M equity (reconciles)</w:t>
            </w:r>
          </w:p>
        </w:tc>
        <w:tc>
          <w:tcPr>
            <w:tcW w:type="dxa" w:w="3096"/>
          </w:tcPr>
          <w:p>
            <w:r/>
            <w:r>
              <w:rPr>
                <w:b w:val="0"/>
                <w:i w:val="0"/>
                <w:sz w:val="16"/>
              </w:rPr>
              <w:t>$148,000,000 (§§1, 2.2) yet same $118.6M equity value — internally inconsistent ($148.0M – $23.4M = $124.6M)</w:t>
            </w:r>
          </w:p>
        </w:tc>
        <w:tc>
          <w:tcPr>
            <w:tcW w:type="dxa" w:w="1152"/>
            <w:shd w:val="clear" w:color="auto" w:fill="F8D7A8"/>
          </w:tcPr>
          <w:p>
            <w:r/>
            <w:r>
              <w:rPr>
                <w:b w:val="0"/>
                <w:i w:val="0"/>
                <w:sz w:val="16"/>
              </w:rPr>
              <w:t>High</w:t>
            </w:r>
          </w:p>
        </w:tc>
      </w:tr>
      <w:tr>
        <w:tc>
          <w:tcPr>
            <w:tcW w:type="dxa" w:w="648"/>
          </w:tcPr>
          <w:p>
            <w:r/>
            <w:r>
              <w:rPr>
                <w:b w:val="0"/>
                <w:i w:val="0"/>
                <w:sz w:val="16"/>
              </w:rPr>
              <w:t>D-7</w:t>
            </w:r>
          </w:p>
        </w:tc>
        <w:tc>
          <w:tcPr>
            <w:tcW w:type="dxa" w:w="1512"/>
          </w:tcPr>
          <w:p>
            <w:r/>
            <w:r>
              <w:rPr>
                <w:b w:val="0"/>
                <w:i w:val="0"/>
                <w:sz w:val="16"/>
              </w:rPr>
              <w:t>Late-payment interest</w:t>
            </w:r>
          </w:p>
        </w:tc>
        <w:tc>
          <w:tcPr>
            <w:tcW w:type="dxa" w:w="2952"/>
          </w:tcPr>
          <w:p>
            <w:r/>
            <w:r>
              <w:rPr>
                <w:b w:val="0"/>
                <w:i w:val="0"/>
                <w:sz w:val="16"/>
              </w:rPr>
              <w:t>1.0% per month (or legal maximum, if less), on undisputed amounts only (§8)</w:t>
            </w:r>
          </w:p>
        </w:tc>
        <w:tc>
          <w:tcPr>
            <w:tcW w:type="dxa" w:w="3096"/>
          </w:tcPr>
          <w:p>
            <w:r/>
            <w:r>
              <w:rPr>
                <w:b w:val="0"/>
                <w:i w:val="0"/>
                <w:sz w:val="16"/>
              </w:rPr>
              <w:t>1.5% per month on “overdue balances,” stated to be “in accordance with the terms of the Engagement Letter” (§9.1)</w:t>
            </w:r>
          </w:p>
        </w:tc>
        <w:tc>
          <w:tcPr>
            <w:tcW w:type="dxa" w:w="1152"/>
            <w:shd w:val="clear" w:color="auto" w:fill="F8D7A8"/>
          </w:tcPr>
          <w:p>
            <w:r/>
            <w:r>
              <w:rPr>
                <w:b w:val="0"/>
                <w:i w:val="0"/>
                <w:sz w:val="16"/>
              </w:rPr>
              <w:t>High</w:t>
            </w:r>
          </w:p>
        </w:tc>
      </w:tr>
      <w:tr>
        <w:tc>
          <w:tcPr>
            <w:tcW w:type="dxa" w:w="648"/>
          </w:tcPr>
          <w:p>
            <w:r/>
            <w:r>
              <w:rPr>
                <w:b w:val="0"/>
                <w:i w:val="0"/>
                <w:sz w:val="16"/>
              </w:rPr>
              <w:t>D-8</w:t>
            </w:r>
          </w:p>
        </w:tc>
        <w:tc>
          <w:tcPr>
            <w:tcW w:type="dxa" w:w="1512"/>
          </w:tcPr>
          <w:p>
            <w:r/>
            <w:r>
              <w:rPr>
                <w:b w:val="0"/>
                <w:i w:val="0"/>
                <w:sz w:val="16"/>
              </w:rPr>
              <w:t>Regulatory associate</w:t>
            </w:r>
          </w:p>
        </w:tc>
        <w:tc>
          <w:tcPr>
            <w:tcW w:type="dxa" w:w="2952"/>
          </w:tcPr>
          <w:p>
            <w:r/>
            <w:r>
              <w:rPr>
                <w:b w:val="0"/>
                <w:i w:val="0"/>
                <w:sz w:val="16"/>
              </w:rPr>
              <w:t>Priya Dasgupta, Associate (New York) — FDA and HSR (§4); core team changes require advance notice (§4)</w:t>
            </w:r>
          </w:p>
        </w:tc>
        <w:tc>
          <w:tcPr>
            <w:tcW w:type="dxa" w:w="3096"/>
          </w:tcPr>
          <w:p>
            <w:r/>
            <w:r>
              <w:rPr>
                <w:b w:val="0"/>
                <w:i w:val="0"/>
                <w:sz w:val="16"/>
              </w:rPr>
              <w:t>James Ortega, Associate (New York) — WS 3 lead; Dasgupta not mentioned (§§3, 4.1, 4.2, 6.1, 7.2; App. B)</w:t>
            </w:r>
          </w:p>
        </w:tc>
        <w:tc>
          <w:tcPr>
            <w:tcW w:type="dxa" w:w="1152"/>
            <w:shd w:val="clear" w:color="auto" w:fill="F8D7A8"/>
          </w:tcPr>
          <w:p>
            <w:r/>
            <w:r>
              <w:rPr>
                <w:b w:val="0"/>
                <w:i w:val="0"/>
                <w:sz w:val="16"/>
              </w:rPr>
              <w:t>High</w:t>
            </w:r>
          </w:p>
        </w:tc>
      </w:tr>
      <w:tr>
        <w:tc>
          <w:tcPr>
            <w:tcW w:type="dxa" w:w="648"/>
          </w:tcPr>
          <w:p>
            <w:r/>
            <w:r>
              <w:rPr>
                <w:b w:val="0"/>
                <w:i w:val="0"/>
                <w:sz w:val="16"/>
              </w:rPr>
              <w:t>D-9</w:t>
            </w:r>
          </w:p>
        </w:tc>
        <w:tc>
          <w:tcPr>
            <w:tcW w:type="dxa" w:w="1512"/>
          </w:tcPr>
          <w:p>
            <w:r/>
            <w:r>
              <w:rPr>
                <w:b w:val="0"/>
                <w:i w:val="0"/>
                <w:sz w:val="16"/>
              </w:rPr>
              <w:t>Conflicts disclosure</w:t>
            </w:r>
          </w:p>
        </w:tc>
        <w:tc>
          <w:tcPr>
            <w:tcW w:type="dxa" w:w="2952"/>
          </w:tcPr>
          <w:p>
            <w:r/>
            <w:r>
              <w:rPr>
                <w:b w:val="0"/>
                <w:i w:val="0"/>
                <w:sz w:val="16"/>
              </w:rPr>
              <w:t>“No conflicts of interest exist”; silent on Greenleaf; entire-agreement clause (§§1, 10, 15)</w:t>
            </w:r>
          </w:p>
        </w:tc>
        <w:tc>
          <w:tcPr>
            <w:tcW w:type="dxa" w:w="3096"/>
          </w:tcPr>
          <w:p>
            <w:r/>
            <w:r>
              <w:rPr>
                <w:b w:val="0"/>
                <w:i w:val="0"/>
                <w:sz w:val="16"/>
              </w:rPr>
              <w:t>Prior Greenleaf representation (2023) identified; written waiver obtained April 28, 2025 (§8.2); conflicts list narrower than EL representation</w:t>
            </w:r>
          </w:p>
        </w:tc>
        <w:tc>
          <w:tcPr>
            <w:tcW w:type="dxa" w:w="1152"/>
            <w:shd w:val="clear" w:color="auto" w:fill="F8D7A8"/>
          </w:tcPr>
          <w:p>
            <w:r/>
            <w:r>
              <w:rPr>
                <w:b w:val="0"/>
                <w:i w:val="0"/>
                <w:sz w:val="16"/>
              </w:rPr>
              <w:t>High</w:t>
            </w:r>
          </w:p>
        </w:tc>
      </w:tr>
      <w:tr>
        <w:tc>
          <w:tcPr>
            <w:tcW w:type="dxa" w:w="648"/>
          </w:tcPr>
          <w:p>
            <w:r/>
            <w:r>
              <w:rPr>
                <w:b w:val="0"/>
                <w:i w:val="0"/>
                <w:sz w:val="16"/>
              </w:rPr>
              <w:t>D-10</w:t>
            </w:r>
          </w:p>
        </w:tc>
        <w:tc>
          <w:tcPr>
            <w:tcW w:type="dxa" w:w="1512"/>
          </w:tcPr>
          <w:p>
            <w:r/>
            <w:r>
              <w:rPr>
                <w:b w:val="0"/>
                <w:i w:val="0"/>
                <w:sz w:val="16"/>
              </w:rPr>
              <w:t>Disbursement estimate and categories</w:t>
            </w:r>
          </w:p>
        </w:tc>
        <w:tc>
          <w:tcPr>
            <w:tcW w:type="dxa" w:w="2952"/>
          </w:tcPr>
          <w:p>
            <w:r/>
            <w:r>
              <w:rPr>
                <w:b w:val="0"/>
                <w:i w:val="0"/>
                <w:sz w:val="16"/>
              </w:rPr>
              <w:t>≈$95,000 estimate; categories include UCC, good-standing, patent/title/lien searches (§6)</w:t>
            </w:r>
          </w:p>
        </w:tc>
        <w:tc>
          <w:tcPr>
            <w:tcW w:type="dxa" w:w="3096"/>
          </w:tcPr>
          <w:p>
            <w:r/>
            <w:r>
              <w:rPr>
                <w:b w:val="0"/>
                <w:i w:val="0"/>
                <w:sz w:val="16"/>
              </w:rPr>
              <w:t>$120,000 estimate; no patent/title/lien/UCC search line; adds translation and Chicago travel (§5.3)</w:t>
            </w:r>
          </w:p>
        </w:tc>
        <w:tc>
          <w:tcPr>
            <w:tcW w:type="dxa" w:w="1152"/>
            <w:shd w:val="clear" w:color="auto" w:fill="FFF2B3"/>
          </w:tcPr>
          <w:p>
            <w:r/>
            <w:r>
              <w:rPr>
                <w:b w:val="0"/>
                <w:i w:val="0"/>
                <w:sz w:val="16"/>
              </w:rPr>
              <w:t>Medium</w:t>
            </w:r>
          </w:p>
        </w:tc>
      </w:tr>
      <w:tr>
        <w:tc>
          <w:tcPr>
            <w:tcW w:type="dxa" w:w="648"/>
          </w:tcPr>
          <w:p>
            <w:r/>
            <w:r>
              <w:rPr>
                <w:b w:val="0"/>
                <w:i w:val="0"/>
                <w:sz w:val="16"/>
              </w:rPr>
              <w:t>D-11</w:t>
            </w:r>
          </w:p>
        </w:tc>
        <w:tc>
          <w:tcPr>
            <w:tcW w:type="dxa" w:w="1512"/>
          </w:tcPr>
          <w:p>
            <w:r/>
            <w:r>
              <w:rPr>
                <w:b w:val="0"/>
                <w:i w:val="0"/>
                <w:sz w:val="16"/>
              </w:rPr>
              <w:t>SPA first draft</w:t>
            </w:r>
          </w:p>
        </w:tc>
        <w:tc>
          <w:tcPr>
            <w:tcW w:type="dxa" w:w="2952"/>
          </w:tcPr>
          <w:p>
            <w:r/>
            <w:r>
              <w:rPr>
                <w:b w:val="0"/>
                <w:i w:val="0"/>
                <w:sz w:val="16"/>
              </w:rPr>
              <w:t>July 7, 2025 (§9)</w:t>
            </w:r>
          </w:p>
        </w:tc>
        <w:tc>
          <w:tcPr>
            <w:tcW w:type="dxa" w:w="3096"/>
          </w:tcPr>
          <w:p>
            <w:r/>
            <w:r>
              <w:rPr>
                <w:b w:val="0"/>
                <w:i w:val="0"/>
                <w:sz w:val="16"/>
              </w:rPr>
              <w:t>June 23, 2025 (WS 2; §§6.1, 6.2; R-002)</w:t>
            </w:r>
          </w:p>
        </w:tc>
        <w:tc>
          <w:tcPr>
            <w:tcW w:type="dxa" w:w="1152"/>
            <w:shd w:val="clear" w:color="auto" w:fill="FFF2B3"/>
          </w:tcPr>
          <w:p>
            <w:r/>
            <w:r>
              <w:rPr>
                <w:b w:val="0"/>
                <w:i w:val="0"/>
                <w:sz w:val="16"/>
              </w:rPr>
              <w:t>Medium</w:t>
            </w:r>
          </w:p>
        </w:tc>
      </w:tr>
      <w:tr>
        <w:tc>
          <w:tcPr>
            <w:tcW w:type="dxa" w:w="648"/>
          </w:tcPr>
          <w:p>
            <w:r/>
            <w:r>
              <w:rPr>
                <w:b w:val="0"/>
                <w:i w:val="0"/>
                <w:sz w:val="16"/>
              </w:rPr>
              <w:t>D-12</w:t>
            </w:r>
          </w:p>
        </w:tc>
        <w:tc>
          <w:tcPr>
            <w:tcW w:type="dxa" w:w="1512"/>
          </w:tcPr>
          <w:p>
            <w:r/>
            <w:r>
              <w:rPr>
                <w:b w:val="0"/>
                <w:i w:val="0"/>
                <w:sz w:val="16"/>
              </w:rPr>
              <w:t>Post-closing scope</w:t>
            </w:r>
          </w:p>
        </w:tc>
        <w:tc>
          <w:tcPr>
            <w:tcW w:type="dxa" w:w="2952"/>
          </w:tcPr>
          <w:p>
            <w:r/>
            <w:r>
              <w:rPr>
                <w:b w:val="0"/>
                <w:i w:val="0"/>
                <w:sz w:val="16"/>
              </w:rPr>
              <w:t>Governance of acquired entity, contract novation/assignment, change-of-ownership filings, employment integration (§3.8)</w:t>
            </w:r>
          </w:p>
        </w:tc>
        <w:tc>
          <w:tcPr>
            <w:tcW w:type="dxa" w:w="3096"/>
          </w:tcPr>
          <w:p>
            <w:r/>
            <w:r>
              <w:rPr>
                <w:b w:val="0"/>
                <w:i w:val="0"/>
                <w:sz w:val="16"/>
              </w:rPr>
              <w:t>Adds “entity restructuring … to align with Whitfield’s portfolio management framework” and “general advisory support” (WS 7)</w:t>
            </w:r>
          </w:p>
        </w:tc>
        <w:tc>
          <w:tcPr>
            <w:tcW w:type="dxa" w:w="1152"/>
            <w:shd w:val="clear" w:color="auto" w:fill="FFF2B3"/>
          </w:tcPr>
          <w:p>
            <w:r/>
            <w:r>
              <w:rPr>
                <w:b w:val="0"/>
                <w:i w:val="0"/>
                <w:sz w:val="16"/>
              </w:rPr>
              <w:t>Medium</w:t>
            </w:r>
          </w:p>
        </w:tc>
      </w:tr>
      <w:tr>
        <w:tc>
          <w:tcPr>
            <w:tcW w:type="dxa" w:w="648"/>
          </w:tcPr>
          <w:p>
            <w:r/>
            <w:r>
              <w:rPr>
                <w:b w:val="0"/>
                <w:i w:val="0"/>
                <w:sz w:val="16"/>
              </w:rPr>
              <w:t>D-13</w:t>
            </w:r>
          </w:p>
        </w:tc>
        <w:tc>
          <w:tcPr>
            <w:tcW w:type="dxa" w:w="1512"/>
          </w:tcPr>
          <w:p>
            <w:r/>
            <w:r>
              <w:rPr>
                <w:b w:val="0"/>
                <w:i w:val="0"/>
                <w:sz w:val="16"/>
              </w:rPr>
              <w:t>Diligence scope (WS 1)</w:t>
            </w:r>
          </w:p>
        </w:tc>
        <w:tc>
          <w:tcPr>
            <w:tcW w:type="dxa" w:w="2952"/>
          </w:tcPr>
          <w:p>
            <w:r/>
            <w:r>
              <w:rPr>
                <w:b w:val="0"/>
                <w:i w:val="0"/>
                <w:sz w:val="16"/>
              </w:rPr>
              <w:t>Corporate, material contracts incl. JV/strategic alliance and government contracts, litigation, regulatory, environmental (§3.1)</w:t>
            </w:r>
          </w:p>
        </w:tc>
        <w:tc>
          <w:tcPr>
            <w:tcW w:type="dxa" w:w="3096"/>
          </w:tcPr>
          <w:p>
            <w:r/>
            <w:r>
              <w:rPr>
                <w:b w:val="0"/>
                <w:i w:val="0"/>
                <w:sz w:val="16"/>
              </w:rPr>
              <w:t>Adds tax returns/audits, financial statement review, insurance; WS 1 text omits environmental, government contracts and JV/strategic alliance agreements</w:t>
            </w:r>
          </w:p>
        </w:tc>
        <w:tc>
          <w:tcPr>
            <w:tcW w:type="dxa" w:w="1152"/>
            <w:shd w:val="clear" w:color="auto" w:fill="FFF2B3"/>
          </w:tcPr>
          <w:p>
            <w:r/>
            <w:r>
              <w:rPr>
                <w:b w:val="0"/>
                <w:i w:val="0"/>
                <w:sz w:val="16"/>
              </w:rPr>
              <w:t>Medium</w:t>
            </w:r>
          </w:p>
        </w:tc>
      </w:tr>
      <w:tr>
        <w:tc>
          <w:tcPr>
            <w:tcW w:type="dxa" w:w="648"/>
          </w:tcPr>
          <w:p>
            <w:r/>
            <w:r>
              <w:rPr>
                <w:b w:val="0"/>
                <w:i w:val="0"/>
                <w:sz w:val="16"/>
              </w:rPr>
              <w:t>D-14</w:t>
            </w:r>
          </w:p>
        </w:tc>
        <w:tc>
          <w:tcPr>
            <w:tcW w:type="dxa" w:w="1512"/>
          </w:tcPr>
          <w:p>
            <w:r/>
            <w:r>
              <w:rPr>
                <w:b w:val="0"/>
                <w:i w:val="0"/>
                <w:sz w:val="16"/>
              </w:rPr>
              <w:t>Employment scope (WS 5)</w:t>
            </w:r>
          </w:p>
        </w:tc>
        <w:tc>
          <w:tcPr>
            <w:tcW w:type="dxa" w:w="2952"/>
          </w:tcPr>
          <w:p>
            <w:r/>
            <w:r>
              <w:rPr>
                <w:b w:val="0"/>
                <w:i w:val="0"/>
                <w:sz w:val="16"/>
              </w:rPr>
              <w:t>Includes offer letters, equity award agreements, ERISA, COBRA and WARN Act (§3.5)</w:t>
            </w:r>
          </w:p>
        </w:tc>
        <w:tc>
          <w:tcPr>
            <w:tcW w:type="dxa" w:w="3096"/>
          </w:tcPr>
          <w:p>
            <w:r/>
            <w:r>
              <w:rPr>
                <w:b w:val="0"/>
                <w:i w:val="0"/>
                <w:sz w:val="16"/>
              </w:rPr>
              <w:t>Omits ERISA/COBRA/WARN references; adds wage-and-hour, anti-discrimination, OSHA, workers’ comp and I-9 compliance audit</w:t>
            </w:r>
          </w:p>
        </w:tc>
        <w:tc>
          <w:tcPr>
            <w:tcW w:type="dxa" w:w="1152"/>
            <w:shd w:val="clear" w:color="auto" w:fill="FFF2B3"/>
          </w:tcPr>
          <w:p>
            <w:r/>
            <w:r>
              <w:rPr>
                <w:b w:val="0"/>
                <w:i w:val="0"/>
                <w:sz w:val="16"/>
              </w:rPr>
              <w:t>Medium</w:t>
            </w:r>
          </w:p>
        </w:tc>
      </w:tr>
      <w:tr>
        <w:tc>
          <w:tcPr>
            <w:tcW w:type="dxa" w:w="648"/>
          </w:tcPr>
          <w:p>
            <w:r/>
            <w:r>
              <w:rPr>
                <w:b w:val="0"/>
                <w:i w:val="0"/>
                <w:sz w:val="16"/>
              </w:rPr>
              <w:t>D-15</w:t>
            </w:r>
          </w:p>
        </w:tc>
        <w:tc>
          <w:tcPr>
            <w:tcW w:type="dxa" w:w="1512"/>
          </w:tcPr>
          <w:p>
            <w:r/>
            <w:r>
              <w:rPr>
                <w:b w:val="0"/>
                <w:i w:val="0"/>
                <w:sz w:val="16"/>
              </w:rPr>
              <w:t>Financing workstream; lender facts</w:t>
            </w:r>
          </w:p>
        </w:tc>
        <w:tc>
          <w:tcPr>
            <w:tcW w:type="dxa" w:w="2952"/>
          </w:tcPr>
          <w:p>
            <w:r/>
            <w:r>
              <w:rPr>
                <w:b w:val="0"/>
                <w:i w:val="0"/>
                <w:sz w:val="16"/>
              </w:rPr>
              <w:t>Review of credit, intercreditor, security docs; debt financing “currently being arranged”; Target’s existing lender unnamed (§§2, 3.4)</w:t>
            </w:r>
          </w:p>
        </w:tc>
        <w:tc>
          <w:tcPr>
            <w:tcW w:type="dxa" w:w="3096"/>
          </w:tcPr>
          <w:p>
            <w:r/>
            <w:r>
              <w:rPr>
                <w:b w:val="0"/>
                <w:i w:val="0"/>
                <w:sz w:val="16"/>
              </w:rPr>
              <w:t>Review only, no negotiation; Archer &amp; Lind as financing counsel; Ridgeline “has committed”; Ridgeline also described as Target’s existing lender (App. A item 10)</w:t>
            </w:r>
          </w:p>
        </w:tc>
        <w:tc>
          <w:tcPr>
            <w:tcW w:type="dxa" w:w="1152"/>
            <w:shd w:val="clear" w:color="auto" w:fill="FFF2B3"/>
          </w:tcPr>
          <w:p>
            <w:r/>
            <w:r>
              <w:rPr>
                <w:b w:val="0"/>
                <w:i w:val="0"/>
                <w:sz w:val="16"/>
              </w:rPr>
              <w:t>Medium</w:t>
            </w:r>
          </w:p>
        </w:tc>
      </w:tr>
      <w:tr>
        <w:tc>
          <w:tcPr>
            <w:tcW w:type="dxa" w:w="648"/>
          </w:tcPr>
          <w:p>
            <w:r/>
            <w:r>
              <w:rPr>
                <w:b w:val="0"/>
                <w:i w:val="0"/>
                <w:sz w:val="16"/>
              </w:rPr>
              <w:t>D-16</w:t>
            </w:r>
          </w:p>
        </w:tc>
        <w:tc>
          <w:tcPr>
            <w:tcW w:type="dxa" w:w="1512"/>
          </w:tcPr>
          <w:p>
            <w:r/>
            <w:r>
              <w:rPr>
                <w:b w:val="0"/>
                <w:i w:val="0"/>
                <w:sz w:val="16"/>
              </w:rPr>
              <w:t>Ancillary documents</w:t>
            </w:r>
          </w:p>
        </w:tc>
        <w:tc>
          <w:tcPr>
            <w:tcW w:type="dxa" w:w="2952"/>
          </w:tcPr>
          <w:p>
            <w:r/>
            <w:r>
              <w:rPr>
                <w:b w:val="0"/>
                <w:i w:val="0"/>
                <w:sz w:val="16"/>
              </w:rPr>
              <w:t>Employment or consulting agreements with key personnel expressly listed (§3.2)</w:t>
            </w:r>
          </w:p>
        </w:tc>
        <w:tc>
          <w:tcPr>
            <w:tcW w:type="dxa" w:w="3096"/>
          </w:tcPr>
          <w:p>
            <w:r/>
            <w:r>
              <w:rPr>
                <w:b w:val="0"/>
                <w:i w:val="0"/>
                <w:sz w:val="16"/>
              </w:rPr>
              <w:t>WS 2 list omits employment/consulting agreements (though R-005 assumes them); adds non-competes and resignation letters</w:t>
            </w:r>
          </w:p>
        </w:tc>
        <w:tc>
          <w:tcPr>
            <w:tcW w:type="dxa" w:w="1152"/>
            <w:shd w:val="clear" w:color="auto" w:fill="FFF2B3"/>
          </w:tcPr>
          <w:p>
            <w:r/>
            <w:r>
              <w:rPr>
                <w:b w:val="0"/>
                <w:i w:val="0"/>
                <w:sz w:val="16"/>
              </w:rPr>
              <w:t>Medium</w:t>
            </w:r>
          </w:p>
        </w:tc>
      </w:tr>
      <w:tr>
        <w:tc>
          <w:tcPr>
            <w:tcW w:type="dxa" w:w="648"/>
          </w:tcPr>
          <w:p>
            <w:r/>
            <w:r>
              <w:rPr>
                <w:b w:val="0"/>
                <w:i w:val="0"/>
                <w:sz w:val="16"/>
              </w:rPr>
              <w:t>D-17</w:t>
            </w:r>
          </w:p>
        </w:tc>
        <w:tc>
          <w:tcPr>
            <w:tcW w:type="dxa" w:w="1512"/>
          </w:tcPr>
          <w:p>
            <w:r/>
            <w:r>
              <w:rPr>
                <w:b w:val="0"/>
                <w:i w:val="0"/>
                <w:sz w:val="16"/>
              </w:rPr>
              <w:t>Staff office locations</w:t>
            </w:r>
          </w:p>
        </w:tc>
        <w:tc>
          <w:tcPr>
            <w:tcW w:type="dxa" w:w="2952"/>
          </w:tcPr>
          <w:p>
            <w:r/>
            <w:r>
              <w:rPr>
                <w:b w:val="0"/>
                <w:i w:val="0"/>
                <w:sz w:val="16"/>
              </w:rPr>
              <w:t>Calloway, Muñoz, Tran: Charlotte (§4)</w:t>
            </w:r>
          </w:p>
        </w:tc>
        <w:tc>
          <w:tcPr>
            <w:tcW w:type="dxa" w:w="3096"/>
          </w:tcPr>
          <w:p>
            <w:r/>
            <w:r>
              <w:rPr>
                <w:b w:val="0"/>
                <w:i w:val="0"/>
                <w:sz w:val="16"/>
              </w:rPr>
              <w:t>Calloway, Muñoz, Tran: New York (§4.1; §10.1; App. B)</w:t>
            </w:r>
          </w:p>
        </w:tc>
        <w:tc>
          <w:tcPr>
            <w:tcW w:type="dxa" w:w="1152"/>
            <w:shd w:val="clear" w:color="auto" w:fill="D9EAD3"/>
          </w:tcPr>
          <w:p>
            <w:r/>
            <w:r>
              <w:rPr>
                <w:b w:val="0"/>
                <w:i w:val="0"/>
                <w:sz w:val="16"/>
              </w:rPr>
              <w:t>Low</w:t>
            </w:r>
          </w:p>
        </w:tc>
      </w:tr>
      <w:tr>
        <w:tc>
          <w:tcPr>
            <w:tcW w:type="dxa" w:w="648"/>
          </w:tcPr>
          <w:p>
            <w:r/>
            <w:r>
              <w:rPr>
                <w:b w:val="0"/>
                <w:i w:val="0"/>
                <w:sz w:val="16"/>
              </w:rPr>
              <w:t>D-18</w:t>
            </w:r>
          </w:p>
        </w:tc>
        <w:tc>
          <w:tcPr>
            <w:tcW w:type="dxa" w:w="1512"/>
          </w:tcPr>
          <w:p>
            <w:r/>
            <w:r>
              <w:rPr>
                <w:b w:val="0"/>
                <w:i w:val="0"/>
                <w:sz w:val="16"/>
              </w:rPr>
              <w:t>Briggs role / primary contacts</w:t>
            </w:r>
          </w:p>
        </w:tc>
        <w:tc>
          <w:tcPr>
            <w:tcW w:type="dxa" w:w="2952"/>
          </w:tcPr>
          <w:p>
            <w:r/>
            <w:r>
              <w:rPr>
                <w:b w:val="0"/>
                <w:i w:val="0"/>
                <w:sz w:val="16"/>
              </w:rPr>
              <w:t>Briggs: attendance at key negotiation sessions; Okafor and Briggs both primary day-to-day contacts (§4)</w:t>
            </w:r>
          </w:p>
        </w:tc>
        <w:tc>
          <w:tcPr>
            <w:tcW w:type="dxa" w:w="3096"/>
          </w:tcPr>
          <w:p>
            <w:r/>
            <w:r>
              <w:rPr>
                <w:b w:val="0"/>
                <w:i w:val="0"/>
                <w:sz w:val="16"/>
              </w:rPr>
              <w:t>Briggs: “lead on client-facing negotiations,” “all material negotiation sessions”; Okafor sole day-to-day contact (§§4.1, 4.2, 10.1)</w:t>
            </w:r>
          </w:p>
        </w:tc>
        <w:tc>
          <w:tcPr>
            <w:tcW w:type="dxa" w:w="1152"/>
            <w:shd w:val="clear" w:color="auto" w:fill="D9EAD3"/>
          </w:tcPr>
          <w:p>
            <w:r/>
            <w:r>
              <w:rPr>
                <w:b w:val="0"/>
                <w:i w:val="0"/>
                <w:sz w:val="16"/>
              </w:rPr>
              <w:t>Low</w:t>
            </w:r>
          </w:p>
        </w:tc>
      </w:tr>
      <w:tr>
        <w:tc>
          <w:tcPr>
            <w:tcW w:type="dxa" w:w="648"/>
          </w:tcPr>
          <w:p>
            <w:r/>
            <w:r>
              <w:rPr>
                <w:b w:val="0"/>
                <w:i w:val="0"/>
                <w:sz w:val="16"/>
              </w:rPr>
              <w:t>D-19</w:t>
            </w:r>
          </w:p>
        </w:tc>
        <w:tc>
          <w:tcPr>
            <w:tcW w:type="dxa" w:w="1512"/>
          </w:tcPr>
          <w:p>
            <w:r/>
            <w:r>
              <w:rPr>
                <w:b w:val="0"/>
                <w:i w:val="0"/>
                <w:sz w:val="16"/>
              </w:rPr>
              <w:t>Real estate scope</w:t>
            </w:r>
          </w:p>
        </w:tc>
        <w:tc>
          <w:tcPr>
            <w:tcW w:type="dxa" w:w="2952"/>
          </w:tcPr>
          <w:p>
            <w:r/>
            <w:r>
              <w:rPr>
                <w:b w:val="0"/>
                <w:i w:val="0"/>
                <w:sz w:val="16"/>
              </w:rPr>
              <w:t>Assignment/CoC, remaining term, renewals, landlord consents triggered (§3.7)</w:t>
            </w:r>
          </w:p>
        </w:tc>
        <w:tc>
          <w:tcPr>
            <w:tcW w:type="dxa" w:w="3096"/>
          </w:tcPr>
          <w:p>
            <w:r/>
            <w:r>
              <w:rPr>
                <w:b w:val="0"/>
                <w:i w:val="0"/>
                <w:sz w:val="16"/>
              </w:rPr>
              <w:t>Adds rent escalation, maintenance, subleases/side letters, and CBS “will assist … in obtaining” landlord consents (WS 6)</w:t>
            </w:r>
          </w:p>
        </w:tc>
        <w:tc>
          <w:tcPr>
            <w:tcW w:type="dxa" w:w="1152"/>
            <w:shd w:val="clear" w:color="auto" w:fill="D9EAD3"/>
          </w:tcPr>
          <w:p>
            <w:r/>
            <w:r>
              <w:rPr>
                <w:b w:val="0"/>
                <w:i w:val="0"/>
                <w:sz w:val="16"/>
              </w:rPr>
              <w:t>Low</w:t>
            </w:r>
          </w:p>
        </w:tc>
      </w:tr>
      <w:tr>
        <w:tc>
          <w:tcPr>
            <w:tcW w:type="dxa" w:w="648"/>
          </w:tcPr>
          <w:p>
            <w:r/>
            <w:r>
              <w:rPr>
                <w:b w:val="0"/>
                <w:i w:val="0"/>
                <w:sz w:val="16"/>
              </w:rPr>
              <w:t>D-20</w:t>
            </w:r>
          </w:p>
        </w:tc>
        <w:tc>
          <w:tcPr>
            <w:tcW w:type="dxa" w:w="1512"/>
          </w:tcPr>
          <w:p>
            <w:r/>
            <w:r>
              <w:rPr>
                <w:b w:val="0"/>
                <w:i w:val="0"/>
                <w:sz w:val="16"/>
              </w:rPr>
              <w:t>Billing mechanics</w:t>
            </w:r>
          </w:p>
        </w:tc>
        <w:tc>
          <w:tcPr>
            <w:tcW w:type="dxa" w:w="2952"/>
          </w:tcPr>
          <w:p>
            <w:r/>
            <w:r>
              <w:rPr>
                <w:b w:val="0"/>
                <w:i w:val="0"/>
                <w:sz w:val="16"/>
              </w:rPr>
              <w:t>Invoices within 15 business days of month-end; 30-day dispute window; undisputed portions payable (§8)</w:t>
            </w:r>
          </w:p>
        </w:tc>
        <w:tc>
          <w:tcPr>
            <w:tcW w:type="dxa" w:w="3096"/>
          </w:tcPr>
          <w:p>
            <w:r/>
            <w:r>
              <w:rPr>
                <w:b w:val="0"/>
                <w:i w:val="0"/>
                <w:sz w:val="16"/>
              </w:rPr>
              <w:t>Not reflected (§9.1); adds workstream codes, cumulative and budget-to-actual summaries</w:t>
            </w:r>
          </w:p>
        </w:tc>
        <w:tc>
          <w:tcPr>
            <w:tcW w:type="dxa" w:w="1152"/>
            <w:shd w:val="clear" w:color="auto" w:fill="D9EAD3"/>
          </w:tcPr>
          <w:p>
            <w:r/>
            <w:r>
              <w:rPr>
                <w:b w:val="0"/>
                <w:i w:val="0"/>
                <w:sz w:val="16"/>
              </w:rPr>
              <w:t>Low</w:t>
            </w:r>
          </w:p>
        </w:tc>
      </w:tr>
      <w:tr>
        <w:tc>
          <w:tcPr>
            <w:tcW w:type="dxa" w:w="648"/>
          </w:tcPr>
          <w:p>
            <w:r/>
            <w:r>
              <w:rPr>
                <w:b w:val="0"/>
                <w:i w:val="0"/>
                <w:sz w:val="16"/>
              </w:rPr>
              <w:t>D-21</w:t>
            </w:r>
          </w:p>
        </w:tc>
        <w:tc>
          <w:tcPr>
            <w:tcW w:type="dxa" w:w="1512"/>
          </w:tcPr>
          <w:p>
            <w:r/>
            <w:r>
              <w:rPr>
                <w:b w:val="0"/>
                <w:i w:val="0"/>
                <w:sz w:val="16"/>
              </w:rPr>
              <w:t>HSR waiting-period expiry</w:t>
            </w:r>
          </w:p>
        </w:tc>
        <w:tc>
          <w:tcPr>
            <w:tcW w:type="dxa" w:w="2952"/>
          </w:tcPr>
          <w:p>
            <w:r/>
            <w:r>
              <w:rPr>
                <w:b w:val="0"/>
                <w:i w:val="0"/>
                <w:sz w:val="16"/>
              </w:rPr>
              <w:t>Filing Aug. 1, 2025 (if required) (§9)</w:t>
            </w:r>
          </w:p>
        </w:tc>
        <w:tc>
          <w:tcPr>
            <w:tcW w:type="dxa" w:w="3096"/>
          </w:tcPr>
          <w:p>
            <w:r/>
            <w:r>
              <w:rPr>
                <w:b w:val="0"/>
                <w:i w:val="0"/>
                <w:sz w:val="16"/>
              </w:rPr>
              <w:t>Waiting period expires “on or about August 31, 2025” (WS 3; §6.2) — actually 11:59 p.m. ET Tues., Sept. 2, 2025</w:t>
            </w:r>
          </w:p>
        </w:tc>
        <w:tc>
          <w:tcPr>
            <w:tcW w:type="dxa" w:w="1152"/>
            <w:shd w:val="clear" w:color="auto" w:fill="D9EAD3"/>
          </w:tcPr>
          <w:p>
            <w:r/>
            <w:r>
              <w:rPr>
                <w:b w:val="0"/>
                <w:i w:val="0"/>
                <w:sz w:val="16"/>
              </w:rPr>
              <w:t>Low</w:t>
            </w:r>
          </w:p>
        </w:tc>
      </w:tr>
      <w:tr>
        <w:tc>
          <w:tcPr>
            <w:tcW w:type="dxa" w:w="648"/>
          </w:tcPr>
          <w:p>
            <w:r/>
            <w:r>
              <w:rPr>
                <w:b w:val="0"/>
                <w:i w:val="0"/>
                <w:sz w:val="16"/>
              </w:rPr>
              <w:t>D-22</w:t>
            </w:r>
          </w:p>
        </w:tc>
        <w:tc>
          <w:tcPr>
            <w:tcW w:type="dxa" w:w="1512"/>
          </w:tcPr>
          <w:p>
            <w:r/>
            <w:r>
              <w:rPr>
                <w:b w:val="0"/>
                <w:i w:val="0"/>
                <w:sz w:val="16"/>
              </w:rPr>
              <w:t>Names / descriptors / labels</w:t>
            </w:r>
          </w:p>
        </w:tc>
        <w:tc>
          <w:tcPr>
            <w:tcW w:type="dxa" w:w="2952"/>
          </w:tcPr>
          <w:p>
            <w:r/>
            <w:r>
              <w:rPr>
                <w:b w:val="0"/>
                <w:i w:val="0"/>
                <w:sz w:val="16"/>
              </w:rPr>
              <w:t>“Hargrove Medical Devices, Inc.”; Eagan = “manufacturing and distribution facility”</w:t>
            </w:r>
          </w:p>
        </w:tc>
        <w:tc>
          <w:tcPr>
            <w:tcW w:type="dxa" w:w="3096"/>
          </w:tcPr>
          <w:p>
            <w:r/>
            <w:r>
              <w:rPr>
                <w:b w:val="0"/>
                <w:i w:val="0"/>
                <w:sz w:val="16"/>
              </w:rPr>
              <w:t>“Hargrove Medical Devices Inc.”; Eagan = “manufacturing facility”; R-007 “Multi-State Compliance” though both sites are in Minnesota</w:t>
            </w:r>
          </w:p>
        </w:tc>
        <w:tc>
          <w:tcPr>
            <w:tcW w:type="dxa" w:w="1152"/>
            <w:shd w:val="clear" w:color="auto" w:fill="D9EAD3"/>
          </w:tcPr>
          <w:p>
            <w:r/>
            <w:r>
              <w:rPr>
                <w:b w:val="0"/>
                <w:i w:val="0"/>
                <w:sz w:val="16"/>
              </w:rPr>
              <w:t>Low</w:t>
            </w:r>
          </w:p>
        </w:tc>
      </w:tr>
    </w:tbl>
    <w:p>
      <w:pPr>
        <w:spacing w:after="40"/>
      </w:pPr>
    </w:p>
    <w:p>
      <w:pPr>
        <w:pStyle w:val="Heading1"/>
      </w:pPr>
      <w:r>
        <w:t>IV. Detailed Analysis</w:t>
      </w:r>
    </w:p>
    <w:p>
      <w:pPr>
        <w:pStyle w:val="Heading2"/>
      </w:pPr>
      <w:r>
        <w:t>A. Fees, Budget and Commercial Terms</w:t>
      </w:r>
    </w:p>
    <w:p>
      <w:pPr>
        <w:pStyle w:val="Heading3"/>
      </w:pPr>
      <w:r>
        <w:t>D-1. Fee Cap — $1,850,000 (EL) vs. $1,950,000 (MP)  [Critical]</w:t>
      </w:r>
    </w:p>
    <w:p>
      <w:pPr>
        <w:spacing w:after="120"/>
      </w:pPr>
      <w:r>
        <w:rPr>
          <w:b/>
          <w:i w:val="0"/>
        </w:rPr>
        <w:t>EL §5:</w:t>
      </w:r>
      <w:r>
        <w:rPr>
          <w:b w:val="0"/>
          <w:i w:val="0"/>
        </w:rPr>
        <w:t xml:space="preserve"> total fees are subject to a Fee Cap of “One Million Eight Hundred Fifty Thousand Dollars ($1,850,000)”; it applies to professional fees only; CBS must “promptly notify the Client if it appears that fees may approach or reach the Fee Cap”; fees above the cap require the client’s prior written approval, and “[i]n the absence of such prior written approval, CBS shall not be entitled to recover fees in excess of the Fee Cap.” EL §3.8 confirms post-closing fees are within the Fee Cap.</w:t>
      </w:r>
    </w:p>
    <w:p>
      <w:pPr>
        <w:spacing w:after="120"/>
      </w:pPr>
      <w:r>
        <w:rPr>
          <w:b/>
          <w:i w:val="0"/>
        </w:rPr>
        <w:t>MP:</w:t>
      </w:r>
      <w:r>
        <w:rPr>
          <w:b w:val="0"/>
          <w:i w:val="0"/>
        </w:rPr>
        <w:t xml:space="preserve"> states a cap of $1,950,000 four times (§5.2 twice, §9.3, and R-006), and keys the client early-warning notice to 85% of that figure.</w:t>
      </w:r>
    </w:p>
    <w:p>
      <w:pPr>
        <w:spacing w:after="120"/>
      </w:pPr>
      <w:r>
        <w:rPr>
          <w:b/>
          <w:i w:val="0"/>
        </w:rPr>
        <w:t>Consequence.</w:t>
      </w:r>
      <w:r>
        <w:rPr>
          <w:b w:val="0"/>
          <w:i w:val="0"/>
        </w:rPr>
        <w:t xml:space="preserve"> The plan overstates our recoverable fee ceiling by $100,000. Any fees recorded between $1,850,000 and $1,950,000 without prior written approval would be written off. The 85% notice trigger, applied to the wrong cap, would fire at $1,657,500 rather than $1,572,500 — i.e., $85,000 after the point at which the EL’s “promptly notify … may approach” obligation is likely already engaged. R-006 (Budget Overrun Risk) also misstates the protective ceiling, and the MP’s statement that the $1,450,000 estimate provides a “reasonable margin” is overstated (true headroom is $400,000, not $500,000, before re-pricing — and less after the corrections in Part V).</w:t>
      </w:r>
    </w:p>
    <w:p>
      <w:pPr>
        <w:spacing w:after="120"/>
      </w:pPr>
      <w:r>
        <w:rPr>
          <w:b/>
          <w:i w:val="0"/>
        </w:rPr>
        <w:t>Action.</w:t>
      </w:r>
      <w:r>
        <w:rPr>
          <w:b w:val="0"/>
          <w:i w:val="0"/>
        </w:rPr>
        <w:t xml:space="preserve"> Conform §§5.2, 9.3 and R-006 to $1,850,000; set the internal alert at $1,572,500 (85%) and consider an earlier soft alert (e.g., 75%, $1,387,500) given the corrections below; confirm the billing system’s matter cap is set at $1,850,000.</w:t>
      </w:r>
    </w:p>
    <w:p>
      <w:pPr>
        <w:pStyle w:val="Heading3"/>
      </w:pPr>
      <w:r>
        <w:t>D-2. Discount and Rate Card — 12% (EL) vs. 15% (MP)  [Critical]</w:t>
      </w:r>
    </w:p>
    <w:p>
      <w:pPr>
        <w:spacing w:after="120"/>
      </w:pPr>
      <w:r>
        <w:rPr>
          <w:b/>
          <w:i w:val="0"/>
        </w:rPr>
        <w:t>EL §5</w:t>
      </w:r>
      <w:r>
        <w:rPr>
          <w:b w:val="0"/>
          <w:i w:val="0"/>
        </w:rPr>
        <w:t xml:space="preserve"> fixes a twelve percent discount “applicable to all timekeepers” (including later-added timekeepers) and sets out discounted rates. </w:t>
      </w:r>
      <w:r>
        <w:rPr>
          <w:b/>
          <w:i w:val="0"/>
        </w:rPr>
        <w:t>MP §§4.1, 5.4 and 9.4</w:t>
      </w:r>
      <w:r>
        <w:rPr>
          <w:b w:val="0"/>
          <w:i w:val="0"/>
        </w:rPr>
        <w:t xml:space="preserve"> apply a 15% discount and state that “all professional time … will be billed at the discounted rates” in the MP table. The arithmetic in each document is internally correct; the discount percentage is the discrepancy.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600"/>
            <w:shd w:val="clear" w:color="auto" w:fill="1F3A5F"/>
          </w:tcPr>
          <w:p>
            <w:r/>
            <w:r>
              <w:rPr>
                <w:b/>
                <w:color w:val="FFFFFF"/>
                <w:sz w:val="17"/>
              </w:rPr>
              <w:t>Timekeeper</w:t>
            </w:r>
          </w:p>
        </w:tc>
        <w:tc>
          <w:tcPr>
            <w:tcW w:type="dxa" w:w="1152"/>
            <w:shd w:val="clear" w:color="auto" w:fill="1F3A5F"/>
          </w:tcPr>
          <w:p>
            <w:r/>
            <w:r>
              <w:rPr>
                <w:b/>
                <w:color w:val="FFFFFF"/>
                <w:sz w:val="17"/>
              </w:rPr>
              <w:t>Standard</w:t>
            </w:r>
          </w:p>
        </w:tc>
        <w:tc>
          <w:tcPr>
            <w:tcW w:type="dxa" w:w="1440"/>
            <w:shd w:val="clear" w:color="auto" w:fill="1F3A5F"/>
          </w:tcPr>
          <w:p>
            <w:r/>
            <w:r>
              <w:rPr>
                <w:b/>
                <w:color w:val="FFFFFF"/>
                <w:sz w:val="17"/>
              </w:rPr>
              <w:t>EL rate (12%)</w:t>
            </w:r>
          </w:p>
        </w:tc>
        <w:tc>
          <w:tcPr>
            <w:tcW w:type="dxa" w:w="1440"/>
            <w:shd w:val="clear" w:color="auto" w:fill="1F3A5F"/>
          </w:tcPr>
          <w:p>
            <w:r/>
            <w:r>
              <w:rPr>
                <w:b/>
                <w:color w:val="FFFFFF"/>
                <w:sz w:val="17"/>
              </w:rPr>
              <w:t>MP rate (15%)</w:t>
            </w:r>
          </w:p>
        </w:tc>
        <w:tc>
          <w:tcPr>
            <w:tcW w:type="dxa" w:w="1584"/>
            <w:shd w:val="clear" w:color="auto" w:fill="1F3A5F"/>
          </w:tcPr>
          <w:p>
            <w:r/>
            <w:r>
              <w:rPr>
                <w:b/>
                <w:color w:val="FFFFFF"/>
                <w:sz w:val="17"/>
              </w:rPr>
              <w:t>Difference / hr</w:t>
            </w:r>
          </w:p>
        </w:tc>
      </w:tr>
      <w:tr>
        <w:tc>
          <w:tcPr>
            <w:tcW w:type="dxa" w:w="3600"/>
          </w:tcPr>
          <w:p>
            <w:r/>
            <w:r>
              <w:rPr>
                <w:b w:val="0"/>
                <w:i w:val="0"/>
                <w:sz w:val="17"/>
              </w:rPr>
              <w:t>Victoria Calloway, Senior Partner</w:t>
            </w:r>
          </w:p>
        </w:tc>
        <w:tc>
          <w:tcPr>
            <w:tcW w:type="dxa" w:w="1152"/>
          </w:tcPr>
          <w:p>
            <w:r/>
            <w:r>
              <w:rPr>
                <w:b w:val="0"/>
                <w:i w:val="0"/>
                <w:sz w:val="17"/>
              </w:rPr>
              <w:t>$1,150</w:t>
            </w:r>
          </w:p>
        </w:tc>
        <w:tc>
          <w:tcPr>
            <w:tcW w:type="dxa" w:w="1440"/>
          </w:tcPr>
          <w:p>
            <w:r/>
            <w:r>
              <w:rPr>
                <w:b w:val="0"/>
                <w:i w:val="0"/>
                <w:sz w:val="17"/>
              </w:rPr>
              <w:t>$1,012.00</w:t>
            </w:r>
          </w:p>
        </w:tc>
        <w:tc>
          <w:tcPr>
            <w:tcW w:type="dxa" w:w="1440"/>
          </w:tcPr>
          <w:p>
            <w:r/>
            <w:r>
              <w:rPr>
                <w:b w:val="0"/>
                <w:i w:val="0"/>
                <w:sz w:val="17"/>
              </w:rPr>
              <w:t>$977.50</w:t>
            </w:r>
          </w:p>
        </w:tc>
        <w:tc>
          <w:tcPr>
            <w:tcW w:type="dxa" w:w="1584"/>
          </w:tcPr>
          <w:p>
            <w:r/>
            <w:r>
              <w:rPr>
                <w:b w:val="0"/>
                <w:i w:val="0"/>
                <w:sz w:val="17"/>
              </w:rPr>
              <w:t>$34.50</w:t>
            </w:r>
          </w:p>
        </w:tc>
      </w:tr>
      <w:tr>
        <w:tc>
          <w:tcPr>
            <w:tcW w:type="dxa" w:w="3600"/>
          </w:tcPr>
          <w:p>
            <w:r/>
            <w:r>
              <w:rPr>
                <w:b w:val="0"/>
                <w:i w:val="0"/>
                <w:sz w:val="17"/>
              </w:rPr>
              <w:t>Marcus J. Briggs, Partner</w:t>
            </w:r>
          </w:p>
        </w:tc>
        <w:tc>
          <w:tcPr>
            <w:tcW w:type="dxa" w:w="1152"/>
          </w:tcPr>
          <w:p>
            <w:r/>
            <w:r>
              <w:rPr>
                <w:b w:val="0"/>
                <w:i w:val="0"/>
                <w:sz w:val="17"/>
              </w:rPr>
              <w:t>$950</w:t>
            </w:r>
          </w:p>
        </w:tc>
        <w:tc>
          <w:tcPr>
            <w:tcW w:type="dxa" w:w="1440"/>
          </w:tcPr>
          <w:p>
            <w:r/>
            <w:r>
              <w:rPr>
                <w:b w:val="0"/>
                <w:i w:val="0"/>
                <w:sz w:val="17"/>
              </w:rPr>
              <w:t>$836.00</w:t>
            </w:r>
          </w:p>
        </w:tc>
        <w:tc>
          <w:tcPr>
            <w:tcW w:type="dxa" w:w="1440"/>
          </w:tcPr>
          <w:p>
            <w:r/>
            <w:r>
              <w:rPr>
                <w:b w:val="0"/>
                <w:i w:val="0"/>
                <w:sz w:val="17"/>
              </w:rPr>
              <w:t>$807.50</w:t>
            </w:r>
          </w:p>
        </w:tc>
        <w:tc>
          <w:tcPr>
            <w:tcW w:type="dxa" w:w="1584"/>
          </w:tcPr>
          <w:p>
            <w:r/>
            <w:r>
              <w:rPr>
                <w:b w:val="0"/>
                <w:i w:val="0"/>
                <w:sz w:val="17"/>
              </w:rPr>
              <w:t>$28.50</w:t>
            </w:r>
          </w:p>
        </w:tc>
      </w:tr>
      <w:tr>
        <w:tc>
          <w:tcPr>
            <w:tcW w:type="dxa" w:w="3600"/>
          </w:tcPr>
          <w:p>
            <w:r/>
            <w:r>
              <w:rPr>
                <w:b w:val="0"/>
                <w:i w:val="0"/>
                <w:sz w:val="17"/>
              </w:rPr>
              <w:t>Lena Okafor, Associate Partner</w:t>
            </w:r>
          </w:p>
        </w:tc>
        <w:tc>
          <w:tcPr>
            <w:tcW w:type="dxa" w:w="1152"/>
          </w:tcPr>
          <w:p>
            <w:r/>
            <w:r>
              <w:rPr>
                <w:b w:val="0"/>
                <w:i w:val="0"/>
                <w:sz w:val="17"/>
              </w:rPr>
              <w:t>$825</w:t>
            </w:r>
          </w:p>
        </w:tc>
        <w:tc>
          <w:tcPr>
            <w:tcW w:type="dxa" w:w="1440"/>
          </w:tcPr>
          <w:p>
            <w:r/>
            <w:r>
              <w:rPr>
                <w:b w:val="0"/>
                <w:i w:val="0"/>
                <w:sz w:val="17"/>
              </w:rPr>
              <w:t>$726.00</w:t>
            </w:r>
          </w:p>
        </w:tc>
        <w:tc>
          <w:tcPr>
            <w:tcW w:type="dxa" w:w="1440"/>
          </w:tcPr>
          <w:p>
            <w:r/>
            <w:r>
              <w:rPr>
                <w:b w:val="0"/>
                <w:i w:val="0"/>
                <w:sz w:val="17"/>
              </w:rPr>
              <w:t>$701.25</w:t>
            </w:r>
          </w:p>
        </w:tc>
        <w:tc>
          <w:tcPr>
            <w:tcW w:type="dxa" w:w="1584"/>
          </w:tcPr>
          <w:p>
            <w:r/>
            <w:r>
              <w:rPr>
                <w:b w:val="0"/>
                <w:i w:val="0"/>
                <w:sz w:val="17"/>
              </w:rPr>
              <w:t>$24.75</w:t>
            </w:r>
          </w:p>
        </w:tc>
      </w:tr>
      <w:tr>
        <w:tc>
          <w:tcPr>
            <w:tcW w:type="dxa" w:w="3600"/>
          </w:tcPr>
          <w:p>
            <w:r/>
            <w:r>
              <w:rPr>
                <w:b w:val="0"/>
                <w:i w:val="0"/>
                <w:sz w:val="17"/>
              </w:rPr>
              <w:t>Thomas Windham, Senior Associate</w:t>
            </w:r>
          </w:p>
        </w:tc>
        <w:tc>
          <w:tcPr>
            <w:tcW w:type="dxa" w:w="1152"/>
          </w:tcPr>
          <w:p>
            <w:r/>
            <w:r>
              <w:rPr>
                <w:b w:val="0"/>
                <w:i w:val="0"/>
                <w:sz w:val="17"/>
              </w:rPr>
              <w:t>$625</w:t>
            </w:r>
          </w:p>
        </w:tc>
        <w:tc>
          <w:tcPr>
            <w:tcW w:type="dxa" w:w="1440"/>
          </w:tcPr>
          <w:p>
            <w:r/>
            <w:r>
              <w:rPr>
                <w:b w:val="0"/>
                <w:i w:val="0"/>
                <w:sz w:val="17"/>
              </w:rPr>
              <w:t>$550.00</w:t>
            </w:r>
          </w:p>
        </w:tc>
        <w:tc>
          <w:tcPr>
            <w:tcW w:type="dxa" w:w="1440"/>
          </w:tcPr>
          <w:p>
            <w:r/>
            <w:r>
              <w:rPr>
                <w:b w:val="0"/>
                <w:i w:val="0"/>
                <w:sz w:val="17"/>
              </w:rPr>
              <w:t>$531.25</w:t>
            </w:r>
          </w:p>
        </w:tc>
        <w:tc>
          <w:tcPr>
            <w:tcW w:type="dxa" w:w="1584"/>
          </w:tcPr>
          <w:p>
            <w:r/>
            <w:r>
              <w:rPr>
                <w:b w:val="0"/>
                <w:i w:val="0"/>
                <w:sz w:val="17"/>
              </w:rPr>
              <w:t>$18.75</w:t>
            </w:r>
          </w:p>
        </w:tc>
      </w:tr>
      <w:tr>
        <w:tc>
          <w:tcPr>
            <w:tcW w:type="dxa" w:w="3600"/>
          </w:tcPr>
          <w:p>
            <w:r/>
            <w:r>
              <w:rPr>
                <w:b w:val="0"/>
                <w:i w:val="0"/>
                <w:sz w:val="17"/>
              </w:rPr>
              <w:t>Rachel Muñoz, Associate</w:t>
            </w:r>
          </w:p>
        </w:tc>
        <w:tc>
          <w:tcPr>
            <w:tcW w:type="dxa" w:w="1152"/>
          </w:tcPr>
          <w:p>
            <w:r/>
            <w:r>
              <w:rPr>
                <w:b w:val="0"/>
                <w:i w:val="0"/>
                <w:sz w:val="17"/>
              </w:rPr>
              <w:t>$475</w:t>
            </w:r>
          </w:p>
        </w:tc>
        <w:tc>
          <w:tcPr>
            <w:tcW w:type="dxa" w:w="1440"/>
          </w:tcPr>
          <w:p>
            <w:r/>
            <w:r>
              <w:rPr>
                <w:b w:val="0"/>
                <w:i w:val="0"/>
                <w:sz w:val="17"/>
              </w:rPr>
              <w:t>$418.00</w:t>
            </w:r>
          </w:p>
        </w:tc>
        <w:tc>
          <w:tcPr>
            <w:tcW w:type="dxa" w:w="1440"/>
          </w:tcPr>
          <w:p>
            <w:r/>
            <w:r>
              <w:rPr>
                <w:b w:val="0"/>
                <w:i w:val="0"/>
                <w:sz w:val="17"/>
              </w:rPr>
              <w:t>$403.75</w:t>
            </w:r>
          </w:p>
        </w:tc>
        <w:tc>
          <w:tcPr>
            <w:tcW w:type="dxa" w:w="1584"/>
          </w:tcPr>
          <w:p>
            <w:r/>
            <w:r>
              <w:rPr>
                <w:b w:val="0"/>
                <w:i w:val="0"/>
                <w:sz w:val="17"/>
              </w:rPr>
              <w:t>$14.25</w:t>
            </w:r>
          </w:p>
        </w:tc>
      </w:tr>
      <w:tr>
        <w:tc>
          <w:tcPr>
            <w:tcW w:type="dxa" w:w="3600"/>
          </w:tcPr>
          <w:p>
            <w:r/>
            <w:r>
              <w:rPr>
                <w:b w:val="0"/>
                <w:i w:val="0"/>
                <w:sz w:val="17"/>
              </w:rPr>
              <w:t>Priya Dasgupta (EL) / James Ortega (MP), Associate</w:t>
            </w:r>
          </w:p>
        </w:tc>
        <w:tc>
          <w:tcPr>
            <w:tcW w:type="dxa" w:w="1152"/>
          </w:tcPr>
          <w:p>
            <w:r/>
            <w:r>
              <w:rPr>
                <w:b w:val="0"/>
                <w:i w:val="0"/>
                <w:sz w:val="17"/>
              </w:rPr>
              <w:t>$475</w:t>
            </w:r>
          </w:p>
        </w:tc>
        <w:tc>
          <w:tcPr>
            <w:tcW w:type="dxa" w:w="1440"/>
          </w:tcPr>
          <w:p>
            <w:r/>
            <w:r>
              <w:rPr>
                <w:b w:val="0"/>
                <w:i w:val="0"/>
                <w:sz w:val="17"/>
              </w:rPr>
              <w:t>$418.00</w:t>
            </w:r>
          </w:p>
        </w:tc>
        <w:tc>
          <w:tcPr>
            <w:tcW w:type="dxa" w:w="1440"/>
          </w:tcPr>
          <w:p>
            <w:r/>
            <w:r>
              <w:rPr>
                <w:b w:val="0"/>
                <w:i w:val="0"/>
                <w:sz w:val="17"/>
              </w:rPr>
              <w:t>$403.75</w:t>
            </w:r>
          </w:p>
        </w:tc>
        <w:tc>
          <w:tcPr>
            <w:tcW w:type="dxa" w:w="1584"/>
          </w:tcPr>
          <w:p>
            <w:r/>
            <w:r>
              <w:rPr>
                <w:b w:val="0"/>
                <w:i w:val="0"/>
                <w:sz w:val="17"/>
              </w:rPr>
              <w:t>$14.25</w:t>
            </w:r>
          </w:p>
        </w:tc>
      </w:tr>
      <w:tr>
        <w:tc>
          <w:tcPr>
            <w:tcW w:type="dxa" w:w="3600"/>
          </w:tcPr>
          <w:p>
            <w:r/>
            <w:r>
              <w:rPr>
                <w:b w:val="0"/>
                <w:i w:val="0"/>
                <w:sz w:val="17"/>
              </w:rPr>
              <w:t>Kevin Tran, Paralegal</w:t>
            </w:r>
          </w:p>
        </w:tc>
        <w:tc>
          <w:tcPr>
            <w:tcW w:type="dxa" w:w="1152"/>
          </w:tcPr>
          <w:p>
            <w:r/>
            <w:r>
              <w:rPr>
                <w:b w:val="0"/>
                <w:i w:val="0"/>
                <w:sz w:val="17"/>
              </w:rPr>
              <w:t>$275</w:t>
            </w:r>
          </w:p>
        </w:tc>
        <w:tc>
          <w:tcPr>
            <w:tcW w:type="dxa" w:w="1440"/>
          </w:tcPr>
          <w:p>
            <w:r/>
            <w:r>
              <w:rPr>
                <w:b w:val="0"/>
                <w:i w:val="0"/>
                <w:sz w:val="17"/>
              </w:rPr>
              <w:t>$242.00</w:t>
            </w:r>
          </w:p>
        </w:tc>
        <w:tc>
          <w:tcPr>
            <w:tcW w:type="dxa" w:w="1440"/>
          </w:tcPr>
          <w:p>
            <w:r/>
            <w:r>
              <w:rPr>
                <w:b w:val="0"/>
                <w:i w:val="0"/>
                <w:sz w:val="17"/>
              </w:rPr>
              <w:t>$233.75</w:t>
            </w:r>
          </w:p>
        </w:tc>
        <w:tc>
          <w:tcPr>
            <w:tcW w:type="dxa" w:w="1584"/>
          </w:tcPr>
          <w:p>
            <w:r/>
            <w:r>
              <w:rPr>
                <w:b w:val="0"/>
                <w:i w:val="0"/>
                <w:sz w:val="17"/>
              </w:rPr>
              <w:t>$8.25</w:t>
            </w:r>
          </w:p>
        </w:tc>
      </w:tr>
    </w:tbl>
    <w:p>
      <w:pPr>
        <w:spacing w:after="40"/>
      </w:pPr>
    </w:p>
    <w:p>
      <w:pPr>
        <w:spacing w:after="120"/>
      </w:pPr>
      <w:r>
        <w:rPr>
          <w:b/>
          <w:i w:val="0"/>
        </w:rPr>
        <w:t>Consequence.</w:t>
      </w:r>
      <w:r>
        <w:rPr>
          <w:b w:val="0"/>
          <w:i w:val="0"/>
        </w:rPr>
        <w:t xml:space="preserve"> (i) Billing at MP rates would under-recover about 3.4% of every hour (0.85/0.88), roughly $51,000 on the MP’s own $1,450,000 estimate; invoices would also not match the agreed rate card, inviting re-issuance and client confusion. (ii) Conversely, the MP budget is understated: every workstream estimate was priced at 15%-discount rates, so the same hours cost about $1,501,000 at the contracted rates (Part V). (iii) If the MP is shared with the client, a 15% representation by the deal lead could be cited by the client as a concession; the EL’s amendment clause should protect us, but the point should not be created. Note also that the MP’s rationale (“anticipated volume of work”) differs from the EL (“longstanding relationship … and the significant scope”), suggesting the MP drew from a draft or a different matter.</w:t>
      </w:r>
    </w:p>
    <w:p>
      <w:pPr>
        <w:spacing w:after="120"/>
      </w:pPr>
      <w:r>
        <w:rPr>
          <w:b/>
          <w:i w:val="0"/>
        </w:rPr>
        <w:t>Action.</w:t>
      </w:r>
      <w:r>
        <w:rPr>
          <w:b w:val="0"/>
          <w:i w:val="0"/>
        </w:rPr>
        <w:t xml:space="preserve"> Conform §§4.1, 5.4, 9.4 and the 4.1 note to 12%; load EL rates into billing; confirm that any additional timekeeper (including Mr. Ortega, if retained) is billed at standard less 12% (EL §5).</w:t>
      </w:r>
    </w:p>
    <w:p>
      <w:pPr>
        <w:pStyle w:val="Heading3"/>
      </w:pPr>
      <w:r>
        <w:t>D-4. Retainer — Final-Invoice Application (EL) vs. Pro Rata Credits (MP)  [Critical]</w:t>
      </w:r>
    </w:p>
    <w:p>
      <w:pPr>
        <w:spacing w:after="120"/>
      </w:pPr>
      <w:r>
        <w:rPr>
          <w:b/>
          <w:i w:val="0"/>
        </w:rPr>
        <w:t>EL §7:</w:t>
      </w:r>
      <w:r>
        <w:rPr>
          <w:b w:val="0"/>
          <w:i w:val="0"/>
        </w:rPr>
        <w:t xml:space="preserve"> the $150,000 Retainer is deposited in CBS’s client trust account at First Hollcroft Bank, Charlotte, held under the North Carolina rules governing trust accounts, and “will be applied against the final invoice or invoices issued by CBS at the conclusion of this engagement,” with any balance refunded. </w:t>
      </w:r>
      <w:r>
        <w:rPr>
          <w:b/>
          <w:i w:val="0"/>
        </w:rPr>
        <w:t>MP §9.2:</w:t>
      </w:r>
      <w:r>
        <w:rPr>
          <w:b w:val="0"/>
          <w:i w:val="0"/>
        </w:rPr>
        <w:t xml:space="preserve"> the Retainer “will be applied pro rata across the first three monthly invoices,” with $50,000 credited to each of the May, June and July 2025 invoices, after which no credit applies.</w:t>
      </w:r>
    </w:p>
    <w:p>
      <w:pPr>
        <w:spacing w:after="120"/>
      </w:pPr>
      <w:r>
        <w:rPr>
          <w:b/>
          <w:i w:val="0"/>
        </w:rPr>
        <w:t>Consequence.</w:t>
      </w:r>
      <w:r>
        <w:rPr>
          <w:b w:val="0"/>
          <w:i w:val="0"/>
        </w:rPr>
        <w:t xml:space="preserve"> Drawing the retainer from trust earlier than, and on a different basis from, the written agreement would be a disbursement of entrusted funds not authorized by the client’s instructions, raising trust-accounting concerns under N.C. Rule of Professional Conduct 1.15 (and our firm’s trust-accounting controls), in addition to being a breach of EL §7. It also strips away the security function of the retainer for the end of the engagement — when post-closing fees and any disputed amounts are most likely — and would produce May–July invoices that the client’s AP team will not recognize. The MP also omits the EL refund mechanic and the trust bank reference.</w:t>
      </w:r>
    </w:p>
    <w:p>
      <w:pPr>
        <w:spacing w:after="120"/>
      </w:pPr>
      <w:r>
        <w:rPr>
          <w:b/>
          <w:i w:val="0"/>
        </w:rPr>
        <w:t>Action.</w:t>
      </w:r>
      <w:r>
        <w:rPr>
          <w:b w:val="0"/>
          <w:i w:val="0"/>
        </w:rPr>
        <w:t xml:space="preserve"> Strike §9.2 and replace it with the EL §7 mechanic; instruct accounting that no retainer credits are to be applied to interim invoices. If the team genuinely prefers early application, obtain the client’s written agreement first. Also confirm that the Retainer was actually received before substantive work began (EL §7 and closing paragraph condition commencement on receipt); the MP states it “has been received.”</w:t>
      </w:r>
    </w:p>
    <w:p>
      <w:pPr>
        <w:pStyle w:val="Heading3"/>
      </w:pPr>
      <w:r>
        <w:t>D-7. Late-Payment Interest — 1.0% (EL) vs. 1.5% (MP)  [High]</w:t>
      </w:r>
    </w:p>
    <w:p>
      <w:pPr>
        <w:spacing w:after="120"/>
      </w:pPr>
      <w:r>
        <w:rPr>
          <w:b/>
          <w:i w:val="0"/>
        </w:rPr>
        <w:t>EL §8:</w:t>
      </w:r>
      <w:r>
        <w:rPr>
          <w:b w:val="0"/>
          <w:i w:val="0"/>
        </w:rPr>
        <w:t xml:space="preserve"> late payments “on undisputed amounts” accrue interest at 1.0% per month or the legal maximum, whichever is less, from the due date. </w:t>
      </w:r>
      <w:r>
        <w:rPr>
          <w:b/>
          <w:i w:val="0"/>
        </w:rPr>
        <w:t>MP §9.1:</w:t>
      </w:r>
      <w:r>
        <w:rPr>
          <w:b w:val="0"/>
          <w:i w:val="0"/>
        </w:rPr>
        <w:t xml:space="preserve"> CBS “reserves the right to assess interest on overdue balances at the rate of 1.5% per month, in accordance with the terms of the Engagement Letter.” The MP both overstates the rate by 50% and misattributes it to the EL, and drops the “undisputed amounts” and usury-cap qualifiers. Charging 1.5% would be a billing error and, if collected, an overcharge.</w:t>
      </w:r>
    </w:p>
    <w:p>
      <w:pPr>
        <w:spacing w:after="120"/>
      </w:pPr>
      <w:r>
        <w:rPr>
          <w:b/>
          <w:i w:val="0"/>
        </w:rPr>
        <w:t>Action.</w:t>
      </w:r>
      <w:r>
        <w:rPr>
          <w:b w:val="0"/>
          <w:i w:val="0"/>
        </w:rPr>
        <w:t xml:space="preserve"> Conform §9.1 to the EL language verbatim.</w:t>
      </w:r>
    </w:p>
    <w:p>
      <w:pPr>
        <w:pStyle w:val="Heading3"/>
      </w:pPr>
      <w:r>
        <w:t>D-10. Disbursements — $95,000 (EL) vs. $120,000 (MP)  [Medium]</w:t>
      </w:r>
    </w:p>
    <w:p>
      <w:pPr>
        <w:spacing w:after="120"/>
      </w:pPr>
      <w:r>
        <w:rPr>
          <w:b/>
          <w:i w:val="0"/>
        </w:rPr>
        <w:t>EL §6:</w:t>
      </w:r>
      <w:r>
        <w:rPr>
          <w:b w:val="0"/>
          <w:i w:val="0"/>
        </w:rPr>
        <w:t xml:space="preserve"> estimated disbursements of approximately $95,000 (for budgeting only; not a cap; not subject to the Fee Cap; billed at cost; prior approval to be sought for any single item above $5,000). Reimbursable categories include HSR filing fees, UCC searches and good-standing certificates; travel “between CBS offices and client or target locations, including … Minneapolis and Eagan”; data-room costs; and third-party vendors including “patent search services, title search services, lien search services,” and specialized consultants.</w:t>
      </w:r>
    </w:p>
    <w:p>
      <w:pPr>
        <w:spacing w:after="120"/>
      </w:pPr>
      <w:r>
        <w:rPr>
          <w:b/>
          <w:i w:val="0"/>
        </w:rPr>
        <w:t>MP §5.3:</w:t>
      </w:r>
      <w:r>
        <w:rPr>
          <w:b w:val="0"/>
          <w:i w:val="0"/>
        </w:rPr>
        <w:t xml:space="preserve"> estimates $120,000 — Filing Fees $18,000; Travel $32,000 (Minneapolis, Charlotte and Chicago); VDR $25,000; Third-Party Vendors $45,000 (reproduction, courier, translation, expert consultants).</w:t>
      </w:r>
    </w:p>
    <w:p>
      <w:pPr>
        <w:pStyle w:val="ListBullet"/>
        <w:spacing w:after="60"/>
      </w:pPr>
      <w:r>
        <w:rPr>
          <w:b w:val="0"/>
          <w:i w:val="0"/>
        </w:rPr>
        <w:t>The MP estimate is $25,000 (26%) above the figure we gave the client. Although the EL estimate is not a cap, client expectations were set at $95,000; if $120,000 is the better estimate, the client should be told now rather than discover the variance in monthly budget-to-actual reports (MP §10.2).</w:t>
      </w:r>
    </w:p>
    <w:p>
      <w:pPr>
        <w:pStyle w:val="ListBullet"/>
        <w:spacing w:after="60"/>
      </w:pPr>
      <w:r>
        <w:rPr>
          <w:b w:val="0"/>
          <w:i w:val="0"/>
        </w:rPr>
        <w:t>The MP has no line for patent search services (consistent with, and compounding, the omission of the IP workstream — D-3), nor for lien/UCC, title or good-standing searches, all of which the EL contemplates.</w:t>
      </w:r>
    </w:p>
    <w:p>
      <w:pPr>
        <w:pStyle w:val="ListBullet"/>
        <w:spacing w:after="60"/>
      </w:pPr>
      <w:r>
        <w:rPr>
          <w:b w:val="0"/>
          <w:i w:val="0"/>
        </w:rPr>
        <w:t>Chicago negotiation travel (Greenleaf’s offices) is not a “client or target location.” The EL list is “without limitation,” so this is likely recoverable, but it should be flagged to the client in advance given the MP’s in-person negotiation assumption. Travel to Charlotte “for client meetings” is largely avoidable because the client and CBS’s Charlotte office are in the same city; it appears to be driven by the New York staffing assumptions in D-17.</w:t>
      </w:r>
    </w:p>
    <w:p>
      <w:pPr>
        <w:pStyle w:val="ListBullet"/>
        <w:spacing w:after="60"/>
      </w:pPr>
      <w:r>
        <w:rPr>
          <w:b w:val="0"/>
          <w:i w:val="0"/>
        </w:rPr>
        <w:t>Translation services are not obviously needed for a two-site Minnesota target and are not referenced in the EL; confirm the basis.</w:t>
      </w:r>
    </w:p>
    <w:p>
      <w:pPr>
        <w:pStyle w:val="ListBullet"/>
        <w:spacing w:after="60"/>
      </w:pPr>
      <w:r>
        <w:rPr>
          <w:b w:val="0"/>
          <w:i w:val="0"/>
        </w:rPr>
        <w:t>The $18,000 filing-fee line appears insufficient if an HSR filing is required: the 2025 HSR filing fee for transactions valued below $179.4 million is $30,000 (see Part VI.1). Conversely, if HSR is not required, the line is overstated.</w:t>
      </w:r>
    </w:p>
    <w:p>
      <w:pPr>
        <w:pStyle w:val="ListBullet"/>
        <w:spacing w:after="60"/>
      </w:pPr>
      <w:r>
        <w:rPr>
          <w:b w:val="0"/>
          <w:i w:val="0"/>
        </w:rPr>
        <w:t>The MP expense policy (§9.5: coach under four hours, $350 hotel cap, $75 per diem) is not in the EL. It is acceptable as an internal discipline, but the MP should not describe it as a client-agreed term without client sign-off.</w:t>
      </w:r>
    </w:p>
    <w:p>
      <w:pPr>
        <w:pStyle w:val="Heading2"/>
      </w:pPr>
      <w:r>
        <w:t>B. Scope of Engagement</w:t>
      </w:r>
    </w:p>
    <w:p>
      <w:pPr>
        <w:pStyle w:val="Heading3"/>
      </w:pPr>
      <w:r>
        <w:t>D-3. Omission of the IP and Patent Portfolio Review (EL §3.6)  [Critical]</w:t>
      </w:r>
    </w:p>
    <w:p>
      <w:pPr>
        <w:spacing w:after="120"/>
      </w:pPr>
      <w:r>
        <w:rPr>
          <w:b/>
          <w:i w:val="0"/>
        </w:rPr>
        <w:t>EL §3</w:t>
      </w:r>
      <w:r>
        <w:rPr>
          <w:b w:val="0"/>
          <w:i w:val="0"/>
        </w:rPr>
        <w:t xml:space="preserve"> lists eight workstreams. </w:t>
      </w:r>
      <w:r>
        <w:rPr>
          <w:b/>
          <w:i w:val="0"/>
        </w:rPr>
        <w:t>EL §3.6</w:t>
      </w:r>
      <w:r>
        <w:rPr>
          <w:b w:val="0"/>
          <w:i w:val="0"/>
        </w:rPr>
        <w:t xml:space="preserve"> obligates CBS to review issued patents, pending applications, registered and unregistered trademarks, trade secrets, copyrights and in-bound and out-bound licenses; to assess freedom-to-operate and infringement risk for the Target’s core product lines; and to deliver a memorandum to the client. </w:t>
      </w:r>
      <w:r>
        <w:rPr>
          <w:b/>
          <w:i w:val="0"/>
        </w:rPr>
        <w:t>The MP</w:t>
      </w:r>
      <w:r>
        <w:rPr>
          <w:b w:val="0"/>
          <w:i w:val="0"/>
        </w:rPr>
        <w:t xml:space="preserve"> recites “seven workstreams” (§3, §4.2, §11.1(5)) and renumbers them so that Real Estate becomes WS 6 and Post-Closing WS 7. There is no IP workstream, no assigned attorney, no hours or fees, no milestone, no risk-register entry, and no IP category in Appendix A (whose ten categories cover corporate, contracts, financials/tax, litigation, regulatory, real estate, employment, insurance, environmental and debt). The only IP touchpoint is a passing reference to “licensing arrangements” in WS 1.</w:t>
      </w:r>
    </w:p>
    <w:p>
      <w:pPr>
        <w:spacing w:after="120"/>
      </w:pPr>
      <w:r>
        <w:rPr>
          <w:b/>
          <w:i w:val="0"/>
        </w:rPr>
        <w:t>Consequence.</w:t>
      </w:r>
      <w:r>
        <w:rPr>
          <w:b w:val="0"/>
          <w:i w:val="0"/>
        </w:rPr>
        <w:t xml:space="preserve"> This is a failure to perform a contracted service. For an orthopedic surgical instrument and implant manufacturer whose founder “developed proprietary surgical instruments” (MP §1) and whose investment thesis rests on an “established FDA-cleared product portfolio” and “product line expansion” (MP §1), IP ownership, inventor assignments (including from Dr. Hargrove personally), FTO and infringement exposure are core value and risk items that feed the IP representations, indemnity and disclosure schedules in the SPA. Omitting the workstream also means (i) the budget understates the cost of the engagement against the Fee Cap, (ii) the May 23 diligence request list will omit IP requests, compressing the IP timeline against the July 18 diligence completion target, and (iii) no specialist is staffed (the current roster has no IP/patent attorney; any additional timekeeper is billed at standard less 12% under EL §§4–5).</w:t>
      </w:r>
    </w:p>
    <w:p>
      <w:pPr>
        <w:spacing w:after="120"/>
      </w:pPr>
      <w:r>
        <w:rPr>
          <w:b/>
          <w:i w:val="0"/>
        </w:rPr>
        <w:t>Action.</w:t>
      </w:r>
      <w:r>
        <w:rPr>
          <w:b w:val="0"/>
          <w:i w:val="0"/>
        </w:rPr>
        <w:t xml:space="preserve"> Reinstate the IP and Patent Portfolio Review as a workstream (preferably restoring EL numbering so that WS references track the EL); assign an IP/patent partner and associate (communicating additions to the client per EL §4); add an IP category to Appendix A (patent and trademark schedules, prosecution files, invention-assignment and employee/consultant IP agreements, license agreements, royalty obligations, IP litigation and demand letters, open-source, trade-secret protection policies, any university or surgeon-collaborator agreements); budget hours, the patent-search vendor and an FTO deliverable date before July 18, 2025; and add an IP risk entry (ownership/chain of title and FTO) to the risk register.</w:t>
      </w:r>
    </w:p>
    <w:p>
      <w:pPr>
        <w:pStyle w:val="Heading3"/>
      </w:pPr>
      <w:r>
        <w:t>D-5. Post-Closing Integration Period — 60 Days (EL) vs. 90 Days (MP)  [High]</w:t>
      </w:r>
    </w:p>
    <w:p>
      <w:pPr>
        <w:spacing w:after="120"/>
      </w:pPr>
      <w:r>
        <w:rPr>
          <w:b/>
          <w:i w:val="0"/>
        </w:rPr>
        <w:t>EL §3.8 and §9:</w:t>
      </w:r>
      <w:r>
        <w:rPr>
          <w:b w:val="0"/>
          <w:i w:val="0"/>
        </w:rPr>
        <w:t xml:space="preserve"> sixty days, ending November 14, 2025 on a September 15, 2025 closing; fees subject to the Fee Cap. </w:t>
      </w:r>
      <w:r>
        <w:rPr>
          <w:b/>
          <w:i w:val="0"/>
        </w:rPr>
        <w:t>MP WS 7, §§5.1, 6.1, 6.2 and 11.1(7):</w:t>
      </w:r>
      <w:r>
        <w:rPr>
          <w:b w:val="0"/>
          <w:i w:val="0"/>
        </w:rPr>
        <w:t xml:space="preserve"> ninety days, through December 14, 2025, budgeted at ~350 hours / ~$215,000. Both documents’ date arithmetic is correct for their respective periods (Sept. 15 + 60 days = Nov. 14; + 90 days = Dec. 14).</w:t>
      </w:r>
    </w:p>
    <w:p>
      <w:pPr>
        <w:spacing w:after="120"/>
      </w:pPr>
      <w:r>
        <w:rPr>
          <w:b/>
          <w:i w:val="0"/>
        </w:rPr>
        <w:t>Consequence.</w:t>
      </w:r>
      <w:r>
        <w:rPr>
          <w:b w:val="0"/>
          <w:i w:val="0"/>
        </w:rPr>
        <w:t xml:space="preserve"> Days 61–90 are outside the contracted scope and require prior written agreement (EL §3). MP §11.1(7) wrongly treats any extension as “subject to discussion with the client.” The extra 30 days are also budgeted inside the (wrong) cap. The client may already be planning its own post-closing resources around November 14.</w:t>
      </w:r>
    </w:p>
    <w:p>
      <w:pPr>
        <w:spacing w:after="120"/>
      </w:pPr>
      <w:r>
        <w:rPr>
          <w:b/>
          <w:i w:val="0"/>
        </w:rPr>
        <w:t>Action.</w:t>
      </w:r>
      <w:r>
        <w:rPr>
          <w:b w:val="0"/>
          <w:i w:val="0"/>
        </w:rPr>
        <w:t xml:space="preserve"> Conform to 60 days / November 14, 2025 throughout, and re-scale the WS 7 budget (Part V). If the deal team believes 90 days is needed, propose a written amendment now, with fee treatment specified.</w:t>
      </w:r>
    </w:p>
    <w:p>
      <w:pPr>
        <w:pStyle w:val="Heading3"/>
      </w:pPr>
      <w:r>
        <w:t>D-12. Post-Closing Scope Expansion  [Medium]</w:t>
      </w:r>
    </w:p>
    <w:p>
      <w:pPr>
        <w:spacing w:after="120"/>
      </w:pPr>
      <w:r>
        <w:rPr>
          <w:b w:val="0"/>
          <w:i w:val="0"/>
        </w:rPr>
        <w:t>EL §3.8 covers governance of the acquired entity, contract novation and assignment, change-of-ownership regulatory filings and notifications, and employment integration. MP WS 7 adds “entity restructuring and organizational changes to align Hargrove’s corporate structure with Whitfield’s portfolio management framework” and “general advisory support … as reasonably requested.” Entity restructuring (e.g., holding-company insertion, conversions, mergers, tax-driven reorganizations) is a materially different service from governance support and could require tax input; open-ended “general advisory support” invites scope creep inside a fixed cap. Although the EL list is “without limitation,” the safer course is to confine WS 7 to the EL items and treat restructuring as an additional service requiring written agreement (EL §3). MP references to “FDA establishment registration updates” and “new employment agreements” are consistent with EL categories.</w:t>
      </w:r>
    </w:p>
    <w:p>
      <w:pPr>
        <w:pStyle w:val="Heading3"/>
      </w:pPr>
      <w:r>
        <w:t>D-13. Due Diligence Scope (EL §3.1 vs. MP WS 1)  [Medium]</w:t>
      </w:r>
    </w:p>
    <w:p>
      <w:pPr>
        <w:pStyle w:val="ListBullet"/>
        <w:spacing w:after="60"/>
      </w:pPr>
      <w:r>
        <w:rPr>
          <w:b/>
          <w:i w:val="0"/>
        </w:rPr>
        <w:t>Additions in the MP:</w:t>
      </w:r>
      <w:r>
        <w:rPr>
          <w:b w:val="0"/>
          <w:i w:val="0"/>
        </w:rPr>
        <w:t xml:space="preserve"> review of federal, state and local tax returns, sales and use tax and tax audits; legal review of audited financial statements (Pennington &amp; Holt CPAs); and insurance review with Veridian Insurance Brokers. These fall within the EL catch-all (“such other areas as CBS and the Client may identify”), but only if identified jointly. Tax diligence in particular is often performed by the client’s accounting advisors; we should confirm with Ms. Takahashi whether CBS or Whitfield’s accountants own tax diligence to avoid duplication and budget pressure.</w:t>
      </w:r>
    </w:p>
    <w:p>
      <w:pPr>
        <w:pStyle w:val="ListBullet"/>
        <w:spacing w:after="60"/>
      </w:pPr>
      <w:r>
        <w:rPr>
          <w:b/>
          <w:i w:val="0"/>
        </w:rPr>
        <w:t>Omissions from MP WS 1 text:</w:t>
      </w:r>
      <w:r>
        <w:rPr>
          <w:b w:val="0"/>
          <w:i w:val="0"/>
        </w:rPr>
        <w:t xml:space="preserve"> environmental compliance (expressly in EL §3.1; it appears only in Appendix A item 9 and R-007), government contracts (EL §3.1 “government contracts, if any” — relevant if Hargrove sells to VA/DoD or other federal purchasers), and joint venture/strategic alliance agreements (Appendix A item 2 lists JVs but WS 1 does not). Add all three to WS 1.</w:t>
      </w:r>
    </w:p>
    <w:p>
      <w:pPr>
        <w:pStyle w:val="ListBullet"/>
        <w:spacing w:after="60"/>
      </w:pPr>
      <w:r>
        <w:rPr>
          <w:b/>
          <w:i w:val="0"/>
        </w:rPr>
        <w:t>Deliverable framing:</w:t>
      </w:r>
      <w:r>
        <w:rPr>
          <w:b w:val="0"/>
          <w:i w:val="0"/>
        </w:rPr>
        <w:t xml:space="preserve"> the EL report must make recommendations for representations, warranties and indemnification; the MP adds recommended closing conditions and purchase price adjustments and ties the report to disclosure schedules. This is consistent and more detailed; no change needed.</w:t>
      </w:r>
    </w:p>
    <w:p>
      <w:pPr>
        <w:pStyle w:val="Heading3"/>
      </w:pPr>
      <w:r>
        <w:t>D-14. Employment and Benefits Scope (EL §3.5 vs. MP WS 5)  [Medium]</w:t>
      </w:r>
    </w:p>
    <w:p>
      <w:pPr>
        <w:spacing w:after="120"/>
      </w:pPr>
      <w:r>
        <w:rPr>
          <w:b w:val="0"/>
          <w:i w:val="0"/>
        </w:rPr>
        <w:t>The EL expressly requires advice on ERISA compliance, COBRA obligations and WARN Act considerations, and review of offer letters, equity award agreements and retention bonus arrangements. MP WS 5 does not mention ERISA, COBRA or WARN (Appendix A item 7 requests Form 5500s, which is helpful), and instead adds a general employment-law compliance audit (wage and hour, anti-discrimination, OSHA, workers’ compensation, Form I-9). The EL obligations should be restored expressly; the compliance-audit items are beyond the EL description and should either be limited to diligence-level review or confirmed with the client as additional scope. WS 5 also has no designated lead — Mr. Windham “supports” in coordination with Ms. Okafor — and no milestone; assign an owner (ideally a benefits/ERISA specialist).</w:t>
      </w:r>
    </w:p>
    <w:p>
      <w:pPr>
        <w:pStyle w:val="Heading3"/>
      </w:pPr>
      <w:r>
        <w:t>D-15. Financing Documentation Review and Lender Facts  [Medium]</w:t>
      </w:r>
    </w:p>
    <w:p>
      <w:pPr>
        <w:pStyle w:val="ListBullet"/>
        <w:spacing w:after="60"/>
      </w:pPr>
      <w:r>
        <w:rPr>
          <w:b/>
          <w:i w:val="0"/>
        </w:rPr>
        <w:t>Role limitation.</w:t>
      </w:r>
      <w:r>
        <w:rPr>
          <w:b w:val="0"/>
          <w:i w:val="0"/>
        </w:rPr>
        <w:t xml:space="preserve"> MP WS 4 and §11.1(6) state CBS “will not negotiate lender terms” and that Archer &amp; Lind LLP has been separately retained as financing counsel. The EL describes a review function only (“review and analysis of credit agreements, loan documents, intercreditor arrangements, security documents”), so the limitation is consistent in substance, but the EL does not mention Archer &amp; Lind or expressly disclaim negotiation. Because limited-scope representation should be clearly communicated to the client, confirm the division of labor with Ms. Takahashi in writing (a short email suffices).</w:t>
      </w:r>
    </w:p>
    <w:p>
      <w:pPr>
        <w:pStyle w:val="ListBullet"/>
        <w:spacing w:after="60"/>
      </w:pPr>
      <w:r>
        <w:rPr>
          <w:b/>
          <w:i w:val="0"/>
        </w:rPr>
        <w:t>Commitment status.</w:t>
      </w:r>
      <w:r>
        <w:rPr>
          <w:b w:val="0"/>
          <w:i w:val="0"/>
        </w:rPr>
        <w:t xml:space="preserve"> EL §2 says the third-party debt terms “are currently being arranged.” MP §§2.1 and 7.2 (R-003) state Ridgeline National Bank “has committed” to a senior secured term loan and rate the financing risk “Low” on that basis. Confirm whether a commitment letter exists; if not, the R-003 likelihood rating and the June 13 review milestone need revisiting.</w:t>
      </w:r>
    </w:p>
    <w:p>
      <w:pPr>
        <w:pStyle w:val="ListBullet"/>
        <w:spacing w:after="60"/>
      </w:pPr>
      <w:r>
        <w:rPr>
          <w:b/>
          <w:i w:val="0"/>
        </w:rPr>
        <w:t>Existing vs. acquisition debt.</w:t>
      </w:r>
      <w:r>
        <w:rPr>
          <w:b w:val="0"/>
          <w:i w:val="0"/>
        </w:rPr>
        <w:t xml:space="preserve"> EL §2 attributes the $28.9 million of existing term-loan debt to “the Target’s existing credit facility” (lender unnamed). MP Appendix A item 10 asks for “[t]he existing Ridgeline National Bank credit agreement,” implying Ridgeline is also Hargrove’s current lender, while elsewhere Ridgeline is the buyer-side acquisition lender. Clarify. If Ridgeline is both, payoff-letter, lien-release and refinancing mechanics (and possible lender conflicts of interest) need to be addressed.</w:t>
      </w:r>
    </w:p>
    <w:p>
      <w:pPr>
        <w:pStyle w:val="Heading3"/>
      </w:pPr>
      <w:r>
        <w:t>D-16. Ancillary Documents (EL §3.2 vs. MP WS 2)  [Medium]</w:t>
      </w:r>
    </w:p>
    <w:p>
      <w:pPr>
        <w:spacing w:after="120"/>
      </w:pPr>
      <w:r>
        <w:rPr>
          <w:b w:val="0"/>
          <w:i w:val="0"/>
        </w:rPr>
        <w:t>EL §3.2 expressly lists “one or more employment or consulting agreements with key personnel of the Target.” MP WS 2’s list omits them, although R-005 assumes CBS will negotiate “appropriate employment, non-competition, and non-solicitation agreements as part of the SPA ancillary documents,” and WS 7 refers to “new employment agreements for key employees.” Add employment/consulting agreements to WS 2 (they are central to the key-person risk around Dr. Hargrove). The MP’s additions (non-competition/non-solicitation agreements and officer/director resignations) are customary closing deliverables within the “without limitation” language; see Part VI.2 on Minnesota non-compete law.</w:t>
      </w:r>
    </w:p>
    <w:p>
      <w:pPr>
        <w:pStyle w:val="Heading3"/>
      </w:pPr>
      <w:r>
        <w:t>D-19. Real Estate Lease Review (EL §3.7 vs. MP WS 6)  [Low]</w:t>
      </w:r>
    </w:p>
    <w:p>
      <w:pPr>
        <w:spacing w:after="120"/>
      </w:pPr>
      <w:r>
        <w:rPr>
          <w:b w:val="0"/>
          <w:i w:val="0"/>
        </w:rPr>
        <w:t>Both documents cover both leases at the same addresses. The MP adds rent escalation, maintenance/repair, and subleases, amendments and side letters (reasonable diligence extensions) and commits CBS to “assist Whitfield in obtaining” landlord consents. Obtaining consents (negotiating with landlords, estoppels) goes beyond the EL’s review-and-identify description; it is a modest expansion, but note it and confirm with the client. Appendix A item 6 also requests surveys and title documents, which are of limited relevance to leased premises and should be scoped to avoid unnecessary title-search disbursements.</w:t>
      </w:r>
    </w:p>
    <w:p>
      <w:pPr>
        <w:pStyle w:val="Heading2"/>
      </w:pPr>
      <w:r>
        <w:t>C. Transaction Facts</w:t>
      </w:r>
    </w:p>
    <w:p>
      <w:pPr>
        <w:pStyle w:val="Heading3"/>
      </w:pPr>
      <w:r>
        <w:t>D-6. Enterprise Value — $142.0M (EL) vs. $148.0M (MP); MP Equity Bridge Does Not Reconcile  [High]</w:t>
      </w:r>
    </w:p>
    <w:p>
      <w:pPr>
        <w:spacing w:after="120"/>
      </w:pPr>
      <w:r>
        <w:rPr>
          <w:b/>
          <w:i w:val="0"/>
        </w:rPr>
        <w:t>EL §2:</w:t>
      </w:r>
      <w:r>
        <w:rPr>
          <w:b w:val="0"/>
          <w:i w:val="0"/>
        </w:rPr>
        <w:t xml:space="preserve"> enterprise value $142,000,000; net debt ≈ $23,400,000 ($28,900,000 term loan less $5,500,000 cash); equity value ≈ $118,600,000. The EL bridge reconciles ($142.0M – $23.4M = $118.6M).</w:t>
      </w:r>
    </w:p>
    <w:p>
      <w:pPr>
        <w:spacing w:after="120"/>
      </w:pPr>
      <w:r>
        <w:rPr>
          <w:b/>
          <w:i w:val="0"/>
        </w:rPr>
        <w:t>MP §§1 and 2.2:</w:t>
      </w:r>
      <w:r>
        <w:rPr>
          <w:b w:val="0"/>
          <w:i w:val="0"/>
        </w:rPr>
        <w:t xml:space="preserve"> enterprise value $148,000,000 with the same net-debt components and the same $118.6 million equity value. That bridge does not reconcile: $148.0M – $23.4M = $124.6M. The $148M figure is therefore almost certainly a transcription error, and the MP states the figures were “provided by the client,” which makes the error more likely to propagate into SPA purchase-price mechanics, the HSR analysis and lender materials.</w:t>
      </w:r>
    </w:p>
    <w:p>
      <w:pPr>
        <w:spacing w:after="120"/>
      </w:pPr>
      <w:r>
        <w:rPr>
          <w:b/>
          <w:i w:val="0"/>
        </w:rPr>
        <w:t>Action.</w:t>
      </w:r>
      <w:r>
        <w:rPr>
          <w:b w:val="0"/>
          <w:i w:val="0"/>
        </w:rPr>
        <w:t xml:space="preserve"> Conform the MP to $142,000,000 and confirm the current EV, net debt and cash figures with the client before the SPA purchase-price section is drafted. Note also that the HSR analysis should be run on the value of the voting securities acquired, not on enterprise value (Part VI.1), which makes accuracy of these inputs important.</w:t>
      </w:r>
    </w:p>
    <w:p>
      <w:pPr>
        <w:spacing w:after="120"/>
      </w:pPr>
      <w:r>
        <w:rPr>
          <w:b/>
          <w:i w:val="0"/>
        </w:rPr>
        <w:t>Consistent facts (no action):</w:t>
      </w:r>
      <w:r>
        <w:rPr>
          <w:b w:val="0"/>
          <w:i w:val="0"/>
        </w:rPr>
        <w:t xml:space="preserve"> stock purchase of 100% of common stock by WCP Hargrove Acquisition Corp. (Delaware); Target a Minnesota corporation founded 2009 by Dr. Roland Hargrove; ~312 employees; FY2024 revenue ~$87M (EL) / $87.2M (MP) — consistent with rounding; Whitfield Fund III committed capital $680M; LOI April 22, 2025; exclusivity to July 31, 2025; target closing September 15, 2025.</w:t>
      </w:r>
    </w:p>
    <w:p>
      <w:pPr>
        <w:pStyle w:val="Heading3"/>
      </w:pPr>
      <w:r>
        <w:t>D-22. Names, Descriptors and Labels  [Low]</w:t>
      </w:r>
    </w:p>
    <w:p>
      <w:pPr>
        <w:pStyle w:val="ListBullet"/>
        <w:spacing w:after="60"/>
      </w:pPr>
      <w:r>
        <w:rPr>
          <w:b w:val="0"/>
          <w:i w:val="0"/>
        </w:rPr>
        <w:t>The EL uses “Hargrove Medical Devices, Inc.”; the MP uses “Hargrove Medical Devices Inc.” (no comma). Confirm the exact legal name against the Minnesota Secretary of State record before it is used in the SPA, HSR form and closing certificates.</w:t>
      </w:r>
    </w:p>
    <w:p>
      <w:pPr>
        <w:pStyle w:val="ListBullet"/>
        <w:spacing w:after="60"/>
      </w:pPr>
      <w:r>
        <w:rPr>
          <w:b w:val="0"/>
          <w:i w:val="0"/>
        </w:rPr>
        <w:t>The EL describes the Eagan site as a “manufacturing and distribution facility”; the MP calls it a “manufacturing facility.” Distribution operations may bear on contract, regulatory (e.g., distribution records/UDI) and lease-use diligence; use the EL description.</w:t>
      </w:r>
    </w:p>
    <w:p>
      <w:pPr>
        <w:pStyle w:val="ListBullet"/>
        <w:spacing w:after="60"/>
      </w:pPr>
      <w:r>
        <w:rPr>
          <w:b w:val="0"/>
          <w:i w:val="0"/>
        </w:rPr>
        <w:t>R-007 is labeled “Multi-State Compliance” although both facilities are in Minnesota (as R-007 itself acknowledges). Re-label (e.g., “Facility-Level Compliance”).</w:t>
      </w:r>
    </w:p>
    <w:p>
      <w:pPr>
        <w:pStyle w:val="Heading2"/>
      </w:pPr>
      <w:r>
        <w:t>D. Staffing</w:t>
      </w:r>
    </w:p>
    <w:p>
      <w:pPr>
        <w:pStyle w:val="Heading3"/>
      </w:pPr>
      <w:r>
        <w:t>D-8. Regulatory Associate — Priya Dasgupta (EL) vs. James Ortega (MP)  [High]</w:t>
      </w:r>
    </w:p>
    <w:p>
      <w:pPr>
        <w:spacing w:after="120"/>
      </w:pPr>
      <w:r>
        <w:rPr>
          <w:b w:val="0"/>
          <w:i w:val="0"/>
        </w:rPr>
        <w:t>EL §4 names Priya Dasgupta (Associate, New York) for regulatory analysis, including FDA compliance and HSR, and provides that “any material change in the core engagement team listed above will be communicated to the Client in advance,” with consultation where practicable. The MP replaces her with James Ortega (Associate, New York) for all of WS 3 — the workstream underlying the highest-rated risk in the register (R-001) — and does not mention Ms. Dasgupta anywhere. Mr. Ortega is not on the EL rate card; under EL §5 he must be billed at standard less 12% ($418/hr), not the MP’s $403.75.</w:t>
      </w:r>
    </w:p>
    <w:p>
      <w:pPr>
        <w:spacing w:after="120"/>
      </w:pPr>
      <w:r>
        <w:rPr>
          <w:b/>
          <w:i w:val="0"/>
        </w:rPr>
        <w:t>Action.</w:t>
      </w:r>
      <w:r>
        <w:rPr>
          <w:b w:val="0"/>
          <w:i w:val="0"/>
        </w:rPr>
        <w:t xml:space="preserve"> Determine whether the substitution is intentional. If Ms. Dasgupta remains on the matter, reinstate her; if not, send Ms. Takahashi advance written notice (and consult) before Mr. Ortega records time, and confirm his rate. The May 26 “Regulatory Compliance Review Initiated” milestone assigned to Mr. Ortega makes this time-sensitive.</w:t>
      </w:r>
    </w:p>
    <w:p>
      <w:pPr>
        <w:pStyle w:val="Heading3"/>
      </w:pPr>
      <w:r>
        <w:t>D-17. Office Locations  [Low]</w:t>
      </w:r>
    </w:p>
    <w:p>
      <w:pPr>
        <w:spacing w:after="120"/>
      </w:pPr>
      <w:r>
        <w:rPr>
          <w:b w:val="0"/>
          <w:i w:val="0"/>
        </w:rPr>
        <w:t>The EL places Victoria Calloway, Rachel Muñoz and Kevin Tran in Charlotte; the MP (§4.1, §10.1 and Appendix B) places all three in New York. Only Mr. Briggs and Mr. Windham are Charlotte-based in the MP. Confirm and correct. The point has practical consequences: data-room coordination and drafting logistics, travel disbursements (the MP budgets Charlotte travel for client meetings), and accuracy of the client-facing contact directory.</w:t>
      </w:r>
    </w:p>
    <w:p>
      <w:pPr>
        <w:pStyle w:val="Heading3"/>
      </w:pPr>
      <w:r>
        <w:t>D-18. Mr. Briggs’s Role and Primary Contacts  [Low]</w:t>
      </w:r>
    </w:p>
    <w:p>
      <w:pPr>
        <w:spacing w:after="120"/>
      </w:pPr>
      <w:r>
        <w:rPr>
          <w:b w:val="0"/>
          <w:i w:val="0"/>
        </w:rPr>
        <w:t>The EL describes Mr. Briggs as relationship partner providing “strategic oversight and attendance at key negotiation sessions,” and designates both Ms. Okafor and Mr. Briggs (with telephone numbers) as primary day-to-day contacts. The MP makes Mr. Briggs “lead on client-facing negotiations” who “will participate in all material negotiation sessions,” while also making Ms. Okafor primary for WS 2 negotiation, and lists Ms. Okafor as the sole day-to-day contact. The expanded partner role (at $836/hr) has budget implications under the cap, and the dual-lead language should be reconciled. Restore Mr. Briggs as a co-primary contact in §10.1, consistent with EL §4, and add the EL contact details to Appendix B.</w:t>
      </w:r>
    </w:p>
    <w:p>
      <w:pPr>
        <w:pStyle w:val="Heading2"/>
      </w:pPr>
      <w:r>
        <w:t>E. Timeline and Milestones</w:t>
      </w:r>
    </w:p>
    <w:p>
      <w:pPr>
        <w:pStyle w:val="Heading3"/>
      </w:pPr>
      <w:r>
        <w:t>D-11. SPA First Draft — July 7, 2025 (EL) vs. June 23, 2025 (MP)  [Medium]</w:t>
      </w:r>
    </w:p>
    <w:p>
      <w:pPr>
        <w:spacing w:after="120"/>
      </w:pPr>
      <w:r>
        <w:rPr>
          <w:b w:val="0"/>
          <w:i w:val="0"/>
        </w:rPr>
        <w:t>EL §9 records July 7, 2025 as the client-agreed target for circulating the first SPA draft; the MP moves it two weeks earlier to June 23, 2025 (WS 2, §§6.1, 6.2, R-002). Accelerating an internal target is not itself a breach and the MP’s rationale is sound — a July 7 draft leaves only 24 days of negotiation before exclusivity expires on July 31. However: (i) June 23 precedes the July 18 diligence-completion target by nearly four weeks, so the first draft will be prepared with incomplete diligence (the MP acknowledges this); (ii) the acceleration increases early-phase fees; and (iii) the client’s own planning (e.g., review bandwidth, seller-side expectations) is anchored to July 7. Recommend confirming the June 23 date with Ms. Takahashi and, if agreed, documenting it by email so that EL §9 and the plan align.</w:t>
      </w:r>
    </w:p>
    <w:p>
      <w:pPr>
        <w:spacing w:after="120"/>
      </w:pPr>
      <w:r>
        <w:rPr>
          <w:b w:val="0"/>
          <w:i w:val="0"/>
        </w:rPr>
        <w:t>The MP adds internal milestones not in the EL (diligence request list May 23; regulatory review start May 26; financing review complete June 13). These are consistent with, and supplement, the EL schedule. The MP §2.3 key-dates table omits the EL’s August 29 signing, July 18 diligence completion and August 1 HSR dates (they appear in §6.1); consider adding them for completeness.</w:t>
      </w:r>
    </w:p>
    <w:p>
      <w:pPr>
        <w:pStyle w:val="Heading3"/>
      </w:pPr>
      <w:r>
        <w:t>D-21. HSR Waiting-Period Calculation  [Low]</w:t>
      </w:r>
    </w:p>
    <w:p>
      <w:pPr>
        <w:spacing w:after="120"/>
      </w:pPr>
      <w:r>
        <w:rPr>
          <w:b w:val="0"/>
          <w:i w:val="0"/>
        </w:rPr>
        <w:t>Both documents target an HSR filing (if required) on Friday, August 1, 2025. MP WS 3 and §6.2 state the 30-day waiting period would expire “on or about August 31, 2025.” August 31, 2025 is a Sunday and Monday, September 1, 2025 is Labor Day; under the HSR rules (16 C.F.R. § 803.10(b)), a waiting period that would end on a weekend or federal holiday ends at 11:59 p.m. Eastern Time on the next business day — here, Tuesday, September 2, 2025. That still precedes the September 15 closing, but the cushion is 13 days, not 15, and any pull-and-refile or second request would jeopardize the closing date. Correct the date and note the dependency in R-001/R-002.</w:t>
      </w:r>
    </w:p>
    <w:p>
      <w:pPr>
        <w:pStyle w:val="Heading3"/>
      </w:pPr>
      <w:r>
        <w:t>Post-closing end date  [see D-5]</w:t>
      </w:r>
    </w:p>
    <w:p>
      <w:pPr>
        <w:spacing w:after="120"/>
      </w:pPr>
      <w:r>
        <w:rPr>
          <w:b w:val="0"/>
          <w:i w:val="0"/>
        </w:rPr>
        <w:t>November 14, 2025 (EL) vs. December 14, 2025 (MP); conform to the EL.</w:t>
      </w:r>
    </w:p>
    <w:p>
      <w:pPr>
        <w:pStyle w:val="Heading2"/>
      </w:pPr>
      <w:r>
        <w:t>F. Conflicts of Interest</w:t>
      </w:r>
    </w:p>
    <w:p>
      <w:pPr>
        <w:pStyle w:val="Heading3"/>
      </w:pPr>
      <w:r>
        <w:t>D-9. Greenleaf Prior Representation and Waiver; Scope of Conflicts Check  [High]</w:t>
      </w:r>
    </w:p>
    <w:p>
      <w:pPr>
        <w:spacing w:after="120"/>
      </w:pPr>
      <w:r>
        <w:rPr>
          <w:b/>
          <w:i w:val="0"/>
        </w:rPr>
        <w:t>EL §10</w:t>
      </w:r>
      <w:r>
        <w:rPr>
          <w:b w:val="0"/>
          <w:i w:val="0"/>
        </w:rPr>
        <w:t xml:space="preserve"> represents that CBS “has confirmed that no conflicts of interest exist” and addresses only Hargrove and its affiliates, officers, directors and principal stockholders. It does not mention Greenleaf Advisory Group LLC or any waiver. </w:t>
      </w:r>
      <w:r>
        <w:rPr>
          <w:b/>
          <w:i w:val="0"/>
        </w:rPr>
        <w:t>MP §8.2</w:t>
      </w:r>
      <w:r>
        <w:rPr>
          <w:b w:val="0"/>
          <w:i w:val="0"/>
        </w:rPr>
        <w:t xml:space="preserve"> discloses that CBS represented Greenleaf (Hargrove’s sell-side advisor) in a 2023 capital-markets matter concluded in Q4 2023, and that a written conflicts waiver was obtained from Whitfield on April 28, 2025 (approved by Ms. Takahashi), with ethical screens in place.</w:t>
      </w:r>
    </w:p>
    <w:p>
      <w:pPr>
        <w:pStyle w:val="ListBullet"/>
        <w:spacing w:after="60"/>
      </w:pPr>
      <w:r>
        <w:rPr>
          <w:b/>
          <w:i w:val="0"/>
        </w:rPr>
        <w:t>Inconsistency of record.</w:t>
      </w:r>
      <w:r>
        <w:rPr>
          <w:b w:val="0"/>
          <w:i w:val="0"/>
        </w:rPr>
        <w:t xml:space="preserve"> The client signed an EL stating that no conflicts exist one week after signing a waiver of a disclosed potential conflict. Although the prior Greenleaf matter is concluded and unrelated (and likely would not require consent under the former-client rule), the record should be consistent. The EL’s entire-agreement and supersession language (EL §§1, 15) could be argued to supersede prior written “understandings … regarding … terms of this engagement,” creating an avoidable argument about the waiver’s continued effect.</w:t>
      </w:r>
    </w:p>
    <w:p>
      <w:pPr>
        <w:pStyle w:val="ListBullet"/>
        <w:spacing w:after="60"/>
      </w:pPr>
      <w:r>
        <w:rPr>
          <w:b/>
          <w:i w:val="0"/>
        </w:rPr>
        <w:t>Scope of the check.</w:t>
      </w:r>
      <w:r>
        <w:rPr>
          <w:b w:val="0"/>
          <w:i w:val="0"/>
        </w:rPr>
        <w:t xml:space="preserve"> MP §8.1 lists the parties checked as Whitfield, Hargrove, Dr. Hargrove, Greenleaf, Ridgeline and Archer &amp; Lind. The EL representation extends to Hargrove’s “affiliates, subsidiaries, officers, directors, or principal stockholders.” The MP list does not include Hargrove stockholders other than Dr. Hargrove, Hargrove officers and directors, WCP Hargrove Acquisition Corp., Whitfield Fund III and its principal LPs/co-investors, Hargrove’s legal counsel (not yet identified in either document), Pennington &amp; Holt CPAs, Veridian Insurance Brokers or the landlords of the two facilities. Run supplemental checks so that the EL representation is supported.</w:t>
      </w:r>
    </w:p>
    <w:p>
      <w:pPr>
        <w:pStyle w:val="ListBullet"/>
        <w:spacing w:after="60"/>
      </w:pPr>
      <w:r>
        <w:rPr>
          <w:b/>
          <w:i w:val="0"/>
        </w:rPr>
        <w:t>Ridgeline/Archer &amp; Lind phrasing.</w:t>
      </w:r>
      <w:r>
        <w:rPr>
          <w:b w:val="0"/>
          <w:i w:val="0"/>
        </w:rPr>
        <w:t xml:space="preserve"> MP §8.1 states CBS has no representation of Ridgeline or Archer &amp; Lind “in any matter adverse to Whitfield.” That is not the relevant test: if CBS currently represents Ridgeline in any matter, our review of Ridgeline’s credit documents on Whitfield’s behalf requires analysis under Rule 1.7. Confirm whether CBS represents Ridgeline at all.</w:t>
      </w:r>
    </w:p>
    <w:p>
      <w:pPr>
        <w:spacing w:after="120"/>
      </w:pPr>
      <w:r>
        <w:rPr>
          <w:b/>
          <w:i w:val="0"/>
        </w:rPr>
        <w:t>Action.</w:t>
      </w:r>
      <w:r>
        <w:rPr>
          <w:b w:val="0"/>
          <w:i w:val="0"/>
        </w:rPr>
        <w:t xml:space="preserve"> Paper the Greenleaf waiver into the engagement record (a short side letter or EL amendment confirming the April 28, 2025 waiver survives and that EL §10 is read together with it), complete the supplemental conflicts searches, and correct the §8.1 Ridgeline language.</w:t>
      </w:r>
    </w:p>
    <w:p>
      <w:pPr>
        <w:pStyle w:val="Heading2"/>
      </w:pPr>
      <w:r>
        <w:t>G. Billing Mechanics and Reporting</w:t>
      </w:r>
    </w:p>
    <w:p>
      <w:pPr>
        <w:pStyle w:val="Heading3"/>
      </w:pPr>
      <w:r>
        <w:t>D-20. Billing Mechanics  [Low]</w:t>
      </w:r>
    </w:p>
    <w:p>
      <w:pPr>
        <w:spacing w:after="120"/>
      </w:pPr>
      <w:r>
        <w:rPr>
          <w:b w:val="0"/>
          <w:i w:val="0"/>
        </w:rPr>
        <w:t>The MP correctly reflects monthly invoicing, electronic delivery to Ms. Takahashi and net-30 payment, and helpfully adds workstream codes and cumulative/budget-to-actual summaries. It omits the EL commitments that invoices issue within fifteen business days after month-end, that the client has thirty days to raise billing disputes in writing, and that undisputed portions remain payable notwithstanding a dispute (EL §8). Add these so that the billing team follows them. The MP’s 85% fee-cap notice mechanism (§§5.2, 9.3) is an acceptable internal implementation of the EL’s “promptly notify” obligation, but must be recalculated against $1,850,000, and MP §9.3’s reference to “fee cap modifications” should state that any increase requires a written amendment/prior written approval (EL §§5, 15). The weekly reports and bi-weekly calls in MP §10.2 are consistent with the EL’s “regular status updates” and are a sensible addition, but their time counts against the cap.</w:t>
      </w:r>
    </w:p>
    <w:p>
      <w:pPr>
        <w:pStyle w:val="Heading1"/>
      </w:pPr>
      <w:r>
        <w:t>V. Budget Impact of Conforming the Matter Plan to the Engagement Letter</w:t>
      </w:r>
    </w:p>
    <w:p>
      <w:pPr>
        <w:spacing w:after="120"/>
      </w:pPr>
      <w:r>
        <w:rPr>
          <w:b w:val="0"/>
          <w:i w:val="0"/>
        </w:rPr>
        <w:t>Because every timekeeper’s rate scales by the same factor when the discount moves from 15% to 12% (0.88 ÷ 0.85 = 1.0353), the MP’s workstream estimates can be re-priced exactly on the MP’s own hours assumptions. The table below shows the effect of (a) re-pricing at EL rates and (b) removing the 30 non-contracted post-closing days (pro rata), before adding the omitted IP workstream.</w:t>
      </w:r>
    </w:p>
    <w:tbl>
      <w:tblPr>
        <w:tblStyle w:val="TableGrid"/>
        <w:tblW w:type="auto" w:w="0"/>
        <w:jc w:val="center"/>
        <w:tblLook w:firstColumn="1" w:firstRow="1" w:lastColumn="0" w:lastRow="0" w:noHBand="0" w:noVBand="1" w:val="04A0"/>
      </w:tblPr>
      <w:tblGrid>
        <w:gridCol w:w="3120"/>
        <w:gridCol w:w="3120"/>
        <w:gridCol w:w="3120"/>
      </w:tblGrid>
      <w:tr>
        <w:tc>
          <w:tcPr>
            <w:tcW w:type="dxa" w:w="4896"/>
            <w:shd w:val="clear" w:color="auto" w:fill="1F3A5F"/>
          </w:tcPr>
          <w:p>
            <w:r/>
            <w:r>
              <w:rPr>
                <w:b/>
                <w:color w:val="FFFFFF"/>
                <w:sz w:val="17"/>
              </w:rPr>
              <w:t>Item</w:t>
            </w:r>
          </w:p>
        </w:tc>
        <w:tc>
          <w:tcPr>
            <w:tcW w:type="dxa" w:w="1584"/>
            <w:shd w:val="clear" w:color="auto" w:fill="1F3A5F"/>
          </w:tcPr>
          <w:p>
            <w:r/>
            <w:r>
              <w:rPr>
                <w:b/>
                <w:color w:val="FFFFFF"/>
                <w:sz w:val="17"/>
              </w:rPr>
              <w:t>Amount</w:t>
            </w:r>
          </w:p>
        </w:tc>
        <w:tc>
          <w:tcPr>
            <w:tcW w:type="dxa" w:w="2880"/>
            <w:shd w:val="clear" w:color="auto" w:fill="1F3A5F"/>
          </w:tcPr>
          <w:p>
            <w:r/>
            <w:r>
              <w:rPr>
                <w:b/>
                <w:color w:val="FFFFFF"/>
                <w:sz w:val="17"/>
              </w:rPr>
              <w:t>Note</w:t>
            </w:r>
          </w:p>
        </w:tc>
      </w:tr>
      <w:tr>
        <w:tc>
          <w:tcPr>
            <w:tcW w:type="dxa" w:w="4896"/>
          </w:tcPr>
          <w:p>
            <w:r/>
            <w:r>
              <w:rPr>
                <w:b w:val="0"/>
                <w:i w:val="0"/>
                <w:sz w:val="17"/>
              </w:rPr>
              <w:t>MP total fee estimate (15% rates; 2,330 hrs; 90-day post-closing)</w:t>
            </w:r>
          </w:p>
        </w:tc>
        <w:tc>
          <w:tcPr>
            <w:tcW w:type="dxa" w:w="1584"/>
          </w:tcPr>
          <w:p>
            <w:r/>
            <w:r>
              <w:rPr>
                <w:b w:val="0"/>
                <w:i w:val="0"/>
                <w:sz w:val="17"/>
              </w:rPr>
              <w:t>$1,450,000</w:t>
            </w:r>
          </w:p>
        </w:tc>
        <w:tc>
          <w:tcPr>
            <w:tcW w:type="dxa" w:w="2880"/>
          </w:tcPr>
          <w:p>
            <w:r/>
            <w:r>
              <w:rPr>
                <w:b w:val="0"/>
                <w:i w:val="0"/>
                <w:sz w:val="17"/>
              </w:rPr>
              <w:t>MP §5.1 (line items sum correctly)</w:t>
            </w:r>
          </w:p>
        </w:tc>
      </w:tr>
      <w:tr>
        <w:tc>
          <w:tcPr>
            <w:tcW w:type="dxa" w:w="4896"/>
          </w:tcPr>
          <w:p>
            <w:r/>
            <w:r>
              <w:rPr>
                <w:b w:val="0"/>
                <w:i w:val="0"/>
                <w:sz w:val="17"/>
              </w:rPr>
              <w:t>Re-priced at EL 12% rates</w:t>
            </w:r>
          </w:p>
        </w:tc>
        <w:tc>
          <w:tcPr>
            <w:tcW w:type="dxa" w:w="1584"/>
          </w:tcPr>
          <w:p>
            <w:r/>
            <w:r>
              <w:rPr>
                <w:b w:val="0"/>
                <w:i w:val="0"/>
                <w:sz w:val="17"/>
              </w:rPr>
              <w:t>$1,501,176</w:t>
            </w:r>
          </w:p>
        </w:tc>
        <w:tc>
          <w:tcPr>
            <w:tcW w:type="dxa" w:w="2880"/>
          </w:tcPr>
          <w:p>
            <w:r/>
            <w:r>
              <w:rPr>
                <w:b w:val="0"/>
                <w:i w:val="0"/>
                <w:sz w:val="17"/>
              </w:rPr>
              <w:t>× 0.88/0.85; +$51,176</w:t>
            </w:r>
          </w:p>
        </w:tc>
      </w:tr>
      <w:tr>
        <w:tc>
          <w:tcPr>
            <w:tcW w:type="dxa" w:w="4896"/>
          </w:tcPr>
          <w:p>
            <w:r/>
            <w:r>
              <w:rPr>
                <w:b w:val="0"/>
                <w:i w:val="0"/>
                <w:sz w:val="17"/>
              </w:rPr>
              <w:t>Less post-closing days 61–90 (1/3 of WS 7 at EL rates: $222,588 × 1/3)</w:t>
            </w:r>
          </w:p>
        </w:tc>
        <w:tc>
          <w:tcPr>
            <w:tcW w:type="dxa" w:w="1584"/>
          </w:tcPr>
          <w:p>
            <w:r/>
            <w:r>
              <w:rPr>
                <w:b w:val="0"/>
                <w:i w:val="0"/>
                <w:sz w:val="17"/>
              </w:rPr>
              <w:t>($74,196)</w:t>
            </w:r>
          </w:p>
        </w:tc>
        <w:tc>
          <w:tcPr>
            <w:tcW w:type="dxa" w:w="2880"/>
          </w:tcPr>
          <w:p>
            <w:r/>
            <w:r>
              <w:rPr>
                <w:b w:val="0"/>
                <w:i w:val="0"/>
                <w:sz w:val="17"/>
              </w:rPr>
              <w:t>WS 7 re-priced ≈ $148,392 for 60 days</w:t>
            </w:r>
          </w:p>
        </w:tc>
      </w:tr>
      <w:tr>
        <w:tc>
          <w:tcPr>
            <w:tcW w:type="dxa" w:w="4896"/>
          </w:tcPr>
          <w:p>
            <w:r/>
            <w:r>
              <w:rPr>
                <w:b w:val="0"/>
                <w:i w:val="0"/>
                <w:sz w:val="17"/>
              </w:rPr>
              <w:t>Conformed estimate before IP workstream</w:t>
            </w:r>
          </w:p>
        </w:tc>
        <w:tc>
          <w:tcPr>
            <w:tcW w:type="dxa" w:w="1584"/>
          </w:tcPr>
          <w:p>
            <w:r/>
            <w:r>
              <w:rPr>
                <w:b w:val="0"/>
                <w:i w:val="0"/>
                <w:sz w:val="17"/>
              </w:rPr>
              <w:t>$1,426,980</w:t>
            </w:r>
          </w:p>
        </w:tc>
        <w:tc>
          <w:tcPr>
            <w:tcW w:type="dxa" w:w="2880"/>
          </w:tcPr>
          <w:p>
            <w:r/>
          </w:p>
        </w:tc>
      </w:tr>
      <w:tr>
        <w:tc>
          <w:tcPr>
            <w:tcW w:type="dxa" w:w="4896"/>
          </w:tcPr>
          <w:p>
            <w:r/>
            <w:r>
              <w:rPr>
                <w:b w:val="0"/>
                <w:i w:val="0"/>
                <w:sz w:val="17"/>
              </w:rPr>
              <w:t>IP and Patent Portfolio Review (EL §3.6)</w:t>
            </w:r>
          </w:p>
        </w:tc>
        <w:tc>
          <w:tcPr>
            <w:tcW w:type="dxa" w:w="1584"/>
          </w:tcPr>
          <w:p>
            <w:r/>
            <w:r>
              <w:rPr>
                <w:b w:val="0"/>
                <w:i w:val="0"/>
                <w:sz w:val="17"/>
              </w:rPr>
              <w:t>To be estimated</w:t>
            </w:r>
          </w:p>
        </w:tc>
        <w:tc>
          <w:tcPr>
            <w:tcW w:type="dxa" w:w="2880"/>
          </w:tcPr>
          <w:p>
            <w:r/>
            <w:r>
              <w:rPr>
                <w:b w:val="0"/>
                <w:i w:val="0"/>
                <w:sz w:val="17"/>
              </w:rPr>
              <w:t>Not budgeted in MP; requires IP partner input</w:t>
            </w:r>
          </w:p>
        </w:tc>
      </w:tr>
      <w:tr>
        <w:tc>
          <w:tcPr>
            <w:tcW w:type="dxa" w:w="4896"/>
          </w:tcPr>
          <w:p>
            <w:r/>
            <w:r>
              <w:rPr>
                <w:b w:val="0"/>
                <w:i w:val="0"/>
                <w:sz w:val="17"/>
              </w:rPr>
              <w:t>EL Fee Cap</w:t>
            </w:r>
          </w:p>
        </w:tc>
        <w:tc>
          <w:tcPr>
            <w:tcW w:type="dxa" w:w="1584"/>
          </w:tcPr>
          <w:p>
            <w:r/>
            <w:r>
              <w:rPr>
                <w:b w:val="0"/>
                <w:i w:val="0"/>
                <w:sz w:val="17"/>
              </w:rPr>
              <w:t>$1,850,000</w:t>
            </w:r>
          </w:p>
        </w:tc>
        <w:tc>
          <w:tcPr>
            <w:tcW w:type="dxa" w:w="2880"/>
          </w:tcPr>
          <w:p>
            <w:r/>
            <w:r>
              <w:rPr>
                <w:b w:val="0"/>
                <w:i w:val="0"/>
                <w:sz w:val="17"/>
              </w:rPr>
              <w:t>EL §5</w:t>
            </w:r>
          </w:p>
        </w:tc>
      </w:tr>
      <w:tr>
        <w:tc>
          <w:tcPr>
            <w:tcW w:type="dxa" w:w="4896"/>
          </w:tcPr>
          <w:p>
            <w:r/>
            <w:r>
              <w:rPr>
                <w:b w:val="0"/>
                <w:i w:val="0"/>
                <w:sz w:val="17"/>
              </w:rPr>
              <w:t>85% notice threshold under EL cap</w:t>
            </w:r>
          </w:p>
        </w:tc>
        <w:tc>
          <w:tcPr>
            <w:tcW w:type="dxa" w:w="1584"/>
          </w:tcPr>
          <w:p>
            <w:r/>
            <w:r>
              <w:rPr>
                <w:b w:val="0"/>
                <w:i w:val="0"/>
                <w:sz w:val="17"/>
              </w:rPr>
              <w:t>$1,572,500</w:t>
            </w:r>
          </w:p>
        </w:tc>
        <w:tc>
          <w:tcPr>
            <w:tcW w:type="dxa" w:w="2880"/>
          </w:tcPr>
          <w:p>
            <w:r/>
            <w:r>
              <w:rPr>
                <w:b w:val="0"/>
                <w:i w:val="0"/>
                <w:sz w:val="17"/>
              </w:rPr>
              <w:t>MP used 85% × $1,950,000 = $1,657,500</w:t>
            </w:r>
          </w:p>
        </w:tc>
      </w:tr>
      <w:tr>
        <w:tc>
          <w:tcPr>
            <w:tcW w:type="dxa" w:w="4896"/>
          </w:tcPr>
          <w:p>
            <w:r/>
            <w:r>
              <w:rPr>
                <w:b w:val="0"/>
                <w:i w:val="0"/>
                <w:sz w:val="17"/>
              </w:rPr>
              <w:t>Capacity for IP before 85% threshold</w:t>
            </w:r>
          </w:p>
        </w:tc>
        <w:tc>
          <w:tcPr>
            <w:tcW w:type="dxa" w:w="1584"/>
          </w:tcPr>
          <w:p>
            <w:r/>
            <w:r>
              <w:rPr>
                <w:b w:val="0"/>
                <w:i w:val="0"/>
                <w:sz w:val="17"/>
              </w:rPr>
              <w:t>$145,520</w:t>
            </w:r>
          </w:p>
        </w:tc>
        <w:tc>
          <w:tcPr>
            <w:tcW w:type="dxa" w:w="2880"/>
          </w:tcPr>
          <w:p>
            <w:r/>
            <w:r>
              <w:rPr>
                <w:b w:val="0"/>
                <w:i w:val="0"/>
                <w:sz w:val="17"/>
              </w:rPr>
              <w:t>$1,572,500 – $1,426,980</w:t>
            </w:r>
          </w:p>
        </w:tc>
      </w:tr>
      <w:tr>
        <w:tc>
          <w:tcPr>
            <w:tcW w:type="dxa" w:w="4896"/>
          </w:tcPr>
          <w:p>
            <w:r/>
            <w:r>
              <w:rPr>
                <w:b w:val="0"/>
                <w:i w:val="0"/>
                <w:sz w:val="17"/>
              </w:rPr>
              <w:t>Capacity for IP and contingency before Fee Cap</w:t>
            </w:r>
          </w:p>
        </w:tc>
        <w:tc>
          <w:tcPr>
            <w:tcW w:type="dxa" w:w="1584"/>
          </w:tcPr>
          <w:p>
            <w:r/>
            <w:r>
              <w:rPr>
                <w:b w:val="0"/>
                <w:i w:val="0"/>
                <w:sz w:val="17"/>
              </w:rPr>
              <w:t>$423,020</w:t>
            </w:r>
          </w:p>
        </w:tc>
        <w:tc>
          <w:tcPr>
            <w:tcW w:type="dxa" w:w="2880"/>
          </w:tcPr>
          <w:p>
            <w:r/>
            <w:r>
              <w:rPr>
                <w:b w:val="0"/>
                <w:i w:val="0"/>
                <w:sz w:val="17"/>
              </w:rPr>
              <w:t>$1,850,000 – $1,426,980</w:t>
            </w:r>
          </w:p>
        </w:tc>
      </w:tr>
    </w:tbl>
    <w:p>
      <w:pPr>
        <w:spacing w:after="40"/>
      </w:pPr>
    </w:p>
    <w:p>
      <w:pPr>
        <w:spacing w:after="120"/>
      </w:pPr>
      <w:r>
        <w:rPr>
          <w:b/>
          <w:i w:val="0"/>
        </w:rPr>
        <w:t>Observations.</w:t>
      </w:r>
      <w:r>
        <w:rPr>
          <w:b w:val="0"/>
          <w:i w:val="0"/>
        </w:rPr>
        <w:t xml:space="preserve"> (i) The MP’s claimed $500,000 margin is in fact about $423,000 before any IP work, and it will shrink further once the IP workstream (including FTO analysis) is priced; a meaningful IP budget could put the engagement close to or above the 85% notice threshold from the outset, which is a client communication point now rather than in August. (ii) The scope expansions noted in D-12 to D-14 and D-19 (tax diligence, employment compliance audit, entity restructuring, obtaining landlord consents) and the expanded partner role in D-18 add unbudgeted pressure. (iii) The MP’s “Matter Management / General Coordination” line (~200 hours / ~$140,000) is not an EL workstream but is a legitimate component of all eight; it should be allocated or explained in budget-to-actual reports. (iv) Disbursements ($95,000 EL vs. $120,000 MP) sit outside the Fee Cap but should be re-estimated to include patent, lien/UCC and title searches and the correct HSR fee.</w:t>
      </w:r>
    </w:p>
    <w:p>
      <w:pPr>
        <w:pStyle w:val="Heading1"/>
      </w:pPr>
      <w:r>
        <w:t>VI. Related Substantive Observations Arising from the Comparison</w:t>
      </w:r>
    </w:p>
    <w:p>
      <w:pPr>
        <w:spacing w:after="120"/>
      </w:pPr>
      <w:r>
        <w:rPr>
          <w:b w:val="0"/>
          <w:i w:val="0"/>
        </w:rPr>
        <w:t>The following points are not discrepancies between the two documents but surfaced during the review and bear directly on the items above. Each should be confirmed by the responsible specialist.</w:t>
      </w:r>
    </w:p>
    <w:p>
      <w:pPr>
        <w:pStyle w:val="ListNumber"/>
        <w:spacing w:after="60"/>
      </w:pPr>
      <w:r>
        <w:rPr>
          <w:b/>
          <w:i w:val="0"/>
        </w:rPr>
        <w:t>HSR applicability and filing fee.</w:t>
      </w:r>
      <w:r>
        <w:rPr>
          <w:b w:val="0"/>
          <w:i w:val="0"/>
        </w:rPr>
        <w:t xml:space="preserve"> Both documents assume an HSR filing “if required.” For 2025 (thresholds effective February 21, 2025), the size-of-transaction threshold is $126.4 million, and for transactions below $179.4 million the filing fee is $30,000. In an acquisition of voting securities the reportable value is generally the acquisition price of the voting securities (with the PNO’s interpretations governing treatment of target debt paid off at closing and other consideration), not enterprise value. On the EL figures the equity value (~$118.6M) is below $126.4M while the EV ($142M) — and the MP’s erroneous $148M — are above it. The threshold analysis therefore turns on the accurate valuation inputs (D-6) and must be run carefully, including size-of-person tests and treatment of escrows, any earn-out and transaction expenses. If filing is required, note that the expanded HSR form in effect since February 10, 2025 materially increases preparation time, and that filing before signing (Aug. 1 vs. Aug. 29 signing) requires an executed LOI or agreement in principle with sufficient detail or a sufficiently developed draft agreement; preparation should begin well before August 1.</w:t>
      </w:r>
    </w:p>
    <w:p>
      <w:pPr>
        <w:pStyle w:val="ListNumber"/>
        <w:spacing w:after="60"/>
      </w:pPr>
      <w:r>
        <w:rPr>
          <w:b/>
          <w:i w:val="0"/>
        </w:rPr>
        <w:t>Minnesota non-compete restrictions.</w:t>
      </w:r>
      <w:r>
        <w:rPr>
          <w:b w:val="0"/>
          <w:i w:val="0"/>
        </w:rPr>
        <w:t xml:space="preserve"> The MP contemplates non-competition agreements for “Dr. Roland Hargrove and other key personnel” (WS 2; R-005). Minnesota Statutes § 181.988 (effective July 1, 2023) voids employee non-compete covenants, subject to an exception for covenants given in connection with the sale of a business by a selling owner. Non-competes should therefore be structured as sale-of-business covenants from selling stockholders (including Dr. Hargrove), with non-solicitation and confidentiality protections relied on for non-selling key employees. This should be reflected in the WS 2 and WS 5 scope and in the R-005 mitigation.</w:t>
      </w:r>
    </w:p>
    <w:p>
      <w:pPr>
        <w:pStyle w:val="ListNumber"/>
        <w:spacing w:after="60"/>
      </w:pPr>
      <w:r>
        <w:rPr>
          <w:b/>
          <w:i w:val="0"/>
        </w:rPr>
        <w:t>FDA QMSR transition.</w:t>
      </w:r>
      <w:r>
        <w:rPr>
          <w:b w:val="0"/>
          <w:i w:val="0"/>
        </w:rPr>
        <w:t xml:space="preserve"> MP WS 3 frames the quality-system review under the Quality System Regulation, 21 C.F.R. Part 820. FDA’s amended Part 820 (the Quality Management System Regulation, incorporating ISO 13485:2016) takes effect February 2, 2026 — shortly after the contracted post-closing period. Regulatory diligence should assess Hargrove’s QMSR readiness, and the post-closing regulatory filings item in EL §3.8 should be coordinated with that transition.</w:t>
      </w:r>
    </w:p>
    <w:p>
      <w:pPr>
        <w:pStyle w:val="ListNumber"/>
        <w:spacing w:after="60"/>
      </w:pPr>
      <w:r>
        <w:rPr>
          <w:b/>
          <w:i w:val="0"/>
        </w:rPr>
        <w:t>Sharing the Matter Plan with the client.</w:t>
      </w:r>
      <w:r>
        <w:rPr>
          <w:b w:val="0"/>
          <w:i w:val="0"/>
        </w:rPr>
        <w:t xml:space="preserve"> The MP legend permits distribution to Ms. Takahashi on request. In its current form the MP contains client-facing errors on fee cap, discount, retainer, interest rate, post-closing period, enterprise value and staffing. It should not be shared until corrected; if a version has already been sent, a corrected version with a short cover note should follow promptly.</w:t>
      </w:r>
    </w:p>
    <w:p>
      <w:pPr>
        <w:pStyle w:val="Heading1"/>
      </w:pPr>
      <w:r>
        <w:t>VII. Recommended Actions</w:t>
      </w:r>
    </w:p>
    <w:p>
      <w:pPr>
        <w:pStyle w:val="Heading2"/>
      </w:pPr>
      <w:r>
        <w:t>A. Immediate (before the May 2025 invoice and before further client distribution)</w:t>
      </w:r>
    </w:p>
    <w:p>
      <w:pPr>
        <w:pStyle w:val="ListNumber"/>
        <w:spacing w:after="60"/>
      </w:pPr>
      <w:r>
        <w:rPr>
          <w:b w:val="0"/>
          <w:i w:val="0"/>
        </w:rPr>
        <w:t>Withdraw the May 12 Matter Plan and reissue a corrected version (v2) conforming D-1 through D-8, D-10, D-17 and D-20 to the EL; add a version-control line and an express cross-reference table to EL sections.</w:t>
      </w:r>
    </w:p>
    <w:p>
      <w:pPr>
        <w:pStyle w:val="ListNumber"/>
        <w:spacing w:after="60"/>
      </w:pPr>
      <w:r>
        <w:rPr>
          <w:b w:val="0"/>
          <w:i w:val="0"/>
        </w:rPr>
        <w:t>Instruct billing/accounting: 12% EL rate card; matter fee cap $1,850,000; internal alert at $1,572,500 (and a soft alert at 75%); no retainer credits on interim invoices; 1.0% late interest on undisputed amounts only.</w:t>
      </w:r>
    </w:p>
    <w:p>
      <w:pPr>
        <w:pStyle w:val="ListNumber"/>
        <w:spacing w:after="60"/>
      </w:pPr>
      <w:r>
        <w:rPr>
          <w:b w:val="0"/>
          <w:i w:val="0"/>
        </w:rPr>
        <w:t>Reinstate the IP and Patent Portfolio Review workstream; staff it, add IP requests to the May 23 diligence request list, and budget it (including patent-search disbursements).</w:t>
      </w:r>
    </w:p>
    <w:p>
      <w:pPr>
        <w:pStyle w:val="ListNumber"/>
        <w:spacing w:after="60"/>
      </w:pPr>
      <w:r>
        <w:rPr>
          <w:b w:val="0"/>
          <w:i w:val="0"/>
        </w:rPr>
        <w:t>Resolve the Dasgupta/Ortega staffing question and, if Mr. Ortega is staying, send advance written notice to Ms. Takahashi before he records time.</w:t>
      </w:r>
    </w:p>
    <w:p>
      <w:pPr>
        <w:pStyle w:val="ListNumber"/>
        <w:spacing w:after="60"/>
      </w:pPr>
      <w:r>
        <w:rPr>
          <w:b w:val="0"/>
          <w:i w:val="0"/>
        </w:rPr>
        <w:t>Correct the enterprise value to $142,000,000 and re-confirm the net-debt bridge with the client.</w:t>
      </w:r>
    </w:p>
    <w:p>
      <w:pPr>
        <w:pStyle w:val="Heading2"/>
      </w:pPr>
      <w:r>
        <w:t>B. Client communications (Ms. Takahashi), each to be confirmed in writing</w:t>
      </w:r>
    </w:p>
    <w:p>
      <w:pPr>
        <w:pStyle w:val="ListNumber"/>
        <w:spacing w:after="60"/>
      </w:pPr>
      <w:r>
        <w:rPr>
          <w:b w:val="0"/>
          <w:i w:val="0"/>
        </w:rPr>
        <w:t>Confirm the June 23 SPA first-draft target (vs. EL July 7).</w:t>
      </w:r>
    </w:p>
    <w:p>
      <w:pPr>
        <w:pStyle w:val="ListNumber"/>
        <w:spacing w:after="60"/>
      </w:pPr>
      <w:r>
        <w:rPr>
          <w:b w:val="0"/>
          <w:i w:val="0"/>
        </w:rPr>
        <w:t>Confirm allocation of tax diligence (CBS vs. Whitfield’s accountants), the employment compliance-audit items, the landlord-consent assistance and any post-closing entity restructuring — and, to the extent these exceed EL §3, agree them in writing with fee treatment (EL §3).</w:t>
      </w:r>
    </w:p>
    <w:p>
      <w:pPr>
        <w:pStyle w:val="ListNumber"/>
        <w:spacing w:after="60"/>
      </w:pPr>
      <w:r>
        <w:rPr>
          <w:b w:val="0"/>
          <w:i w:val="0"/>
        </w:rPr>
        <w:t>Confirm the financing role limitation and Archer &amp; Lind’s responsibilities; confirm whether Ridgeline has issued a commitment and whether Ridgeline is also Hargrove’s existing lender.</w:t>
      </w:r>
    </w:p>
    <w:p>
      <w:pPr>
        <w:pStyle w:val="ListNumber"/>
        <w:spacing w:after="60"/>
      </w:pPr>
      <w:r>
        <w:rPr>
          <w:b w:val="0"/>
          <w:i w:val="0"/>
        </w:rPr>
        <w:t>Update the disbursement estimate if $120,000 (or another figure) is the better estimate, and pre-clear Chicago negotiation travel.</w:t>
      </w:r>
    </w:p>
    <w:p>
      <w:pPr>
        <w:pStyle w:val="ListNumber"/>
        <w:spacing w:after="60"/>
      </w:pPr>
      <w:r>
        <w:rPr>
          <w:b w:val="0"/>
          <w:i w:val="0"/>
        </w:rPr>
        <w:t>If the team wants a 90-day post-closing period or any other departure from the EL, propose a written amendment signed by both parties (EL §15).</w:t>
      </w:r>
    </w:p>
    <w:p>
      <w:pPr>
        <w:pStyle w:val="Heading2"/>
      </w:pPr>
      <w:r>
        <w:t>C. Conflicts and file housekeeping</w:t>
      </w:r>
    </w:p>
    <w:p>
      <w:pPr>
        <w:pStyle w:val="ListNumber"/>
        <w:spacing w:after="60"/>
      </w:pPr>
      <w:r>
        <w:rPr>
          <w:b w:val="0"/>
          <w:i w:val="0"/>
        </w:rPr>
        <w:t>Document the April 28, 2025 Greenleaf waiver in the engagement file and confirm by side letter that it survives the EL integration clause; reconcile EL §10.</w:t>
      </w:r>
    </w:p>
    <w:p>
      <w:pPr>
        <w:pStyle w:val="ListNumber"/>
        <w:spacing w:after="60"/>
      </w:pPr>
      <w:r>
        <w:rPr>
          <w:b w:val="0"/>
          <w:i w:val="0"/>
        </w:rPr>
        <w:t>Run supplemental conflicts searches on Hargrove’s officers, directors and principal stockholders, WCP Hargrove Acquisition Corp., Whitfield Fund III, Hargrove’s counsel, Pennington &amp; Holt CPAs, Veridian Insurance Brokers and the two landlords; confirm whether CBS currently represents Ridgeline in any matter.</w:t>
      </w:r>
    </w:p>
    <w:p>
      <w:pPr>
        <w:pStyle w:val="ListNumber"/>
        <w:spacing w:after="60"/>
      </w:pPr>
      <w:r>
        <w:rPr>
          <w:b w:val="0"/>
          <w:i w:val="0"/>
        </w:rPr>
        <w:t>Correct office locations, Appendix B contact details (add EL phone numbers and emails for Ms. Okafor and Mr. Briggs), the legal name of the Target, the Eagan facility description, the HSR waiting-period date (Sept. 2, 2025) and the R-007 label.</w:t>
      </w:r>
    </w:p>
    <w:p>
      <w:pPr>
        <w:pStyle w:val="ListNumber"/>
        <w:spacing w:after="60"/>
      </w:pPr>
      <w:r>
        <w:rPr>
          <w:b w:val="0"/>
          <w:i w:val="0"/>
        </w:rPr>
        <w:t>Restore EL items omitted from MP workstream descriptions: environmental compliance, government contracts and JV/strategic alliance agreements (WS 1); ERISA, COBRA, WARN, offer letters and equity award agreements (WS 5); employment/consulting agreements (WS 2); and the EL billing mechanics (15-business-day issuance; 30-day dispute window; undisputed amounts payable).</w:t>
      </w:r>
    </w:p>
    <w:p>
      <w:pPr>
        <w:pStyle w:val="Heading1"/>
      </w:pPr>
      <w:r>
        <w:t>Appendix 1 — Items Confirmed Consistent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F3A5F"/>
          </w:tcPr>
          <w:p>
            <w:r/>
            <w:r>
              <w:rPr>
                <w:b/>
                <w:color w:val="FFFFFF"/>
                <w:sz w:val="16"/>
              </w:rPr>
              <w:t>Term</w:t>
            </w:r>
          </w:p>
        </w:tc>
        <w:tc>
          <w:tcPr>
            <w:tcW w:type="dxa" w:w="3168"/>
            <w:shd w:val="clear" w:color="auto" w:fill="1F3A5F"/>
          </w:tcPr>
          <w:p>
            <w:r/>
            <w:r>
              <w:rPr>
                <w:b/>
                <w:color w:val="FFFFFF"/>
                <w:sz w:val="16"/>
              </w:rPr>
              <w:t>Engagement Letter</w:t>
            </w:r>
          </w:p>
        </w:tc>
        <w:tc>
          <w:tcPr>
            <w:tcW w:type="dxa" w:w="2736"/>
            <w:shd w:val="clear" w:color="auto" w:fill="1F3A5F"/>
          </w:tcPr>
          <w:p>
            <w:r/>
            <w:r>
              <w:rPr>
                <w:b/>
                <w:color w:val="FFFFFF"/>
                <w:sz w:val="16"/>
              </w:rPr>
              <w:t>Matter Plan</w:t>
            </w:r>
          </w:p>
        </w:tc>
        <w:tc>
          <w:tcPr>
            <w:tcW w:type="dxa" w:w="1584"/>
            <w:shd w:val="clear" w:color="auto" w:fill="1F3A5F"/>
          </w:tcPr>
          <w:p>
            <w:r/>
            <w:r>
              <w:rPr>
                <w:b/>
                <w:color w:val="FFFFFF"/>
                <w:sz w:val="16"/>
              </w:rPr>
              <w:t>Status</w:t>
            </w:r>
          </w:p>
        </w:tc>
      </w:tr>
      <w:tr>
        <w:tc>
          <w:tcPr>
            <w:tcW w:type="dxa" w:w="1872"/>
          </w:tcPr>
          <w:p>
            <w:r/>
            <w:r>
              <w:rPr>
                <w:b w:val="0"/>
                <w:i w:val="0"/>
                <w:sz w:val="16"/>
              </w:rPr>
              <w:t>Parties / structure</w:t>
            </w:r>
          </w:p>
        </w:tc>
        <w:tc>
          <w:tcPr>
            <w:tcW w:type="dxa" w:w="3168"/>
          </w:tcPr>
          <w:p>
            <w:r/>
            <w:r>
              <w:rPr>
                <w:b w:val="0"/>
                <w:i w:val="0"/>
                <w:sz w:val="16"/>
              </w:rPr>
              <w:t>Whitfield (Delaware LLC) via WCP Hargrove Acquisition Corp. (Delaware); 100% stock purchase of Hargrove (Minnesota corp.)</w:t>
            </w:r>
          </w:p>
        </w:tc>
        <w:tc>
          <w:tcPr>
            <w:tcW w:type="dxa" w:w="2736"/>
          </w:tcPr>
          <w:p>
            <w:r/>
            <w:r>
              <w:rPr>
                <w:b w:val="0"/>
                <w:i w:val="0"/>
                <w:sz w:val="16"/>
              </w:rPr>
              <w:t>Same</w:t>
            </w:r>
          </w:p>
        </w:tc>
        <w:tc>
          <w:tcPr>
            <w:tcW w:type="dxa" w:w="1584"/>
          </w:tcPr>
          <w:p>
            <w:r/>
            <w:r>
              <w:rPr>
                <w:b w:val="0"/>
                <w:i w:val="0"/>
                <w:sz w:val="16"/>
              </w:rPr>
              <w:t>Consistent</w:t>
            </w:r>
          </w:p>
        </w:tc>
      </w:tr>
      <w:tr>
        <w:tc>
          <w:tcPr>
            <w:tcW w:type="dxa" w:w="1872"/>
          </w:tcPr>
          <w:p>
            <w:r/>
            <w:r>
              <w:rPr>
                <w:b w:val="0"/>
                <w:i w:val="0"/>
                <w:sz w:val="16"/>
              </w:rPr>
              <w:t>Net debt / equity value</w:t>
            </w:r>
          </w:p>
        </w:tc>
        <w:tc>
          <w:tcPr>
            <w:tcW w:type="dxa" w:w="3168"/>
          </w:tcPr>
          <w:p>
            <w:r/>
            <w:r>
              <w:rPr>
                <w:b w:val="0"/>
                <w:i w:val="0"/>
                <w:sz w:val="16"/>
              </w:rPr>
              <w:t>$28.9M term loan – $5.5M cash = $23.4M; equity ≈ $118.6M</w:t>
            </w:r>
          </w:p>
        </w:tc>
        <w:tc>
          <w:tcPr>
            <w:tcW w:type="dxa" w:w="2736"/>
          </w:tcPr>
          <w:p>
            <w:r/>
            <w:r>
              <w:rPr>
                <w:b w:val="0"/>
                <w:i w:val="0"/>
                <w:sz w:val="16"/>
              </w:rPr>
              <w:t>Same components and equity value (EV inconsistent — D-6)</w:t>
            </w:r>
          </w:p>
        </w:tc>
        <w:tc>
          <w:tcPr>
            <w:tcW w:type="dxa" w:w="1584"/>
          </w:tcPr>
          <w:p>
            <w:r/>
            <w:r>
              <w:rPr>
                <w:b w:val="0"/>
                <w:i w:val="0"/>
                <w:sz w:val="16"/>
              </w:rPr>
              <w:t>Consistent (components)</w:t>
            </w:r>
          </w:p>
        </w:tc>
      </w:tr>
      <w:tr>
        <w:tc>
          <w:tcPr>
            <w:tcW w:type="dxa" w:w="1872"/>
          </w:tcPr>
          <w:p>
            <w:r/>
            <w:r>
              <w:rPr>
                <w:b w:val="0"/>
                <w:i w:val="0"/>
                <w:sz w:val="16"/>
              </w:rPr>
              <w:t>Target profile</w:t>
            </w:r>
          </w:p>
        </w:tc>
        <w:tc>
          <w:tcPr>
            <w:tcW w:type="dxa" w:w="3168"/>
          </w:tcPr>
          <w:p>
            <w:r/>
            <w:r>
              <w:rPr>
                <w:b w:val="0"/>
                <w:i w:val="0"/>
                <w:sz w:val="16"/>
              </w:rPr>
              <w:t>Founded 2009 by Dr. Roland Hargrove; ~312 employees; FY2024 revenue ≈ $87M</w:t>
            </w:r>
          </w:p>
        </w:tc>
        <w:tc>
          <w:tcPr>
            <w:tcW w:type="dxa" w:w="2736"/>
          </w:tcPr>
          <w:p>
            <w:r/>
            <w:r>
              <w:rPr>
                <w:b w:val="0"/>
                <w:i w:val="0"/>
                <w:sz w:val="16"/>
              </w:rPr>
              <w:t>Same; revenue $87.2M</w:t>
            </w:r>
          </w:p>
        </w:tc>
        <w:tc>
          <w:tcPr>
            <w:tcW w:type="dxa" w:w="1584"/>
          </w:tcPr>
          <w:p>
            <w:r/>
            <w:r>
              <w:rPr>
                <w:b w:val="0"/>
                <w:i w:val="0"/>
                <w:sz w:val="16"/>
              </w:rPr>
              <w:t>Consistent</w:t>
            </w:r>
          </w:p>
        </w:tc>
      </w:tr>
      <w:tr>
        <w:tc>
          <w:tcPr>
            <w:tcW w:type="dxa" w:w="1872"/>
          </w:tcPr>
          <w:p>
            <w:r/>
            <w:r>
              <w:rPr>
                <w:b w:val="0"/>
                <w:i w:val="0"/>
                <w:sz w:val="16"/>
              </w:rPr>
              <w:t>Facilities</w:t>
            </w:r>
          </w:p>
        </w:tc>
        <w:tc>
          <w:tcPr>
            <w:tcW w:type="dxa" w:w="3168"/>
          </w:tcPr>
          <w:p>
            <w:r/>
            <w:r>
              <w:rPr>
                <w:b w:val="0"/>
                <w:i w:val="0"/>
                <w:sz w:val="16"/>
              </w:rPr>
              <w:t>7100 Bloomington Ave. S., Minneapolis 55423; 2250 Industrial Pkwy., Eagan 55121</w:t>
            </w:r>
          </w:p>
        </w:tc>
        <w:tc>
          <w:tcPr>
            <w:tcW w:type="dxa" w:w="2736"/>
          </w:tcPr>
          <w:p>
            <w:r/>
            <w:r>
              <w:rPr>
                <w:b w:val="0"/>
                <w:i w:val="0"/>
                <w:sz w:val="16"/>
              </w:rPr>
              <w:t>Same addresses</w:t>
            </w:r>
          </w:p>
        </w:tc>
        <w:tc>
          <w:tcPr>
            <w:tcW w:type="dxa" w:w="1584"/>
          </w:tcPr>
          <w:p>
            <w:r/>
            <w:r>
              <w:rPr>
                <w:b w:val="0"/>
                <w:i w:val="0"/>
                <w:sz w:val="16"/>
              </w:rPr>
              <w:t>Consistent (descriptor — D-22)</w:t>
            </w:r>
          </w:p>
        </w:tc>
      </w:tr>
      <w:tr>
        <w:tc>
          <w:tcPr>
            <w:tcW w:type="dxa" w:w="1872"/>
          </w:tcPr>
          <w:p>
            <w:r/>
            <w:r>
              <w:rPr>
                <w:b w:val="0"/>
                <w:i w:val="0"/>
                <w:sz w:val="16"/>
              </w:rPr>
              <w:t>Fund</w:t>
            </w:r>
          </w:p>
        </w:tc>
        <w:tc>
          <w:tcPr>
            <w:tcW w:type="dxa" w:w="3168"/>
          </w:tcPr>
          <w:p>
            <w:r/>
            <w:r>
              <w:rPr>
                <w:b w:val="0"/>
                <w:i w:val="0"/>
                <w:sz w:val="16"/>
              </w:rPr>
              <w:t>Whitfield Fund III, $680M committed</w:t>
            </w:r>
          </w:p>
        </w:tc>
        <w:tc>
          <w:tcPr>
            <w:tcW w:type="dxa" w:w="2736"/>
          </w:tcPr>
          <w:p>
            <w:r/>
            <w:r>
              <w:rPr>
                <w:b w:val="0"/>
                <w:i w:val="0"/>
                <w:sz w:val="16"/>
              </w:rPr>
              <w:t>Same</w:t>
            </w:r>
          </w:p>
        </w:tc>
        <w:tc>
          <w:tcPr>
            <w:tcW w:type="dxa" w:w="1584"/>
          </w:tcPr>
          <w:p>
            <w:r/>
            <w:r>
              <w:rPr>
                <w:b w:val="0"/>
                <w:i w:val="0"/>
                <w:sz w:val="16"/>
              </w:rPr>
              <w:t>Consistent</w:t>
            </w:r>
          </w:p>
        </w:tc>
      </w:tr>
      <w:tr>
        <w:tc>
          <w:tcPr>
            <w:tcW w:type="dxa" w:w="1872"/>
          </w:tcPr>
          <w:p>
            <w:r/>
            <w:r>
              <w:rPr>
                <w:b w:val="0"/>
                <w:i w:val="0"/>
                <w:sz w:val="16"/>
              </w:rPr>
              <w:t>Key dates</w:t>
            </w:r>
          </w:p>
        </w:tc>
        <w:tc>
          <w:tcPr>
            <w:tcW w:type="dxa" w:w="3168"/>
          </w:tcPr>
          <w:p>
            <w:r/>
            <w:r>
              <w:rPr>
                <w:b w:val="0"/>
                <w:i w:val="0"/>
                <w:sz w:val="16"/>
              </w:rPr>
              <w:t>LOI 4/22; EL 5/5; DD kickoff 5/19; DD complete 7/18; exclusivity 7/31; HSR 8/1; signing 8/29; closing 9/15 (2025)</w:t>
            </w:r>
          </w:p>
        </w:tc>
        <w:tc>
          <w:tcPr>
            <w:tcW w:type="dxa" w:w="2736"/>
          </w:tcPr>
          <w:p>
            <w:r/>
            <w:r>
              <w:rPr>
                <w:b w:val="0"/>
                <w:i w:val="0"/>
                <w:sz w:val="16"/>
              </w:rPr>
              <w:t>Same</w:t>
            </w:r>
          </w:p>
        </w:tc>
        <w:tc>
          <w:tcPr>
            <w:tcW w:type="dxa" w:w="1584"/>
          </w:tcPr>
          <w:p>
            <w:r/>
            <w:r>
              <w:rPr>
                <w:b w:val="0"/>
                <w:i w:val="0"/>
                <w:sz w:val="16"/>
              </w:rPr>
              <w:t>Consistent</w:t>
            </w:r>
          </w:p>
        </w:tc>
      </w:tr>
      <w:tr>
        <w:tc>
          <w:tcPr>
            <w:tcW w:type="dxa" w:w="1872"/>
          </w:tcPr>
          <w:p>
            <w:r/>
            <w:r>
              <w:rPr>
                <w:b w:val="0"/>
                <w:i w:val="0"/>
                <w:sz w:val="16"/>
              </w:rPr>
              <w:t>Standard rates</w:t>
            </w:r>
          </w:p>
        </w:tc>
        <w:tc>
          <w:tcPr>
            <w:tcW w:type="dxa" w:w="3168"/>
          </w:tcPr>
          <w:p>
            <w:r/>
            <w:r>
              <w:rPr>
                <w:b w:val="0"/>
                <w:i w:val="0"/>
                <w:sz w:val="16"/>
              </w:rPr>
              <w:t>$1,150 / $950 / $825 / $625 / $475 / $475 / $275</w:t>
            </w:r>
          </w:p>
        </w:tc>
        <w:tc>
          <w:tcPr>
            <w:tcW w:type="dxa" w:w="2736"/>
          </w:tcPr>
          <w:p>
            <w:r/>
            <w:r>
              <w:rPr>
                <w:b w:val="0"/>
                <w:i w:val="0"/>
                <w:sz w:val="16"/>
              </w:rPr>
              <w:t>Same</w:t>
            </w:r>
          </w:p>
        </w:tc>
        <w:tc>
          <w:tcPr>
            <w:tcW w:type="dxa" w:w="1584"/>
          </w:tcPr>
          <w:p>
            <w:r/>
            <w:r>
              <w:rPr>
                <w:b w:val="0"/>
                <w:i w:val="0"/>
                <w:sz w:val="16"/>
              </w:rPr>
              <w:t>Consistent</w:t>
            </w:r>
          </w:p>
        </w:tc>
      </w:tr>
      <w:tr>
        <w:tc>
          <w:tcPr>
            <w:tcW w:type="dxa" w:w="1872"/>
          </w:tcPr>
          <w:p>
            <w:r/>
            <w:r>
              <w:rPr>
                <w:b w:val="0"/>
                <w:i w:val="0"/>
                <w:sz w:val="16"/>
              </w:rPr>
              <w:t>Additional timekeepers</w:t>
            </w:r>
          </w:p>
        </w:tc>
        <w:tc>
          <w:tcPr>
            <w:tcW w:type="dxa" w:w="3168"/>
          </w:tcPr>
          <w:p>
            <w:r/>
            <w:r>
              <w:rPr>
                <w:b w:val="0"/>
                <w:i w:val="0"/>
                <w:sz w:val="16"/>
              </w:rPr>
              <w:t>Same discount applies</w:t>
            </w:r>
          </w:p>
        </w:tc>
        <w:tc>
          <w:tcPr>
            <w:tcW w:type="dxa" w:w="2736"/>
          </w:tcPr>
          <w:p>
            <w:r/>
            <w:r>
              <w:rPr>
                <w:b w:val="0"/>
                <w:i w:val="0"/>
                <w:sz w:val="16"/>
              </w:rPr>
              <w:t>Same discount applies (but 15% — D-2)</w:t>
            </w:r>
          </w:p>
        </w:tc>
        <w:tc>
          <w:tcPr>
            <w:tcW w:type="dxa" w:w="1584"/>
          </w:tcPr>
          <w:p>
            <w:r/>
            <w:r>
              <w:rPr>
                <w:b w:val="0"/>
                <w:i w:val="0"/>
                <w:sz w:val="16"/>
              </w:rPr>
              <w:t>Consistent in principle</w:t>
            </w:r>
          </w:p>
        </w:tc>
      </w:tr>
      <w:tr>
        <w:tc>
          <w:tcPr>
            <w:tcW w:type="dxa" w:w="1872"/>
          </w:tcPr>
          <w:p>
            <w:r/>
            <w:r>
              <w:rPr>
                <w:b w:val="0"/>
                <w:i w:val="0"/>
                <w:sz w:val="16"/>
              </w:rPr>
              <w:t>Fee cap exclusions</w:t>
            </w:r>
          </w:p>
        </w:tc>
        <w:tc>
          <w:tcPr>
            <w:tcW w:type="dxa" w:w="3168"/>
          </w:tcPr>
          <w:p>
            <w:r/>
            <w:r>
              <w:rPr>
                <w:b w:val="0"/>
                <w:i w:val="0"/>
                <w:sz w:val="16"/>
              </w:rPr>
              <w:t>Professional fees only; disbursements excluded; excess requires prior written approval</w:t>
            </w:r>
          </w:p>
        </w:tc>
        <w:tc>
          <w:tcPr>
            <w:tcW w:type="dxa" w:w="2736"/>
          </w:tcPr>
          <w:p>
            <w:r/>
            <w:r>
              <w:rPr>
                <w:b w:val="0"/>
                <w:i w:val="0"/>
                <w:sz w:val="16"/>
              </w:rPr>
              <w:t>Same</w:t>
            </w:r>
          </w:p>
        </w:tc>
        <w:tc>
          <w:tcPr>
            <w:tcW w:type="dxa" w:w="1584"/>
          </w:tcPr>
          <w:p>
            <w:r/>
            <w:r>
              <w:rPr>
                <w:b w:val="0"/>
                <w:i w:val="0"/>
                <w:sz w:val="16"/>
              </w:rPr>
              <w:t>Consistent</w:t>
            </w:r>
          </w:p>
        </w:tc>
      </w:tr>
      <w:tr>
        <w:tc>
          <w:tcPr>
            <w:tcW w:type="dxa" w:w="1872"/>
          </w:tcPr>
          <w:p>
            <w:r/>
            <w:r>
              <w:rPr>
                <w:b w:val="0"/>
                <w:i w:val="0"/>
                <w:sz w:val="16"/>
              </w:rPr>
              <w:t>Disbursements</w:t>
            </w:r>
          </w:p>
        </w:tc>
        <w:tc>
          <w:tcPr>
            <w:tcW w:type="dxa" w:w="3168"/>
          </w:tcPr>
          <w:p>
            <w:r/>
            <w:r>
              <w:rPr>
                <w:b w:val="0"/>
                <w:i w:val="0"/>
                <w:sz w:val="16"/>
              </w:rPr>
              <w:t>At cost, no markup; prior approval &gt; $5,000</w:t>
            </w:r>
          </w:p>
        </w:tc>
        <w:tc>
          <w:tcPr>
            <w:tcW w:type="dxa" w:w="2736"/>
          </w:tcPr>
          <w:p>
            <w:r/>
            <w:r>
              <w:rPr>
                <w:b w:val="0"/>
                <w:i w:val="0"/>
                <w:sz w:val="16"/>
              </w:rPr>
              <w:t>Same</w:t>
            </w:r>
          </w:p>
        </w:tc>
        <w:tc>
          <w:tcPr>
            <w:tcW w:type="dxa" w:w="1584"/>
          </w:tcPr>
          <w:p>
            <w:r/>
            <w:r>
              <w:rPr>
                <w:b w:val="0"/>
                <w:i w:val="0"/>
                <w:sz w:val="16"/>
              </w:rPr>
              <w:t>Consistent</w:t>
            </w:r>
          </w:p>
        </w:tc>
      </w:tr>
      <w:tr>
        <w:tc>
          <w:tcPr>
            <w:tcW w:type="dxa" w:w="1872"/>
          </w:tcPr>
          <w:p>
            <w:r/>
            <w:r>
              <w:rPr>
                <w:b w:val="0"/>
                <w:i w:val="0"/>
                <w:sz w:val="16"/>
              </w:rPr>
              <w:t>Retainer amount</w:t>
            </w:r>
          </w:p>
        </w:tc>
        <w:tc>
          <w:tcPr>
            <w:tcW w:type="dxa" w:w="3168"/>
          </w:tcPr>
          <w:p>
            <w:r/>
            <w:r>
              <w:rPr>
                <w:b w:val="0"/>
                <w:i w:val="0"/>
                <w:sz w:val="16"/>
              </w:rPr>
              <w:t>$150,000</w:t>
            </w:r>
          </w:p>
        </w:tc>
        <w:tc>
          <w:tcPr>
            <w:tcW w:type="dxa" w:w="2736"/>
          </w:tcPr>
          <w:p>
            <w:r/>
            <w:r>
              <w:rPr>
                <w:b w:val="0"/>
                <w:i w:val="0"/>
                <w:sz w:val="16"/>
              </w:rPr>
              <w:t>$150,000</w:t>
            </w:r>
          </w:p>
        </w:tc>
        <w:tc>
          <w:tcPr>
            <w:tcW w:type="dxa" w:w="1584"/>
          </w:tcPr>
          <w:p>
            <w:r/>
            <w:r>
              <w:rPr>
                <w:b w:val="0"/>
                <w:i w:val="0"/>
                <w:sz w:val="16"/>
              </w:rPr>
              <w:t>Consistent (application — D-4)</w:t>
            </w:r>
          </w:p>
        </w:tc>
      </w:tr>
      <w:tr>
        <w:tc>
          <w:tcPr>
            <w:tcW w:type="dxa" w:w="1872"/>
          </w:tcPr>
          <w:p>
            <w:r/>
            <w:r>
              <w:rPr>
                <w:b w:val="0"/>
                <w:i w:val="0"/>
                <w:sz w:val="16"/>
              </w:rPr>
              <w:t>Invoicing</w:t>
            </w:r>
          </w:p>
        </w:tc>
        <w:tc>
          <w:tcPr>
            <w:tcW w:type="dxa" w:w="3168"/>
          </w:tcPr>
          <w:p>
            <w:r/>
            <w:r>
              <w:rPr>
                <w:b w:val="0"/>
                <w:i w:val="0"/>
                <w:sz w:val="16"/>
              </w:rPr>
              <w:t>Monthly; net 30; electronic to dtakahashi@whitfieldcap.com</w:t>
            </w:r>
          </w:p>
        </w:tc>
        <w:tc>
          <w:tcPr>
            <w:tcW w:type="dxa" w:w="2736"/>
          </w:tcPr>
          <w:p>
            <w:r/>
            <w:r>
              <w:rPr>
                <w:b w:val="0"/>
                <w:i w:val="0"/>
                <w:sz w:val="16"/>
              </w:rPr>
              <w:t>Same</w:t>
            </w:r>
          </w:p>
        </w:tc>
        <w:tc>
          <w:tcPr>
            <w:tcW w:type="dxa" w:w="1584"/>
          </w:tcPr>
          <w:p>
            <w:r/>
            <w:r>
              <w:rPr>
                <w:b w:val="0"/>
                <w:i w:val="0"/>
                <w:sz w:val="16"/>
              </w:rPr>
              <w:t>Consistent</w:t>
            </w:r>
          </w:p>
        </w:tc>
      </w:tr>
      <w:tr>
        <w:tc>
          <w:tcPr>
            <w:tcW w:type="dxa" w:w="1872"/>
          </w:tcPr>
          <w:p>
            <w:r/>
            <w:r>
              <w:rPr>
                <w:b w:val="0"/>
                <w:i w:val="0"/>
                <w:sz w:val="16"/>
              </w:rPr>
              <w:t>Core roles</w:t>
            </w:r>
          </w:p>
        </w:tc>
        <w:tc>
          <w:tcPr>
            <w:tcW w:type="dxa" w:w="3168"/>
          </w:tcPr>
          <w:p>
            <w:r/>
            <w:r>
              <w:rPr>
                <w:b w:val="0"/>
                <w:i w:val="0"/>
                <w:sz w:val="16"/>
              </w:rPr>
              <w:t>Calloway escalation; Briggs relationship partner; Okafor deal lead; Windham diligence lead; Muñoz SPA drafter; Tran data room</w:t>
            </w:r>
          </w:p>
        </w:tc>
        <w:tc>
          <w:tcPr>
            <w:tcW w:type="dxa" w:w="2736"/>
          </w:tcPr>
          <w:p>
            <w:r/>
            <w:r>
              <w:rPr>
                <w:b w:val="0"/>
                <w:i w:val="0"/>
                <w:sz w:val="16"/>
              </w:rPr>
              <w:t>Same</w:t>
            </w:r>
          </w:p>
        </w:tc>
        <w:tc>
          <w:tcPr>
            <w:tcW w:type="dxa" w:w="1584"/>
          </w:tcPr>
          <w:p>
            <w:r/>
            <w:r>
              <w:rPr>
                <w:b w:val="0"/>
                <w:i w:val="0"/>
                <w:sz w:val="16"/>
              </w:rPr>
              <w:t>Consistent</w:t>
            </w:r>
          </w:p>
        </w:tc>
      </w:tr>
      <w:tr>
        <w:tc>
          <w:tcPr>
            <w:tcW w:type="dxa" w:w="1872"/>
          </w:tcPr>
          <w:p>
            <w:r/>
            <w:r>
              <w:rPr>
                <w:b w:val="0"/>
                <w:i w:val="0"/>
                <w:sz w:val="16"/>
              </w:rPr>
              <w:t>HSR</w:t>
            </w:r>
          </w:p>
        </w:tc>
        <w:tc>
          <w:tcPr>
            <w:tcW w:type="dxa" w:w="3168"/>
          </w:tcPr>
          <w:p>
            <w:r/>
            <w:r>
              <w:rPr>
                <w:b w:val="0"/>
                <w:i w:val="0"/>
                <w:sz w:val="16"/>
              </w:rPr>
              <w:t>Analyze filing requirement; prepare/coordinate filing if required</w:t>
            </w:r>
          </w:p>
        </w:tc>
        <w:tc>
          <w:tcPr>
            <w:tcW w:type="dxa" w:w="2736"/>
          </w:tcPr>
          <w:p>
            <w:r/>
            <w:r>
              <w:rPr>
                <w:b w:val="0"/>
                <w:i w:val="0"/>
                <w:sz w:val="16"/>
              </w:rPr>
              <w:t>Same</w:t>
            </w:r>
          </w:p>
        </w:tc>
        <w:tc>
          <w:tcPr>
            <w:tcW w:type="dxa" w:w="1584"/>
          </w:tcPr>
          <w:p>
            <w:r/>
            <w:r>
              <w:rPr>
                <w:b w:val="0"/>
                <w:i w:val="0"/>
                <w:sz w:val="16"/>
              </w:rPr>
              <w:t>Consistent</w:t>
            </w:r>
          </w:p>
        </w:tc>
      </w:tr>
      <w:tr>
        <w:tc>
          <w:tcPr>
            <w:tcW w:type="dxa" w:w="1872"/>
          </w:tcPr>
          <w:p>
            <w:r/>
            <w:r>
              <w:rPr>
                <w:b w:val="0"/>
                <w:i w:val="0"/>
                <w:sz w:val="16"/>
              </w:rPr>
              <w:t>Real estate</w:t>
            </w:r>
          </w:p>
        </w:tc>
        <w:tc>
          <w:tcPr>
            <w:tcW w:type="dxa" w:w="3168"/>
          </w:tcPr>
          <w:p>
            <w:r/>
            <w:r>
              <w:rPr>
                <w:b w:val="0"/>
                <w:i w:val="0"/>
                <w:sz w:val="16"/>
              </w:rPr>
              <w:t>Both leases; assignment/CoC, term, renewals, landlord consents</w:t>
            </w:r>
          </w:p>
        </w:tc>
        <w:tc>
          <w:tcPr>
            <w:tcW w:type="dxa" w:w="2736"/>
          </w:tcPr>
          <w:p>
            <w:r/>
            <w:r>
              <w:rPr>
                <w:b w:val="0"/>
                <w:i w:val="0"/>
                <w:sz w:val="16"/>
              </w:rPr>
              <w:t>Same plus additions (D-19)</w:t>
            </w:r>
          </w:p>
        </w:tc>
        <w:tc>
          <w:tcPr>
            <w:tcW w:type="dxa" w:w="1584"/>
          </w:tcPr>
          <w:p>
            <w:r/>
            <w:r>
              <w:rPr>
                <w:b w:val="0"/>
                <w:i w:val="0"/>
                <w:sz w:val="16"/>
              </w:rPr>
              <w:t>Consistent</w:t>
            </w:r>
          </w:p>
        </w:tc>
      </w:tr>
      <w:tr>
        <w:tc>
          <w:tcPr>
            <w:tcW w:type="dxa" w:w="1872"/>
          </w:tcPr>
          <w:p>
            <w:r/>
            <w:r>
              <w:rPr>
                <w:b w:val="0"/>
                <w:i w:val="0"/>
                <w:sz w:val="16"/>
              </w:rPr>
              <w:t>Controlling document</w:t>
            </w:r>
          </w:p>
        </w:tc>
        <w:tc>
          <w:tcPr>
            <w:tcW w:type="dxa" w:w="3168"/>
          </w:tcPr>
          <w:p>
            <w:r/>
            <w:r>
              <w:rPr>
                <w:b w:val="0"/>
                <w:i w:val="0"/>
                <w:sz w:val="16"/>
              </w:rPr>
              <w:t>EL controls; amendments only in signed writing</w:t>
            </w:r>
          </w:p>
        </w:tc>
        <w:tc>
          <w:tcPr>
            <w:tcW w:type="dxa" w:w="2736"/>
          </w:tcPr>
          <w:p>
            <w:r/>
            <w:r>
              <w:rPr>
                <w:b w:val="0"/>
                <w:i w:val="0"/>
                <w:sz w:val="16"/>
              </w:rPr>
              <w:t>MP §11.2: EL controls</w:t>
            </w:r>
          </w:p>
        </w:tc>
        <w:tc>
          <w:tcPr>
            <w:tcW w:type="dxa" w:w="1584"/>
          </w:tcPr>
          <w:p>
            <w:r/>
            <w:r>
              <w:rPr>
                <w:b w:val="0"/>
                <w:i w:val="0"/>
                <w:sz w:val="16"/>
              </w:rPr>
              <w:t>Consistent</w:t>
            </w:r>
          </w:p>
        </w:tc>
      </w:tr>
    </w:tbl>
    <w:p>
      <w:pPr>
        <w:spacing w:after="40"/>
      </w:pPr>
    </w:p>
    <w:p>
      <w:pPr>
        <w:spacing w:after="120"/>
      </w:pPr>
      <w:r>
        <w:rPr>
          <w:b w:val="0"/>
          <w:i/>
          <w:sz w:val="18"/>
        </w:rPr>
        <w:t>This memorandum is based solely on the Engagement Letter and Matter Plan identified in Part II. Statements of law in Part VI are summary flags for confirmation by the responsible specialists and are not a substitute for their analysis.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