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rPr>
        <w:t>THORNFIELD &amp; REEVES LLP</w:t>
      </w:r>
    </w:p>
    <w:p>
      <w:pPr>
        <w:spacing w:after="160"/>
        <w:jc w:val="center"/>
      </w:pPr>
      <w:r>
        <w:rPr>
          <w:b/>
        </w:rPr>
        <w:t>MEMORANDUM</w:t>
      </w:r>
    </w:p>
    <w:tbl>
      <w:tblPr>
        <w:tblStyle w:val="TableGrid"/>
        <w:tblW w:type="auto" w:w="0"/>
        <w:jc w:val="center"/>
        <w:tblLook w:firstColumn="1" w:firstRow="1" w:lastColumn="0" w:lastRow="0" w:noHBand="0" w:noVBand="1" w:val="04A0"/>
      </w:tblPr>
      <w:tblGrid>
        <w:gridCol w:w="1152"/>
        <w:gridCol w:w="8208"/>
      </w:tblGrid>
      <w:tr>
        <w:tc>
          <w:tcPr>
            <w:tcW w:type="dxa" w:w="1152"/>
          </w:tcPr>
          <w:p>
            <w:pPr>
              <w:spacing w:after="40"/>
            </w:pPr>
            <w:r/>
            <w:r>
              <w:rPr>
                <w:sz w:val="20"/>
              </w:rPr>
              <w:t>TO:</w:t>
            </w:r>
          </w:p>
        </w:tc>
        <w:tc>
          <w:tcPr>
            <w:tcW w:type="dxa" w:w="8208"/>
          </w:tcPr>
          <w:p>
            <w:pPr>
              <w:spacing w:after="40"/>
            </w:pPr>
            <w:r/>
            <w:r>
              <w:rPr>
                <w:sz w:val="20"/>
              </w:rPr>
              <w:t>Catherine Ellsworth, Partner; David Ng, Senior Associate</w:t>
            </w:r>
          </w:p>
        </w:tc>
      </w:tr>
      <w:tr>
        <w:tc>
          <w:tcPr>
            <w:tcW w:type="dxa" w:w="1152"/>
          </w:tcPr>
          <w:p>
            <w:pPr>
              <w:spacing w:after="40"/>
            </w:pPr>
            <w:r/>
            <w:r>
              <w:rPr>
                <w:sz w:val="20"/>
              </w:rPr>
              <w:t>FROM:</w:t>
            </w:r>
          </w:p>
        </w:tc>
        <w:tc>
          <w:tcPr>
            <w:tcW w:type="dxa" w:w="8208"/>
          </w:tcPr>
          <w:p>
            <w:pPr>
              <w:spacing w:after="40"/>
            </w:pPr>
            <w:r/>
            <w:r>
              <w:rPr>
                <w:sz w:val="20"/>
              </w:rPr>
              <w:t>[Associate]</w:t>
            </w:r>
          </w:p>
        </w:tc>
      </w:tr>
      <w:tr>
        <w:tc>
          <w:tcPr>
            <w:tcW w:type="dxa" w:w="1152"/>
          </w:tcPr>
          <w:p>
            <w:pPr>
              <w:spacing w:after="40"/>
            </w:pPr>
            <w:r/>
            <w:r>
              <w:rPr>
                <w:sz w:val="20"/>
              </w:rPr>
              <w:t>DATE:</w:t>
            </w:r>
          </w:p>
        </w:tc>
        <w:tc>
          <w:tcPr>
            <w:tcW w:type="dxa" w:w="8208"/>
          </w:tcPr>
          <w:p>
            <w:pPr>
              <w:spacing w:after="40"/>
            </w:pPr>
            <w:r/>
            <w:r>
              <w:rPr>
                <w:sz w:val="20"/>
              </w:rPr>
              <w:t>[June __, 2025] (prepared against the May 28 Blackpine report, May 29 Hale memo, and May 30 compliance matrix)</w:t>
            </w:r>
          </w:p>
        </w:tc>
      </w:tr>
      <w:tr>
        <w:tc>
          <w:tcPr>
            <w:tcW w:type="dxa" w:w="1152"/>
          </w:tcPr>
          <w:p>
            <w:pPr>
              <w:spacing w:after="40"/>
            </w:pPr>
            <w:r/>
            <w:r>
              <w:rPr>
                <w:sz w:val="20"/>
              </w:rPr>
              <w:t>RE:</w:t>
            </w:r>
          </w:p>
        </w:tc>
        <w:tc>
          <w:tcPr>
            <w:tcW w:type="dxa" w:w="8208"/>
          </w:tcPr>
          <w:p>
            <w:pPr>
              <w:spacing w:after="40"/>
            </w:pPr>
            <w:r/>
            <w:r>
              <w:rPr>
                <w:sz w:val="20"/>
              </w:rPr>
              <w:t>Meridian Health Partners / CareLink360 (SecureShift CVE-2025-21887) - Draft individual notification letter; inconsistencies and compliance risks in the source documents</w:t>
            </w:r>
          </w:p>
        </w:tc>
      </w:tr>
    </w:tbl>
    <w:p>
      <w:pPr>
        <w:spacing w:after="40"/>
      </w:pPr>
    </w:p>
    <w:p>
      <w:pPr>
        <w:pStyle w:val="Heading2"/>
      </w:pPr>
      <w:r>
        <w:t>1. Summary</w:t>
      </w:r>
    </w:p>
    <w:p>
      <w:r>
        <w:t>Attached is a draft individual notification letter (</w:t>
      </w:r>
      <w:r>
        <w:rPr>
          <w:i/>
        </w:rPr>
        <w:t>notification-letter-draft.docx</w:t>
      </w:r>
      <w:r>
        <w:t>). I did not adapt the September 2022 template; it was built for a 340-person misdirected-email incident with no PHI or SSNs, is written as if Meridian were the covered entity, and does not meet the HIPAA plain-language and content requirements (Issue 14). The draft tracks each element of 45 C.F.R. § 164.404(c), uses variable-data fields for each recipient's hospital and data elements, and adds the credit-bureau, security-freeze, FTC, and state-specific content the matrix identifies. Before it can be finalized, the following points need decisions:</w:t>
      </w:r>
    </w:p>
    <w:p>
      <w:pPr>
        <w:pStyle w:val="ListBullet"/>
        <w:spacing w:after="60"/>
      </w:pPr>
      <w:r>
        <w:rPr>
          <w:b/>
        </w:rPr>
        <w:t>Discovery date (critical).</w:t>
      </w:r>
      <w:r>
        <w:t xml:space="preserve"> The May 21 discovery date used in the Hale memo and throughout the matrix is hard to defend. The safer reading of 45 C.F.R. § 164.410(a)(2) is May 3 (May 12 at the latest). On a May 3 date, the 10-business-day BAA deadlines ran out on about May 16, and the 45-day Wisconsin and Ohio deadlines (and possibly Indiana's) fall on </w:t>
      </w:r>
      <w:r>
        <w:rPr>
          <w:b/>
        </w:rPr>
        <w:t>June 17, before the June 23 target mailing</w:t>
      </w:r>
      <w:r>
        <w:t>.</w:t>
      </w:r>
    </w:p>
    <w:p>
      <w:pPr>
        <w:pStyle w:val="ListBullet"/>
        <w:spacing w:after="60"/>
      </w:pPr>
      <w:r>
        <w:rPr>
          <w:b/>
        </w:rPr>
        <w:t>Notification authority (critical).</w:t>
      </w:r>
      <w:r>
        <w:t xml:space="preserve"> Meridian is a business associate. The duties to notify individuals, HHS, the media, and (under most state laws) state regulators belong to the 47 hospital covered entities. We should not mail any letter, or make any filing, for a hospital until its BAA delegation or written authorization is confirmed.</w:t>
      </w:r>
    </w:p>
    <w:p>
      <w:pPr>
        <w:pStyle w:val="ListBullet"/>
        <w:spacing w:after="60"/>
      </w:pPr>
      <w:r>
        <w:rPr>
          <w:b/>
        </w:rPr>
        <w:t>HHS filing timing conflicts with the mailing plan.</w:t>
      </w:r>
      <w:r>
        <w:t xml:space="preserve"> The Hale memo targets HHS filing by July 20. Section 164.408(b) requires notice to HHS at the same time as individual notice, so filing should happen on or before the date letters are mailed.</w:t>
      </w:r>
    </w:p>
    <w:p>
      <w:pPr>
        <w:pStyle w:val="ListBullet"/>
        <w:spacing w:after="60"/>
      </w:pPr>
      <w:r>
        <w:rPr>
          <w:b/>
        </w:rPr>
        <w:t>Factual inconsistencies</w:t>
      </w:r>
      <w:r>
        <w:t xml:space="preserve"> across the documents (population, cost, call-center hours, monitoring duration, dates) need to be resolved before the letter or any regulator filing goes out (Section 3).</w:t>
      </w:r>
    </w:p>
    <w:p>
      <w:pPr>
        <w:pStyle w:val="Heading2"/>
      </w:pPr>
      <w:r>
        <w:t>2. Discovery Date and Timing Risks</w:t>
      </w:r>
    </w:p>
    <w:p>
      <w:r>
        <w:t>Under § 164.410(a)(2), a breach is treated as discovered by a business associate on the first day it is known to the BA, or by exercising reasonable diligence would have been known, to any workforce member or agent other than the person committing the breach. HHS has made clear that the 60 days is an outer limit, that the clock starts at discovery of the breach and not when the investigation ends, and that waiting until late in the window can itself be "unreasonable delay." The record cuts against May 21:</w:t>
      </w:r>
    </w:p>
    <w:p>
      <w:pPr>
        <w:pStyle w:val="ListBullet"/>
        <w:spacing w:after="60"/>
      </w:pPr>
      <w:r>
        <w:t xml:space="preserve">On </w:t>
      </w:r>
      <w:r>
        <w:rPr>
          <w:b/>
        </w:rPr>
        <w:t>May 3</w:t>
      </w:r>
      <w:r>
        <w:t>, the SOC detected unauthorized outbound transfers to an unknown IP address from the server hosting the PHI staging environment, and the server was isolated. Meridian knew that day of a security incident with exfiltration from a PHI repository.</w:t>
      </w:r>
    </w:p>
    <w:p>
      <w:pPr>
        <w:pStyle w:val="ListBullet"/>
        <w:spacing w:after="60"/>
      </w:pPr>
      <w:r>
        <w:t xml:space="preserve">By </w:t>
      </w:r>
      <w:r>
        <w:rPr>
          <w:b/>
        </w:rPr>
        <w:t>May 12</w:t>
      </w:r>
      <w:r>
        <w:t>, Hale wrote that Meridian had "a high degree of confidence" that PHI had been exfiltrated and "knew the approximate number of affected patients and the general categories of data involved" (Hale memo, § 2). Blackpine's report describes the same point more cautiously, as "probable" exfiltration with sampling confirming patient records (Report § V, § X.7). Hale's wording, in a memo addressed to the CEO and GC, will be hard to reconcile with a May 21 position if OCR or a plaintiff obtains it.</w:t>
      </w:r>
    </w:p>
    <w:p>
      <w:pPr>
        <w:pStyle w:val="ListBullet"/>
        <w:spacing w:after="60"/>
      </w:pPr>
      <w:r>
        <w:rPr>
          <w:b/>
        </w:rPr>
        <w:t>May 21</w:t>
      </w:r>
      <w:r>
        <w:t xml:space="preserve"> is when the record-level mapping finished. That mapping is what the letter content depends on, but it is not the date Meridian first knew of the breach. The matrix (OI-003) says June 23 is "well within both deadlines," but it never analyzes May 3.</w:t>
      </w:r>
    </w:p>
    <w:tbl>
      <w:tblPr>
        <w:tblStyle w:val="TableGrid"/>
        <w:tblW w:type="auto" w:w="0"/>
        <w:jc w:val="center"/>
        <w:tblLook w:firstColumn="1" w:firstRow="1" w:lastColumn="0" w:lastRow="0" w:noHBand="0" w:noVBand="1" w:val="04A0"/>
      </w:tblPr>
      <w:tblGrid>
        <w:gridCol w:w="4176"/>
        <w:gridCol w:w="1440"/>
        <w:gridCol w:w="1440"/>
        <w:gridCol w:w="2304"/>
      </w:tblGrid>
      <w:tr>
        <w:tc>
          <w:tcPr>
            <w:tcW w:type="dxa" w:w="4176"/>
            <w:shd w:val="clear" w:color="auto" w:fill="D9E2F3"/>
          </w:tcPr>
          <w:p>
            <w:pPr>
              <w:spacing w:after="40"/>
            </w:pPr>
            <w:r>
              <w:rPr>
                <w:b/>
              </w:rPr>
            </w:r>
            <w:r>
              <w:rPr>
                <w:b/>
                <w:sz w:val="18"/>
              </w:rPr>
              <w:t>Deadline</w:t>
            </w:r>
          </w:p>
        </w:tc>
        <w:tc>
          <w:tcPr>
            <w:tcW w:type="dxa" w:w="1440"/>
            <w:shd w:val="clear" w:color="auto" w:fill="D9E2F3"/>
          </w:tcPr>
          <w:p>
            <w:pPr>
              <w:spacing w:after="40"/>
            </w:pPr>
            <w:r>
              <w:rPr>
                <w:b/>
              </w:rPr>
            </w:r>
            <w:r>
              <w:rPr>
                <w:b/>
                <w:sz w:val="18"/>
              </w:rPr>
              <w:t>If May 3</w:t>
            </w:r>
          </w:p>
        </w:tc>
        <w:tc>
          <w:tcPr>
            <w:tcW w:type="dxa" w:w="1440"/>
            <w:shd w:val="clear" w:color="auto" w:fill="D9E2F3"/>
          </w:tcPr>
          <w:p>
            <w:pPr>
              <w:spacing w:after="40"/>
            </w:pPr>
            <w:r>
              <w:rPr>
                <w:b/>
              </w:rPr>
            </w:r>
            <w:r>
              <w:rPr>
                <w:b/>
                <w:sz w:val="18"/>
              </w:rPr>
              <w:t>If May 12</w:t>
            </w:r>
          </w:p>
        </w:tc>
        <w:tc>
          <w:tcPr>
            <w:tcW w:type="dxa" w:w="2304"/>
            <w:shd w:val="clear" w:color="auto" w:fill="D9E2F3"/>
          </w:tcPr>
          <w:p>
            <w:pPr>
              <w:spacing w:after="40"/>
            </w:pPr>
            <w:r>
              <w:rPr>
                <w:b/>
              </w:rPr>
            </w:r>
            <w:r>
              <w:rPr>
                <w:b/>
                <w:sz w:val="18"/>
              </w:rPr>
              <w:t>If May 21 (current plan)</w:t>
            </w:r>
          </w:p>
        </w:tc>
      </w:tr>
      <w:tr>
        <w:tc>
          <w:tcPr>
            <w:tcW w:type="dxa" w:w="4176"/>
          </w:tcPr>
          <w:p>
            <w:pPr>
              <w:spacing w:after="40"/>
            </w:pPr>
            <w:r/>
            <w:r>
              <w:rPr>
                <w:sz w:val="18"/>
              </w:rPr>
              <w:t>BAA notice to hospitals (10 business days; most BAAs)</w:t>
            </w:r>
          </w:p>
        </w:tc>
        <w:tc>
          <w:tcPr>
            <w:tcW w:type="dxa" w:w="1440"/>
          </w:tcPr>
          <w:p>
            <w:pPr>
              <w:spacing w:after="40"/>
            </w:pPr>
            <w:r/>
            <w:r>
              <w:rPr>
                <w:sz w:val="18"/>
              </w:rPr>
              <w:t>May 16 (passed)</w:t>
            </w:r>
          </w:p>
        </w:tc>
        <w:tc>
          <w:tcPr>
            <w:tcW w:type="dxa" w:w="1440"/>
          </w:tcPr>
          <w:p>
            <w:pPr>
              <w:spacing w:after="40"/>
            </w:pPr>
            <w:r/>
            <w:r>
              <w:rPr>
                <w:sz w:val="18"/>
              </w:rPr>
              <w:t>May 27 (passed)</w:t>
            </w:r>
          </w:p>
        </w:tc>
        <w:tc>
          <w:tcPr>
            <w:tcW w:type="dxa" w:w="2304"/>
          </w:tcPr>
          <w:p>
            <w:pPr>
              <w:spacing w:after="40"/>
            </w:pPr>
            <w:r/>
            <w:r>
              <w:rPr>
                <w:sz w:val="18"/>
              </w:rPr>
              <w:t>June 4 (June 5 if Memorial Day excluded)</w:t>
            </w:r>
          </w:p>
        </w:tc>
      </w:tr>
      <w:tr>
        <w:tc>
          <w:tcPr>
            <w:tcW w:type="dxa" w:w="4176"/>
          </w:tcPr>
          <w:p>
            <w:pPr>
              <w:spacing w:after="40"/>
            </w:pPr>
            <w:r/>
            <w:r>
              <w:rPr>
                <w:sz w:val="18"/>
              </w:rPr>
              <w:t>NY GBL § 899-aa (30 days per Dec. 2024 amendment - verify; HIPAA-compliant notice may satisfy)</w:t>
            </w:r>
          </w:p>
        </w:tc>
        <w:tc>
          <w:tcPr>
            <w:tcW w:type="dxa" w:w="1440"/>
          </w:tcPr>
          <w:p>
            <w:pPr>
              <w:spacing w:after="40"/>
            </w:pPr>
            <w:r/>
            <w:r>
              <w:rPr>
                <w:sz w:val="18"/>
              </w:rPr>
              <w:t>June 2</w:t>
            </w:r>
          </w:p>
        </w:tc>
        <w:tc>
          <w:tcPr>
            <w:tcW w:type="dxa" w:w="1440"/>
          </w:tcPr>
          <w:p>
            <w:pPr>
              <w:spacing w:after="40"/>
            </w:pPr>
            <w:r/>
            <w:r>
              <w:rPr>
                <w:sz w:val="18"/>
              </w:rPr>
              <w:t>June 11</w:t>
            </w:r>
          </w:p>
        </w:tc>
        <w:tc>
          <w:tcPr>
            <w:tcW w:type="dxa" w:w="2304"/>
          </w:tcPr>
          <w:p>
            <w:pPr>
              <w:spacing w:after="40"/>
            </w:pPr>
            <w:r/>
            <w:r>
              <w:rPr>
                <w:sz w:val="18"/>
              </w:rPr>
              <w:t>June 20</w:t>
            </w:r>
          </w:p>
        </w:tc>
      </w:tr>
      <w:tr>
        <w:tc>
          <w:tcPr>
            <w:tcW w:type="dxa" w:w="4176"/>
          </w:tcPr>
          <w:p>
            <w:pPr>
              <w:spacing w:after="40"/>
            </w:pPr>
            <w:r/>
            <w:r>
              <w:rPr>
                <w:sz w:val="18"/>
              </w:rPr>
              <w:t>WI § 134.98 / OH § 1349.19 (45 days); IN § 24-4.9-3-3 (45 days per 2022 amendment - verify)</w:t>
            </w:r>
          </w:p>
        </w:tc>
        <w:tc>
          <w:tcPr>
            <w:tcW w:type="dxa" w:w="1440"/>
          </w:tcPr>
          <w:p>
            <w:pPr>
              <w:spacing w:after="40"/>
            </w:pPr>
            <w:r/>
            <w:r>
              <w:rPr>
                <w:sz w:val="18"/>
              </w:rPr>
              <w:t>June 17</w:t>
            </w:r>
          </w:p>
        </w:tc>
        <w:tc>
          <w:tcPr>
            <w:tcW w:type="dxa" w:w="1440"/>
          </w:tcPr>
          <w:p>
            <w:pPr>
              <w:spacing w:after="40"/>
            </w:pPr>
            <w:r/>
            <w:r>
              <w:rPr>
                <w:sz w:val="18"/>
              </w:rPr>
              <w:t>June 26</w:t>
            </w:r>
          </w:p>
        </w:tc>
        <w:tc>
          <w:tcPr>
            <w:tcW w:type="dxa" w:w="2304"/>
          </w:tcPr>
          <w:p>
            <w:pPr>
              <w:spacing w:after="40"/>
            </w:pPr>
            <w:r/>
            <w:r>
              <w:rPr>
                <w:sz w:val="18"/>
              </w:rPr>
              <w:t>July 5</w:t>
            </w:r>
          </w:p>
        </w:tc>
      </w:tr>
      <w:tr>
        <w:tc>
          <w:tcPr>
            <w:tcW w:type="dxa" w:w="4176"/>
          </w:tcPr>
          <w:p>
            <w:pPr>
              <w:spacing w:after="40"/>
            </w:pPr>
            <w:r/>
            <w:r>
              <w:rPr>
                <w:sz w:val="18"/>
              </w:rPr>
              <w:t>HIPAA §§ 164.404 / 164.410 outer limit (60 days); CT, NH, MN/IA (per matrix)</w:t>
            </w:r>
          </w:p>
        </w:tc>
        <w:tc>
          <w:tcPr>
            <w:tcW w:type="dxa" w:w="1440"/>
          </w:tcPr>
          <w:p>
            <w:pPr>
              <w:spacing w:after="40"/>
            </w:pPr>
            <w:r/>
            <w:r>
              <w:rPr>
                <w:sz w:val="18"/>
              </w:rPr>
              <w:t>July 2</w:t>
            </w:r>
          </w:p>
        </w:tc>
        <w:tc>
          <w:tcPr>
            <w:tcW w:type="dxa" w:w="1440"/>
          </w:tcPr>
          <w:p>
            <w:pPr>
              <w:spacing w:after="40"/>
            </w:pPr>
            <w:r/>
            <w:r>
              <w:rPr>
                <w:sz w:val="18"/>
              </w:rPr>
              <w:t>July 11</w:t>
            </w:r>
          </w:p>
        </w:tc>
        <w:tc>
          <w:tcPr>
            <w:tcW w:type="dxa" w:w="2304"/>
          </w:tcPr>
          <w:p>
            <w:pPr>
              <w:spacing w:after="40"/>
            </w:pPr>
            <w:r/>
            <w:r>
              <w:rPr>
                <w:sz w:val="18"/>
              </w:rPr>
              <w:t>July 20</w:t>
            </w:r>
          </w:p>
        </w:tc>
      </w:tr>
    </w:tbl>
    <w:p>
      <w:pPr>
        <w:spacing w:before="120"/>
      </w:pPr>
      <w:r>
        <w:rPr>
          <w:b/>
        </w:rPr>
        <w:t>Recommendations:</w:t>
      </w:r>
      <w:r>
        <w:t xml:space="preserve"> (a) Notify all 47 hospitals now under § 164.410(c), with the identities of their affected patients, without waiting for June 4. (b) Move individual mailing as early as production allows (target the week of June 9). At a minimum, mail Wisconsin, Ohio, Indiana, and New York residents first, before June 17. (c) Put a privileged analysis of the discovery date in the file. It should treat May 3 as the conservative date and explain why the content of the notice could not be finalized until May 21. (d) Stop describing the June 23 date as giving "27 days of buffer" (Hale memo, § 5). That framing invites an unreasonable-delay argument. (e) Check whether each hospital is treating Meridian as its agent. If so, Meridian's discovery is imputed to the hospital (§ 164.404(a)(2)), and the hospital's own clock also runs from May 3.</w:t>
      </w:r>
    </w:p>
    <w:p>
      <w:pPr>
        <w:pStyle w:val="Heading2"/>
      </w:pPr>
      <w:r>
        <w:t>3. Inconsistencies Across the Source Documents</w:t>
      </w:r>
    </w:p>
    <w:tbl>
      <w:tblPr>
        <w:tblStyle w:val="TableGrid"/>
        <w:tblW w:type="auto" w:w="0"/>
        <w:jc w:val="center"/>
        <w:tblLook w:firstColumn="1" w:firstRow="1" w:lastColumn="0" w:lastRow="0" w:noHBand="0" w:noVBand="1" w:val="04A0"/>
      </w:tblPr>
      <w:tblGrid>
        <w:gridCol w:w="432"/>
        <w:gridCol w:w="3311"/>
        <w:gridCol w:w="2304"/>
        <w:gridCol w:w="3311"/>
      </w:tblGrid>
      <w:tr>
        <w:tc>
          <w:tcPr>
            <w:tcW w:type="dxa" w:w="432"/>
            <w:shd w:val="clear" w:color="auto" w:fill="D9E2F3"/>
          </w:tcPr>
          <w:p>
            <w:pPr>
              <w:spacing w:after="40"/>
            </w:pPr>
            <w:r>
              <w:rPr>
                <w:b/>
              </w:rPr>
            </w:r>
            <w:r>
              <w:rPr>
                <w:b/>
                <w:sz w:val="17"/>
              </w:rPr>
              <w:t>#</w:t>
            </w:r>
          </w:p>
        </w:tc>
        <w:tc>
          <w:tcPr>
            <w:tcW w:type="dxa" w:w="3312"/>
            <w:shd w:val="clear" w:color="auto" w:fill="D9E2F3"/>
          </w:tcPr>
          <w:p>
            <w:pPr>
              <w:spacing w:after="40"/>
            </w:pPr>
            <w:r>
              <w:rPr>
                <w:b/>
              </w:rPr>
            </w:r>
            <w:r>
              <w:rPr>
                <w:b/>
                <w:sz w:val="17"/>
              </w:rPr>
              <w:t>Issue</w:t>
            </w:r>
          </w:p>
        </w:tc>
        <w:tc>
          <w:tcPr>
            <w:tcW w:type="dxa" w:w="2304"/>
            <w:shd w:val="clear" w:color="auto" w:fill="D9E2F3"/>
          </w:tcPr>
          <w:p>
            <w:pPr>
              <w:spacing w:after="40"/>
            </w:pPr>
            <w:r>
              <w:rPr>
                <w:b/>
              </w:rPr>
            </w:r>
            <w:r>
              <w:rPr>
                <w:b/>
                <w:sz w:val="17"/>
              </w:rPr>
              <w:t>Sources</w:t>
            </w:r>
          </w:p>
        </w:tc>
        <w:tc>
          <w:tcPr>
            <w:tcW w:type="dxa" w:w="3312"/>
            <w:shd w:val="clear" w:color="auto" w:fill="D9E2F3"/>
          </w:tcPr>
          <w:p>
            <w:pPr>
              <w:spacing w:after="40"/>
            </w:pPr>
            <w:r>
              <w:rPr>
                <w:b/>
              </w:rPr>
            </w:r>
            <w:r>
              <w:rPr>
                <w:b/>
                <w:sz w:val="17"/>
              </w:rPr>
              <w:t>Recommendation / treatment in draft</w:t>
            </w:r>
          </w:p>
        </w:tc>
      </w:tr>
      <w:tr>
        <w:tc>
          <w:tcPr>
            <w:tcW w:type="dxa" w:w="432"/>
          </w:tcPr>
          <w:p>
            <w:pPr>
              <w:spacing w:after="40"/>
            </w:pPr>
            <w:r/>
            <w:r>
              <w:rPr>
                <w:sz w:val="17"/>
              </w:rPr>
              <w:t>1</w:t>
            </w:r>
          </w:p>
        </w:tc>
        <w:tc>
          <w:tcPr>
            <w:tcW w:type="dxa" w:w="3312"/>
          </w:tcPr>
          <w:p>
            <w:pPr>
              <w:spacing w:after="40"/>
            </w:pPr>
            <w:r/>
            <w:r>
              <w:rPr>
                <w:b/>
                <w:sz w:val="17"/>
              </w:rPr>
              <w:t>Affected population.</w:t>
            </w:r>
            <w:r>
              <w:rPr>
                <w:sz w:val="17"/>
              </w:rPr>
              <w:t xml:space="preserve"> "Approximately 180,000" vs. 184,200 unique individuals. The matrix's per-state estimates add up to </w:t>
            </w:r>
            <w:r>
              <w:rPr>
                <w:b/>
                <w:sz w:val="17"/>
              </w:rPr>
              <w:t>184,100</w:t>
            </w:r>
            <w:r>
              <w:rPr>
                <w:sz w:val="17"/>
              </w:rPr>
              <w:t xml:space="preserve">, leaving </w:t>
            </w:r>
            <w:r>
              <w:rPr>
                <w:b/>
                <w:sz w:val="17"/>
              </w:rPr>
              <w:t>100 individuals</w:t>
            </w:r>
            <w:r>
              <w:rPr>
                <w:sz w:val="17"/>
              </w:rPr>
              <w:t xml:space="preserve"> unaccounted for.</w:t>
            </w:r>
          </w:p>
        </w:tc>
        <w:tc>
          <w:tcPr>
            <w:tcW w:type="dxa" w:w="2304"/>
          </w:tcPr>
          <w:p>
            <w:pPr>
              <w:spacing w:after="40"/>
            </w:pPr>
            <w:r/>
            <w:r>
              <w:rPr>
                <w:sz w:val="17"/>
              </w:rPr>
              <w:t>Hale memo §§ 1, 3; Matrix Exec. Summary (180,000) vs. Blackpine §§ II, VIII and Matrix detail tabs (184,200)</w:t>
            </w:r>
          </w:p>
        </w:tc>
        <w:tc>
          <w:tcPr>
            <w:tcW w:type="dxa" w:w="3312"/>
          </w:tcPr>
          <w:p>
            <w:pPr>
              <w:spacing w:after="40"/>
            </w:pPr>
            <w:r/>
            <w:r>
              <w:rPr>
                <w:sz w:val="17"/>
              </w:rPr>
              <w:t>Use 184,200 everywhere. Reconcile the state split against Blackpine's GEO file. Residents of other states (not among the 12) would trigger additional state laws. Each hospital's HHS filing must use its own count.</w:t>
            </w:r>
          </w:p>
        </w:tc>
      </w:tr>
      <w:tr>
        <w:tc>
          <w:tcPr>
            <w:tcW w:type="dxa" w:w="432"/>
          </w:tcPr>
          <w:p>
            <w:pPr>
              <w:spacing w:after="40"/>
            </w:pPr>
            <w:r/>
            <w:r>
              <w:rPr>
                <w:sz w:val="17"/>
              </w:rPr>
              <w:t>2</w:t>
            </w:r>
          </w:p>
        </w:tc>
        <w:tc>
          <w:tcPr>
            <w:tcW w:type="dxa" w:w="3312"/>
          </w:tcPr>
          <w:p>
            <w:pPr>
              <w:spacing w:after="40"/>
            </w:pPr>
            <w:r/>
            <w:r>
              <w:rPr>
                <w:b/>
                <w:sz w:val="17"/>
              </w:rPr>
              <w:t>Credit-monitoring budget.</w:t>
            </w:r>
            <w:r>
              <w:rPr>
                <w:sz w:val="17"/>
              </w:rPr>
              <w:t xml:space="preserve"> $5.22M is based on 180,000. At 184,200 × $14.50 × 2 years it is </w:t>
            </w:r>
            <w:r>
              <w:rPr>
                <w:b/>
                <w:sz w:val="17"/>
              </w:rPr>
              <w:t>$5,341,800</w:t>
            </w:r>
            <w:r>
              <w:rPr>
                <w:sz w:val="17"/>
              </w:rPr>
              <w:t>, so the figure is understated by $121,800.</w:t>
            </w:r>
          </w:p>
        </w:tc>
        <w:tc>
          <w:tcPr>
            <w:tcW w:type="dxa" w:w="2304"/>
          </w:tcPr>
          <w:p>
            <w:pPr>
              <w:spacing w:after="40"/>
            </w:pPr>
            <w:r/>
            <w:r>
              <w:rPr>
                <w:sz w:val="17"/>
              </w:rPr>
              <w:t>Hale memo § 6; Matrix Exec. Summary vs. OI-001</w:t>
            </w:r>
          </w:p>
        </w:tc>
        <w:tc>
          <w:tcPr>
            <w:tcW w:type="dxa" w:w="3312"/>
          </w:tcPr>
          <w:p>
            <w:pPr>
              <w:spacing w:after="40"/>
            </w:pPr>
            <w:r/>
            <w:r>
              <w:rPr>
                <w:sz w:val="17"/>
              </w:rPr>
              <w:t>Correct the figure for the leadership budget request. Note that the fee is charged per enrollee, so actual cost depends on how many people enroll. Confirm any contract minimums.</w:t>
            </w:r>
          </w:p>
        </w:tc>
      </w:tr>
      <w:tr>
        <w:tc>
          <w:tcPr>
            <w:tcW w:type="dxa" w:w="432"/>
          </w:tcPr>
          <w:p>
            <w:pPr>
              <w:spacing w:after="40"/>
            </w:pPr>
            <w:r/>
            <w:r>
              <w:rPr>
                <w:sz w:val="17"/>
              </w:rPr>
              <w:t>3</w:t>
            </w:r>
          </w:p>
        </w:tc>
        <w:tc>
          <w:tcPr>
            <w:tcW w:type="dxa" w:w="3312"/>
          </w:tcPr>
          <w:p>
            <w:pPr>
              <w:spacing w:after="40"/>
            </w:pPr>
            <w:r/>
            <w:r>
              <w:rPr>
                <w:b/>
                <w:sz w:val="17"/>
              </w:rPr>
              <w:t>Call-center hours.</w:t>
            </w:r>
            <w:r>
              <w:rPr>
                <w:sz w:val="17"/>
              </w:rPr>
              <w:t xml:space="preserve"> Monday–Saturday vs. Monday–Friday (8 AM–8 PM ET). The 2022 template also says Monday–Friday.</w:t>
            </w:r>
          </w:p>
        </w:tc>
        <w:tc>
          <w:tcPr>
            <w:tcW w:type="dxa" w:w="2304"/>
          </w:tcPr>
          <w:p>
            <w:pPr>
              <w:spacing w:after="40"/>
            </w:pPr>
            <w:r/>
            <w:r>
              <w:rPr>
                <w:sz w:val="17"/>
              </w:rPr>
              <w:t>Hale memo § 6 vs. Matrix Exec. Summary, Timeline, HIPAA checklist; Template</w:t>
            </w:r>
          </w:p>
        </w:tc>
        <w:tc>
          <w:tcPr>
            <w:tcW w:type="dxa" w:w="3312"/>
          </w:tcPr>
          <w:p>
            <w:pPr>
              <w:spacing w:after="40"/>
            </w:pPr>
            <w:r/>
            <w:r>
              <w:rPr>
                <w:sz w:val="17"/>
              </w:rPr>
              <w:t>Bracketed in the draft. Confirm with the vendor. Also confirm who runs the line (the Hale memo suggests Overwatch staffs it) and that it stays open at least 90 days (§ 164.404(d)(2)(ii)).</w:t>
            </w:r>
          </w:p>
        </w:tc>
      </w:tr>
      <w:tr>
        <w:tc>
          <w:tcPr>
            <w:tcW w:type="dxa" w:w="432"/>
          </w:tcPr>
          <w:p>
            <w:pPr>
              <w:spacing w:after="40"/>
            </w:pPr>
            <w:r/>
            <w:r>
              <w:rPr>
                <w:sz w:val="17"/>
              </w:rPr>
              <w:t>4</w:t>
            </w:r>
          </w:p>
        </w:tc>
        <w:tc>
          <w:tcPr>
            <w:tcW w:type="dxa" w:w="3312"/>
          </w:tcPr>
          <w:p>
            <w:pPr>
              <w:spacing w:after="40"/>
            </w:pPr>
            <w:r/>
            <w:r>
              <w:rPr>
                <w:b/>
                <w:sz w:val="17"/>
              </w:rPr>
              <w:t>Dark-web monitoring term.</w:t>
            </w:r>
            <w:r>
              <w:rPr>
                <w:sz w:val="17"/>
              </w:rPr>
              <w:t xml:space="preserve"> "Through at least December 2025" vs. "a minimum of twelve (12) months" from May 28, 2025 (about May 2026).</w:t>
            </w:r>
          </w:p>
        </w:tc>
        <w:tc>
          <w:tcPr>
            <w:tcW w:type="dxa" w:w="2304"/>
          </w:tcPr>
          <w:p>
            <w:pPr>
              <w:spacing w:after="40"/>
            </w:pPr>
            <w:r/>
            <w:r>
              <w:rPr>
                <w:sz w:val="17"/>
              </w:rPr>
              <w:t>Hale memo §§ 4, 8 vs. Blackpine §§ VII.C, X.5, XI.1</w:t>
            </w:r>
          </w:p>
        </w:tc>
        <w:tc>
          <w:tcPr>
            <w:tcW w:type="dxa" w:w="3312"/>
          </w:tcPr>
          <w:p>
            <w:pPr>
              <w:spacing w:after="40"/>
            </w:pPr>
            <w:r/>
            <w:r>
              <w:rPr>
                <w:sz w:val="17"/>
              </w:rPr>
              <w:t>Confirm against the engagement letter. The draft says only that monitoring continues, with no end date.</w:t>
            </w:r>
          </w:p>
        </w:tc>
      </w:tr>
      <w:tr>
        <w:tc>
          <w:tcPr>
            <w:tcW w:type="dxa" w:w="432"/>
          </w:tcPr>
          <w:p>
            <w:pPr>
              <w:spacing w:after="40"/>
            </w:pPr>
            <w:r/>
            <w:r>
              <w:rPr>
                <w:sz w:val="17"/>
              </w:rPr>
              <w:t>5</w:t>
            </w:r>
          </w:p>
        </w:tc>
        <w:tc>
          <w:tcPr>
            <w:tcW w:type="dxa" w:w="3312"/>
          </w:tcPr>
          <w:p>
            <w:pPr>
              <w:spacing w:after="40"/>
            </w:pPr>
            <w:r/>
            <w:r>
              <w:rPr>
                <w:b/>
                <w:sz w:val="17"/>
              </w:rPr>
              <w:t>Enrollment deadline.</w:t>
            </w:r>
            <w:r>
              <w:rPr>
                <w:sz w:val="17"/>
              </w:rPr>
              <w:t xml:space="preserve"> "90 days from letter date" falls on </w:t>
            </w:r>
            <w:r>
              <w:rPr>
                <w:b/>
                <w:sz w:val="17"/>
              </w:rPr>
              <w:t>Sunday, September 21, 2025</w:t>
            </w:r>
            <w:r>
              <w:rPr>
                <w:sz w:val="17"/>
              </w:rPr>
              <w:t xml:space="preserve"> for a June 23 mailing. Re-mailed letters and phased mailing waves make a single fixed date unworkable.</w:t>
            </w:r>
          </w:p>
        </w:tc>
        <w:tc>
          <w:tcPr>
            <w:tcW w:type="dxa" w:w="2304"/>
          </w:tcPr>
          <w:p>
            <w:pPr>
              <w:spacing w:after="40"/>
            </w:pPr>
            <w:r/>
            <w:r>
              <w:rPr>
                <w:sz w:val="17"/>
              </w:rPr>
              <w:t>Hale memo § 6; Matrix Timeline</w:t>
            </w:r>
          </w:p>
        </w:tc>
        <w:tc>
          <w:tcPr>
            <w:tcW w:type="dxa" w:w="3312"/>
          </w:tcPr>
          <w:p>
            <w:pPr>
              <w:spacing w:after="40"/>
            </w:pPr>
            <w:r/>
            <w:r>
              <w:rPr>
                <w:sz w:val="17"/>
              </w:rPr>
              <w:t>Print a specific calendar date on each mailing wave, at least 90 days out. Re-mailed letters get a new date.</w:t>
            </w:r>
          </w:p>
        </w:tc>
      </w:tr>
      <w:tr>
        <w:tc>
          <w:tcPr>
            <w:tcW w:type="dxa" w:w="432"/>
          </w:tcPr>
          <w:p>
            <w:pPr>
              <w:spacing w:after="40"/>
            </w:pPr>
            <w:r/>
            <w:r>
              <w:rPr>
                <w:sz w:val="17"/>
              </w:rPr>
              <w:t>6</w:t>
            </w:r>
          </w:p>
        </w:tc>
        <w:tc>
          <w:tcPr>
            <w:tcW w:type="dxa" w:w="3312"/>
          </w:tcPr>
          <w:p>
            <w:pPr>
              <w:spacing w:after="40"/>
            </w:pPr>
            <w:r/>
            <w:r>
              <w:rPr>
                <w:b/>
                <w:sz w:val="17"/>
              </w:rPr>
              <w:t>Vaultline patch date.</w:t>
            </w:r>
            <w:r>
              <w:rPr>
                <w:sz w:val="17"/>
              </w:rPr>
              <w:t xml:space="preserve"> "Approximately May 8" vs. advisory VSA-2025-003 on May 8 and patch v8.4.1 on May 9.</w:t>
            </w:r>
          </w:p>
        </w:tc>
        <w:tc>
          <w:tcPr>
            <w:tcW w:type="dxa" w:w="2304"/>
          </w:tcPr>
          <w:p>
            <w:pPr>
              <w:spacing w:after="40"/>
            </w:pPr>
            <w:r/>
            <w:r>
              <w:rPr>
                <w:sz w:val="17"/>
              </w:rPr>
              <w:t>Hale memo § 4 vs. Blackpine § VI.A</w:t>
            </w:r>
          </w:p>
        </w:tc>
        <w:tc>
          <w:tcPr>
            <w:tcW w:type="dxa" w:w="3312"/>
          </w:tcPr>
          <w:p>
            <w:pPr>
              <w:spacing w:after="40"/>
            </w:pPr>
            <w:r/>
            <w:r>
              <w:rPr>
                <w:sz w:val="17"/>
              </w:rPr>
              <w:t>Not in the letter. Use Blackpine's dates in regulator filings and in the reservation-of-rights letter to Vaultline.</w:t>
            </w:r>
          </w:p>
        </w:tc>
      </w:tr>
      <w:tr>
        <w:tc>
          <w:tcPr>
            <w:tcW w:type="dxa" w:w="432"/>
          </w:tcPr>
          <w:p>
            <w:pPr>
              <w:spacing w:after="40"/>
            </w:pPr>
            <w:r/>
            <w:r>
              <w:rPr>
                <w:sz w:val="17"/>
              </w:rPr>
              <w:t>7</w:t>
            </w:r>
          </w:p>
        </w:tc>
        <w:tc>
          <w:tcPr>
            <w:tcW w:type="dxa" w:w="3312"/>
          </w:tcPr>
          <w:p>
            <w:pPr>
              <w:spacing w:after="40"/>
            </w:pPr>
            <w:r/>
            <w:r>
              <w:rPr>
                <w:b/>
                <w:sz w:val="17"/>
              </w:rPr>
              <w:t>FBI contact.</w:t>
            </w:r>
            <w:r>
              <w:rPr>
                <w:sz w:val="17"/>
              </w:rPr>
              <w:t xml:space="preserve"> "Early in the response" vs. coordination beginning May 6. No delay was requested.</w:t>
            </w:r>
          </w:p>
        </w:tc>
        <w:tc>
          <w:tcPr>
            <w:tcW w:type="dxa" w:w="2304"/>
          </w:tcPr>
          <w:p>
            <w:pPr>
              <w:spacing w:after="40"/>
            </w:pPr>
            <w:r/>
            <w:r>
              <w:rPr>
                <w:sz w:val="17"/>
              </w:rPr>
              <w:t>Hale memo § 2 vs. Blackpine §§ II, VI.B</w:t>
            </w:r>
          </w:p>
        </w:tc>
        <w:tc>
          <w:tcPr>
            <w:tcW w:type="dxa" w:w="3312"/>
          </w:tcPr>
          <w:p>
            <w:pPr>
              <w:spacing w:after="40"/>
            </w:pPr>
            <w:r/>
            <w:r>
              <w:rPr>
                <w:sz w:val="17"/>
              </w:rPr>
              <w:t>The letter says the FBI was notified and did not ask for a delay. No § 164.412 law-enforcement delay is available, so it cannot justify the timing.</w:t>
            </w:r>
          </w:p>
        </w:tc>
      </w:tr>
      <w:tr>
        <w:tc>
          <w:tcPr>
            <w:tcW w:type="dxa" w:w="432"/>
          </w:tcPr>
          <w:p>
            <w:pPr>
              <w:spacing w:after="40"/>
            </w:pPr>
            <w:r/>
            <w:r>
              <w:rPr>
                <w:sz w:val="17"/>
              </w:rPr>
              <w:t>8</w:t>
            </w:r>
          </w:p>
        </w:tc>
        <w:tc>
          <w:tcPr>
            <w:tcW w:type="dxa" w:w="3312"/>
          </w:tcPr>
          <w:p>
            <w:pPr>
              <w:spacing w:after="40"/>
            </w:pPr>
            <w:r/>
            <w:r>
              <w:rPr>
                <w:b/>
                <w:sz w:val="17"/>
              </w:rPr>
              <w:t>Encryption narrative.</w:t>
            </w:r>
            <w:r>
              <w:rPr>
                <w:sz w:val="17"/>
              </w:rPr>
              <w:t xml:space="preserve"> Hale attributes plaintext exposure to stolen keys. Blackpine adds that files were already in plaintext in the staging area during processing.</w:t>
            </w:r>
          </w:p>
        </w:tc>
        <w:tc>
          <w:tcPr>
            <w:tcW w:type="dxa" w:w="2304"/>
          </w:tcPr>
          <w:p>
            <w:pPr>
              <w:spacing w:after="40"/>
            </w:pPr>
            <w:r/>
            <w:r>
              <w:rPr>
                <w:sz w:val="17"/>
              </w:rPr>
              <w:t>Hale memo § 3 vs. Blackpine §§ IV, VII.A</w:t>
            </w:r>
          </w:p>
        </w:tc>
        <w:tc>
          <w:tcPr>
            <w:tcW w:type="dxa" w:w="3312"/>
          </w:tcPr>
          <w:p>
            <w:pPr>
              <w:spacing w:after="40"/>
            </w:pPr>
            <w:r/>
            <w:r>
              <w:rPr>
                <w:sz w:val="17"/>
              </w:rPr>
              <w:t>Either way, the safe harbor (§ 164.402(2) and guidance) does not apply. The letter does not suggest the data was protected by encryption.</w:t>
            </w:r>
          </w:p>
        </w:tc>
      </w:tr>
      <w:tr>
        <w:tc>
          <w:tcPr>
            <w:tcW w:type="dxa" w:w="432"/>
          </w:tcPr>
          <w:p>
            <w:pPr>
              <w:spacing w:after="40"/>
            </w:pPr>
            <w:r/>
            <w:r>
              <w:rPr>
                <w:sz w:val="17"/>
              </w:rPr>
              <w:t>9</w:t>
            </w:r>
          </w:p>
        </w:tc>
        <w:tc>
          <w:tcPr>
            <w:tcW w:type="dxa" w:w="3312"/>
          </w:tcPr>
          <w:p>
            <w:pPr>
              <w:spacing w:after="40"/>
            </w:pPr>
            <w:r/>
            <w:r>
              <w:rPr>
                <w:b/>
                <w:sz w:val="17"/>
              </w:rPr>
              <w:t>Exfiltration dates.</w:t>
            </w:r>
            <w:r>
              <w:rPr>
                <w:sz w:val="17"/>
              </w:rPr>
              <w:t xml:space="preserve"> Access ran April 19–May 3. Hale describes exfiltration across the whole 15-day period. Blackpine puts it at April 26–May 2.</w:t>
            </w:r>
          </w:p>
        </w:tc>
        <w:tc>
          <w:tcPr>
            <w:tcW w:type="dxa" w:w="2304"/>
          </w:tcPr>
          <w:p>
            <w:pPr>
              <w:spacing w:after="40"/>
            </w:pPr>
            <w:r/>
            <w:r>
              <w:rPr>
                <w:sz w:val="17"/>
              </w:rPr>
              <w:t>Hale memo § 2 vs. Blackpine §§ V, VII.A</w:t>
            </w:r>
          </w:p>
        </w:tc>
        <w:tc>
          <w:tcPr>
            <w:tcW w:type="dxa" w:w="3312"/>
          </w:tcPr>
          <w:p>
            <w:pPr>
              <w:spacing w:after="40"/>
            </w:pPr>
            <w:r/>
            <w:r>
              <w:rPr>
                <w:sz w:val="17"/>
              </w:rPr>
              <w:t>The letter uses Blackpine's dates (both the access period and the exfiltration window). This satisfies the § 164.404(c)(1)(A) requirement to state the date of breach and date of discovery.</w:t>
            </w:r>
          </w:p>
        </w:tc>
      </w:tr>
    </w:tbl>
    <w:p>
      <w:pPr>
        <w:pStyle w:val="Heading2"/>
      </w:pPr>
      <w:r>
        <w:t>4. Compliance Risks in the Notification Plan and Matrix</w:t>
      </w:r>
    </w:p>
    <w:tbl>
      <w:tblPr>
        <w:tblStyle w:val="TableGrid"/>
        <w:tblW w:type="auto" w:w="0"/>
        <w:jc w:val="center"/>
        <w:tblLook w:firstColumn="1" w:firstRow="1" w:lastColumn="0" w:lastRow="0" w:noHBand="0" w:noVBand="1" w:val="04A0"/>
      </w:tblPr>
      <w:tblGrid>
        <w:gridCol w:w="432"/>
        <w:gridCol w:w="4896"/>
        <w:gridCol w:w="4031"/>
      </w:tblGrid>
      <w:tr>
        <w:tc>
          <w:tcPr>
            <w:tcW w:type="dxa" w:w="432"/>
            <w:shd w:val="clear" w:color="auto" w:fill="D9E2F3"/>
          </w:tcPr>
          <w:p>
            <w:pPr>
              <w:spacing w:after="40"/>
            </w:pPr>
            <w:r>
              <w:rPr>
                <w:b/>
              </w:rPr>
            </w:r>
            <w:r>
              <w:rPr>
                <w:b/>
                <w:sz w:val="17"/>
              </w:rPr>
              <w:t>#</w:t>
            </w:r>
          </w:p>
        </w:tc>
        <w:tc>
          <w:tcPr>
            <w:tcW w:type="dxa" w:w="4896"/>
            <w:shd w:val="clear" w:color="auto" w:fill="D9E2F3"/>
          </w:tcPr>
          <w:p>
            <w:pPr>
              <w:spacing w:after="40"/>
            </w:pPr>
            <w:r>
              <w:rPr>
                <w:b/>
              </w:rPr>
            </w:r>
            <w:r>
              <w:rPr>
                <w:b/>
                <w:sz w:val="17"/>
              </w:rPr>
              <w:t>Risk</w:t>
            </w:r>
          </w:p>
        </w:tc>
        <w:tc>
          <w:tcPr>
            <w:tcW w:type="dxa" w:w="4032"/>
            <w:shd w:val="clear" w:color="auto" w:fill="D9E2F3"/>
          </w:tcPr>
          <w:p>
            <w:pPr>
              <w:spacing w:after="40"/>
            </w:pPr>
            <w:r>
              <w:rPr>
                <w:b/>
              </w:rPr>
            </w:r>
            <w:r>
              <w:rPr>
                <w:b/>
                <w:sz w:val="17"/>
              </w:rPr>
              <w:t>Recommendation</w:t>
            </w:r>
          </w:p>
        </w:tc>
      </w:tr>
      <w:tr>
        <w:tc>
          <w:tcPr>
            <w:tcW w:type="dxa" w:w="432"/>
          </w:tcPr>
          <w:p>
            <w:pPr>
              <w:spacing w:after="40"/>
            </w:pPr>
            <w:r/>
            <w:r>
              <w:rPr>
                <w:sz w:val="17"/>
              </w:rPr>
              <w:t>10</w:t>
            </w:r>
          </w:p>
        </w:tc>
        <w:tc>
          <w:tcPr>
            <w:tcW w:type="dxa" w:w="4896"/>
          </w:tcPr>
          <w:p>
            <w:pPr>
              <w:spacing w:after="40"/>
            </w:pPr>
            <w:r/>
            <w:r>
              <w:rPr>
                <w:b/>
                <w:sz w:val="17"/>
              </w:rPr>
              <w:t>BA/CE authority.</w:t>
            </w:r>
            <w:r>
              <w:rPr>
                <w:sz w:val="17"/>
              </w:rPr>
              <w:t xml:space="preserve"> The BAA review of all 47 agreements is still open. Only "many" BAAs delegate notice to Meridian. Under most of the 12 state statutes, Meridian is a "maintainer" whose duty is to notify the data owner (the hospital). HHS filings (§ 164.408) and media notice (§ 164.406) are covered-entity obligations.</w:t>
            </w:r>
          </w:p>
        </w:tc>
        <w:tc>
          <w:tcPr>
            <w:tcW w:type="dxa" w:w="4032"/>
          </w:tcPr>
          <w:p>
            <w:pPr>
              <w:spacing w:after="40"/>
            </w:pPr>
            <w:r/>
            <w:r>
              <w:rPr>
                <w:sz w:val="17"/>
              </w:rPr>
              <w:t>Get written authorization from each hospital and its approval of the letter text. Co-brand the letter and name the hospital (the draft does both). Coordinate a single filing approach so 47 hospitals do not make inconsistent HHS and AG submissions. Confirm whether each BAA shifts costs or controls the content of the notice.</w:t>
            </w:r>
          </w:p>
        </w:tc>
      </w:tr>
      <w:tr>
        <w:tc>
          <w:tcPr>
            <w:tcW w:type="dxa" w:w="432"/>
          </w:tcPr>
          <w:p>
            <w:pPr>
              <w:spacing w:after="40"/>
            </w:pPr>
            <w:r/>
            <w:r>
              <w:rPr>
                <w:sz w:val="17"/>
              </w:rPr>
              <w:t>11</w:t>
            </w:r>
          </w:p>
        </w:tc>
        <w:tc>
          <w:tcPr>
            <w:tcW w:type="dxa" w:w="4896"/>
          </w:tcPr>
          <w:p>
            <w:pPr>
              <w:spacing w:after="40"/>
            </w:pPr>
            <w:r/>
            <w:r>
              <w:rPr>
                <w:b/>
                <w:sz w:val="17"/>
              </w:rPr>
              <w:t>HHS and media notice timing.</w:t>
            </w:r>
            <w:r>
              <w:rPr>
                <w:sz w:val="17"/>
              </w:rPr>
              <w:t xml:space="preserve"> The Hale memo targets HHS by July 20, after the mailing. The matrix checklist says to file at the same time as the mailing. All 12 states exceed 500 residents, so media notice is required in each.</w:t>
            </w:r>
          </w:p>
        </w:tc>
        <w:tc>
          <w:tcPr>
            <w:tcW w:type="dxa" w:w="4032"/>
          </w:tcPr>
          <w:p>
            <w:pPr>
              <w:spacing w:after="40"/>
            </w:pPr>
            <w:r/>
            <w:r>
              <w:rPr>
                <w:sz w:val="17"/>
              </w:rPr>
              <w:t>File HHS notices and issue media notices on or before the mailing date, within the 60-day window. Media content must include the same elements as the letter.</w:t>
            </w:r>
          </w:p>
        </w:tc>
      </w:tr>
      <w:tr>
        <w:tc>
          <w:tcPr>
            <w:tcW w:type="dxa" w:w="432"/>
          </w:tcPr>
          <w:p>
            <w:pPr>
              <w:spacing w:after="40"/>
            </w:pPr>
            <w:r/>
            <w:r>
              <w:rPr>
                <w:sz w:val="17"/>
              </w:rPr>
              <w:t>12</w:t>
            </w:r>
          </w:p>
        </w:tc>
        <w:tc>
          <w:tcPr>
            <w:tcW w:type="dxa" w:w="4896"/>
          </w:tcPr>
          <w:p>
            <w:pPr>
              <w:spacing w:after="40"/>
            </w:pPr>
            <w:r/>
            <w:r>
              <w:rPr>
                <w:b/>
                <w:sz w:val="17"/>
              </w:rPr>
              <w:t>State-law entries in the matrix that need verification.</w:t>
            </w:r>
            <w:r>
              <w:rPr>
                <w:sz w:val="17"/>
              </w:rPr>
              <w:t xml:space="preserve"> Indiana is listed as having no hard deadline (the 2022 amendment appears to set 45 days). New York has no 30-day entry, and HIPAA entities must notify the AG, DOS/DFS, and State Police within 5 business days of notifying HHS. For Illinois, HIPAA-regulated entities must notify the AG within 5 business days of notifying HHS. Pennsylvania's 2024 amendments added a 500-resident AG threshold and a 12-month credit-monitoring requirement for SSN/account data, which the matrix shows as having no threshold. </w:t>
            </w:r>
            <w:r>
              <w:rPr>
                <w:b/>
                <w:sz w:val="17"/>
              </w:rPr>
              <w:t>Massachusetts</w:t>
            </w:r>
            <w:r>
              <w:rPr>
                <w:sz w:val="17"/>
              </w:rPr>
              <w:t xml:space="preserve"> content: ch. 93H § 3 bars stating the nature of the breach or the number of residents affected in consumer notices, yet the matrix lists both as required (they belong in the AG/OCABR filing). Matrix footnote 1 says a separate "financial-institution notice" is required in MN, NY, MA, and CT but cites no statute. The matrix omits </w:t>
            </w:r>
            <w:r>
              <w:rPr>
                <w:b/>
                <w:sz w:val="17"/>
              </w:rPr>
              <w:t>consumer-reporting-agency notices</w:t>
            </w:r>
            <w:r>
              <w:rPr>
                <w:sz w:val="17"/>
              </w:rPr>
              <w:t xml:space="preserve"> entirely (e.g., MN within 48 hours for more than 500; most others for more than 1,000; NY for more than 5,000), and does not address the HIPAA "deemed compliance" provisions in several of these states.</w:t>
            </w:r>
          </w:p>
        </w:tc>
        <w:tc>
          <w:tcPr>
            <w:tcW w:type="dxa" w:w="4032"/>
          </w:tcPr>
          <w:p>
            <w:pPr>
              <w:spacing w:after="40"/>
            </w:pPr>
            <w:r/>
            <w:r>
              <w:rPr>
                <w:sz w:val="17"/>
              </w:rPr>
              <w:t>Before filing, re-verify each row against the current statute. For Massachusetts, decide whether the HIPAA-compliant letter is enough under 93H § 5 or whether a Massachusetts-specific version is needed. Set up a CRA-notice workstream. Either support the financial-institution footnote with citations or remove it. The draft already includes security-freeze, police-report, CT identity-theft-services, IA, and NY content for all recipients.</w:t>
            </w:r>
          </w:p>
        </w:tc>
      </w:tr>
      <w:tr>
        <w:tc>
          <w:tcPr>
            <w:tcW w:type="dxa" w:w="432"/>
          </w:tcPr>
          <w:p>
            <w:pPr>
              <w:spacing w:after="40"/>
            </w:pPr>
            <w:r/>
            <w:r>
              <w:rPr>
                <w:sz w:val="17"/>
              </w:rPr>
              <w:t>13</w:t>
            </w:r>
          </w:p>
        </w:tc>
        <w:tc>
          <w:tcPr>
            <w:tcW w:type="dxa" w:w="4896"/>
          </w:tcPr>
          <w:p>
            <w:pPr>
              <w:spacing w:after="40"/>
            </w:pPr>
            <w:r/>
            <w:r>
              <w:rPr>
                <w:b/>
                <w:sz w:val="17"/>
              </w:rPr>
              <w:t>Mail-file quality.</w:t>
            </w:r>
            <w:r>
              <w:rPr>
                <w:sz w:val="17"/>
              </w:rPr>
              <w:t xml:space="preserve"> Addresses may be up to 36 months old and have not been verified (Blackpine § VIII). The letter content depends on per-person data-element mapping. The file includes minors and deceased patients.</w:t>
            </w:r>
          </w:p>
        </w:tc>
        <w:tc>
          <w:tcPr>
            <w:tcW w:type="dxa" w:w="4032"/>
          </w:tcPr>
          <w:p>
            <w:pPr>
              <w:spacing w:after="40"/>
            </w:pPr>
            <w:r/>
            <w:r>
              <w:rPr>
                <w:sz w:val="17"/>
              </w:rPr>
              <w:t>Run NCOA and address-hygiene checks before mailing. QA the variable data-element fields against Blackpine's mapping. Prepare parent/guardian and next-of-kin versions (§ 164.404(d)(1)(ii)) and minor-identity monitoring. Plan substitute notice for 10 or more undeliverable letters: a website posting for 90 days or major print/broadcast media, plus a toll-free number (§ 164.404(d)(2)). Track returned mail.</w:t>
            </w:r>
          </w:p>
        </w:tc>
      </w:tr>
      <w:tr>
        <w:tc>
          <w:tcPr>
            <w:tcW w:type="dxa" w:w="432"/>
          </w:tcPr>
          <w:p>
            <w:pPr>
              <w:spacing w:after="40"/>
            </w:pPr>
            <w:r/>
            <w:r>
              <w:rPr>
                <w:sz w:val="17"/>
              </w:rPr>
              <w:t>14</w:t>
            </w:r>
          </w:p>
        </w:tc>
        <w:tc>
          <w:tcPr>
            <w:tcW w:type="dxa" w:w="4896"/>
          </w:tcPr>
          <w:p>
            <w:pPr>
              <w:spacing w:after="40"/>
            </w:pPr>
            <w:r/>
            <w:r>
              <w:rPr>
                <w:b/>
                <w:sz w:val="17"/>
              </w:rPr>
              <w:t>2022 template is not usable.</w:t>
            </w:r>
            <w:r>
              <w:rPr>
                <w:sz w:val="17"/>
              </w:rPr>
              <w:t xml:space="preserve"> It is written as if Meridian were the covered entity. It is dense legalese, contrary to the § 164.404(c)(2) plain-language requirement. It omits the breach and discovery dates and the specific PHI types. Its self-protection steps are generic, with no freeze or fraud-alert guidance, no CRA/FTC contacts, and nothing on medical identity theft. It includes statements the record does not support ("retained external consultants" for an independent assessment, "supplementary training," "has reported this incident to [regulators]," "exfiltration... limited in scope," "nationally recognized" firm, notice "out of an abundance of caution"). It carries a privileged/confidential footer, duplicates the credit-monitoring sections, and has a 2022 "JD signed" annotation.</w:t>
            </w:r>
          </w:p>
        </w:tc>
        <w:tc>
          <w:tcPr>
            <w:tcW w:type="dxa" w:w="4032"/>
          </w:tcPr>
          <w:p>
            <w:pPr>
              <w:spacing w:after="40"/>
            </w:pPr>
            <w:r/>
            <w:r>
              <w:rPr>
                <w:sz w:val="17"/>
              </w:rPr>
              <w:t>Replaced with a new plain-language draft. Statements are limited to facts in the Blackpine report and the Hale memo. The letter does not claim regulator filings or remediation steps that have not occurred (bracketed for confirmation). Leadership should choose the signatory. Vaultline is not named in the letter, to protect the reservation of rights and avoid defamation and litigation exposure. Decide whether to name it in the FAQ.</w:t>
            </w:r>
          </w:p>
        </w:tc>
      </w:tr>
      <w:tr>
        <w:tc>
          <w:tcPr>
            <w:tcW w:type="dxa" w:w="432"/>
          </w:tcPr>
          <w:p>
            <w:pPr>
              <w:spacing w:after="40"/>
            </w:pPr>
            <w:r/>
            <w:r>
              <w:rPr>
                <w:sz w:val="17"/>
              </w:rPr>
              <w:t>15</w:t>
            </w:r>
          </w:p>
        </w:tc>
        <w:tc>
          <w:tcPr>
            <w:tcW w:type="dxa" w:w="4896"/>
          </w:tcPr>
          <w:p>
            <w:pPr>
              <w:spacing w:after="40"/>
            </w:pPr>
            <w:r/>
            <w:r>
              <w:rPr>
                <w:b/>
                <w:sz w:val="17"/>
              </w:rPr>
              <w:t>Statements that create litigation exposure.</w:t>
            </w:r>
            <w:r>
              <w:rPr>
                <w:sz w:val="17"/>
              </w:rPr>
              <w:t xml:space="preserve"> Blackpine warns that no dark-web hits does not mean the data has not been misused (§ VII.C). "No evidence of misuse" language invites challenge.</w:t>
            </w:r>
          </w:p>
        </w:tc>
        <w:tc>
          <w:tcPr>
            <w:tcW w:type="dxa" w:w="4032"/>
          </w:tcPr>
          <w:p>
            <w:pPr>
              <w:spacing w:after="40"/>
            </w:pPr>
            <w:r/>
            <w:r>
              <w:rPr>
                <w:sz w:val="17"/>
              </w:rPr>
              <w:t>The draft says only that no posting or sale has been found "as of the date of this letter" and urges protective steps. The FAQ and call-center scripts should use the same wording.</w:t>
            </w:r>
          </w:p>
        </w:tc>
      </w:tr>
    </w:tbl>
    <w:p>
      <w:pPr>
        <w:pStyle w:val="Heading2"/>
      </w:pPr>
      <w:r>
        <w:t>5. Items to Confirm Before the Letter Is Final</w:t>
      </w:r>
    </w:p>
    <w:p>
      <w:pPr>
        <w:pStyle w:val="ListBullet"/>
        <w:spacing w:after="60"/>
      </w:pPr>
      <w:r>
        <w:t>Discovery-date decision and a revised mailing date (and mailing waves), by June 4.</w:t>
      </w:r>
    </w:p>
    <w:p>
      <w:pPr>
        <w:pStyle w:val="ListBullet"/>
        <w:spacing w:after="60"/>
      </w:pPr>
      <w:r>
        <w:t>BAA delegation or authorization and letter approval from each of the 47 hospitals. Also each hospital's name and logo and its own affected count.</w:t>
      </w:r>
    </w:p>
    <w:p>
      <w:pPr>
        <w:pStyle w:val="ListBullet"/>
        <w:spacing w:after="60"/>
      </w:pPr>
      <w:r>
        <w:t>Call-center hours and operator, incident website URL, signatory, and return-mail address.</w:t>
      </w:r>
    </w:p>
    <w:p>
      <w:pPr>
        <w:pStyle w:val="ListBullet"/>
        <w:spacing w:after="60"/>
      </w:pPr>
      <w:r>
        <w:t>Overwatch service features (one or three bureaus, insurance amount, restoration), the minor product, whether a credit card is needed to enroll, and the enrollment dates for each wave.</w:t>
      </w:r>
    </w:p>
    <w:p>
      <w:pPr>
        <w:pStyle w:val="ListBullet"/>
        <w:spacing w:after="60"/>
      </w:pPr>
      <w:r>
        <w:t>That the HHS, state AG/regulator, CRA, and media notices are filed or issued at the same time as the mailing, so the bracketed regulator statement in the letter is true when it is mailed.</w:t>
      </w:r>
    </w:p>
    <w:p>
      <w:pPr>
        <w:pStyle w:val="ListBullet"/>
        <w:spacing w:after="60"/>
      </w:pPr>
      <w:r>
        <w:t>Updated budget ($5,341,800 at full enrollment) and corrected figures in the matrix Executive Summary.</w:t>
      </w:r>
    </w:p>
    <w:p>
      <w:pPr>
        <w:spacing w:before="120"/>
      </w:pPr>
      <w:r>
        <w:rPr>
          <w:sz w:val="19"/>
        </w:rPr>
        <w:t>Attachment: notification-letter-draft.docx</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Thornfield &amp; Reeves LLP - Draft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color w:val="C00000"/>
        <w:sz w:val="16"/>
      </w:rPr>
      <w:t>PRIVILEGED &amp; CONFIDENTIAL - ATTORNEY-CLIENT COMMUNICATION / ATTORNEY WORK PRODUCT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