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18"/>
        </w:rPr>
        <w:t>PRIVILEGED &amp; CONFIDENTIAL — ATTORNEY WORK PRODUCT</w:t>
      </w:r>
    </w:p>
    <w:p>
      <w:pPr>
        <w:spacing w:after="40"/>
        <w:jc w:val="center"/>
      </w:pPr>
      <w:r>
        <w:rPr>
          <w:b/>
          <w:i w:val="0"/>
          <w:sz w:val="32"/>
        </w:rPr>
        <w:t>TERM SHEET vs. DRAFT STOCK PURCHASE AGREEMENT</w:t>
      </w:r>
    </w:p>
    <w:p>
      <w:pPr>
        <w:spacing w:after="200"/>
        <w:jc w:val="center"/>
      </w:pPr>
      <w:r>
        <w:rPr>
          <w:b/>
          <w:i w:val="0"/>
          <w:sz w:val="24"/>
        </w:rPr>
        <w:t>Deviation Report — Kaleidoscope Robotics, Inc. Series B Preferred Stock Financing</w:t>
      </w:r>
    </w:p>
    <w:tbl>
      <w:tblPr>
        <w:tblStyle w:val="TableGrid"/>
        <w:tblW w:type="auto" w:w="0"/>
        <w:tblLook w:firstColumn="1" w:firstRow="1" w:lastColumn="0" w:lastRow="0" w:noHBand="0" w:noVBand="1" w:val="04A0"/>
      </w:tblPr>
      <w:tblGrid>
        <w:gridCol w:w="4968"/>
        <w:gridCol w:w="4968"/>
      </w:tblGrid>
      <w:tr>
        <w:tc>
          <w:tcPr>
            <w:tcW w:type="dxa" w:w="2160"/>
            <w:shd w:val="clear" w:color="auto" w:fill="D9E2F3"/>
          </w:tcPr>
          <w:p>
            <w:r/>
            <w:r>
              <w:rPr>
                <w:b/>
                <w:sz w:val="18"/>
              </w:rPr>
              <w:t>To</w:t>
            </w:r>
          </w:p>
        </w:tc>
        <w:tc>
          <w:tcPr>
            <w:tcW w:type="dxa" w:w="7776"/>
          </w:tcPr>
          <w:p>
            <w:r/>
            <w:r>
              <w:rPr>
                <w:b w:val="0"/>
                <w:sz w:val="18"/>
              </w:rPr>
              <w:t>Helen Tsao, Partner, Pemberton Stone LLP (counsel to the Investors)</w:t>
            </w:r>
          </w:p>
        </w:tc>
      </w:tr>
      <w:tr>
        <w:tc>
          <w:tcPr>
            <w:tcW w:type="dxa" w:w="2160"/>
            <w:shd w:val="clear" w:color="auto" w:fill="D9E2F3"/>
          </w:tcPr>
          <w:p>
            <w:r/>
            <w:r>
              <w:rPr>
                <w:b/>
                <w:sz w:val="18"/>
              </w:rPr>
              <w:t>Client(s)</w:t>
            </w:r>
          </w:p>
        </w:tc>
        <w:tc>
          <w:tcPr>
            <w:tcW w:type="dxa" w:w="7776"/>
          </w:tcPr>
          <w:p>
            <w:r/>
            <w:r>
              <w:rPr>
                <w:b w:val="0"/>
                <w:sz w:val="18"/>
              </w:rPr>
              <w:t>Orchard Hill Ventures Fund IV, L.P. (Lead Investor); Cascade Point Capital, LLC; Ridgeway Growth Partners, LP</w:t>
            </w:r>
          </w:p>
        </w:tc>
      </w:tr>
      <w:tr>
        <w:tc>
          <w:tcPr>
            <w:tcW w:type="dxa" w:w="2160"/>
            <w:shd w:val="clear" w:color="auto" w:fill="D9E2F3"/>
          </w:tcPr>
          <w:p>
            <w:r/>
            <w:r>
              <w:rPr>
                <w:b/>
                <w:sz w:val="18"/>
              </w:rPr>
              <w:t>Re</w:t>
            </w:r>
          </w:p>
        </w:tc>
        <w:tc>
          <w:tcPr>
            <w:tcW w:type="dxa" w:w="7776"/>
          </w:tcPr>
          <w:p>
            <w:r/>
            <w:r>
              <w:rPr>
                <w:b w:val="0"/>
                <w:sz w:val="18"/>
              </w:rPr>
              <w:t>Comparison of the executed Series B Term Sheet dated January 15, 2025 against the Whitfield &amp; Crane LLP draft Series B Preferred Stock Purchase Agreement dated February 12, 2025, with Exhibits A (Restated Certificate), B (Investors’ Rights Agreement), C (Voting Agreement), D (ROFR and Co-Sale Agreement), E (Founder Stock Restriction Agreement), F (Opinion), G (Secretary’s Certificate) and H (Management Rights Letter)</w:t>
            </w:r>
          </w:p>
        </w:tc>
      </w:tr>
      <w:tr>
        <w:tc>
          <w:tcPr>
            <w:tcW w:type="dxa" w:w="2160"/>
            <w:shd w:val="clear" w:color="auto" w:fill="D9E2F3"/>
          </w:tcPr>
          <w:p>
            <w:r/>
            <w:r>
              <w:rPr>
                <w:b/>
                <w:sz w:val="18"/>
              </w:rPr>
              <w:t>Documents reviewed</w:t>
            </w:r>
          </w:p>
        </w:tc>
        <w:tc>
          <w:tcPr>
            <w:tcW w:type="dxa" w:w="7776"/>
          </w:tcPr>
          <w:p>
            <w:r/>
            <w:r>
              <w:rPr>
                <w:b w:val="0"/>
                <w:sz w:val="18"/>
              </w:rPr>
              <w:t>series-b-term-sheet.docx; draft-spa.docx (consolidated SPA and exhibits); cap-table.xlsx (Pre-Series B, Pro Forma Post-Series B, Option Pool Detail); company-counsel-email.eml (J. Rafferty to H. Tsao, Feb. 12, 2025)</w:t>
            </w:r>
          </w:p>
        </w:tc>
      </w:tr>
      <w:tr>
        <w:tc>
          <w:tcPr>
            <w:tcW w:type="dxa" w:w="2160"/>
            <w:shd w:val="clear" w:color="auto" w:fill="D9E2F3"/>
          </w:tcPr>
          <w:p>
            <w:r/>
            <w:r>
              <w:rPr>
                <w:b/>
                <w:sz w:val="18"/>
              </w:rPr>
              <w:t>Key dates</w:t>
            </w:r>
          </w:p>
        </w:tc>
        <w:tc>
          <w:tcPr>
            <w:tcW w:type="dxa" w:w="7776"/>
          </w:tcPr>
          <w:p>
            <w:r/>
            <w:r>
              <w:rPr>
                <w:b w:val="0"/>
                <w:sz w:val="18"/>
              </w:rPr>
              <w:t>Markup requested by Fri., Feb. 21, 2025; target signing Feb. 28, 2025; exclusivity expires Mar. 1, 2025; target closing Mar. 14, 2025; Outside Date Apr. 15, 2025</w:t>
            </w:r>
          </w:p>
        </w:tc>
      </w:tr>
    </w:tbl>
    <w:p/>
    <w:p>
      <w:pPr>
        <w:pStyle w:val="Heading1"/>
      </w:pPr>
      <w:r>
        <w:t>1. Executive Summary</w:t>
      </w:r>
    </w:p>
    <w:p>
      <w:pPr>
        <w:spacing w:after="80"/>
      </w:pPr>
      <w:r>
        <w:rPr>
          <w:b w:val="0"/>
          <w:i w:val="0"/>
        </w:rPr>
        <w:t>Company counsel’s transmittal email says the draft “reflects the agreed term sheet with standard NVCA model language,” with only “a few provisions … refined to reflect current market practice” and to address “mechanical and administrative matters.” That description is not accurate. The draft departs from the executed term sheet on several core economic and governance terms, omits several bargained-for protections, and contains material arithmetic and drafting errors, some of which are carried over from the term sheet itself. Some deviations favor the Investors (for example, participation, a higher expense cap and a lower S-3 threshold). We flag those as well: they depart from the agreed deal, will likely be reversed, and accepting them silently risks a re-trade and delay to the Feb. 28 signing.</w:t>
      </w:r>
    </w:p>
    <w:p>
      <w:pPr>
        <w:spacing w:after="80"/>
      </w:pPr>
      <w:r>
        <w:rPr>
          <w:b/>
          <w:i w:val="0"/>
        </w:rPr>
        <w:t>Most significant issues (Critical):</w:t>
      </w:r>
    </w:p>
    <w:p>
      <w:pPr>
        <w:pStyle w:val="ListBullet"/>
        <w:spacing w:after="40"/>
      </w:pPr>
      <w:r>
        <w:rPr>
          <w:b/>
        </w:rPr>
        <w:t>E-1 Price per share / option pool “pre-money” mechanics:</w:t>
      </w:r>
      <w:r>
        <w:t xml:space="preserve"> The SPA carries forward a mathematical defect in the term sheet and, in doing so, shifts pool dilution onto the Series B.</w:t>
      </w:r>
    </w:p>
    <w:p>
      <w:pPr>
        <w:pStyle w:val="ListBullet"/>
        <w:spacing w:after="40"/>
      </w:pPr>
      <w:r>
        <w:rPr>
          <w:b/>
        </w:rPr>
        <w:t>E-3 Liquidation priority: Series B senior vs. pari passu:</w:t>
      </w:r>
      <w:r>
        <w:t xml:space="preserve"> This reverses the agreed seniority.</w:t>
      </w:r>
    </w:p>
    <w:p>
      <w:pPr>
        <w:pStyle w:val="ListBullet"/>
        <w:spacing w:after="40"/>
      </w:pPr>
      <w:r>
        <w:rPr>
          <w:b/>
        </w:rPr>
        <w:t>E-4 Participation: non-participating vs. capped participating:</w:t>
      </w:r>
      <w:r>
        <w:t xml:space="preserve"> This is a material departure from the agreed structure.</w:t>
      </w:r>
    </w:p>
    <w:p>
      <w:pPr>
        <w:pStyle w:val="ListBullet"/>
        <w:spacing w:after="40"/>
      </w:pPr>
      <w:r>
        <w:rPr>
          <w:b/>
        </w:rPr>
        <w:t>E-6 Automatic conversion: Qualified IPO thresholds:</w:t>
      </w:r>
      <w:r>
        <w:t xml:space="preserve"> Lowering both thresholds lets the Company force conversion, and so wipe out the Series B preference and protective provisions, in a smaller IPO at a lower price than agreed.</w:t>
      </w:r>
    </w:p>
    <w:p>
      <w:pPr>
        <w:pStyle w:val="ListBullet"/>
        <w:spacing w:after="40"/>
      </w:pPr>
      <w:r>
        <w:rPr>
          <w:b/>
        </w:rPr>
        <w:t>G-4 Protective provisions: Deemed Liquidation Event veto:</w:t>
      </w:r>
      <w:r>
        <w:t xml:space="preserve"> The proviso largely removes the M&amp;A veto.</w:t>
      </w:r>
    </w:p>
    <w:p>
      <w:pPr>
        <w:pStyle w:val="ListBullet"/>
        <w:spacing w:after="40"/>
      </w:pPr>
      <w:r>
        <w:rPr>
          <w:b/>
        </w:rPr>
        <w:t>G-9 Drag-along approval:</w:t>
      </w:r>
      <w:r>
        <w:t xml:space="preserve"> The draft lets the Preferred alone drag the Common, and at a lower threshold.</w:t>
      </w:r>
    </w:p>
    <w:p>
      <w:pPr>
        <w:spacing w:after="80"/>
      </w:pPr>
      <w:r>
        <w:rPr>
          <w:b/>
          <w:i w:val="0"/>
        </w:rPr>
        <w:t>Other high-priority issues (High):</w:t>
      </w:r>
    </w:p>
    <w:p>
      <w:pPr>
        <w:pStyle w:val="ListBullet"/>
        <w:spacing w:after="40"/>
      </w:pPr>
      <w:r>
        <w:rPr>
          <w:b/>
        </w:rPr>
        <w:t>E-2 Per-investor share allocation and aggregate purchase price</w:t>
      </w:r>
      <w:r/>
    </w:p>
    <w:p>
      <w:pPr>
        <w:pStyle w:val="ListBullet"/>
        <w:spacing w:after="40"/>
      </w:pPr>
      <w:r>
        <w:rPr>
          <w:b/>
        </w:rPr>
        <w:t>E-5 Dividend priority</w:t>
      </w:r>
      <w:r/>
    </w:p>
    <w:p>
      <w:pPr>
        <w:pStyle w:val="ListBullet"/>
        <w:spacing w:after="40"/>
      </w:pPr>
      <w:r>
        <w:rPr>
          <w:b/>
        </w:rPr>
        <w:t>G-1 Protective provisions: approval threshold</w:t>
      </w:r>
      <w:r/>
    </w:p>
    <w:p>
      <w:pPr>
        <w:pStyle w:val="ListBullet"/>
        <w:spacing w:after="40"/>
      </w:pPr>
      <w:r>
        <w:rPr>
          <w:b/>
        </w:rPr>
        <w:t>G-2 Protective provisions: debt incurrence</w:t>
      </w:r>
      <w:r/>
    </w:p>
    <w:p>
      <w:pPr>
        <w:pStyle w:val="ListBullet"/>
        <w:spacing w:after="40"/>
      </w:pPr>
      <w:r>
        <w:rPr>
          <w:b/>
        </w:rPr>
        <w:t>G-3 Protective provisions: related-party transactions</w:t>
      </w:r>
      <w:r/>
    </w:p>
    <w:p>
      <w:pPr>
        <w:pStyle w:val="ListBullet"/>
        <w:spacing w:after="40"/>
      </w:pPr>
      <w:r>
        <w:rPr>
          <w:b/>
        </w:rPr>
        <w:t>G-7 Board composition</w:t>
      </w:r>
      <w:r/>
    </w:p>
    <w:p>
      <w:pPr>
        <w:pStyle w:val="ListBullet"/>
        <w:spacing w:after="40"/>
      </w:pPr>
      <w:r>
        <w:rPr>
          <w:b/>
        </w:rPr>
        <w:t>R-1 Preemptive right (right of first refusal on new issuances)</w:t>
      </w:r>
      <w:r/>
    </w:p>
    <w:p>
      <w:pPr>
        <w:pStyle w:val="ListBullet"/>
        <w:spacing w:after="40"/>
      </w:pPr>
      <w:r>
        <w:rPr>
          <w:b/>
        </w:rPr>
        <w:t>R-6 Company lock-up vs. holder lock-up</w:t>
      </w:r>
      <w:r/>
    </w:p>
    <w:p>
      <w:pPr>
        <w:pStyle w:val="ListBullet"/>
        <w:spacing w:after="40"/>
      </w:pPr>
      <w:r>
        <w:rPr>
          <w:b/>
        </w:rPr>
        <w:t>F-2 Double-trigger window</w:t>
      </w:r>
      <w:r/>
    </w:p>
    <w:p>
      <w:pPr>
        <w:pStyle w:val="ListBullet"/>
        <w:spacing w:after="40"/>
      </w:pPr>
      <w:r>
        <w:rPr>
          <w:b/>
        </w:rPr>
        <w:t>F-3 Vesting schedule mechanics</w:t>
      </w:r>
      <w:r/>
    </w:p>
    <w:p>
      <w:pPr>
        <w:pStyle w:val="ListBullet"/>
        <w:spacing w:after="40"/>
      </w:pPr>
      <w:r>
        <w:rPr>
          <w:b/>
        </w:rPr>
        <w:t>C-7 Supersession of binding term sheet provisions (exclusivity, confidentiality)</w:t>
      </w:r>
      <w:r/>
    </w:p>
    <w:p>
      <w:pPr>
        <w:pStyle w:val="ListBullet"/>
        <w:spacing w:after="40"/>
      </w:pPr>
      <w:r>
        <w:rPr>
          <w:b/>
        </w:rPr>
        <w:t>O-4 Capitalization representations and schedules</w:t>
      </w:r>
      <w:r/>
    </w:p>
    <w:p>
      <w:pPr>
        <w:spacing w:after="80"/>
      </w:pPr>
      <w:r>
        <w:rPr>
          <w:b w:val="0"/>
          <w:i/>
        </w:rPr>
        <w:t>Issue count: 44 substantive items (Critical 6; High 12; Medium 19; Low 7), plus 14 drafting and conforming items in Section 9.</w:t>
      </w:r>
    </w:p>
    <w:p>
      <w:pPr>
        <w:pStyle w:val="Heading1"/>
      </w:pPr>
      <w:r>
        <w:t>2. Severity Key and Approach</w:t>
      </w:r>
    </w:p>
    <w:p>
      <w:pPr>
        <w:pStyle w:val="ListBullet"/>
        <w:spacing w:after="40"/>
      </w:pPr>
      <w:r>
        <w:rPr>
          <w:b/>
        </w:rPr>
        <w:t>Critical:</w:t>
      </w:r>
      <w:r>
        <w:t xml:space="preserve"> Changes a core economic or control term of the executed term sheet. Must be fixed before signing.</w:t>
      </w:r>
    </w:p>
    <w:p>
      <w:pPr>
        <w:pStyle w:val="ListBullet"/>
        <w:spacing w:after="40"/>
      </w:pPr>
      <w:r>
        <w:rPr>
          <w:b/>
        </w:rPr>
        <w:t>High:</w:t>
      </w:r>
      <w:r>
        <w:t xml:space="preserve"> Material deviation or omission of a negotiated term, or an error that affects money or shares. Fix in the first markup.</w:t>
      </w:r>
    </w:p>
    <w:p>
      <w:pPr>
        <w:pStyle w:val="ListBullet"/>
        <w:spacing w:after="40"/>
      </w:pPr>
      <w:r>
        <w:rPr>
          <w:b/>
        </w:rPr>
        <w:t>Medium:</w:t>
      </w:r>
      <w:r>
        <w:t xml:space="preserve"> Deviation, gap or ambiguity that should be corrected or expressly accepted.</w:t>
      </w:r>
    </w:p>
    <w:p>
      <w:pPr>
        <w:pStyle w:val="ListBullet"/>
        <w:spacing w:after="40"/>
      </w:pPr>
      <w:r>
        <w:rPr>
          <w:b/>
        </w:rPr>
        <w:t>Low:</w:t>
      </w:r>
      <w:r>
        <w:t xml:space="preserve"> Minor, conforming or investor-favorable point. Confirm the client’s position.</w:t>
      </w:r>
    </w:p>
    <w:p>
      <w:pPr>
        <w:spacing w:after="80"/>
      </w:pPr>
      <w:r>
        <w:rPr>
          <w:b w:val="0"/>
          <w:i w:val="0"/>
        </w:rPr>
        <w:t>Method: we compared each term sheet section (§§1.1–6.5 and App. A) against the SPA and each exhibit, recomputed all share, price and percentage figures, and cross-checked the separately circulated cap table and the transmittal email. The term sheet is non-binding except §§6.2–6.4, but it is the agreed basis for the definitive documents, and its closing condition in §5.3(b) requires the Restated Certificate to reflect the Series B terms “as set forth in this term sheet.” Section references are to the draft SPA unless an exhibit is named.</w:t>
      </w:r>
    </w:p>
    <w:p>
      <w:pPr>
        <w:pStyle w:val="Heading1"/>
      </w:pPr>
      <w:r>
        <w:t>3. Key Figures Check</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D9E2F3"/>
          </w:tcPr>
          <w:p>
            <w:r/>
            <w:r>
              <w:rPr>
                <w:b/>
                <w:sz w:val="17"/>
              </w:rPr>
              <w:t>Item</w:t>
            </w:r>
          </w:p>
        </w:tc>
        <w:tc>
          <w:tcPr>
            <w:tcW w:type="dxa" w:w="2484"/>
            <w:shd w:val="clear" w:color="auto" w:fill="D9E2F3"/>
          </w:tcPr>
          <w:p>
            <w:r/>
            <w:r>
              <w:rPr>
                <w:b/>
                <w:sz w:val="17"/>
              </w:rPr>
              <w:t>Term Sheet</w:t>
            </w:r>
          </w:p>
        </w:tc>
        <w:tc>
          <w:tcPr>
            <w:tcW w:type="dxa" w:w="2484"/>
            <w:shd w:val="clear" w:color="auto" w:fill="D9E2F3"/>
          </w:tcPr>
          <w:p>
            <w:r/>
            <w:r>
              <w:rPr>
                <w:b/>
                <w:sz w:val="17"/>
              </w:rPr>
              <w:t>Draft SPA / Exhibits</w:t>
            </w:r>
          </w:p>
        </w:tc>
        <w:tc>
          <w:tcPr>
            <w:tcW w:type="dxa" w:w="2484"/>
            <w:shd w:val="clear" w:color="auto" w:fill="D9E2F3"/>
          </w:tcPr>
          <w:p>
            <w:r/>
            <w:r>
              <w:rPr>
                <w:b/>
                <w:sz w:val="17"/>
              </w:rPr>
              <w:t>Recomputed / Comment</w:t>
            </w:r>
          </w:p>
        </w:tc>
      </w:tr>
      <w:tr>
        <w:tc>
          <w:tcPr>
            <w:tcW w:type="dxa" w:w="2484"/>
          </w:tcPr>
          <w:p>
            <w:r/>
            <w:r>
              <w:rPr>
                <w:b/>
                <w:sz w:val="17"/>
              </w:rPr>
              <w:t>Aggregate proceeds</w:t>
            </w:r>
          </w:p>
        </w:tc>
        <w:tc>
          <w:tcPr>
            <w:tcW w:type="dxa" w:w="2484"/>
          </w:tcPr>
          <w:p>
            <w:r/>
            <w:r>
              <w:rPr>
                <w:b w:val="0"/>
                <w:sz w:val="17"/>
              </w:rPr>
              <w:t>$28,000,000</w:t>
            </w:r>
          </w:p>
        </w:tc>
        <w:tc>
          <w:tcPr>
            <w:tcW w:type="dxa" w:w="2484"/>
          </w:tcPr>
          <w:p>
            <w:r/>
            <w:r>
              <w:rPr>
                <w:b w:val="0"/>
                <w:sz w:val="17"/>
              </w:rPr>
              <w:t>$28,000,000 (§2.2)</w:t>
            </w:r>
          </w:p>
        </w:tc>
        <w:tc>
          <w:tcPr>
            <w:tcW w:type="dxa" w:w="2484"/>
          </w:tcPr>
          <w:p>
            <w:r/>
            <w:r>
              <w:rPr>
                <w:b w:val="0"/>
                <w:sz w:val="17"/>
              </w:rPr>
              <w:t>Stated shares × $4.1818 = $27,998,146.27</w:t>
            </w:r>
          </w:p>
        </w:tc>
      </w:tr>
      <w:tr>
        <w:tc>
          <w:tcPr>
            <w:tcW w:type="dxa" w:w="2484"/>
          </w:tcPr>
          <w:p>
            <w:r/>
            <w:r>
              <w:rPr>
                <w:b/>
                <w:sz w:val="17"/>
              </w:rPr>
              <w:t>Price per share</w:t>
            </w:r>
          </w:p>
        </w:tc>
        <w:tc>
          <w:tcPr>
            <w:tcW w:type="dxa" w:w="2484"/>
          </w:tcPr>
          <w:p>
            <w:r/>
            <w:r>
              <w:rPr>
                <w:b w:val="0"/>
                <w:sz w:val="17"/>
              </w:rPr>
              <w:t>$4.1818 ($92M ÷ 22,000,000)</w:t>
            </w:r>
          </w:p>
        </w:tc>
        <w:tc>
          <w:tcPr>
            <w:tcW w:type="dxa" w:w="2484"/>
          </w:tcPr>
          <w:p>
            <w:r/>
            <w:r>
              <w:rPr>
                <w:b w:val="0"/>
                <w:sz w:val="17"/>
              </w:rPr>
              <w:t>$4.1818 (§2.2; words say “$4.18”)</w:t>
            </w:r>
          </w:p>
        </w:tc>
        <w:tc>
          <w:tcPr>
            <w:tcW w:type="dxa" w:w="2484"/>
          </w:tcPr>
          <w:p>
            <w:r/>
            <w:r>
              <w:rPr>
                <w:b w:val="0"/>
                <w:sz w:val="17"/>
              </w:rPr>
              <w:t>Pool excluded from denominator; see E-1</w:t>
            </w:r>
          </w:p>
        </w:tc>
      </w:tr>
      <w:tr>
        <w:tc>
          <w:tcPr>
            <w:tcW w:type="dxa" w:w="2484"/>
          </w:tcPr>
          <w:p>
            <w:r/>
            <w:r>
              <w:rPr>
                <w:b/>
                <w:sz w:val="17"/>
              </w:rPr>
              <w:t>Series B shares</w:t>
            </w:r>
          </w:p>
        </w:tc>
        <w:tc>
          <w:tcPr>
            <w:tcW w:type="dxa" w:w="2484"/>
          </w:tcPr>
          <w:p>
            <w:r/>
            <w:r>
              <w:rPr>
                <w:b w:val="0"/>
                <w:sz w:val="17"/>
              </w:rPr>
              <w:t>6,695,238</w:t>
            </w:r>
          </w:p>
        </w:tc>
        <w:tc>
          <w:tcPr>
            <w:tcW w:type="dxa" w:w="2484"/>
          </w:tcPr>
          <w:p>
            <w:r/>
            <w:r>
              <w:rPr>
                <w:b w:val="0"/>
                <w:sz w:val="17"/>
              </w:rPr>
              <w:t>6,695,238 (§2.1; charter §4.1)</w:t>
            </w:r>
          </w:p>
        </w:tc>
        <w:tc>
          <w:tcPr>
            <w:tcW w:type="dxa" w:w="2484"/>
          </w:tcPr>
          <w:p>
            <w:r/>
            <w:r>
              <w:rPr>
                <w:b w:val="0"/>
                <w:sz w:val="17"/>
              </w:rPr>
              <w:t>At $4.1818: 6,695,679 (4,304,366 / 1,434,788 / 956,525)</w:t>
            </w:r>
          </w:p>
        </w:tc>
      </w:tr>
      <w:tr>
        <w:tc>
          <w:tcPr>
            <w:tcW w:type="dxa" w:w="2484"/>
          </w:tcPr>
          <w:p>
            <w:r/>
            <w:r>
              <w:rPr>
                <w:b/>
                <w:sz w:val="17"/>
              </w:rPr>
              <w:t>Post-money FD shares</w:t>
            </w:r>
          </w:p>
        </w:tc>
        <w:tc>
          <w:tcPr>
            <w:tcW w:type="dxa" w:w="2484"/>
          </w:tcPr>
          <w:p>
            <w:r/>
            <w:r>
              <w:rPr>
                <w:b w:val="0"/>
                <w:sz w:val="17"/>
              </w:rPr>
              <w:t>28,695,238</w:t>
            </w:r>
          </w:p>
        </w:tc>
        <w:tc>
          <w:tcPr>
            <w:tcW w:type="dxa" w:w="2484"/>
          </w:tcPr>
          <w:p>
            <w:r/>
            <w:r>
              <w:rPr>
                <w:b w:val="0"/>
                <w:sz w:val="17"/>
              </w:rPr>
              <w:t>28,695,238 (§2.4, Sched. 2 Pt C) and 32,149,524 (Sched. 2 Pt B)</w:t>
            </w:r>
          </w:p>
        </w:tc>
        <w:tc>
          <w:tcPr>
            <w:tcW w:type="dxa" w:w="2484"/>
          </w:tcPr>
          <w:p>
            <w:r/>
            <w:r>
              <w:rPr>
                <w:b w:val="0"/>
                <w:sz w:val="17"/>
              </w:rPr>
              <w:t>Actual: 32,149,524. Cap table xlsx shows 33,699,524 (wrong)</w:t>
            </w:r>
          </w:p>
        </w:tc>
      </w:tr>
      <w:tr>
        <w:tc>
          <w:tcPr>
            <w:tcW w:type="dxa" w:w="2484"/>
          </w:tcPr>
          <w:p>
            <w:r/>
            <w:r>
              <w:rPr>
                <w:b/>
                <w:sz w:val="17"/>
              </w:rPr>
              <w:t>Unallocated pool post-closing</w:t>
            </w:r>
          </w:p>
        </w:tc>
        <w:tc>
          <w:tcPr>
            <w:tcW w:type="dxa" w:w="2484"/>
          </w:tcPr>
          <w:p>
            <w:r/>
            <w:r>
              <w:rPr>
                <w:b w:val="0"/>
                <w:sz w:val="17"/>
              </w:rPr>
              <w:t>4,304,286 = 15% post</w:t>
            </w:r>
          </w:p>
        </w:tc>
        <w:tc>
          <w:tcPr>
            <w:tcW w:type="dxa" w:w="2484"/>
          </w:tcPr>
          <w:p>
            <w:r/>
            <w:r>
              <w:rPr>
                <w:b w:val="0"/>
                <w:sz w:val="17"/>
              </w:rPr>
              <w:t>4,304,286, “approximately 15%” (§4.3(f))</w:t>
            </w:r>
          </w:p>
        </w:tc>
        <w:tc>
          <w:tcPr>
            <w:tcW w:type="dxa" w:w="2484"/>
          </w:tcPr>
          <w:p>
            <w:r/>
            <w:r>
              <w:rPr>
                <w:b w:val="0"/>
                <w:sz w:val="17"/>
              </w:rPr>
              <w:t>13.39% of 32,149,524</w:t>
            </w:r>
          </w:p>
        </w:tc>
      </w:tr>
      <w:tr>
        <w:tc>
          <w:tcPr>
            <w:tcW w:type="dxa" w:w="2484"/>
          </w:tcPr>
          <w:p>
            <w:r/>
            <w:r>
              <w:rPr>
                <w:b/>
                <w:sz w:val="17"/>
              </w:rPr>
              <w:t>Series B % FD</w:t>
            </w:r>
          </w:p>
        </w:tc>
        <w:tc>
          <w:tcPr>
            <w:tcW w:type="dxa" w:w="2484"/>
          </w:tcPr>
          <w:p>
            <w:r/>
            <w:r>
              <w:rPr>
                <w:b w:val="0"/>
                <w:sz w:val="17"/>
              </w:rPr>
              <w:t>23.3% (App. A)</w:t>
            </w:r>
          </w:p>
        </w:tc>
        <w:tc>
          <w:tcPr>
            <w:tcW w:type="dxa" w:w="2484"/>
          </w:tcPr>
          <w:p>
            <w:r/>
            <w:r>
              <w:rPr>
                <w:b w:val="0"/>
                <w:sz w:val="17"/>
              </w:rPr>
              <w:t>Not stated</w:t>
            </w:r>
          </w:p>
        </w:tc>
        <w:tc>
          <w:tcPr>
            <w:tcW w:type="dxa" w:w="2484"/>
          </w:tcPr>
          <w:p>
            <w:r/>
            <w:r>
              <w:rPr>
                <w:b w:val="0"/>
                <w:sz w:val="17"/>
              </w:rPr>
              <w:t>20.83% of 32,149,524</w:t>
            </w:r>
          </w:p>
        </w:tc>
      </w:tr>
      <w:tr>
        <w:tc>
          <w:tcPr>
            <w:tcW w:type="dxa" w:w="2484"/>
          </w:tcPr>
          <w:p>
            <w:r/>
            <w:r>
              <w:rPr>
                <w:b/>
                <w:sz w:val="17"/>
              </w:rPr>
              <w:t>Effective valuation at $4.1818</w:t>
            </w:r>
          </w:p>
        </w:tc>
        <w:tc>
          <w:tcPr>
            <w:tcW w:type="dxa" w:w="2484"/>
          </w:tcPr>
          <w:p>
            <w:r/>
            <w:r>
              <w:rPr>
                <w:b w:val="0"/>
                <w:sz w:val="17"/>
              </w:rPr>
              <w:t>$92M pre / $120M post</w:t>
            </w:r>
          </w:p>
        </w:tc>
        <w:tc>
          <w:tcPr>
            <w:tcW w:type="dxa" w:w="2484"/>
          </w:tcPr>
          <w:p>
            <w:r/>
            <w:r>
              <w:rPr>
                <w:b w:val="0"/>
                <w:sz w:val="17"/>
              </w:rPr>
              <w:t>$92M pre / $120M post (§2.4)</w:t>
            </w:r>
          </w:p>
        </w:tc>
        <w:tc>
          <w:tcPr>
            <w:tcW w:type="dxa" w:w="2484"/>
          </w:tcPr>
          <w:p>
            <w:r/>
            <w:r>
              <w:rPr>
                <w:b w:val="0"/>
                <w:sz w:val="17"/>
              </w:rPr>
              <w:t>About $106.4M pre / $134.4M post on the actual FD</w:t>
            </w:r>
          </w:p>
        </w:tc>
      </w:tr>
      <w:tr>
        <w:tc>
          <w:tcPr>
            <w:tcW w:type="dxa" w:w="2484"/>
          </w:tcPr>
          <w:p>
            <w:r/>
            <w:r>
              <w:rPr>
                <w:b/>
                <w:sz w:val="17"/>
              </w:rPr>
              <w:t>Liquidation preference</w:t>
            </w:r>
          </w:p>
        </w:tc>
        <w:tc>
          <w:tcPr>
            <w:tcW w:type="dxa" w:w="2484"/>
          </w:tcPr>
          <w:p>
            <w:r/>
            <w:r>
              <w:rPr>
                <w:b w:val="0"/>
                <w:sz w:val="17"/>
              </w:rPr>
              <w:t>1x, senior, non-participating</w:t>
            </w:r>
          </w:p>
        </w:tc>
        <w:tc>
          <w:tcPr>
            <w:tcW w:type="dxa" w:w="2484"/>
          </w:tcPr>
          <w:p>
            <w:r/>
            <w:r>
              <w:rPr>
                <w:b w:val="0"/>
                <w:sz w:val="17"/>
              </w:rPr>
              <w:t>1x, pari passu with A, participating to 3x</w:t>
            </w:r>
          </w:p>
        </w:tc>
        <w:tc>
          <w:tcPr>
            <w:tcW w:type="dxa" w:w="2484"/>
          </w:tcPr>
          <w:p>
            <w:r/>
            <w:r>
              <w:rPr>
                <w:b w:val="0"/>
                <w:sz w:val="17"/>
              </w:rPr>
              <w:t>Critical deviation (E-3, E-4)</w:t>
            </w:r>
          </w:p>
        </w:tc>
      </w:tr>
      <w:tr>
        <w:tc>
          <w:tcPr>
            <w:tcW w:type="dxa" w:w="2484"/>
          </w:tcPr>
          <w:p>
            <w:r/>
            <w:r>
              <w:rPr>
                <w:b/>
                <w:sz w:val="17"/>
              </w:rPr>
              <w:t>Qualified IPO</w:t>
            </w:r>
          </w:p>
        </w:tc>
        <w:tc>
          <w:tcPr>
            <w:tcW w:type="dxa" w:w="2484"/>
          </w:tcPr>
          <w:p>
            <w:r/>
            <w:r>
              <w:rPr>
                <w:b w:val="0"/>
                <w:sz w:val="17"/>
              </w:rPr>
              <w:t>≥ $12.5454 (3x) and ≥ $75M</w:t>
            </w:r>
          </w:p>
        </w:tc>
        <w:tc>
          <w:tcPr>
            <w:tcW w:type="dxa" w:w="2484"/>
          </w:tcPr>
          <w:p>
            <w:r/>
            <w:r>
              <w:rPr>
                <w:b w:val="0"/>
                <w:sz w:val="17"/>
              </w:rPr>
              <w:t>≥ $8.3636 (2x) and ≥ $50M</w:t>
            </w:r>
          </w:p>
        </w:tc>
        <w:tc>
          <w:tcPr>
            <w:tcW w:type="dxa" w:w="2484"/>
          </w:tcPr>
          <w:p>
            <w:r/>
            <w:r>
              <w:rPr>
                <w:b w:val="0"/>
                <w:sz w:val="17"/>
              </w:rPr>
              <w:t>Critical deviation (E-6)</w:t>
            </w:r>
          </w:p>
        </w:tc>
      </w:tr>
      <w:tr>
        <w:tc>
          <w:tcPr>
            <w:tcW w:type="dxa" w:w="2484"/>
          </w:tcPr>
          <w:p>
            <w:r/>
            <w:r>
              <w:rPr>
                <w:b/>
                <w:sz w:val="17"/>
              </w:rPr>
              <w:t>Protective provisions vote</w:t>
            </w:r>
          </w:p>
        </w:tc>
        <w:tc>
          <w:tcPr>
            <w:tcW w:type="dxa" w:w="2484"/>
          </w:tcPr>
          <w:p>
            <w:r/>
            <w:r>
              <w:rPr>
                <w:b w:val="0"/>
                <w:sz w:val="17"/>
              </w:rPr>
              <w:t>60% Series B</w:t>
            </w:r>
          </w:p>
        </w:tc>
        <w:tc>
          <w:tcPr>
            <w:tcW w:type="dxa" w:w="2484"/>
          </w:tcPr>
          <w:p>
            <w:r/>
            <w:r>
              <w:rPr>
                <w:b w:val="0"/>
                <w:sz w:val="17"/>
              </w:rPr>
              <w:t>Majority Series B</w:t>
            </w:r>
          </w:p>
        </w:tc>
        <w:tc>
          <w:tcPr>
            <w:tcW w:type="dxa" w:w="2484"/>
          </w:tcPr>
          <w:p>
            <w:r/>
            <w:r>
              <w:rPr>
                <w:b w:val="0"/>
                <w:sz w:val="17"/>
              </w:rPr>
              <w:t>High (G-1)</w:t>
            </w:r>
          </w:p>
        </w:tc>
      </w:tr>
      <w:tr>
        <w:tc>
          <w:tcPr>
            <w:tcW w:type="dxa" w:w="2484"/>
          </w:tcPr>
          <w:p>
            <w:r/>
            <w:r>
              <w:rPr>
                <w:b/>
                <w:sz w:val="17"/>
              </w:rPr>
              <w:t>Debt basket</w:t>
            </w:r>
          </w:p>
        </w:tc>
        <w:tc>
          <w:tcPr>
            <w:tcW w:type="dxa" w:w="2484"/>
          </w:tcPr>
          <w:p>
            <w:r/>
            <w:r>
              <w:rPr>
                <w:b w:val="0"/>
                <w:sz w:val="17"/>
              </w:rPr>
              <w:t>$2,000,000</w:t>
            </w:r>
          </w:p>
        </w:tc>
        <w:tc>
          <w:tcPr>
            <w:tcW w:type="dxa" w:w="2484"/>
          </w:tcPr>
          <w:p>
            <w:r/>
            <w:r>
              <w:rPr>
                <w:b w:val="0"/>
                <w:sz w:val="17"/>
              </w:rPr>
              <w:t>$4,000,000 (borrowed money only)</w:t>
            </w:r>
          </w:p>
        </w:tc>
        <w:tc>
          <w:tcPr>
            <w:tcW w:type="dxa" w:w="2484"/>
          </w:tcPr>
          <w:p>
            <w:r/>
            <w:r>
              <w:rPr>
                <w:b w:val="0"/>
                <w:sz w:val="17"/>
              </w:rPr>
              <w:t>High (G-2)</w:t>
            </w:r>
          </w:p>
        </w:tc>
      </w:tr>
      <w:tr>
        <w:tc>
          <w:tcPr>
            <w:tcW w:type="dxa" w:w="2484"/>
          </w:tcPr>
          <w:p>
            <w:r/>
            <w:r>
              <w:rPr>
                <w:b/>
                <w:sz w:val="17"/>
              </w:rPr>
              <w:t>Board</w:t>
            </w:r>
          </w:p>
        </w:tc>
        <w:tc>
          <w:tcPr>
            <w:tcW w:type="dxa" w:w="2484"/>
          </w:tcPr>
          <w:p>
            <w:r/>
            <w:r>
              <w:rPr>
                <w:b w:val="0"/>
                <w:sz w:val="17"/>
              </w:rPr>
              <w:t>7 (2B / 1A / 2C / 2 Ind.)</w:t>
            </w:r>
          </w:p>
        </w:tc>
        <w:tc>
          <w:tcPr>
            <w:tcW w:type="dxa" w:w="2484"/>
          </w:tcPr>
          <w:p>
            <w:r/>
            <w:r>
              <w:rPr>
                <w:b w:val="0"/>
                <w:sz w:val="17"/>
              </w:rPr>
              <w:t>6 (2B / 1A / 2C / 1 Ind.)</w:t>
            </w:r>
          </w:p>
        </w:tc>
        <w:tc>
          <w:tcPr>
            <w:tcW w:type="dxa" w:w="2484"/>
          </w:tcPr>
          <w:p>
            <w:r/>
            <w:r>
              <w:rPr>
                <w:b w:val="0"/>
                <w:sz w:val="17"/>
              </w:rPr>
              <w:t>High (G-7)</w:t>
            </w:r>
          </w:p>
        </w:tc>
      </w:tr>
      <w:tr>
        <w:tc>
          <w:tcPr>
            <w:tcW w:type="dxa" w:w="2484"/>
          </w:tcPr>
          <w:p>
            <w:r/>
            <w:r>
              <w:rPr>
                <w:b/>
                <w:sz w:val="17"/>
              </w:rPr>
              <w:t>Drag-along trigger</w:t>
            </w:r>
          </w:p>
        </w:tc>
        <w:tc>
          <w:tcPr>
            <w:tcW w:type="dxa" w:w="2484"/>
          </w:tcPr>
          <w:p>
            <w:r/>
            <w:r>
              <w:rPr>
                <w:b w:val="0"/>
                <w:sz w:val="17"/>
              </w:rPr>
              <w:t>Majority Common AND 60% Preferred</w:t>
            </w:r>
          </w:p>
        </w:tc>
        <w:tc>
          <w:tcPr>
            <w:tcW w:type="dxa" w:w="2484"/>
          </w:tcPr>
          <w:p>
            <w:r/>
            <w:r>
              <w:rPr>
                <w:b w:val="0"/>
                <w:sz w:val="17"/>
              </w:rPr>
              <w:t>Majority Preferred only</w:t>
            </w:r>
          </w:p>
        </w:tc>
        <w:tc>
          <w:tcPr>
            <w:tcW w:type="dxa" w:w="2484"/>
          </w:tcPr>
          <w:p>
            <w:r/>
            <w:r>
              <w:rPr>
                <w:b w:val="0"/>
                <w:sz w:val="17"/>
              </w:rPr>
              <w:t>Critical (G-9)</w:t>
            </w:r>
          </w:p>
        </w:tc>
      </w:tr>
      <w:tr>
        <w:tc>
          <w:tcPr>
            <w:tcW w:type="dxa" w:w="2484"/>
          </w:tcPr>
          <w:p>
            <w:r/>
            <w:r>
              <w:rPr>
                <w:b/>
                <w:sz w:val="17"/>
              </w:rPr>
              <w:t>Double-trigger window</w:t>
            </w:r>
          </w:p>
        </w:tc>
        <w:tc>
          <w:tcPr>
            <w:tcW w:type="dxa" w:w="2484"/>
          </w:tcPr>
          <w:p>
            <w:r/>
            <w:r>
              <w:rPr>
                <w:b w:val="0"/>
                <w:sz w:val="17"/>
              </w:rPr>
              <w:t>12 months</w:t>
            </w:r>
          </w:p>
        </w:tc>
        <w:tc>
          <w:tcPr>
            <w:tcW w:type="dxa" w:w="2484"/>
          </w:tcPr>
          <w:p>
            <w:r/>
            <w:r>
              <w:rPr>
                <w:b w:val="0"/>
                <w:sz w:val="17"/>
              </w:rPr>
              <w:t>24 months</w:t>
            </w:r>
          </w:p>
        </w:tc>
        <w:tc>
          <w:tcPr>
            <w:tcW w:type="dxa" w:w="2484"/>
          </w:tcPr>
          <w:p>
            <w:r/>
            <w:r>
              <w:rPr>
                <w:b w:val="0"/>
                <w:sz w:val="17"/>
              </w:rPr>
              <w:t>High (F-2)</w:t>
            </w:r>
          </w:p>
        </w:tc>
      </w:tr>
      <w:tr>
        <w:tc>
          <w:tcPr>
            <w:tcW w:type="dxa" w:w="2484"/>
          </w:tcPr>
          <w:p>
            <w:r/>
            <w:r>
              <w:rPr>
                <w:b/>
                <w:sz w:val="17"/>
              </w:rPr>
              <w:t>Single-trigger acceleration</w:t>
            </w:r>
          </w:p>
        </w:tc>
        <w:tc>
          <w:tcPr>
            <w:tcW w:type="dxa" w:w="2484"/>
          </w:tcPr>
          <w:p>
            <w:r/>
            <w:r>
              <w:rPr>
                <w:b w:val="0"/>
                <w:sz w:val="17"/>
              </w:rPr>
              <w:t>25% of unvested</w:t>
            </w:r>
          </w:p>
        </w:tc>
        <w:tc>
          <w:tcPr>
            <w:tcW w:type="dxa" w:w="2484"/>
          </w:tcPr>
          <w:p>
            <w:r/>
            <w:r>
              <w:rPr>
                <w:b w:val="0"/>
                <w:sz w:val="17"/>
              </w:rPr>
              <w:t>Omitted</w:t>
            </w:r>
          </w:p>
        </w:tc>
        <w:tc>
          <w:tcPr>
            <w:tcW w:type="dxa" w:w="2484"/>
          </w:tcPr>
          <w:p>
            <w:r/>
            <w:r>
              <w:rPr>
                <w:b w:val="0"/>
                <w:sz w:val="17"/>
              </w:rPr>
              <w:t>Medium (F-1)</w:t>
            </w:r>
          </w:p>
        </w:tc>
      </w:tr>
      <w:tr>
        <w:tc>
          <w:tcPr>
            <w:tcW w:type="dxa" w:w="2484"/>
          </w:tcPr>
          <w:p>
            <w:r/>
            <w:r>
              <w:rPr>
                <w:b/>
                <w:sz w:val="17"/>
              </w:rPr>
              <w:t>Lead Investor expense cap</w:t>
            </w:r>
          </w:p>
        </w:tc>
        <w:tc>
          <w:tcPr>
            <w:tcW w:type="dxa" w:w="2484"/>
          </w:tcPr>
          <w:p>
            <w:r/>
            <w:r>
              <w:rPr>
                <w:b w:val="0"/>
                <w:sz w:val="17"/>
              </w:rPr>
              <w:t>$75,000</w:t>
            </w:r>
          </w:p>
        </w:tc>
        <w:tc>
          <w:tcPr>
            <w:tcW w:type="dxa" w:w="2484"/>
          </w:tcPr>
          <w:p>
            <w:r/>
            <w:r>
              <w:rPr>
                <w:b w:val="0"/>
                <w:sz w:val="17"/>
              </w:rPr>
              <w:t>$125,000</w:t>
            </w:r>
          </w:p>
        </w:tc>
        <w:tc>
          <w:tcPr>
            <w:tcW w:type="dxa" w:w="2484"/>
          </w:tcPr>
          <w:p>
            <w:r/>
            <w:r>
              <w:rPr>
                <w:b w:val="0"/>
                <w:sz w:val="17"/>
              </w:rPr>
              <w:t>Medium (C-6)</w:t>
            </w:r>
          </w:p>
        </w:tc>
      </w:tr>
      <w:tr>
        <w:tc>
          <w:tcPr>
            <w:tcW w:type="dxa" w:w="2484"/>
          </w:tcPr>
          <w:p>
            <w:r/>
            <w:r>
              <w:rPr>
                <w:b/>
                <w:sz w:val="17"/>
              </w:rPr>
              <w:t>Good standing certificates</w:t>
            </w:r>
          </w:p>
        </w:tc>
        <w:tc>
          <w:tcPr>
            <w:tcW w:type="dxa" w:w="2484"/>
          </w:tcPr>
          <w:p>
            <w:r/>
            <w:r>
              <w:rPr>
                <w:b w:val="0"/>
                <w:sz w:val="17"/>
              </w:rPr>
              <w:t>Within 10 business days</w:t>
            </w:r>
          </w:p>
        </w:tc>
        <w:tc>
          <w:tcPr>
            <w:tcW w:type="dxa" w:w="2484"/>
          </w:tcPr>
          <w:p>
            <w:r/>
            <w:r>
              <w:rPr>
                <w:b w:val="0"/>
                <w:sz w:val="17"/>
              </w:rPr>
              <w:t>Within 5 business days</w:t>
            </w:r>
          </w:p>
        </w:tc>
        <w:tc>
          <w:tcPr>
            <w:tcW w:type="dxa" w:w="2484"/>
          </w:tcPr>
          <w:p>
            <w:r/>
            <w:r>
              <w:rPr>
                <w:b w:val="0"/>
                <w:sz w:val="17"/>
              </w:rPr>
              <w:t>Low (C-5)</w:t>
            </w:r>
          </w:p>
        </w:tc>
      </w:tr>
      <w:tr>
        <w:tc>
          <w:tcPr>
            <w:tcW w:type="dxa" w:w="2484"/>
          </w:tcPr>
          <w:p>
            <w:r/>
            <w:r>
              <w:rPr>
                <w:b/>
                <w:sz w:val="17"/>
              </w:rPr>
              <w:t>S-3 minimum</w:t>
            </w:r>
          </w:p>
        </w:tc>
        <w:tc>
          <w:tcPr>
            <w:tcW w:type="dxa" w:w="2484"/>
          </w:tcPr>
          <w:p>
            <w:r/>
            <w:r>
              <w:rPr>
                <w:b w:val="0"/>
                <w:sz w:val="17"/>
              </w:rPr>
              <w:t>$5,000,000</w:t>
            </w:r>
          </w:p>
        </w:tc>
        <w:tc>
          <w:tcPr>
            <w:tcW w:type="dxa" w:w="2484"/>
          </w:tcPr>
          <w:p>
            <w:r/>
            <w:r>
              <w:rPr>
                <w:b w:val="0"/>
                <w:sz w:val="17"/>
              </w:rPr>
              <w:t>$1,000,000</w:t>
            </w:r>
          </w:p>
        </w:tc>
        <w:tc>
          <w:tcPr>
            <w:tcW w:type="dxa" w:w="2484"/>
          </w:tcPr>
          <w:p>
            <w:r/>
            <w:r>
              <w:rPr>
                <w:b w:val="0"/>
                <w:sz w:val="17"/>
              </w:rPr>
              <w:t>Low (R-4)</w:t>
            </w:r>
          </w:p>
        </w:tc>
      </w:tr>
      <w:tr>
        <w:tc>
          <w:tcPr>
            <w:tcW w:type="dxa" w:w="2484"/>
          </w:tcPr>
          <w:p>
            <w:r/>
            <w:r>
              <w:rPr>
                <w:b/>
                <w:sz w:val="17"/>
              </w:rPr>
              <w:t>Information rights threshold</w:t>
            </w:r>
          </w:p>
        </w:tc>
        <w:tc>
          <w:tcPr>
            <w:tcW w:type="dxa" w:w="2484"/>
          </w:tcPr>
          <w:p>
            <w:r/>
            <w:r>
              <w:rPr>
                <w:b w:val="0"/>
                <w:sz w:val="17"/>
              </w:rPr>
              <w:t>500,000 Preferred shares</w:t>
            </w:r>
          </w:p>
        </w:tc>
        <w:tc>
          <w:tcPr>
            <w:tcW w:type="dxa" w:w="2484"/>
          </w:tcPr>
          <w:p>
            <w:r/>
            <w:r>
              <w:rPr>
                <w:b w:val="0"/>
                <w:sz w:val="17"/>
              </w:rPr>
              <w:t>$2M defined but unused; all holders</w:t>
            </w:r>
          </w:p>
        </w:tc>
        <w:tc>
          <w:tcPr>
            <w:tcW w:type="dxa" w:w="2484"/>
          </w:tcPr>
          <w:p>
            <w:r/>
            <w:r>
              <w:rPr>
                <w:b w:val="0"/>
                <w:sz w:val="17"/>
              </w:rPr>
              <w:t>Medium (R-8)</w:t>
            </w:r>
          </w:p>
        </w:tc>
      </w:tr>
    </w:tbl>
    <w:p/>
    <w:p>
      <w:pPr>
        <w:sectPr>
          <w:pgSz w:w="12240" w:h="15840"/>
          <w:pgMar w:top="1152" w:right="1152" w:bottom="1152" w:left="1152" w:header="720" w:footer="720" w:gutter="0"/>
          <w:cols w:space="720"/>
          <w:docGrid w:linePitch="360"/>
        </w:sectPr>
      </w:pPr>
    </w:p>
    <w:p>
      <w:pPr>
        <w:pStyle w:val="Heading1"/>
      </w:pPr>
      <w:r>
        <w:t>4. Economic Terms (TS Sections 1 and 2)</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648"/>
            <w:shd w:val="clear" w:color="auto" w:fill="1F3864"/>
          </w:tcPr>
          <w:p>
            <w:r>
              <w:rPr>
                <w:color w:val="FFFFFF"/>
              </w:rPr>
            </w:r>
            <w:r>
              <w:rPr>
                <w:b/>
                <w:sz w:val="17"/>
              </w:rPr>
              <w:t>No.</w:t>
            </w:r>
          </w:p>
        </w:tc>
        <w:tc>
          <w:tcPr>
            <w:tcW w:type="dxa" w:w="1440"/>
            <w:shd w:val="clear" w:color="auto" w:fill="1F3864"/>
          </w:tcPr>
          <w:p>
            <w:r>
              <w:rPr>
                <w:color w:val="FFFFFF"/>
              </w:rPr>
            </w:r>
            <w:r>
              <w:rPr>
                <w:b/>
                <w:sz w:val="17"/>
              </w:rPr>
              <w:t>Topic</w:t>
            </w:r>
          </w:p>
        </w:tc>
        <w:tc>
          <w:tcPr>
            <w:tcW w:type="dxa" w:w="2520"/>
            <w:shd w:val="clear" w:color="auto" w:fill="1F3864"/>
          </w:tcPr>
          <w:p>
            <w:r>
              <w:rPr>
                <w:color w:val="FFFFFF"/>
              </w:rPr>
            </w:r>
            <w:r>
              <w:rPr>
                <w:b/>
                <w:sz w:val="17"/>
              </w:rPr>
              <w:t>Term Sheet</w:t>
            </w:r>
          </w:p>
        </w:tc>
        <w:tc>
          <w:tcPr>
            <w:tcW w:type="dxa" w:w="2520"/>
            <w:shd w:val="clear" w:color="auto" w:fill="1F3864"/>
          </w:tcPr>
          <w:p>
            <w:r>
              <w:rPr>
                <w:color w:val="FFFFFF"/>
              </w:rPr>
            </w:r>
            <w:r>
              <w:rPr>
                <w:b/>
                <w:sz w:val="17"/>
              </w:rPr>
              <w:t>Draft SPA / Exhibit</w:t>
            </w:r>
          </w:p>
        </w:tc>
        <w:tc>
          <w:tcPr>
            <w:tcW w:type="dxa" w:w="3672"/>
            <w:shd w:val="clear" w:color="auto" w:fill="1F3864"/>
          </w:tcPr>
          <w:p>
            <w:r>
              <w:rPr>
                <w:color w:val="FFFFFF"/>
              </w:rPr>
            </w:r>
            <w:r>
              <w:rPr>
                <w:b/>
                <w:sz w:val="17"/>
              </w:rPr>
              <w:t>Deviation, omission or concern</w:t>
            </w:r>
          </w:p>
        </w:tc>
        <w:tc>
          <w:tcPr>
            <w:tcW w:type="dxa" w:w="1008"/>
            <w:shd w:val="clear" w:color="auto" w:fill="1F3864"/>
          </w:tcPr>
          <w:p>
            <w:r>
              <w:rPr>
                <w:color w:val="FFFFFF"/>
              </w:rPr>
            </w:r>
            <w:r>
              <w:rPr>
                <w:b/>
                <w:sz w:val="17"/>
              </w:rPr>
              <w:t>Severity</w:t>
            </w:r>
          </w:p>
        </w:tc>
        <w:tc>
          <w:tcPr>
            <w:tcW w:type="dxa" w:w="2448"/>
            <w:shd w:val="clear" w:color="auto" w:fill="1F3864"/>
          </w:tcPr>
          <w:p>
            <w:r>
              <w:rPr>
                <w:color w:val="FFFFFF"/>
              </w:rPr>
            </w:r>
            <w:r>
              <w:rPr>
                <w:b/>
                <w:sz w:val="17"/>
              </w:rPr>
              <w:t>Recommended action</w:t>
            </w:r>
          </w:p>
        </w:tc>
      </w:tr>
      <w:tr>
        <w:tc>
          <w:tcPr>
            <w:tcW w:type="dxa" w:w="648"/>
          </w:tcPr>
          <w:p>
            <w:r/>
            <w:r>
              <w:rPr>
                <w:b/>
                <w:sz w:val="17"/>
              </w:rPr>
              <w:t>E-1</w:t>
            </w:r>
          </w:p>
        </w:tc>
        <w:tc>
          <w:tcPr>
            <w:tcW w:type="dxa" w:w="1440"/>
          </w:tcPr>
          <w:p>
            <w:r/>
            <w:r>
              <w:rPr>
                <w:b/>
                <w:sz w:val="17"/>
              </w:rPr>
              <w:t>Price per share / option pool “pre-money” mechanics</w:t>
            </w:r>
          </w:p>
        </w:tc>
        <w:tc>
          <w:tcPr>
            <w:tcW w:type="dxa" w:w="2520"/>
          </w:tcPr>
          <w:p>
            <w:r/>
            <w:r>
              <w:rPr>
                <w:b w:val="0"/>
                <w:sz w:val="17"/>
              </w:rPr>
              <w:t>TS §§1.5–1.9, App. A: $92M pre-money “on a fully-diluted basis, including the option pool expansion”; price $4.1818 = $92M ÷ 22,000,000; pool expanded to 4,304,286 unallocated shares (15% of post-money) “on a pre-money basis, thereby diluting existing stockholders … and not the Series B Investors.”</w:t>
            </w:r>
          </w:p>
        </w:tc>
        <w:tc>
          <w:tcPr>
            <w:tcW w:type="dxa" w:w="2520"/>
          </w:tcPr>
          <w:p>
            <w:r/>
            <w:r>
              <w:rPr>
                <w:b w:val="0"/>
                <w:sz w:val="17"/>
              </w:rPr>
              <w:t>SPA §2.4 (pre-money FD of 22,000,000 “prior to the option pool expansion”); §4.3(f); §7.1; Sched. 2 (Part B total 32,149,524; Part C total 28,695,238; Note: expansion “does not change the per-share pricing calculation”).</w:t>
            </w:r>
          </w:p>
        </w:tc>
        <w:tc>
          <w:tcPr>
            <w:tcW w:type="dxa" w:w="3672"/>
          </w:tcPr>
          <w:p>
            <w:r/>
            <w:r>
              <w:rPr>
                <w:b w:val="0"/>
                <w:sz w:val="17"/>
              </w:rPr>
              <w:t>The SPA carries forward a mathematical defect in the term sheet and, in doing so, shifts pool dilution onto the Series B. The 3,454,286 new pool shares are excluded from the 22,000,000-share pricing denominator, so they dilute the Series B rather than only existing holders. Actual post-closing fully-diluted capitalization is 32,149,524 shares (Sched. 2, Part B), not 28,695,238. On that basis: (i) Series B ownership is 20.83%, not the 23.3% shown in TS App. A; (ii) the unallocated pool is 13.39% of post-money, not 15% (so the §4.3(f) and §7.1 statements that 4,304,286 shares equal 15% are inaccurate); (iii) the effective valuation paid is about $106.4M pre-money / $134.4M post-money ($4.1818 × 25,454,286 and × 32,149,524), not $92M / $120M. A true pre-money pool at $92M pre / $28M invested / 15% post-money unallocated pool would give about 34,297,297 post-money FD shares, about 5,144,595 unallocated pool shares, a price of about $3.4988 and about 8,002,703 Series B shares. Section 2.4 also contradicts TS §1.5 by stating that the pricing capitalization is pre-expansion while calling the result “inclusive of the option pool expansion … calculated on a pre-money basis.”</w:t>
            </w:r>
          </w:p>
        </w:tc>
        <w:tc>
          <w:tcPr>
            <w:tcW w:type="dxa" w:w="1008"/>
            <w:shd w:val="clear" w:color="auto" w:fill="F4B6B6"/>
          </w:tcPr>
          <w:p>
            <w:r/>
            <w:r>
              <w:rPr>
                <w:b/>
                <w:sz w:val="17"/>
              </w:rPr>
              <w:t>Critical</w:t>
            </w:r>
          </w:p>
        </w:tc>
        <w:tc>
          <w:tcPr>
            <w:tcW w:type="dxa" w:w="2448"/>
          </w:tcPr>
          <w:p>
            <w:r/>
            <w:r>
              <w:rPr>
                <w:b w:val="0"/>
                <w:sz w:val="17"/>
              </w:rPr>
              <w:t>Raise with the client and Company counsel before the markup. Either (a) re-price so the expanded pool is included in the pre-money FD count (price and share numbers recomputed, Schedules 1 and 2 and the charter share designation conformed), or (b) if the business deal is that $4.1818 controls, document expressly that the pool is not pre-money and fix the 15%, 28,695,238 and $120M post-money statements. Do not let §§2.4, 4.3(f) and 7.1 rep a “pre-money” pool that the numbers do not deliver. Add a rep that Schedule 2 is accurate on a fully-diluted basis that includes the expanded pool.</w:t>
            </w:r>
          </w:p>
        </w:tc>
      </w:tr>
      <w:tr>
        <w:tc>
          <w:tcPr>
            <w:tcW w:type="dxa" w:w="648"/>
          </w:tcPr>
          <w:p>
            <w:r/>
            <w:r>
              <w:rPr>
                <w:b/>
                <w:sz w:val="17"/>
              </w:rPr>
              <w:t>E-2</w:t>
            </w:r>
          </w:p>
        </w:tc>
        <w:tc>
          <w:tcPr>
            <w:tcW w:type="dxa" w:w="1440"/>
          </w:tcPr>
          <w:p>
            <w:r/>
            <w:r>
              <w:rPr>
                <w:b/>
                <w:sz w:val="17"/>
              </w:rPr>
              <w:t>Per-investor share allocation and aggregate purchase price</w:t>
            </w:r>
          </w:p>
        </w:tc>
        <w:tc>
          <w:tcPr>
            <w:tcW w:type="dxa" w:w="2520"/>
          </w:tcPr>
          <w:p>
            <w:r/>
            <w:r>
              <w:rPr>
                <w:b w:val="0"/>
                <w:sz w:val="17"/>
              </w:rPr>
              <w:t>TS §1.4: $18,000,000 / 4,303,883; $6,000,000 / 1,434,813; $4,000,000 / 956,542; total $28,000,000 / 6,695,238 at $4.1818.</w:t>
            </w:r>
          </w:p>
        </w:tc>
        <w:tc>
          <w:tcPr>
            <w:tcW w:type="dxa" w:w="2520"/>
          </w:tcPr>
          <w:p>
            <w:r/>
            <w:r>
              <w:rPr>
                <w:b w:val="0"/>
                <w:sz w:val="17"/>
              </w:rPr>
              <w:t>SPA §2.2 table; Schedule 1; Restated Certificate §4.1(b)(ii) designates exactly 6,695,238 Series B shares.</w:t>
            </w:r>
          </w:p>
        </w:tc>
        <w:tc>
          <w:tcPr>
            <w:tcW w:type="dxa" w:w="3672"/>
          </w:tcPr>
          <w:p>
            <w:r/>
            <w:r>
              <w:rPr>
                <w:b w:val="0"/>
                <w:sz w:val="17"/>
              </w:rPr>
              <w:t>The share counts were copied from the term sheet but do not match the stated $4.1818 price. At $4.1818: Orchard Hill’s $18M buys 4,304,366 shares (draft gives 483 fewer; implied price $4.18227); Cascade Point’s $6M buys 1,434,788 shares (draft gives 25 more; implied price $4.18173); Ridgeway’s $4M buys 956,525 shares (draft gives 17 more). The stated shares × $4.1818 total $27,998,146.27, not $28,000,000.00. The Investors therefore pay different per-share prices, the Lead Investor pays the most, and the aggregate Series B liquidation preference ($4.1818 × 6,695,238) is about $1,854 below the $28M stated in TS §2.2. Because the charter designates exactly 6,695,238 shares, there is no room to correct the count without amending the charter.</w:t>
            </w:r>
          </w:p>
        </w:tc>
        <w:tc>
          <w:tcPr>
            <w:tcW w:type="dxa" w:w="1008"/>
            <w:shd w:val="clear" w:color="auto" w:fill="F9D9A8"/>
          </w:tcPr>
          <w:p>
            <w:r/>
            <w:r>
              <w:rPr>
                <w:b/>
                <w:sz w:val="17"/>
              </w:rPr>
              <w:t>High</w:t>
            </w:r>
          </w:p>
        </w:tc>
        <w:tc>
          <w:tcPr>
            <w:tcW w:type="dxa" w:w="2448"/>
          </w:tcPr>
          <w:p>
            <w:r/>
            <w:r>
              <w:rPr>
                <w:b w:val="0"/>
                <w:sz w:val="17"/>
              </w:rPr>
              <w:t>Recompute every allocation from one price, rounding down to whole shares and stating each purchase price as shares × price, and conform §2.2, Schedule 1, §4.3(a), the charter designation and Schedule 2. Consider designating a small number of extra Series B shares, or tie the designation to the final count. If E-1 is resolved by re-pricing, recompute everything off the new price.</w:t>
            </w:r>
          </w:p>
        </w:tc>
      </w:tr>
      <w:tr>
        <w:tc>
          <w:tcPr>
            <w:tcW w:type="dxa" w:w="648"/>
          </w:tcPr>
          <w:p>
            <w:r/>
            <w:r>
              <w:rPr>
                <w:b/>
                <w:sz w:val="17"/>
              </w:rPr>
              <w:t>E-3</w:t>
            </w:r>
          </w:p>
        </w:tc>
        <w:tc>
          <w:tcPr>
            <w:tcW w:type="dxa" w:w="1440"/>
          </w:tcPr>
          <w:p>
            <w:r/>
            <w:r>
              <w:rPr>
                <w:b/>
                <w:sz w:val="17"/>
              </w:rPr>
              <w:t>Liquidation priority: Series B senior vs. pari passu</w:t>
            </w:r>
          </w:p>
        </w:tc>
        <w:tc>
          <w:tcPr>
            <w:tcW w:type="dxa" w:w="2520"/>
          </w:tcPr>
          <w:p>
            <w:r/>
            <w:r>
              <w:rPr>
                <w:b w:val="0"/>
                <w:sz w:val="17"/>
              </w:rPr>
              <w:t>TS §2.2: Series B paid “prior and in preference to” Series A and Common; Series B “senior” to Series A; waterfall Series B → Series A → Common.</w:t>
            </w:r>
          </w:p>
        </w:tc>
        <w:tc>
          <w:tcPr>
            <w:tcW w:type="dxa" w:w="2520"/>
          </w:tcPr>
          <w:p>
            <w:r/>
            <w:r>
              <w:rPr>
                <w:b w:val="0"/>
                <w:sz w:val="17"/>
              </w:rPr>
              <w:t>Restated Certificate §4.4(a): Series B and Series A paid “on a pari passu basis and in proportion to the aggregate Liquidation Preference Amount,” with ratable sharing on a shortfall.</w:t>
            </w:r>
          </w:p>
        </w:tc>
        <w:tc>
          <w:tcPr>
            <w:tcW w:type="dxa" w:w="3672"/>
          </w:tcPr>
          <w:p>
            <w:r/>
            <w:r>
              <w:rPr>
                <w:b w:val="0"/>
                <w:sz w:val="17"/>
              </w:rPr>
              <w:t>This reverses the agreed seniority. In a downside exit below $40M the Series B shares ratably with the $12M Series A preference instead of being paid its $28M first. Example: at a $28M exit the term sheet gives the Series B $28M and the Series A $0; the draft gives the Series B about $19.6M and the Series A about $8.4M. This is a core economic term of the deal.</w:t>
            </w:r>
          </w:p>
        </w:tc>
        <w:tc>
          <w:tcPr>
            <w:tcW w:type="dxa" w:w="1008"/>
            <w:shd w:val="clear" w:color="auto" w:fill="F4B6B6"/>
          </w:tcPr>
          <w:p>
            <w:r/>
            <w:r>
              <w:rPr>
                <w:b/>
                <w:sz w:val="17"/>
              </w:rPr>
              <w:t>Critical</w:t>
            </w:r>
          </w:p>
        </w:tc>
        <w:tc>
          <w:tcPr>
            <w:tcW w:type="dxa" w:w="2448"/>
          </w:tcPr>
          <w:p>
            <w:r/>
            <w:r>
              <w:rPr>
                <w:b w:val="0"/>
                <w:sz w:val="17"/>
              </w:rPr>
              <w:t>Restore a stacked waterfall: Series B first in full, then Series A, then Common, with ratable sharing within each series only.</w:t>
            </w:r>
          </w:p>
        </w:tc>
      </w:tr>
      <w:tr>
        <w:tc>
          <w:tcPr>
            <w:tcW w:type="dxa" w:w="648"/>
          </w:tcPr>
          <w:p>
            <w:r/>
            <w:r>
              <w:rPr>
                <w:b/>
                <w:sz w:val="17"/>
              </w:rPr>
              <w:t>E-4</w:t>
            </w:r>
          </w:p>
        </w:tc>
        <w:tc>
          <w:tcPr>
            <w:tcW w:type="dxa" w:w="1440"/>
          </w:tcPr>
          <w:p>
            <w:r/>
            <w:r>
              <w:rPr>
                <w:b/>
                <w:sz w:val="17"/>
              </w:rPr>
              <w:t>Participation: non-participating vs. capped participating</w:t>
            </w:r>
          </w:p>
        </w:tc>
        <w:tc>
          <w:tcPr>
            <w:tcW w:type="dxa" w:w="2520"/>
          </w:tcPr>
          <w:p>
            <w:r/>
            <w:r>
              <w:rPr>
                <w:b w:val="0"/>
                <w:sz w:val="17"/>
              </w:rPr>
              <w:t>TS §§2.1, 2.2: Series B is “1x non-participating”; holders take either the preference or as-converted proceeds, “but shall not receive both,” elected holder by holder.</w:t>
            </w:r>
          </w:p>
        </w:tc>
        <w:tc>
          <w:tcPr>
            <w:tcW w:type="dxa" w:w="2520"/>
          </w:tcPr>
          <w:p>
            <w:r/>
            <w:r>
              <w:rPr>
                <w:b w:val="0"/>
                <w:sz w:val="17"/>
              </w:rPr>
              <w:t>Restated Certificate §4.4(b): after the preference, Series B participates with Common on an as-converted basis up to a 3x Original Issue Price cap; §4.4(c) final sentence repeats the participation waterfall for Deemed Liquidation Events.</w:t>
            </w:r>
          </w:p>
        </w:tc>
        <w:tc>
          <w:tcPr>
            <w:tcW w:type="dxa" w:w="3672"/>
          </w:tcPr>
          <w:p>
            <w:r/>
            <w:r>
              <w:rPr>
                <w:b w:val="0"/>
                <w:sz w:val="17"/>
              </w:rPr>
              <w:t>This is a material departure from the agreed structure. It favors Series B holders, but it is not the deal: it re-trades the economics against Common and against the Series A (which the term sheet makes non-participating and which, under the draft, must convert to share in the residual). It will also need Series A and Common approval of the charter. The drafting does not work as written: §4.4(a) already pays the greater of 1x and the as-converted amount, and §4.4(b) then adds participation on top. Read literally, a holder can take the as-converted amount and then participate again (a double count), and the 3x cap has no conversion alternative above the cap. The holder-by-holder election in TS §2.2 is missing.</w:t>
            </w:r>
          </w:p>
        </w:tc>
        <w:tc>
          <w:tcPr>
            <w:tcW w:type="dxa" w:w="1008"/>
            <w:shd w:val="clear" w:color="auto" w:fill="F4B6B6"/>
          </w:tcPr>
          <w:p>
            <w:r/>
            <w:r>
              <w:rPr>
                <w:b/>
                <w:sz w:val="17"/>
              </w:rPr>
              <w:t>Critical</w:t>
            </w:r>
          </w:p>
        </w:tc>
        <w:tc>
          <w:tcPr>
            <w:tcW w:type="dxa" w:w="2448"/>
          </w:tcPr>
          <w:p>
            <w:r/>
            <w:r>
              <w:rPr>
                <w:b w:val="0"/>
                <w:sz w:val="17"/>
              </w:rPr>
              <w:t>Confirm the client’s instructions. Absent a renegotiated deal, conform to the term sheet: 1x non-participating with the greater-of construct, delete §4.4(b) and the participation language in §4.4(c), and add the holder-by-holder election. Raise it openly; do not accept a favorable drafting error silently, because it will be reopened and puts the timetable at risk.</w:t>
            </w:r>
          </w:p>
        </w:tc>
      </w:tr>
      <w:tr>
        <w:tc>
          <w:tcPr>
            <w:tcW w:type="dxa" w:w="648"/>
          </w:tcPr>
          <w:p>
            <w:r/>
            <w:r>
              <w:rPr>
                <w:b/>
                <w:sz w:val="17"/>
              </w:rPr>
              <w:t>E-5</w:t>
            </w:r>
          </w:p>
        </w:tc>
        <w:tc>
          <w:tcPr>
            <w:tcW w:type="dxa" w:w="1440"/>
          </w:tcPr>
          <w:p>
            <w:r/>
            <w:r>
              <w:rPr>
                <w:b/>
                <w:sz w:val="17"/>
              </w:rPr>
              <w:t>Dividend priority</w:t>
            </w:r>
          </w:p>
        </w:tc>
        <w:tc>
          <w:tcPr>
            <w:tcW w:type="dxa" w:w="2520"/>
          </w:tcPr>
          <w:p>
            <w:r/>
            <w:r>
              <w:rPr>
                <w:b w:val="0"/>
                <w:sz w:val="17"/>
              </w:rPr>
              <w:t>TS §2.1: Series B 8% non-cumulative, when and if declared, “in preference to any dividends on the Series A Preferred Stock and the Common Stock”; Series A 8% in preference to Common; no Common dividend in a fiscal year unless the Series B and Series A dividends “for such fiscal year have been paid or declared and set apart.”</w:t>
            </w:r>
          </w:p>
        </w:tc>
        <w:tc>
          <w:tcPr>
            <w:tcW w:type="dxa" w:w="2520"/>
          </w:tcPr>
          <w:p>
            <w:r/>
            <w:r>
              <w:rPr>
                <w:b w:val="0"/>
                <w:sz w:val="17"/>
              </w:rPr>
              <w:t>Restated Certificate §4.3(a)–(c): Series B dividend in preference to Common only; Series A “on a pari passu basis with dividends paid on the Series B”; Common is blocked only until “declared and unpaid dividends, if any” are paid; any further dividends are shared as-converted.</w:t>
            </w:r>
          </w:p>
        </w:tc>
        <w:tc>
          <w:tcPr>
            <w:tcW w:type="dxa" w:w="3672"/>
          </w:tcPr>
          <w:p>
            <w:r/>
            <w:r>
              <w:rPr>
                <w:b w:val="0"/>
                <w:sz w:val="17"/>
              </w:rPr>
              <w:t>Series B dividend seniority over Series A is lost, and the Common-dividend block is much weaker: it applies only to dividends that have been declared, not to the full 8% annual preferred dividend for the year. The Board could therefore declare a Common dividend without first paying the annual preferred amount.</w:t>
            </w:r>
          </w:p>
        </w:tc>
        <w:tc>
          <w:tcPr>
            <w:tcW w:type="dxa" w:w="1008"/>
            <w:shd w:val="clear" w:color="auto" w:fill="F9D9A8"/>
          </w:tcPr>
          <w:p>
            <w:r/>
            <w:r>
              <w:rPr>
                <w:b/>
                <w:sz w:val="17"/>
              </w:rPr>
              <w:t>High</w:t>
            </w:r>
          </w:p>
        </w:tc>
        <w:tc>
          <w:tcPr>
            <w:tcW w:type="dxa" w:w="2448"/>
          </w:tcPr>
          <w:p>
            <w:r/>
            <w:r>
              <w:rPr>
                <w:b w:val="0"/>
                <w:sz w:val="17"/>
              </w:rPr>
              <w:t>Restore Series B priority over Series A. Replace §4.3(c) with the term sheet test: no Common dividend in any fiscal year unless the full Series B and then Series A annual dividends for that year have been paid or declared and set apart. The as-converted catch-up participation may stay.</w:t>
            </w:r>
          </w:p>
        </w:tc>
      </w:tr>
      <w:tr>
        <w:tc>
          <w:tcPr>
            <w:tcW w:type="dxa" w:w="648"/>
          </w:tcPr>
          <w:p>
            <w:r/>
            <w:r>
              <w:rPr>
                <w:b/>
                <w:sz w:val="17"/>
              </w:rPr>
              <w:t>E-6</w:t>
            </w:r>
          </w:p>
        </w:tc>
        <w:tc>
          <w:tcPr>
            <w:tcW w:type="dxa" w:w="1440"/>
          </w:tcPr>
          <w:p>
            <w:r/>
            <w:r>
              <w:rPr>
                <w:b/>
                <w:sz w:val="17"/>
              </w:rPr>
              <w:t>Automatic conversion: Qualified IPO thresholds</w:t>
            </w:r>
          </w:p>
        </w:tc>
        <w:tc>
          <w:tcPr>
            <w:tcW w:type="dxa" w:w="2520"/>
          </w:tcPr>
          <w:p>
            <w:r/>
            <w:r>
              <w:rPr>
                <w:b w:val="0"/>
                <w:sz w:val="17"/>
              </w:rPr>
              <w:t>TS §2.3: Qualified IPO = firm-commitment IPO at ≥ 3x the Original Issue Price (≥ $12.5454 per share) and ≥ $75,000,000 gross proceeds; or 60% of Series B voting as a separate class.</w:t>
            </w:r>
          </w:p>
        </w:tc>
        <w:tc>
          <w:tcPr>
            <w:tcW w:type="dxa" w:w="2520"/>
          </w:tcPr>
          <w:p>
            <w:r/>
            <w:r>
              <w:rPr>
                <w:b w:val="0"/>
                <w:sz w:val="17"/>
              </w:rPr>
              <w:t>Restated Certificate §4.5(b)(i): ≥ $8.3636 (2x) and ≥ $50,000,000 gross proceeds; the 60% Series B vote is retained in §4.5(b)(ii).</w:t>
            </w:r>
          </w:p>
        </w:tc>
        <w:tc>
          <w:tcPr>
            <w:tcW w:type="dxa" w:w="3672"/>
          </w:tcPr>
          <w:p>
            <w:r/>
            <w:r>
              <w:rPr>
                <w:b w:val="0"/>
                <w:sz w:val="17"/>
              </w:rPr>
              <w:t>Lowering both thresholds lets the Company force conversion, and so wipe out the Series B preference and protective provisions, in a smaller IPO at a lower price than agreed. The words “Eight Dollars and Thirty-Six Cents” also do not match $8.3636. The Series A converts on the same lower Qualified IPO.</w:t>
            </w:r>
          </w:p>
        </w:tc>
        <w:tc>
          <w:tcPr>
            <w:tcW w:type="dxa" w:w="1008"/>
            <w:shd w:val="clear" w:color="auto" w:fill="F4B6B6"/>
          </w:tcPr>
          <w:p>
            <w:r/>
            <w:r>
              <w:rPr>
                <w:b/>
                <w:sz w:val="17"/>
              </w:rPr>
              <w:t>Critical</w:t>
            </w:r>
          </w:p>
        </w:tc>
        <w:tc>
          <w:tcPr>
            <w:tcW w:type="dxa" w:w="2448"/>
          </w:tcPr>
          <w:p>
            <w:r/>
            <w:r>
              <w:rPr>
                <w:b w:val="0"/>
                <w:sz w:val="17"/>
              </w:rPr>
              <w:t>Restore 3x ($12.5454, written as “Twelve and 5454/10000 Dollars”) and $75,000,000. Check that the Qualified IPO definition used in the Management Rights Letter, Voting Agreement and ROFR Agreement terminations points to the corrected charter definition.</w:t>
            </w:r>
          </w:p>
        </w:tc>
      </w:tr>
      <w:tr>
        <w:tc>
          <w:tcPr>
            <w:tcW w:type="dxa" w:w="648"/>
          </w:tcPr>
          <w:p>
            <w:r/>
            <w:r>
              <w:rPr>
                <w:b/>
                <w:sz w:val="17"/>
              </w:rPr>
              <w:t>E-7</w:t>
            </w:r>
          </w:p>
        </w:tc>
        <w:tc>
          <w:tcPr>
            <w:tcW w:type="dxa" w:w="1440"/>
          </w:tcPr>
          <w:p>
            <w:r/>
            <w:r>
              <w:rPr>
                <w:b/>
                <w:sz w:val="17"/>
              </w:rPr>
              <w:t>Anti-dilution: excluded issuances and mechanics</w:t>
            </w:r>
          </w:p>
        </w:tc>
        <w:tc>
          <w:tcPr>
            <w:tcW w:type="dxa" w:w="2520"/>
          </w:tcPr>
          <w:p>
            <w:r/>
            <w:r>
              <w:rPr>
                <w:b w:val="0"/>
                <w:sz w:val="17"/>
              </w:rPr>
              <w:t>TS §2.4: broad-based weighted average for Series B and Series A; three Excluded Issuances: (1) Board-approved plan grants up to the reserve “as in effect from time to time”; (2) Board-approved strategic, JV and licensing issuances where the primary purpose is not raising equity capital; (3) conversions and exercises of securities outstanding as of the Series B closing.</w:t>
            </w:r>
          </w:p>
        </w:tc>
        <w:tc>
          <w:tcPr>
            <w:tcW w:type="dxa" w:w="2520"/>
          </w:tcPr>
          <w:p>
            <w:r/>
            <w:r>
              <w:rPr>
                <w:b w:val="0"/>
                <w:sz w:val="17"/>
              </w:rPr>
              <w:t>Restated Certificate §4.5(c)(i)–(iii): broad-based formula; exclusions are (1) plan grants approved by the Board “including at least one director elected by the holders of Series B Preferred Stock,” capped at 6,454,286 shares “as adjusted from time to time,” and (2) conversions and exercises of securities outstanding “as of the date hereof.” The strategic/commercial exclusion is omitted.</w:t>
            </w:r>
          </w:p>
        </w:tc>
        <w:tc>
          <w:tcPr>
            <w:tcW w:type="dxa" w:w="3672"/>
          </w:tcPr>
          <w:p>
            <w:r/>
            <w:r>
              <w:rPr>
                <w:b w:val="0"/>
                <w:sz w:val="17"/>
              </w:rPr>
              <w:t>(a) The strategic-transaction exclusion is omitted. This favors investors, but it departs from the term sheet and the Company will ask for it back. (b) The added Series B director approval and the fixed share cap are not in the term sheet; they help investors, but “as adjusted from time to time” makes the cap uncertain. (c) “As of the date hereof” is undefined in a charter (filing date versus Series B closing). The Series B shares themselves, and any later conversion of them, should also be clearly excluded. (d) Standard NVCA mechanics are missing: deemed issuance of options and convertibles, treatment of non-cash consideration, waiver of an adjustment by the requisite holders, and exclusion of stock splits and dividends already covered by §4.5(c)(iii), leaving the formula hard to administer.</w:t>
            </w:r>
          </w:p>
        </w:tc>
        <w:tc>
          <w:tcPr>
            <w:tcW w:type="dxa" w:w="1008"/>
            <w:shd w:val="clear" w:color="auto" w:fill="FFF2B3"/>
          </w:tcPr>
          <w:p>
            <w:r/>
            <w:r>
              <w:rPr>
                <w:b/>
                <w:sz w:val="17"/>
              </w:rPr>
              <w:t>Medium</w:t>
            </w:r>
          </w:p>
        </w:tc>
        <w:tc>
          <w:tcPr>
            <w:tcW w:type="dxa" w:w="2448"/>
          </w:tcPr>
          <w:p>
            <w:r/>
            <w:r>
              <w:rPr>
                <w:b w:val="0"/>
                <w:sz w:val="17"/>
              </w:rPr>
              <w:t>If the strategic exclusion is reinstated to match the term sheet, keep the “primary purpose is not to raise equity capital” proviso and require Board approval (ideally including a Series B Director). Fix the reference date to the Series B Original Issue Date. Add NVCA-standard deemed-issuance, consideration and waiver mechanics (a waiver by 60% of the Series B for the Series B adjustment).</w:t>
            </w:r>
          </w:p>
        </w:tc>
      </w:tr>
    </w:tbl>
    <w:p/>
    <w:p>
      <w:pPr>
        <w:pStyle w:val="Heading1"/>
      </w:pPr>
      <w:r>
        <w:t>5. Governance: Protective Provisions, Board, Drag-Along (TS Sections 2.5 and 3)</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648"/>
            <w:shd w:val="clear" w:color="auto" w:fill="1F3864"/>
          </w:tcPr>
          <w:p>
            <w:r>
              <w:rPr>
                <w:color w:val="FFFFFF"/>
              </w:rPr>
            </w:r>
            <w:r>
              <w:rPr>
                <w:b/>
                <w:sz w:val="17"/>
              </w:rPr>
              <w:t>No.</w:t>
            </w:r>
          </w:p>
        </w:tc>
        <w:tc>
          <w:tcPr>
            <w:tcW w:type="dxa" w:w="1440"/>
            <w:shd w:val="clear" w:color="auto" w:fill="1F3864"/>
          </w:tcPr>
          <w:p>
            <w:r>
              <w:rPr>
                <w:color w:val="FFFFFF"/>
              </w:rPr>
            </w:r>
            <w:r>
              <w:rPr>
                <w:b/>
                <w:sz w:val="17"/>
              </w:rPr>
              <w:t>Topic</w:t>
            </w:r>
          </w:p>
        </w:tc>
        <w:tc>
          <w:tcPr>
            <w:tcW w:type="dxa" w:w="2520"/>
            <w:shd w:val="clear" w:color="auto" w:fill="1F3864"/>
          </w:tcPr>
          <w:p>
            <w:r>
              <w:rPr>
                <w:color w:val="FFFFFF"/>
              </w:rPr>
            </w:r>
            <w:r>
              <w:rPr>
                <w:b/>
                <w:sz w:val="17"/>
              </w:rPr>
              <w:t>Term Sheet</w:t>
            </w:r>
          </w:p>
        </w:tc>
        <w:tc>
          <w:tcPr>
            <w:tcW w:type="dxa" w:w="2520"/>
            <w:shd w:val="clear" w:color="auto" w:fill="1F3864"/>
          </w:tcPr>
          <w:p>
            <w:r>
              <w:rPr>
                <w:color w:val="FFFFFF"/>
              </w:rPr>
            </w:r>
            <w:r>
              <w:rPr>
                <w:b/>
                <w:sz w:val="17"/>
              </w:rPr>
              <w:t>Draft SPA / Exhibit</w:t>
            </w:r>
          </w:p>
        </w:tc>
        <w:tc>
          <w:tcPr>
            <w:tcW w:type="dxa" w:w="3672"/>
            <w:shd w:val="clear" w:color="auto" w:fill="1F3864"/>
          </w:tcPr>
          <w:p>
            <w:r>
              <w:rPr>
                <w:color w:val="FFFFFF"/>
              </w:rPr>
            </w:r>
            <w:r>
              <w:rPr>
                <w:b/>
                <w:sz w:val="17"/>
              </w:rPr>
              <w:t>Deviation, omission or concern</w:t>
            </w:r>
          </w:p>
        </w:tc>
        <w:tc>
          <w:tcPr>
            <w:tcW w:type="dxa" w:w="1008"/>
            <w:shd w:val="clear" w:color="auto" w:fill="1F3864"/>
          </w:tcPr>
          <w:p>
            <w:r>
              <w:rPr>
                <w:color w:val="FFFFFF"/>
              </w:rPr>
            </w:r>
            <w:r>
              <w:rPr>
                <w:b/>
                <w:sz w:val="17"/>
              </w:rPr>
              <w:t>Severity</w:t>
            </w:r>
          </w:p>
        </w:tc>
        <w:tc>
          <w:tcPr>
            <w:tcW w:type="dxa" w:w="2448"/>
            <w:shd w:val="clear" w:color="auto" w:fill="1F3864"/>
          </w:tcPr>
          <w:p>
            <w:r>
              <w:rPr>
                <w:color w:val="FFFFFF"/>
              </w:rPr>
            </w:r>
            <w:r>
              <w:rPr>
                <w:b/>
                <w:sz w:val="17"/>
              </w:rPr>
              <w:t>Recommended action</w:t>
            </w:r>
          </w:p>
        </w:tc>
      </w:tr>
      <w:tr>
        <w:tc>
          <w:tcPr>
            <w:tcW w:type="dxa" w:w="648"/>
          </w:tcPr>
          <w:p>
            <w:r/>
            <w:r>
              <w:rPr>
                <w:b/>
                <w:sz w:val="17"/>
              </w:rPr>
              <w:t>G-1</w:t>
            </w:r>
          </w:p>
        </w:tc>
        <w:tc>
          <w:tcPr>
            <w:tcW w:type="dxa" w:w="1440"/>
          </w:tcPr>
          <w:p>
            <w:r/>
            <w:r>
              <w:rPr>
                <w:b/>
                <w:sz w:val="17"/>
              </w:rPr>
              <w:t>Protective provisions: approval threshold</w:t>
            </w:r>
          </w:p>
        </w:tc>
        <w:tc>
          <w:tcPr>
            <w:tcW w:type="dxa" w:w="2520"/>
          </w:tcPr>
          <w:p>
            <w:r/>
            <w:r>
              <w:rPr>
                <w:b w:val="0"/>
                <w:sz w:val="17"/>
              </w:rPr>
              <w:t>TS §3.2: consent of “at least 60% of the outstanding shares of Series B Preferred”; the TS stresses that it is “60% … and not a simple majority.”</w:t>
            </w:r>
          </w:p>
        </w:tc>
        <w:tc>
          <w:tcPr>
            <w:tcW w:type="dxa" w:w="2520"/>
          </w:tcPr>
          <w:p>
            <w:r/>
            <w:r>
              <w:rPr>
                <w:b w:val="0"/>
                <w:sz w:val="17"/>
              </w:rPr>
              <w:t>Restated Certificate §4.6(b): “a majority of the then-outstanding shares of Series B Preferred Stock, voting as a separate class.”</w:t>
            </w:r>
          </w:p>
        </w:tc>
        <w:tc>
          <w:tcPr>
            <w:tcW w:type="dxa" w:w="3672"/>
          </w:tcPr>
          <w:p>
            <w:r/>
            <w:r>
              <w:rPr>
                <w:b w:val="0"/>
                <w:sz w:val="17"/>
              </w:rPr>
              <w:t>This is a direct conflict with a term the term sheet singles out. Orchard Hill holds 64.28% of the Series B at closing and so clears either threshold, but the 60% level matters if Series B holdings change through transfers or later closings. It also protects the co-investors’ bargained position.</w:t>
            </w:r>
          </w:p>
        </w:tc>
        <w:tc>
          <w:tcPr>
            <w:tcW w:type="dxa" w:w="1008"/>
            <w:shd w:val="clear" w:color="auto" w:fill="F9D9A8"/>
          </w:tcPr>
          <w:p>
            <w:r/>
            <w:r>
              <w:rPr>
                <w:b/>
                <w:sz w:val="17"/>
              </w:rPr>
              <w:t>High</w:t>
            </w:r>
          </w:p>
        </w:tc>
        <w:tc>
          <w:tcPr>
            <w:tcW w:type="dxa" w:w="2448"/>
          </w:tcPr>
          <w:p>
            <w:r/>
            <w:r>
              <w:rPr>
                <w:b w:val="0"/>
                <w:sz w:val="17"/>
              </w:rPr>
              <w:t>Change to 60% of the outstanding Series B throughout §4.6(b), and conform Article VII and any cross-references.</w:t>
            </w:r>
          </w:p>
        </w:tc>
      </w:tr>
      <w:tr>
        <w:tc>
          <w:tcPr>
            <w:tcW w:type="dxa" w:w="648"/>
          </w:tcPr>
          <w:p>
            <w:r/>
            <w:r>
              <w:rPr>
                <w:b/>
                <w:sz w:val="17"/>
              </w:rPr>
              <w:t>G-2</w:t>
            </w:r>
          </w:p>
        </w:tc>
        <w:tc>
          <w:tcPr>
            <w:tcW w:type="dxa" w:w="1440"/>
          </w:tcPr>
          <w:p>
            <w:r/>
            <w:r>
              <w:rPr>
                <w:b/>
                <w:sz w:val="17"/>
              </w:rPr>
              <w:t>Protective provisions: debt incurrence</w:t>
            </w:r>
          </w:p>
        </w:tc>
        <w:tc>
          <w:tcPr>
            <w:tcW w:type="dxa" w:w="2520"/>
          </w:tcPr>
          <w:p>
            <w:r/>
            <w:r>
              <w:rPr>
                <w:b w:val="0"/>
                <w:sz w:val="17"/>
              </w:rPr>
              <w:t>TS §3.2(f): no indebtedness over $2,000,000 in aggregate, other than trade payables and equipment financing incurred in the ordinary course consistent with past practice (no cap on the excluded equipment financing).</w:t>
            </w:r>
          </w:p>
        </w:tc>
        <w:tc>
          <w:tcPr>
            <w:tcW w:type="dxa" w:w="2520"/>
          </w:tcPr>
          <w:p>
            <w:r/>
            <w:r>
              <w:rPr>
                <w:b w:val="0"/>
                <w:sz w:val="17"/>
              </w:rPr>
              <w:t>Restated Certificate §4.6(b)(vii): “indebtedness for borrowed money” over $4,000,000, excluding trade payables and accrued expenses, and ordinary-course equipment financing and capital leases up to $1,000,000.</w:t>
            </w:r>
          </w:p>
        </w:tc>
        <w:tc>
          <w:tcPr>
            <w:tcW w:type="dxa" w:w="3672"/>
          </w:tcPr>
          <w:p>
            <w:r/>
            <w:r>
              <w:rPr>
                <w:b w:val="0"/>
                <w:sz w:val="17"/>
              </w:rPr>
              <w:t>The debt basket is doubled ($4M vs $2M), and the test is narrowed to “borrowed money,” which arguably excludes guarantees of non-borrowed obligations, reimbursement obligations and similar items. A $1M cap on equipment financing that the term sheet left uncapped has been added; this is more restrictive on the Company but still a deviation.</w:t>
            </w:r>
          </w:p>
        </w:tc>
        <w:tc>
          <w:tcPr>
            <w:tcW w:type="dxa" w:w="1008"/>
            <w:shd w:val="clear" w:color="auto" w:fill="F9D9A8"/>
          </w:tcPr>
          <w:p>
            <w:r/>
            <w:r>
              <w:rPr>
                <w:b/>
                <w:sz w:val="17"/>
              </w:rPr>
              <w:t>High</w:t>
            </w:r>
          </w:p>
        </w:tc>
        <w:tc>
          <w:tcPr>
            <w:tcW w:type="dxa" w:w="2448"/>
          </w:tcPr>
          <w:p>
            <w:r/>
            <w:r>
              <w:rPr>
                <w:b w:val="0"/>
                <w:sz w:val="17"/>
              </w:rPr>
              <w:t>Restore $2,000,000 and the broader “incur, assume, or guarantee any indebtedness” test. Track the term sheet carve-out (“consistent with past practice”), or keep the $1M equipment cap only if the client wants it, recognizing that it departs from the term sheet.</w:t>
            </w:r>
          </w:p>
        </w:tc>
      </w:tr>
      <w:tr>
        <w:tc>
          <w:tcPr>
            <w:tcW w:type="dxa" w:w="648"/>
          </w:tcPr>
          <w:p>
            <w:r/>
            <w:r>
              <w:rPr>
                <w:b/>
                <w:sz w:val="17"/>
              </w:rPr>
              <w:t>G-3</w:t>
            </w:r>
          </w:p>
        </w:tc>
        <w:tc>
          <w:tcPr>
            <w:tcW w:type="dxa" w:w="1440"/>
          </w:tcPr>
          <w:p>
            <w:r/>
            <w:r>
              <w:rPr>
                <w:b/>
                <w:sz w:val="17"/>
              </w:rPr>
              <w:t>Protective provisions: related-party transactions</w:t>
            </w:r>
          </w:p>
        </w:tc>
        <w:tc>
          <w:tcPr>
            <w:tcW w:type="dxa" w:w="2520"/>
          </w:tcPr>
          <w:p>
            <w:r/>
            <w:r>
              <w:rPr>
                <w:b w:val="0"/>
                <w:sz w:val="17"/>
              </w:rPr>
              <w:t>TS §3.2(g): consent required for any transaction with a director, officer, employee or &gt;1% holder (or affiliate) above $250,000 unless on arm’s-length terms and approved by a majority of disinterested directors.</w:t>
            </w:r>
          </w:p>
        </w:tc>
        <w:tc>
          <w:tcPr>
            <w:tcW w:type="dxa" w:w="2520"/>
          </w:tcPr>
          <w:p>
            <w:r/>
            <w:r>
              <w:rPr>
                <w:b w:val="0"/>
                <w:sz w:val="17"/>
              </w:rPr>
              <w:t>Omitted from Restated Certificate §4.6(b) and from the SPA, IRA and Voting Agreement.</w:t>
            </w:r>
          </w:p>
        </w:tc>
        <w:tc>
          <w:tcPr>
            <w:tcW w:type="dxa" w:w="3672"/>
          </w:tcPr>
          <w:p>
            <w:r/>
            <w:r>
              <w:rPr>
                <w:b w:val="0"/>
                <w:sz w:val="17"/>
              </w:rPr>
              <w:t>A specifically negotiated, bold-faced protective provision is missing entirely.</w:t>
            </w:r>
          </w:p>
        </w:tc>
        <w:tc>
          <w:tcPr>
            <w:tcW w:type="dxa" w:w="1008"/>
            <w:shd w:val="clear" w:color="auto" w:fill="F9D9A8"/>
          </w:tcPr>
          <w:p>
            <w:r/>
            <w:r>
              <w:rPr>
                <w:b/>
                <w:sz w:val="17"/>
              </w:rPr>
              <w:t>High</w:t>
            </w:r>
          </w:p>
        </w:tc>
        <w:tc>
          <w:tcPr>
            <w:tcW w:type="dxa" w:w="2448"/>
          </w:tcPr>
          <w:p>
            <w:r/>
            <w:r>
              <w:rPr>
                <w:b w:val="0"/>
                <w:sz w:val="17"/>
              </w:rPr>
              <w:t>Add the term sheet clause verbatim as a new §4.6(b) item (or as an IRA covenant, if the parties prefer that it not sit in the charter, while keeping the 60% Series B consent). Add a matching related-party rep to SPA Article 4.</w:t>
            </w:r>
          </w:p>
        </w:tc>
      </w:tr>
      <w:tr>
        <w:tc>
          <w:tcPr>
            <w:tcW w:type="dxa" w:w="648"/>
          </w:tcPr>
          <w:p>
            <w:r/>
            <w:r>
              <w:rPr>
                <w:b/>
                <w:sz w:val="17"/>
              </w:rPr>
              <w:t>G-4</w:t>
            </w:r>
          </w:p>
        </w:tc>
        <w:tc>
          <w:tcPr>
            <w:tcW w:type="dxa" w:w="1440"/>
          </w:tcPr>
          <w:p>
            <w:r/>
            <w:r>
              <w:rPr>
                <w:b/>
                <w:sz w:val="17"/>
              </w:rPr>
              <w:t>Protective provisions: Deemed Liquidation Event veto</w:t>
            </w:r>
          </w:p>
        </w:tc>
        <w:tc>
          <w:tcPr>
            <w:tcW w:type="dxa" w:w="2520"/>
          </w:tcPr>
          <w:p>
            <w:r/>
            <w:r>
              <w:rPr>
                <w:b w:val="0"/>
                <w:sz w:val="17"/>
              </w:rPr>
              <w:t>TS §3.2(i): 60% Series B consent to “any Deemed Liquidation Event, including any merger, consolidation, acquisition … or sale of all or substantially all … assets.” The consent is unconditional.</w:t>
            </w:r>
          </w:p>
        </w:tc>
        <w:tc>
          <w:tcPr>
            <w:tcW w:type="dxa" w:w="2520"/>
          </w:tcPr>
          <w:p>
            <w:r/>
            <w:r>
              <w:rPr>
                <w:b w:val="0"/>
                <w:sz w:val="17"/>
              </w:rPr>
              <w:t>Restated Certificate §4.6(b)(iv): consent required only “unless the holders of Series B Preferred Stock would receive in such transaction consideration at least equal to the Liquidation Preference Amount.”</w:t>
            </w:r>
          </w:p>
        </w:tc>
        <w:tc>
          <w:tcPr>
            <w:tcW w:type="dxa" w:w="3672"/>
          </w:tcPr>
          <w:p>
            <w:r/>
            <w:r>
              <w:rPr>
                <w:b w:val="0"/>
                <w:sz w:val="17"/>
              </w:rPr>
              <w:t>The proviso largely removes the M&amp;A veto. The Company can sell itself without Series B consent whenever the Series B is paid 1x. Because Liquidation Preference Amount is itself a greater-of amount, the test is also circular and uncertain. This interacts with the drag-along change (G-9).</w:t>
            </w:r>
          </w:p>
        </w:tc>
        <w:tc>
          <w:tcPr>
            <w:tcW w:type="dxa" w:w="1008"/>
            <w:shd w:val="clear" w:color="auto" w:fill="F4B6B6"/>
          </w:tcPr>
          <w:p>
            <w:r/>
            <w:r>
              <w:rPr>
                <w:b/>
                <w:sz w:val="17"/>
              </w:rPr>
              <w:t>Critical</w:t>
            </w:r>
          </w:p>
        </w:tc>
        <w:tc>
          <w:tcPr>
            <w:tcW w:type="dxa" w:w="2448"/>
          </w:tcPr>
          <w:p>
            <w:r/>
            <w:r>
              <w:rPr>
                <w:b w:val="0"/>
                <w:sz w:val="17"/>
              </w:rPr>
              <w:t>Delete the proviso so the Series B consent to any Deemed Liquidation Event is unconditional, as the term sheet provides.</w:t>
            </w:r>
          </w:p>
        </w:tc>
      </w:tr>
      <w:tr>
        <w:tc>
          <w:tcPr>
            <w:tcW w:type="dxa" w:w="648"/>
          </w:tcPr>
          <w:p>
            <w:r/>
            <w:r>
              <w:rPr>
                <w:b/>
                <w:sz w:val="17"/>
              </w:rPr>
              <w:t>G-5</w:t>
            </w:r>
          </w:p>
        </w:tc>
        <w:tc>
          <w:tcPr>
            <w:tcW w:type="dxa" w:w="1440"/>
          </w:tcPr>
          <w:p>
            <w:r/>
            <w:r>
              <w:rPr>
                <w:b/>
                <w:sz w:val="17"/>
              </w:rPr>
              <w:t>Protective provisions: Board size and other items</w:t>
            </w:r>
          </w:p>
        </w:tc>
        <w:tc>
          <w:tcPr>
            <w:tcW w:type="dxa" w:w="2520"/>
          </w:tcPr>
          <w:p>
            <w:r/>
            <w:r>
              <w:rPr>
                <w:b w:val="0"/>
                <w:sz w:val="17"/>
              </w:rPr>
              <w:t>TS §3.2(j): no increase in Board size “beyond seven (7) members”; §3.2(h): no change of principal business or material new unrelated line of business; §3.2(d): no dividend or distribution on any capital stock; §3.2(c): no creation or authorization of senior or parity securities, or reclassification.</w:t>
            </w:r>
          </w:p>
        </w:tc>
        <w:tc>
          <w:tcPr>
            <w:tcW w:type="dxa" w:w="2520"/>
          </w:tcPr>
          <w:p>
            <w:r/>
            <w:r>
              <w:rPr>
                <w:b w:val="0"/>
                <w:sz w:val="17"/>
              </w:rPr>
              <w:t>Restated Certificate §4.6(b)(ix): beyond the number “set forth in the Voting Agreement, as in effect from time to time”; (viii) adds “materially” and adds “wind up or dissolve”; (v) carves out dividends payable solely in Common; (ii) covers senior and parity “with respect to dividends, redemption, or distributions upon a Liquidation Event”; (vi) adds a sinking-fund item and requires a Series B Director to approve repurchases.</w:t>
            </w:r>
          </w:p>
        </w:tc>
        <w:tc>
          <w:tcPr>
            <w:tcW w:type="dxa" w:w="3672"/>
          </w:tcPr>
          <w:p>
            <w:r/>
            <w:r>
              <w:rPr>
                <w:b w:val="0"/>
                <w:sz w:val="17"/>
              </w:rPr>
              <w:t>(a) Tying the Board cap to the Voting Agreement lets the cap move with a Voting Agreement amendment, which needs only a majority of the Series B (Voting Agreement §3.3), and the draft fixes six seats, not seven. (b) “Materially” narrows the business-change veto. (c) Limiting senior/parity to dividend, redemption and liquidation rights leaves out securities with superior voting, conversion or anti-dilution rights. (d) Adding wind-up, sinking funds and Series B Director approval of repurchases helps investors, but none of it is in the term sheet.</w:t>
            </w:r>
          </w:p>
        </w:tc>
        <w:tc>
          <w:tcPr>
            <w:tcW w:type="dxa" w:w="1008"/>
            <w:shd w:val="clear" w:color="auto" w:fill="FFF2B3"/>
          </w:tcPr>
          <w:p>
            <w:r/>
            <w:r>
              <w:rPr>
                <w:b/>
                <w:sz w:val="17"/>
              </w:rPr>
              <w:t>Medium</w:t>
            </w:r>
          </w:p>
        </w:tc>
        <w:tc>
          <w:tcPr>
            <w:tcW w:type="dxa" w:w="2448"/>
          </w:tcPr>
          <w:p>
            <w:r/>
            <w:r>
              <w:rPr>
                <w:b w:val="0"/>
                <w:sz w:val="17"/>
              </w:rPr>
              <w:t>Fix the Board cap at seven (7) in the charter. Track the term sheet wording on business change. Extend (ii) to “rights, preferences or privileges” generally, as in TS §3.2(c). The investor-favorable additions can be kept but should be flagged to Company counsel as additions.</w:t>
            </w:r>
          </w:p>
        </w:tc>
      </w:tr>
      <w:tr>
        <w:tc>
          <w:tcPr>
            <w:tcW w:type="dxa" w:w="648"/>
          </w:tcPr>
          <w:p>
            <w:r/>
            <w:r>
              <w:rPr>
                <w:b/>
                <w:sz w:val="17"/>
              </w:rPr>
              <w:t>G-6</w:t>
            </w:r>
          </w:p>
        </w:tc>
        <w:tc>
          <w:tcPr>
            <w:tcW w:type="dxa" w:w="1440"/>
          </w:tcPr>
          <w:p>
            <w:r/>
            <w:r>
              <w:rPr>
                <w:b/>
                <w:sz w:val="17"/>
              </w:rPr>
              <w:t>“Blank check” preferred and unprotected junior securities</w:t>
            </w:r>
          </w:p>
        </w:tc>
        <w:tc>
          <w:tcPr>
            <w:tcW w:type="dxa" w:w="2520"/>
          </w:tcPr>
          <w:p>
            <w:r/>
            <w:r>
              <w:rPr>
                <w:b w:val="0"/>
                <w:sz w:val="17"/>
              </w:rPr>
              <w:t>TS §3.2(c) protects against senior and parity securities. The TS does not contemplate Board authority to designate new series.</w:t>
            </w:r>
          </w:p>
        </w:tc>
        <w:tc>
          <w:tcPr>
            <w:tcW w:type="dxa" w:w="2520"/>
          </w:tcPr>
          <w:p>
            <w:r/>
            <w:r>
              <w:rPr>
                <w:b w:val="0"/>
                <w:sz w:val="17"/>
              </w:rPr>
              <w:t>Restated Certificate §4.1: of 15,000,000 authorized Preferred, 3,504,762 shares are undesignated and “may be issued from time to time in one or more series … as shall be fixed by resolution of the Board.”</w:t>
            </w:r>
          </w:p>
        </w:tc>
        <w:tc>
          <w:tcPr>
            <w:tcW w:type="dxa" w:w="3672"/>
          </w:tcPr>
          <w:p>
            <w:r/>
            <w:r>
              <w:rPr>
                <w:b w:val="0"/>
                <w:sz w:val="17"/>
              </w:rPr>
              <w:t>This gives the Board blank-check authority over about 3.5M shares of preferred. Junior series, and series with special voting or board rights, could be issued without any Series B vote, and §4.6(b)(ii) does not cover rights other than economics.</w:t>
            </w:r>
          </w:p>
        </w:tc>
        <w:tc>
          <w:tcPr>
            <w:tcW w:type="dxa" w:w="1008"/>
            <w:shd w:val="clear" w:color="auto" w:fill="FFF2B3"/>
          </w:tcPr>
          <w:p>
            <w:r/>
            <w:r>
              <w:rPr>
                <w:b/>
                <w:sz w:val="17"/>
              </w:rPr>
              <w:t>Medium</w:t>
            </w:r>
          </w:p>
        </w:tc>
        <w:tc>
          <w:tcPr>
            <w:tcW w:type="dxa" w:w="2448"/>
          </w:tcPr>
          <w:p>
            <w:r/>
            <w:r>
              <w:rPr>
                <w:b w:val="0"/>
                <w:sz w:val="17"/>
              </w:rPr>
              <w:t>Delete the blank-check language or make any new series subject to 60% Series B consent. Consider reducing authorized Preferred to the designated amounts plus a cushion.</w:t>
            </w:r>
          </w:p>
        </w:tc>
      </w:tr>
      <w:tr>
        <w:tc>
          <w:tcPr>
            <w:tcW w:type="dxa" w:w="648"/>
          </w:tcPr>
          <w:p>
            <w:r/>
            <w:r>
              <w:rPr>
                <w:b/>
                <w:sz w:val="17"/>
              </w:rPr>
              <w:t>G-7</w:t>
            </w:r>
          </w:p>
        </w:tc>
        <w:tc>
          <w:tcPr>
            <w:tcW w:type="dxa" w:w="1440"/>
          </w:tcPr>
          <w:p>
            <w:r/>
            <w:r>
              <w:rPr>
                <w:b/>
                <w:sz w:val="17"/>
              </w:rPr>
              <w:t>Board composition</w:t>
            </w:r>
          </w:p>
        </w:tc>
        <w:tc>
          <w:tcPr>
            <w:tcW w:type="dxa" w:w="2520"/>
          </w:tcPr>
          <w:p>
            <w:r/>
            <w:r>
              <w:rPr>
                <w:b w:val="0"/>
                <w:sz w:val="17"/>
              </w:rPr>
              <w:t>TS §3.1: seven (7) directors: 2 Series B Directors (Theodore Hargrove plus one Lead Investor designee), 1 Series A Director (Simone Aldridge), 2 Common Directors (Nandakumar and Ellingham), and two (2) Independent Directors mutually agreed by the Series B Directors and the CEO, who are not employees, officers or affiliates of the Company or any Investor and have relevant industry or operational experience.</w:t>
            </w:r>
          </w:p>
        </w:tc>
        <w:tc>
          <w:tcPr>
            <w:tcW w:type="dxa" w:w="2520"/>
          </w:tcPr>
          <w:p>
            <w:r/>
            <w:r>
              <w:rPr>
                <w:b w:val="0"/>
                <w:sz w:val="17"/>
              </w:rPr>
              <w:t>Voting Agreement §1.1: six (6) directors with one (1) Independent Director; independence test omits the “relevant industry or operational experience” requirement and adds non-affiliation with Key Holders; the initial Independent Director is designated “prior to or promptly following the Closing.” SPA §7.3 defers to the Voting Agreement.</w:t>
            </w:r>
          </w:p>
        </w:tc>
        <w:tc>
          <w:tcPr>
            <w:tcW w:type="dxa" w:w="3672"/>
          </w:tcPr>
          <w:p>
            <w:r/>
            <w:r>
              <w:rPr>
                <w:b w:val="0"/>
                <w:sz w:val="17"/>
              </w:rPr>
              <w:t>One independent seat is dropped. That changes the Board balance from 3 investor-designated seats of 7 (with 2 jointly selected) to 3 of 6, and gives the investor and common blocs an even 3–3 split on non-independent seats, which affects the deadlock dynamics. The draft does not satisfy closing condition TS §5.3(e), which requires a Voting Agreement providing for the TS §3.1 Board.</w:t>
            </w:r>
          </w:p>
        </w:tc>
        <w:tc>
          <w:tcPr>
            <w:tcW w:type="dxa" w:w="1008"/>
            <w:shd w:val="clear" w:color="auto" w:fill="F9D9A8"/>
          </w:tcPr>
          <w:p>
            <w:r/>
            <w:r>
              <w:rPr>
                <w:b/>
                <w:sz w:val="17"/>
              </w:rPr>
              <w:t>High</w:t>
            </w:r>
          </w:p>
        </w:tc>
        <w:tc>
          <w:tcPr>
            <w:tcW w:type="dxa" w:w="2448"/>
          </w:tcPr>
          <w:p>
            <w:r/>
            <w:r>
              <w:rPr>
                <w:b w:val="0"/>
                <w:sz w:val="17"/>
              </w:rPr>
              <w:t>Restore a 7-member Board with two Independent Directors and the full independence and experience criteria. Name or pin down the second Series B designee before closing (TS §3.1(a)). Set a timeline and fallback mechanism for appointing the Independent Directors.</w:t>
            </w:r>
          </w:p>
        </w:tc>
      </w:tr>
      <w:tr>
        <w:tc>
          <w:tcPr>
            <w:tcW w:type="dxa" w:w="648"/>
          </w:tcPr>
          <w:p>
            <w:r/>
            <w:r>
              <w:rPr>
                <w:b/>
                <w:sz w:val="17"/>
              </w:rPr>
              <w:t>G-8</w:t>
            </w:r>
          </w:p>
        </w:tc>
        <w:tc>
          <w:tcPr>
            <w:tcW w:type="dxa" w:w="1440"/>
          </w:tcPr>
          <w:p>
            <w:r/>
            <w:r>
              <w:rPr>
                <w:b/>
                <w:sz w:val="17"/>
              </w:rPr>
              <w:t>Series B and Series A director election rights in the charter</w:t>
            </w:r>
          </w:p>
        </w:tc>
        <w:tc>
          <w:tcPr>
            <w:tcW w:type="dxa" w:w="2520"/>
          </w:tcPr>
          <w:p>
            <w:r/>
            <w:r>
              <w:rPr>
                <w:b w:val="0"/>
                <w:sz w:val="17"/>
              </w:rPr>
              <w:t>TS §2.5: the Series B, voting as a separate class, “shall be entitled to elect the Series B Directors.”</w:t>
            </w:r>
          </w:p>
        </w:tc>
        <w:tc>
          <w:tcPr>
            <w:tcW w:type="dxa" w:w="2520"/>
          </w:tcPr>
          <w:p>
            <w:r/>
            <w:r>
              <w:rPr>
                <w:b w:val="0"/>
                <w:sz w:val="17"/>
              </w:rPr>
              <w:t>Restated Certificate Article V leaves the number of directors to the Bylaws and Voting Agreement and contains no class-vote election rights; seats exist only contractually in the Voting Agreement.</w:t>
            </w:r>
          </w:p>
        </w:tc>
        <w:tc>
          <w:tcPr>
            <w:tcW w:type="dxa" w:w="3672"/>
          </w:tcPr>
          <w:p>
            <w:r/>
            <w:r>
              <w:rPr>
                <w:b w:val="0"/>
                <w:sz w:val="17"/>
              </w:rPr>
              <w:t>The class election right the term sheet calls for is missing from the charter. A purely contractual right is weaker (enforcement against non-signatories, transferees and future holders) and does not support the vacancy and removal mechanics under DGCL §141(k) and §223.</w:t>
            </w:r>
          </w:p>
        </w:tc>
        <w:tc>
          <w:tcPr>
            <w:tcW w:type="dxa" w:w="1008"/>
            <w:shd w:val="clear" w:color="auto" w:fill="FFF2B3"/>
          </w:tcPr>
          <w:p>
            <w:r/>
            <w:r>
              <w:rPr>
                <w:b/>
                <w:sz w:val="17"/>
              </w:rPr>
              <w:t>Medium</w:t>
            </w:r>
          </w:p>
        </w:tc>
        <w:tc>
          <w:tcPr>
            <w:tcW w:type="dxa" w:w="2448"/>
          </w:tcPr>
          <w:p>
            <w:r/>
            <w:r>
              <w:rPr>
                <w:b w:val="0"/>
                <w:sz w:val="17"/>
              </w:rPr>
              <w:t>Add NVCA-style charter provisions: the Series B elects two directors, the Series A elects one, the Common elects two, and the rest are elected by all holders voting together, with class-based removal and vacancy filling.</w:t>
            </w:r>
          </w:p>
        </w:tc>
      </w:tr>
      <w:tr>
        <w:tc>
          <w:tcPr>
            <w:tcW w:type="dxa" w:w="648"/>
          </w:tcPr>
          <w:p>
            <w:r/>
            <w:r>
              <w:rPr>
                <w:b/>
                <w:sz w:val="17"/>
              </w:rPr>
              <w:t>G-9</w:t>
            </w:r>
          </w:p>
        </w:tc>
        <w:tc>
          <w:tcPr>
            <w:tcW w:type="dxa" w:w="1440"/>
          </w:tcPr>
          <w:p>
            <w:r/>
            <w:r>
              <w:rPr>
                <w:b/>
                <w:sz w:val="17"/>
              </w:rPr>
              <w:t>Drag-along approval</w:t>
            </w:r>
          </w:p>
        </w:tc>
        <w:tc>
          <w:tcPr>
            <w:tcW w:type="dxa" w:w="2520"/>
          </w:tcPr>
          <w:p>
            <w:r/>
            <w:r>
              <w:rPr>
                <w:b w:val="0"/>
                <w:sz w:val="17"/>
              </w:rPr>
              <w:t>TS §3.3: drag triggered only if approved by both (a) a majority of the outstanding Common, voting separately, and (b) at least 60% of the Preferred (as-converted), voting separately; “neither class alone is sufficient.” Obligations: vote for, waive appraisal, take reasonably necessary actions.</w:t>
            </w:r>
          </w:p>
        </w:tc>
        <w:tc>
          <w:tcPr>
            <w:tcW w:type="dxa" w:w="2520"/>
          </w:tcPr>
          <w:p>
            <w:r/>
            <w:r>
              <w:rPr>
                <w:b w:val="0"/>
                <w:sz w:val="17"/>
              </w:rPr>
              <w:t>Voting Agreement §2.1: triggered by “a majority of the then-outstanding shares of Preferred Stock … voting together as a single class” only. There is no Common approval. Preferred threshold is a majority, not 60%.</w:t>
            </w:r>
          </w:p>
        </w:tc>
        <w:tc>
          <w:tcPr>
            <w:tcW w:type="dxa" w:w="3672"/>
          </w:tcPr>
          <w:p>
            <w:r/>
            <w:r>
              <w:rPr>
                <w:b w:val="0"/>
                <w:sz w:val="17"/>
              </w:rPr>
              <w:t>The draft lets the Preferred alone drag the Common, and at a lower threshold. Orchard Hill alone holds about 79.2% of the as-converted Preferred (4,800,000 Series A + 4,303,883 Series B = 9,103,883 of 11,495,238), so it could unilaterally drag every stockholder. This is a fundamental governance change. Founders and Common holders will object, and the clause is open to fiduciary and enforceability challenge. The §2.2 conditions (same consideration, limited reps, pro rata and several indemnity) are useful additions consistent with market practice.</w:t>
            </w:r>
          </w:p>
        </w:tc>
        <w:tc>
          <w:tcPr>
            <w:tcW w:type="dxa" w:w="1008"/>
            <w:shd w:val="clear" w:color="auto" w:fill="F4B6B6"/>
          </w:tcPr>
          <w:p>
            <w:r/>
            <w:r>
              <w:rPr>
                <w:b/>
                <w:sz w:val="17"/>
              </w:rPr>
              <w:t>Critical</w:t>
            </w:r>
          </w:p>
        </w:tc>
        <w:tc>
          <w:tcPr>
            <w:tcW w:type="dxa" w:w="2448"/>
          </w:tcPr>
          <w:p>
            <w:r/>
            <w:r>
              <w:rPr>
                <w:b w:val="0"/>
                <w:sz w:val="17"/>
              </w:rPr>
              <w:t>Restore the dual approval: majority of Common and 60% of Preferred, each voting separately. Keep the §2.2 protective conditions. Consider whether the Board should also approve, and whether a Series B-specific consent applies (see G-4).</w:t>
            </w:r>
          </w:p>
        </w:tc>
      </w:tr>
      <w:tr>
        <w:tc>
          <w:tcPr>
            <w:tcW w:type="dxa" w:w="648"/>
          </w:tcPr>
          <w:p>
            <w:r/>
            <w:r>
              <w:rPr>
                <w:b/>
                <w:sz w:val="17"/>
              </w:rPr>
              <w:t>G-10</w:t>
            </w:r>
          </w:p>
        </w:tc>
        <w:tc>
          <w:tcPr>
            <w:tcW w:type="dxa" w:w="1440"/>
          </w:tcPr>
          <w:p>
            <w:r/>
            <w:r>
              <w:rPr>
                <w:b/>
                <w:sz w:val="17"/>
              </w:rPr>
              <w:t>Board observers</w:t>
            </w:r>
          </w:p>
        </w:tc>
        <w:tc>
          <w:tcPr>
            <w:tcW w:type="dxa" w:w="2520"/>
          </w:tcPr>
          <w:p>
            <w:r/>
            <w:r>
              <w:rPr>
                <w:b w:val="0"/>
                <w:sz w:val="17"/>
              </w:rPr>
              <w:t>TS §3.1: any Investor holding ≥ $4,000,000 of Series B (by original purchase price) may designate one non-voting observer to attend all Board meetings and receive all materials, subject to customary exclusions for conflicts of interest and privilege. All three Investors qualify at closing.</w:t>
            </w:r>
          </w:p>
        </w:tc>
        <w:tc>
          <w:tcPr>
            <w:tcW w:type="dxa" w:w="2520"/>
          </w:tcPr>
          <w:p>
            <w:r/>
            <w:r>
              <w:rPr>
                <w:b w:val="0"/>
                <w:sz w:val="17"/>
              </w:rPr>
              <w:t>Voting Agreement §1.2: same $4M threshold, aggregated for affiliated Investors; adds committee meetings; adds an exclusion for “competitively sensitive information”; observers bound by the confidentiality applicable to directors.</w:t>
            </w:r>
          </w:p>
        </w:tc>
        <w:tc>
          <w:tcPr>
            <w:tcW w:type="dxa" w:w="3672"/>
          </w:tcPr>
          <w:p>
            <w:r/>
            <w:r>
              <w:rPr>
                <w:b w:val="0"/>
                <w:sz w:val="17"/>
              </w:rPr>
              <w:t>The thresholds match. The added “competitively sensitive information” exclusion is broader than the term sheet and could be used to exclude observers. Aggregation across affiliates is a sensible clarification. Observer rights would sit better in the IRA (the NVCA location), together with the Management Rights Letter.</w:t>
            </w:r>
          </w:p>
        </w:tc>
        <w:tc>
          <w:tcPr>
            <w:tcW w:type="dxa" w:w="1008"/>
            <w:shd w:val="clear" w:color="auto" w:fill="DDEBD5"/>
          </w:tcPr>
          <w:p>
            <w:r/>
            <w:r>
              <w:rPr>
                <w:b/>
                <w:sz w:val="17"/>
              </w:rPr>
              <w:t>Low</w:t>
            </w:r>
          </w:p>
        </w:tc>
        <w:tc>
          <w:tcPr>
            <w:tcW w:type="dxa" w:w="2448"/>
          </w:tcPr>
          <w:p>
            <w:r/>
            <w:r>
              <w:rPr>
                <w:b w:val="0"/>
                <w:sz w:val="17"/>
              </w:rPr>
              <w:t>Delete or narrow the competitive-sensitivity exclusion (for example, limit it to an observer affiliated with an actual competitor). Consider moving observer rights to the IRA. Confirm that Ridgeway, at exactly $4,000,000, qualifies under the final, recomputed share numbers (see E-2).</w:t>
            </w:r>
          </w:p>
        </w:tc>
      </w:tr>
      <w:tr>
        <w:tc>
          <w:tcPr>
            <w:tcW w:type="dxa" w:w="648"/>
          </w:tcPr>
          <w:p>
            <w:r/>
            <w:r>
              <w:rPr>
                <w:b/>
                <w:sz w:val="17"/>
              </w:rPr>
              <w:t>G-11</w:t>
            </w:r>
          </w:p>
        </w:tc>
        <w:tc>
          <w:tcPr>
            <w:tcW w:type="dxa" w:w="1440"/>
          </w:tcPr>
          <w:p>
            <w:r/>
            <w:r>
              <w:rPr>
                <w:b/>
                <w:sz w:val="17"/>
              </w:rPr>
              <w:t>Charter amendment protection and Series A protective provision</w:t>
            </w:r>
          </w:p>
        </w:tc>
        <w:tc>
          <w:tcPr>
            <w:tcW w:type="dxa" w:w="2520"/>
          </w:tcPr>
          <w:p>
            <w:r/>
            <w:r>
              <w:rPr>
                <w:b w:val="0"/>
                <w:sz w:val="17"/>
              </w:rPr>
              <w:t>TS §3.2(a): 60% Series B consent to any adverse charter or bylaw amendment.</w:t>
            </w:r>
          </w:p>
        </w:tc>
        <w:tc>
          <w:tcPr>
            <w:tcW w:type="dxa" w:w="2520"/>
          </w:tcPr>
          <w:p>
            <w:r/>
            <w:r>
              <w:rPr>
                <w:b w:val="0"/>
                <w:sz w:val="17"/>
              </w:rPr>
              <w:t>Restated Certificate Article VII requires consent of the affected series “in accordance with Section 4.6,” which currently means a majority of the Series B. §4.6(c) gives the Series A a veto only over amendments that are disproportionately adverse to the Series A.</w:t>
            </w:r>
          </w:p>
        </w:tc>
        <w:tc>
          <w:tcPr>
            <w:tcW w:type="dxa" w:w="3672"/>
          </w:tcPr>
          <w:p>
            <w:r/>
            <w:r>
              <w:rPr>
                <w:b w:val="0"/>
                <w:sz w:val="17"/>
              </w:rPr>
              <w:t>The Article VII cross-reference imports the wrong (majority) threshold. The term sheet is silent on the Series A protective provision. Because Orchard Hill holds all of the Series A, the provision gives it a separate veto, which should be confirmed with the client.</w:t>
            </w:r>
          </w:p>
        </w:tc>
        <w:tc>
          <w:tcPr>
            <w:tcW w:type="dxa" w:w="1008"/>
            <w:shd w:val="clear" w:color="auto" w:fill="DDEBD5"/>
          </w:tcPr>
          <w:p>
            <w:r/>
            <w:r>
              <w:rPr>
                <w:b/>
                <w:sz w:val="17"/>
              </w:rPr>
              <w:t>Low</w:t>
            </w:r>
          </w:p>
        </w:tc>
        <w:tc>
          <w:tcPr>
            <w:tcW w:type="dxa" w:w="2448"/>
          </w:tcPr>
          <w:p>
            <w:r/>
            <w:r>
              <w:rPr>
                <w:b w:val="0"/>
                <w:sz w:val="17"/>
              </w:rPr>
              <w:t>Conform Article VII to 60% of the Series B. Confirm with the client the scope of any Series A class vote (DGCL §242(b)(2) applies in any event).</w:t>
            </w:r>
          </w:p>
        </w:tc>
      </w:tr>
    </w:tbl>
    <w:p/>
    <w:p>
      <w:pPr>
        <w:pStyle w:val="Heading1"/>
      </w:pPr>
      <w:r>
        <w:t>6. Investor Rights: Preemptive, Co-Sale, Registration, Information (TS Section 4)</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648"/>
            <w:shd w:val="clear" w:color="auto" w:fill="1F3864"/>
          </w:tcPr>
          <w:p>
            <w:r>
              <w:rPr>
                <w:color w:val="FFFFFF"/>
              </w:rPr>
            </w:r>
            <w:r>
              <w:rPr>
                <w:b/>
                <w:sz w:val="17"/>
              </w:rPr>
              <w:t>No.</w:t>
            </w:r>
          </w:p>
        </w:tc>
        <w:tc>
          <w:tcPr>
            <w:tcW w:type="dxa" w:w="1440"/>
            <w:shd w:val="clear" w:color="auto" w:fill="1F3864"/>
          </w:tcPr>
          <w:p>
            <w:r>
              <w:rPr>
                <w:color w:val="FFFFFF"/>
              </w:rPr>
            </w:r>
            <w:r>
              <w:rPr>
                <w:b/>
                <w:sz w:val="17"/>
              </w:rPr>
              <w:t>Topic</w:t>
            </w:r>
          </w:p>
        </w:tc>
        <w:tc>
          <w:tcPr>
            <w:tcW w:type="dxa" w:w="2520"/>
            <w:shd w:val="clear" w:color="auto" w:fill="1F3864"/>
          </w:tcPr>
          <w:p>
            <w:r>
              <w:rPr>
                <w:color w:val="FFFFFF"/>
              </w:rPr>
            </w:r>
            <w:r>
              <w:rPr>
                <w:b/>
                <w:sz w:val="17"/>
              </w:rPr>
              <w:t>Term Sheet</w:t>
            </w:r>
          </w:p>
        </w:tc>
        <w:tc>
          <w:tcPr>
            <w:tcW w:type="dxa" w:w="2520"/>
            <w:shd w:val="clear" w:color="auto" w:fill="1F3864"/>
          </w:tcPr>
          <w:p>
            <w:r>
              <w:rPr>
                <w:color w:val="FFFFFF"/>
              </w:rPr>
            </w:r>
            <w:r>
              <w:rPr>
                <w:b/>
                <w:sz w:val="17"/>
              </w:rPr>
              <w:t>Draft SPA / Exhibit</w:t>
            </w:r>
          </w:p>
        </w:tc>
        <w:tc>
          <w:tcPr>
            <w:tcW w:type="dxa" w:w="3672"/>
            <w:shd w:val="clear" w:color="auto" w:fill="1F3864"/>
          </w:tcPr>
          <w:p>
            <w:r>
              <w:rPr>
                <w:color w:val="FFFFFF"/>
              </w:rPr>
            </w:r>
            <w:r>
              <w:rPr>
                <w:b/>
                <w:sz w:val="17"/>
              </w:rPr>
              <w:t>Deviation, omission or concern</w:t>
            </w:r>
          </w:p>
        </w:tc>
        <w:tc>
          <w:tcPr>
            <w:tcW w:type="dxa" w:w="1008"/>
            <w:shd w:val="clear" w:color="auto" w:fill="1F3864"/>
          </w:tcPr>
          <w:p>
            <w:r>
              <w:rPr>
                <w:color w:val="FFFFFF"/>
              </w:rPr>
            </w:r>
            <w:r>
              <w:rPr>
                <w:b/>
                <w:sz w:val="17"/>
              </w:rPr>
              <w:t>Severity</w:t>
            </w:r>
          </w:p>
        </w:tc>
        <w:tc>
          <w:tcPr>
            <w:tcW w:type="dxa" w:w="2448"/>
            <w:shd w:val="clear" w:color="auto" w:fill="1F3864"/>
          </w:tcPr>
          <w:p>
            <w:r>
              <w:rPr>
                <w:color w:val="FFFFFF"/>
              </w:rPr>
            </w:r>
            <w:r>
              <w:rPr>
                <w:b/>
                <w:sz w:val="17"/>
              </w:rPr>
              <w:t>Recommended action</w:t>
            </w:r>
          </w:p>
        </w:tc>
      </w:tr>
      <w:tr>
        <w:tc>
          <w:tcPr>
            <w:tcW w:type="dxa" w:w="648"/>
          </w:tcPr>
          <w:p>
            <w:r/>
            <w:r>
              <w:rPr>
                <w:b/>
                <w:sz w:val="17"/>
              </w:rPr>
              <w:t>R-1</w:t>
            </w:r>
          </w:p>
        </w:tc>
        <w:tc>
          <w:tcPr>
            <w:tcW w:type="dxa" w:w="1440"/>
          </w:tcPr>
          <w:p>
            <w:r/>
            <w:r>
              <w:rPr>
                <w:b/>
                <w:sz w:val="17"/>
              </w:rPr>
              <w:t>Preemptive right (right of first refusal on new issuances)</w:t>
            </w:r>
          </w:p>
        </w:tc>
        <w:tc>
          <w:tcPr>
            <w:tcW w:type="dxa" w:w="2520"/>
          </w:tcPr>
          <w:p>
            <w:r/>
            <w:r>
              <w:rPr>
                <w:b w:val="0"/>
                <w:sz w:val="17"/>
              </w:rPr>
              <w:t>TS §4.1: each holder of Preferred has a pro rata right to buy new equity “on the same terms and at the same price as offered to third-party purchasers”; exceptions: Excluded Issuances (TS §2.4), equipment leasing, bank borrowings and similar debt financings; pro rata share on a fully-diluted, as-converted basis; an exercise period of “not less than fifteen (15) business days” from written notice.</w:t>
            </w:r>
          </w:p>
        </w:tc>
        <w:tc>
          <w:tcPr>
            <w:tcW w:type="dxa" w:w="2520"/>
          </w:tcPr>
          <w:p>
            <w:r/>
            <w:r>
              <w:rPr>
                <w:b w:val="0"/>
                <w:sz w:val="17"/>
              </w:rPr>
              <w:t>IRA §4.1: grants the right and defines pro rata share consistently, but contains no notice, exercise period, same-terms or over-allotment mechanics. Exclusions add (iv) shares issued in a Qualified IPO; (iii) strategic issuances have no “primary purpose” proviso; (v) equipment and bank financings are limited to those “approved by the Board.”</w:t>
            </w:r>
          </w:p>
        </w:tc>
        <w:tc>
          <w:tcPr>
            <w:tcW w:type="dxa" w:w="3672"/>
          </w:tcPr>
          <w:p>
            <w:r/>
            <w:r>
              <w:rPr>
                <w:b w:val="0"/>
                <w:sz w:val="17"/>
              </w:rPr>
              <w:t>The agreed 15-business-day exercise period and the same-price, same-terms protection are missing, so the right is effectively unenforceable as drafted. The strategic exclusion is broader than TS §2.4(2) because it can be used for capital-raising issuances. The Qualified IPO exclusion is market standard, but it is not in the term sheet.</w:t>
            </w:r>
          </w:p>
        </w:tc>
        <w:tc>
          <w:tcPr>
            <w:tcW w:type="dxa" w:w="1008"/>
            <w:shd w:val="clear" w:color="auto" w:fill="F9D9A8"/>
          </w:tcPr>
          <w:p>
            <w:r/>
            <w:r>
              <w:rPr>
                <w:b/>
                <w:sz w:val="17"/>
              </w:rPr>
              <w:t>High</w:t>
            </w:r>
          </w:p>
        </w:tc>
        <w:tc>
          <w:tcPr>
            <w:tcW w:type="dxa" w:w="2448"/>
          </w:tcPr>
          <w:p>
            <w:r/>
            <w:r>
              <w:rPr>
                <w:b w:val="0"/>
                <w:sz w:val="17"/>
              </w:rPr>
              <w:t>Add full NVCA §4 mechanics: Company notice, at least 15 business days to exercise, same price and terms, over-allotment, a 90-day sale window, and termination at a Qualified IPO or Deemed Liquidation Event. Conform the strategic exclusion to TS §2.4(2), including the primary-purpose test and Board approval.</w:t>
            </w:r>
          </w:p>
        </w:tc>
      </w:tr>
      <w:tr>
        <w:tc>
          <w:tcPr>
            <w:tcW w:type="dxa" w:w="648"/>
          </w:tcPr>
          <w:p>
            <w:r/>
            <w:r>
              <w:rPr>
                <w:b/>
                <w:sz w:val="17"/>
              </w:rPr>
              <w:t>R-2</w:t>
            </w:r>
          </w:p>
        </w:tc>
        <w:tc>
          <w:tcPr>
            <w:tcW w:type="dxa" w:w="1440"/>
          </w:tcPr>
          <w:p>
            <w:r/>
            <w:r>
              <w:rPr>
                <w:b/>
                <w:sz w:val="17"/>
              </w:rPr>
              <w:t>Co-sale (tag-along) and ROFR Agreement</w:t>
            </w:r>
          </w:p>
        </w:tc>
        <w:tc>
          <w:tcPr>
            <w:tcW w:type="dxa" w:w="2520"/>
          </w:tcPr>
          <w:p>
            <w:r/>
            <w:r>
              <w:rPr>
                <w:b w:val="0"/>
                <w:sz w:val="17"/>
              </w:rPr>
              <w:t>TS §4.2: on a proposed transfer of Common by any Founder or &gt;5% Common holder, each holder of Preferred Stock may co-sell pro rata on the same terms. Exceptions: estate planning, family members or family trusts, affiliates, each with a joinder. TS §5.3(d) contemplates a ROFR and Co-Sale Agreement.</w:t>
            </w:r>
          </w:p>
        </w:tc>
        <w:tc>
          <w:tcPr>
            <w:tcW w:type="dxa" w:w="2520"/>
          </w:tcPr>
          <w:p>
            <w:r/>
            <w:r>
              <w:rPr>
                <w:b w:val="0"/>
                <w:sz w:val="17"/>
              </w:rPr>
              <w:t>Exhibit D §§1.1–2.1: co-sale and secondary ROFR run only to “Investors,” defined as the Series B investors on Schedule 1. The Company has a first ROFR (15 days), then the Investors (15 days). Exempted Transfers (§1.3) add (d) any transfer approved by the Board with one Series B Director, (e) Deemed Liquidation Event transfers and (f) drag-along transfers. Co-sale applies only to Transfer Stock not taken under the ROFR.</w:t>
            </w:r>
          </w:p>
        </w:tc>
        <w:tc>
          <w:tcPr>
            <w:tcW w:type="dxa" w:w="3672"/>
          </w:tcPr>
          <w:p>
            <w:r/>
            <w:r>
              <w:rPr>
                <w:b w:val="0"/>
                <w:sz w:val="17"/>
              </w:rPr>
              <w:t>(a) Series A holders are excluded, contrary to “each holder of Preferred Stock.” As drafted, Orchard Hill’s Series A shares may not count, and any future Series A transferee has no rights. (b) The Board-approval exemption (d) lets one Series B Director, possibly acting without the co-investors, waive co-sale rights for all Investors, which the term sheet does not allow. (c) The pro rata formula (Investor shares over Selling Key Holder plus all Investors) is acceptable, but it should state whether Series A shares count. (d) The family-transfer exemption is broadly consistent. It would help to add that exempt transferees take subject to the agreement (already required) and to address pledges.</w:t>
            </w:r>
          </w:p>
        </w:tc>
        <w:tc>
          <w:tcPr>
            <w:tcW w:type="dxa" w:w="1008"/>
            <w:shd w:val="clear" w:color="auto" w:fill="FFF2B3"/>
          </w:tcPr>
          <w:p>
            <w:r/>
            <w:r>
              <w:rPr>
                <w:b/>
                <w:sz w:val="17"/>
              </w:rPr>
              <w:t>Medium</w:t>
            </w:r>
          </w:p>
        </w:tc>
        <w:tc>
          <w:tcPr>
            <w:tcW w:type="dxa" w:w="2448"/>
          </w:tcPr>
          <w:p>
            <w:r/>
            <w:r>
              <w:rPr>
                <w:b w:val="0"/>
                <w:sz w:val="17"/>
              </w:rPr>
              <w:t>Make all Preferred holders (Series A and Series B) Investors under Exhibit D. Delete or narrow exemption (d), for example by requiring 60% of the Series B or the transferring Investor’s consent to waive. Confirm the ROFR sequencing with the client.</w:t>
            </w:r>
          </w:p>
        </w:tc>
      </w:tr>
      <w:tr>
        <w:tc>
          <w:tcPr>
            <w:tcW w:type="dxa" w:w="648"/>
          </w:tcPr>
          <w:p>
            <w:r/>
            <w:r>
              <w:rPr>
                <w:b/>
                <w:sz w:val="17"/>
              </w:rPr>
              <w:t>R-3</w:t>
            </w:r>
          </w:p>
        </w:tc>
        <w:tc>
          <w:tcPr>
            <w:tcW w:type="dxa" w:w="1440"/>
          </w:tcPr>
          <w:p>
            <w:r/>
            <w:r>
              <w:rPr>
                <w:b/>
                <w:sz w:val="17"/>
              </w:rPr>
              <w:t>Demand registration</w:t>
            </w:r>
          </w:p>
        </w:tc>
        <w:tc>
          <w:tcPr>
            <w:tcW w:type="dxa" w:w="2520"/>
          </w:tcPr>
          <w:p>
            <w:r/>
            <w:r>
              <w:rPr>
                <w:b w:val="0"/>
                <w:sz w:val="17"/>
              </w:rPr>
              <w:t>TS §4.3: holders of ≥ 30% of Registrable Securities may demand an S-1; maximum two demands; no demand within 180 days after the effective date of a prior registration. The TS states no minimum offering size and no initial waiting period.</w:t>
            </w:r>
          </w:p>
        </w:tc>
        <w:tc>
          <w:tcPr>
            <w:tcW w:type="dxa" w:w="2520"/>
          </w:tcPr>
          <w:p>
            <w:r/>
            <w:r>
              <w:rPr>
                <w:b w:val="0"/>
                <w:sz w:val="17"/>
              </w:rPr>
              <w:t>IRA §2.1: 30% Initiating Holders and two demands, consistent. Adds a waiting period (earlier of the 5th anniversary or 180 days post-IPO) and a minimum offering size above $10,000,000. Omits the 180-day post-registration blackout. A demand counts only once effective for 120 days.</w:t>
            </w:r>
          </w:p>
        </w:tc>
        <w:tc>
          <w:tcPr>
            <w:tcW w:type="dxa" w:w="3672"/>
          </w:tcPr>
          <w:p>
            <w:r/>
            <w:r>
              <w:rPr>
                <w:b w:val="0"/>
                <w:sz w:val="17"/>
              </w:rPr>
              <w:t>The added waiting period and $10M minimum are market-standard NVCA terms but go beyond the term sheet. The 180-day post-registration limit, which protects the Company, is missing; adding it back makes the draft consistent. Registrable Securities definition in IRA Art. 1 includes Common held by Investors, which is broader than TS §4.3 (Common issuable on conversion of Preferred).</w:t>
            </w:r>
          </w:p>
        </w:tc>
        <w:tc>
          <w:tcPr>
            <w:tcW w:type="dxa" w:w="1008"/>
            <w:shd w:val="clear" w:color="auto" w:fill="FFF2B3"/>
          </w:tcPr>
          <w:p>
            <w:r/>
            <w:r>
              <w:rPr>
                <w:b/>
                <w:sz w:val="17"/>
              </w:rPr>
              <w:t>Medium</w:t>
            </w:r>
          </w:p>
        </w:tc>
        <w:tc>
          <w:tcPr>
            <w:tcW w:type="dxa" w:w="2448"/>
          </w:tcPr>
          <w:p>
            <w:r/>
            <w:r>
              <w:rPr>
                <w:b w:val="0"/>
                <w:sz w:val="17"/>
              </w:rPr>
              <w:t>Decide with the client whether to accept the NVCA additions. Conform the Registrable Securities definition. Add the 180-day post-registration limit, or confirm it was intentionally dropped.</w:t>
            </w:r>
          </w:p>
        </w:tc>
      </w:tr>
      <w:tr>
        <w:tc>
          <w:tcPr>
            <w:tcW w:type="dxa" w:w="648"/>
          </w:tcPr>
          <w:p>
            <w:r/>
            <w:r>
              <w:rPr>
                <w:b/>
                <w:sz w:val="17"/>
              </w:rPr>
              <w:t>R-4</w:t>
            </w:r>
          </w:p>
        </w:tc>
        <w:tc>
          <w:tcPr>
            <w:tcW w:type="dxa" w:w="1440"/>
          </w:tcPr>
          <w:p>
            <w:r/>
            <w:r>
              <w:rPr>
                <w:b/>
                <w:sz w:val="17"/>
              </w:rPr>
              <w:t>S-3 / F-3 registration</w:t>
            </w:r>
          </w:p>
        </w:tc>
        <w:tc>
          <w:tcPr>
            <w:tcW w:type="dxa" w:w="2520"/>
          </w:tcPr>
          <w:p>
            <w:r/>
            <w:r>
              <w:rPr>
                <w:b w:val="0"/>
                <w:sz w:val="17"/>
              </w:rPr>
              <w:t>TS §4.3: unlimited S-3/F-3 registrations; minimum $5,000,000 aggregate offering price per registration; maximum two in any 12-month period.</w:t>
            </w:r>
          </w:p>
        </w:tc>
        <w:tc>
          <w:tcPr>
            <w:tcW w:type="dxa" w:w="2520"/>
          </w:tcPr>
          <w:p>
            <w:r/>
            <w:r>
              <w:rPr>
                <w:b w:val="0"/>
                <w:sz w:val="17"/>
              </w:rPr>
              <w:t>IRA §2.2: unlimited, maximum two per 12 months, consistent; minimum is $1,000,000.</w:t>
            </w:r>
          </w:p>
        </w:tc>
        <w:tc>
          <w:tcPr>
            <w:tcW w:type="dxa" w:w="3672"/>
          </w:tcPr>
          <w:p>
            <w:r/>
            <w:r>
              <w:rPr>
                <w:b w:val="0"/>
                <w:sz w:val="17"/>
              </w:rPr>
              <w:t>The $1M minimum is lower than the agreed $5M. This favors investors but deviates from the term sheet.</w:t>
            </w:r>
          </w:p>
        </w:tc>
        <w:tc>
          <w:tcPr>
            <w:tcW w:type="dxa" w:w="1008"/>
            <w:shd w:val="clear" w:color="auto" w:fill="DDEBD5"/>
          </w:tcPr>
          <w:p>
            <w:r/>
            <w:r>
              <w:rPr>
                <w:b/>
                <w:sz w:val="17"/>
              </w:rPr>
              <w:t>Low</w:t>
            </w:r>
          </w:p>
        </w:tc>
        <w:tc>
          <w:tcPr>
            <w:tcW w:type="dxa" w:w="2448"/>
          </w:tcPr>
          <w:p>
            <w:r/>
            <w:r>
              <w:rPr>
                <w:b w:val="0"/>
                <w:sz w:val="17"/>
              </w:rPr>
              <w:t>Conform to $5,000,000 unless the client wants to press for the lower number.</w:t>
            </w:r>
          </w:p>
        </w:tc>
      </w:tr>
      <w:tr>
        <w:tc>
          <w:tcPr>
            <w:tcW w:type="dxa" w:w="648"/>
          </w:tcPr>
          <w:p>
            <w:r/>
            <w:r>
              <w:rPr>
                <w:b/>
                <w:sz w:val="17"/>
              </w:rPr>
              <w:t>R-5</w:t>
            </w:r>
          </w:p>
        </w:tc>
        <w:tc>
          <w:tcPr>
            <w:tcW w:type="dxa" w:w="1440"/>
          </w:tcPr>
          <w:p>
            <w:r/>
            <w:r>
              <w:rPr>
                <w:b/>
                <w:sz w:val="17"/>
              </w:rPr>
              <w:t>Piggyback registration and cutbacks</w:t>
            </w:r>
          </w:p>
        </w:tc>
        <w:tc>
          <w:tcPr>
            <w:tcW w:type="dxa" w:w="2520"/>
          </w:tcPr>
          <w:p>
            <w:r/>
            <w:r>
              <w:rPr>
                <w:b w:val="0"/>
                <w:sz w:val="17"/>
              </w:rPr>
              <w:t>TS §4.3: written notice at least twenty (20) days before the anticipated filing date; exclusions for S-4, S-8 and equivalents; underwriter cutback pro rata “among all selling stockholders.”</w:t>
            </w:r>
          </w:p>
        </w:tc>
        <w:tc>
          <w:tcPr>
            <w:tcW w:type="dxa" w:w="2520"/>
          </w:tcPr>
          <w:p>
            <w:r/>
            <w:r>
              <w:rPr>
                <w:b w:val="0"/>
                <w:sz w:val="17"/>
              </w:rPr>
              <w:t>IRA §2.3: notice given “promptly,” with no minimum lead time; cutback allocated “pro rata among the Holders requesting inclusion.”</w:t>
            </w:r>
          </w:p>
        </w:tc>
        <w:tc>
          <w:tcPr>
            <w:tcW w:type="dxa" w:w="3672"/>
          </w:tcPr>
          <w:p>
            <w:r/>
            <w:r>
              <w:rPr>
                <w:b w:val="0"/>
                <w:sz w:val="17"/>
              </w:rPr>
              <w:t>The agreed 20-day notice period is missing. Allocating the cutback only among Holders (rather than “all selling stockholders”) changes the agreed priority, and there is no rule that Holder shares are cut back before or alongside non-Holder sellers.</w:t>
            </w:r>
          </w:p>
        </w:tc>
        <w:tc>
          <w:tcPr>
            <w:tcW w:type="dxa" w:w="1008"/>
            <w:shd w:val="clear" w:color="auto" w:fill="FFF2B3"/>
          </w:tcPr>
          <w:p>
            <w:r/>
            <w:r>
              <w:rPr>
                <w:b/>
                <w:sz w:val="17"/>
              </w:rPr>
              <w:t>Medium</w:t>
            </w:r>
          </w:p>
        </w:tc>
        <w:tc>
          <w:tcPr>
            <w:tcW w:type="dxa" w:w="2448"/>
          </w:tcPr>
          <w:p>
            <w:r/>
            <w:r>
              <w:rPr>
                <w:b w:val="0"/>
                <w:sz w:val="17"/>
              </w:rPr>
              <w:t>Insert the 20-day notice requirement. Conform the cutback allocation to the term sheet (or to NVCA: Holders ahead of other selling stockholders), and add an IPO cutback floor if the client wants one.</w:t>
            </w:r>
          </w:p>
        </w:tc>
      </w:tr>
      <w:tr>
        <w:tc>
          <w:tcPr>
            <w:tcW w:type="dxa" w:w="648"/>
          </w:tcPr>
          <w:p>
            <w:r/>
            <w:r>
              <w:rPr>
                <w:b/>
                <w:sz w:val="17"/>
              </w:rPr>
              <w:t>R-6</w:t>
            </w:r>
          </w:p>
        </w:tc>
        <w:tc>
          <w:tcPr>
            <w:tcW w:type="dxa" w:w="1440"/>
          </w:tcPr>
          <w:p>
            <w:r/>
            <w:r>
              <w:rPr>
                <w:b/>
                <w:sz w:val="17"/>
              </w:rPr>
              <w:t>Company lock-up vs. holder lock-up</w:t>
            </w:r>
          </w:p>
        </w:tc>
        <w:tc>
          <w:tcPr>
            <w:tcW w:type="dxa" w:w="2520"/>
          </w:tcPr>
          <w:p>
            <w:r/>
            <w:r>
              <w:rPr>
                <w:b w:val="0"/>
                <w:sz w:val="17"/>
              </w:rPr>
              <w:t>TS §4.3: the Company may not sell or distribute its equity, or securities convertible into it, for 180 days after the effective date of an Investor-demanded registration or the IPO without the managing underwriter’s consent.</w:t>
            </w:r>
          </w:p>
        </w:tc>
        <w:tc>
          <w:tcPr>
            <w:tcW w:type="dxa" w:w="2520"/>
          </w:tcPr>
          <w:p>
            <w:r/>
            <w:r>
              <w:rPr>
                <w:b w:val="0"/>
                <w:sz w:val="17"/>
              </w:rPr>
              <w:t>IRA §2.5: imposes a 180-day (plus up to 30-day extension) market-standoff lock-up on the Holders, with commercially reasonable efforts to bind directors, officers and &gt;1% holders. There is no Company lock-up.</w:t>
            </w:r>
          </w:p>
        </w:tc>
        <w:tc>
          <w:tcPr>
            <w:tcW w:type="dxa" w:w="3672"/>
          </w:tcPr>
          <w:p>
            <w:r/>
            <w:r>
              <w:rPr>
                <w:b w:val="0"/>
                <w:sz w:val="17"/>
              </w:rPr>
              <w:t>The draft inverts the agreed covenant. It omits the protection the term sheet gave investors (a Company holdback) and adds a restriction on investors that the term sheet did not include. A holder lock-up is market standard for an IPO, but it needs NVCA protections: it should apply only to the IPO, require that all officers, directors and ≥1% holders are similarly bound, and release Holders pro rata.</w:t>
            </w:r>
          </w:p>
        </w:tc>
        <w:tc>
          <w:tcPr>
            <w:tcW w:type="dxa" w:w="1008"/>
            <w:shd w:val="clear" w:color="auto" w:fill="F9D9A8"/>
          </w:tcPr>
          <w:p>
            <w:r/>
            <w:r>
              <w:rPr>
                <w:b/>
                <w:sz w:val="17"/>
              </w:rPr>
              <w:t>High</w:t>
            </w:r>
          </w:p>
        </w:tc>
        <w:tc>
          <w:tcPr>
            <w:tcW w:type="dxa" w:w="2448"/>
          </w:tcPr>
          <w:p>
            <w:r/>
            <w:r>
              <w:rPr>
                <w:b w:val="0"/>
                <w:sz w:val="17"/>
              </w:rPr>
              <w:t>Add the Company 180-day holdback per the term sheet. If a holder market standoff is accepted, limit it to the IPO, require all officers, directors and ≥1% holders to be similarly bound, and add pro rata release. Drop the 30-day extension (FINRA Rule 2241 has made research-blackout extensions largely unnecessary).</w:t>
            </w:r>
          </w:p>
        </w:tc>
      </w:tr>
      <w:tr>
        <w:tc>
          <w:tcPr>
            <w:tcW w:type="dxa" w:w="648"/>
          </w:tcPr>
          <w:p>
            <w:r/>
            <w:r>
              <w:rPr>
                <w:b/>
                <w:sz w:val="17"/>
              </w:rPr>
              <w:t>R-7</w:t>
            </w:r>
          </w:p>
        </w:tc>
        <w:tc>
          <w:tcPr>
            <w:tcW w:type="dxa" w:w="1440"/>
          </w:tcPr>
          <w:p>
            <w:r/>
            <w:r>
              <w:rPr>
                <w:b/>
                <w:sz w:val="17"/>
              </w:rPr>
              <w:t>Registration expenses</w:t>
            </w:r>
          </w:p>
        </w:tc>
        <w:tc>
          <w:tcPr>
            <w:tcW w:type="dxa" w:w="2520"/>
          </w:tcPr>
          <w:p>
            <w:r/>
            <w:r>
              <w:rPr>
                <w:b w:val="0"/>
                <w:sz w:val="17"/>
              </w:rPr>
              <w:t>TS §4.3: the Company pays all registration expenses except underwriting discounts and commissions on the selling holders’ shares.</w:t>
            </w:r>
          </w:p>
        </w:tc>
        <w:tc>
          <w:tcPr>
            <w:tcW w:type="dxa" w:w="2520"/>
          </w:tcPr>
          <w:p>
            <w:r/>
            <w:r>
              <w:rPr>
                <w:b w:val="0"/>
                <w:sz w:val="17"/>
              </w:rPr>
              <w:t>IRA §2.4: Company pays, including the reasonable fees of one counsel for the selling Holders; selling Holders bear underwriting discounts, commissions, transfer taxes and fees of their own individual counsel.</w:t>
            </w:r>
          </w:p>
        </w:tc>
        <w:tc>
          <w:tcPr>
            <w:tcW w:type="dxa" w:w="3672"/>
          </w:tcPr>
          <w:p>
            <w:r/>
            <w:r>
              <w:rPr>
                <w:b w:val="0"/>
                <w:sz w:val="17"/>
              </w:rPr>
              <w:t>Broadly consistent. The draft adds one selling-holder counsel at Company expense (investor-favorable, NVCA standard). Making selling Holders bear stock transfer taxes goes beyond the term sheet’s single exception.</w:t>
            </w:r>
          </w:p>
        </w:tc>
        <w:tc>
          <w:tcPr>
            <w:tcW w:type="dxa" w:w="1008"/>
            <w:shd w:val="clear" w:color="auto" w:fill="DDEBD5"/>
          </w:tcPr>
          <w:p>
            <w:r/>
            <w:r>
              <w:rPr>
                <w:b/>
                <w:sz w:val="17"/>
              </w:rPr>
              <w:t>Low</w:t>
            </w:r>
          </w:p>
        </w:tc>
        <w:tc>
          <w:tcPr>
            <w:tcW w:type="dxa" w:w="2448"/>
          </w:tcPr>
          <w:p>
            <w:r/>
            <w:r>
              <w:rPr>
                <w:b w:val="0"/>
                <w:sz w:val="17"/>
              </w:rPr>
              <w:t>Accept the selling-holder counsel. Consider whether stock transfer taxes should stay with the Holders.</w:t>
            </w:r>
          </w:p>
        </w:tc>
      </w:tr>
      <w:tr>
        <w:tc>
          <w:tcPr>
            <w:tcW w:type="dxa" w:w="648"/>
          </w:tcPr>
          <w:p>
            <w:r/>
            <w:r>
              <w:rPr>
                <w:b/>
                <w:sz w:val="17"/>
              </w:rPr>
              <w:t>R-8</w:t>
            </w:r>
          </w:p>
        </w:tc>
        <w:tc>
          <w:tcPr>
            <w:tcW w:type="dxa" w:w="1440"/>
          </w:tcPr>
          <w:p>
            <w:r/>
            <w:r>
              <w:rPr>
                <w:b/>
                <w:sz w:val="17"/>
              </w:rPr>
              <w:t>Information rights</w:t>
            </w:r>
          </w:p>
        </w:tc>
        <w:tc>
          <w:tcPr>
            <w:tcW w:type="dxa" w:w="2520"/>
          </w:tcPr>
          <w:p>
            <w:r/>
            <w:r>
              <w:rPr>
                <w:b w:val="0"/>
                <w:sz w:val="17"/>
              </w:rPr>
              <w:t>TS §4.4: rights limited to Major Investors holding ≥ 500,000 shares of Preferred (as-converted); unaudited quarterly statements (balance sheet, income, cash flows) within 45 days after each fiscal quarter; audited annual statements (including stockholders’ equity) by Redwood Alliance within 120 days; annual budget within 30 days before fiscal year-end; all subject to confidentiality.</w:t>
            </w:r>
          </w:p>
        </w:tc>
        <w:tc>
          <w:tcPr>
            <w:tcW w:type="dxa" w:w="2520"/>
          </w:tcPr>
          <w:p>
            <w:r/>
            <w:r>
              <w:rPr>
                <w:b w:val="0"/>
                <w:sz w:val="17"/>
              </w:rPr>
              <w:t>IRA §1 defines “Major Investor” as ≥ $2,000,000 aggregate Original Issue Price, but Art. 3 never uses it and delivers to “each holder of Preferred Stock (and any holder of Common Stock issued upon conversion).” Quarterly statements cover only the first three fiscal quarters. Annual audit by Redwood Alliance or another Board-approved firm (including a Series B Director), with an unqualified opinion “or such other opinion as is reasonably acceptable to the Board.” No confidentiality covenant.</w:t>
            </w:r>
          </w:p>
        </w:tc>
        <w:tc>
          <w:tcPr>
            <w:tcW w:type="dxa" w:w="3672"/>
          </w:tcPr>
          <w:p>
            <w:r/>
            <w:r>
              <w:rPr>
                <w:b w:val="0"/>
                <w:sz w:val="17"/>
              </w:rPr>
              <w:t>(a) The eligibility threshold is both changed ($2M by price is about 478,263 shares, not 500,000) and not applied, so the rights reach every Preferred holder and converted holder, which the term sheet expressly excludes (“limited to Major Investors”). (b) Fourth-quarter unaudited statements are dropped. (c) The term sheet’s confidentiality obligation has no counterpart; the IRA needs a confidentiality covenant (NVCA §3.4). (d) The Board can accept a qualified audit opinion. (e) The CFO/CEO certification and the narrative description are useful additions. There are no inspection rights, and no termination of information rights at IPO or for competitors; consider both.</w:t>
            </w:r>
          </w:p>
        </w:tc>
        <w:tc>
          <w:tcPr>
            <w:tcW w:type="dxa" w:w="1008"/>
            <w:shd w:val="clear" w:color="auto" w:fill="FFF2B3"/>
          </w:tcPr>
          <w:p>
            <w:r/>
            <w:r>
              <w:rPr>
                <w:b/>
                <w:sz w:val="17"/>
              </w:rPr>
              <w:t>Medium</w:t>
            </w:r>
          </w:p>
        </w:tc>
        <w:tc>
          <w:tcPr>
            <w:tcW w:type="dxa" w:w="2448"/>
          </w:tcPr>
          <w:p>
            <w:r/>
            <w:r>
              <w:rPr>
                <w:b w:val="0"/>
                <w:sz w:val="17"/>
              </w:rPr>
              <w:t>Define Major Investor as ≥ 500,000 Preferred shares (as-converted, adjusted for splits) and limit Art. 3 to Major Investors. Cover all four quarters within 45 days. Add a confidentiality covenant and the customary competitor carve-out. Strike the “other opinion” language, or require Series B Director approval.</w:t>
            </w:r>
          </w:p>
        </w:tc>
      </w:tr>
      <w:tr>
        <w:tc>
          <w:tcPr>
            <w:tcW w:type="dxa" w:w="648"/>
          </w:tcPr>
          <w:p>
            <w:r/>
            <w:r>
              <w:rPr>
                <w:b/>
                <w:sz w:val="17"/>
              </w:rPr>
              <w:t>R-9</w:t>
            </w:r>
          </w:p>
        </w:tc>
        <w:tc>
          <w:tcPr>
            <w:tcW w:type="dxa" w:w="1440"/>
          </w:tcPr>
          <w:p>
            <w:r/>
            <w:r>
              <w:rPr>
                <w:b/>
                <w:sz w:val="17"/>
              </w:rPr>
              <w:t>Information to be delivered at signing: financial statements rep</w:t>
            </w:r>
          </w:p>
        </w:tc>
        <w:tc>
          <w:tcPr>
            <w:tcW w:type="dxa" w:w="2520"/>
          </w:tcPr>
          <w:p>
            <w:r/>
            <w:r>
              <w:rPr>
                <w:b w:val="0"/>
                <w:sz w:val="17"/>
              </w:rPr>
              <w:t>TS §4.4(b) assumes audited annual statements by the Company’s independent registered accounting firm, Redwood Alliance Accounting LLP. TS §5.3(a) requires financial diligence satisfactory to the Lead Investor.</w:t>
            </w:r>
          </w:p>
        </w:tc>
        <w:tc>
          <w:tcPr>
            <w:tcW w:type="dxa" w:w="2520"/>
          </w:tcPr>
          <w:p>
            <w:r/>
            <w:r>
              <w:rPr>
                <w:b w:val="0"/>
                <w:sz w:val="17"/>
              </w:rPr>
              <w:t>SPA §4.9(a): the Company delivers only unaudited annual statements for FY2023 and FY2024 and unaudited quarterlies, even though §4.9(b) names Redwood Alliance as the Company’s “independent auditor.”</w:t>
            </w:r>
          </w:p>
        </w:tc>
        <w:tc>
          <w:tcPr>
            <w:tcW w:type="dxa" w:w="3672"/>
          </w:tcPr>
          <w:p>
            <w:r/>
            <w:r>
              <w:rPr>
                <w:b w:val="0"/>
                <w:sz w:val="17"/>
              </w:rPr>
              <w:t>No audited financials are represented for a $28M round at a company that has an auditor. Either audits exist and should be delivered and represented, or they do not exist, which is a diligence point.</w:t>
            </w:r>
          </w:p>
        </w:tc>
        <w:tc>
          <w:tcPr>
            <w:tcW w:type="dxa" w:w="1008"/>
            <w:shd w:val="clear" w:color="auto" w:fill="FFF2B3"/>
          </w:tcPr>
          <w:p>
            <w:r/>
            <w:r>
              <w:rPr>
                <w:b/>
                <w:sz w:val="17"/>
              </w:rPr>
              <w:t>Medium</w:t>
            </w:r>
          </w:p>
        </w:tc>
        <w:tc>
          <w:tcPr>
            <w:tcW w:type="dxa" w:w="2448"/>
          </w:tcPr>
          <w:p>
            <w:r/>
            <w:r>
              <w:rPr>
                <w:b w:val="0"/>
                <w:sz w:val="17"/>
              </w:rPr>
              <w:t>Ask whether audited FY2023 (and FY2024, when available) statements exist. If so, require delivery and an audited-statements rep. Otherwise consider a covenant to deliver the FY2024 audit within 120 days, consistent with IRA §3.1(b).</w:t>
            </w:r>
          </w:p>
        </w:tc>
      </w:tr>
    </w:tbl>
    <w:p/>
    <w:p>
      <w:pPr>
        <w:pStyle w:val="Heading1"/>
      </w:pPr>
      <w:r>
        <w:t>7. Founder Vesting and Acceleration (TS Section 5.1)</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648"/>
            <w:shd w:val="clear" w:color="auto" w:fill="1F3864"/>
          </w:tcPr>
          <w:p>
            <w:r>
              <w:rPr>
                <w:color w:val="FFFFFF"/>
              </w:rPr>
            </w:r>
            <w:r>
              <w:rPr>
                <w:b/>
                <w:sz w:val="17"/>
              </w:rPr>
              <w:t>No.</w:t>
            </w:r>
          </w:p>
        </w:tc>
        <w:tc>
          <w:tcPr>
            <w:tcW w:type="dxa" w:w="1440"/>
            <w:shd w:val="clear" w:color="auto" w:fill="1F3864"/>
          </w:tcPr>
          <w:p>
            <w:r>
              <w:rPr>
                <w:color w:val="FFFFFF"/>
              </w:rPr>
            </w:r>
            <w:r>
              <w:rPr>
                <w:b/>
                <w:sz w:val="17"/>
              </w:rPr>
              <w:t>Topic</w:t>
            </w:r>
          </w:p>
        </w:tc>
        <w:tc>
          <w:tcPr>
            <w:tcW w:type="dxa" w:w="2520"/>
            <w:shd w:val="clear" w:color="auto" w:fill="1F3864"/>
          </w:tcPr>
          <w:p>
            <w:r>
              <w:rPr>
                <w:color w:val="FFFFFF"/>
              </w:rPr>
            </w:r>
            <w:r>
              <w:rPr>
                <w:b/>
                <w:sz w:val="17"/>
              </w:rPr>
              <w:t>Term Sheet</w:t>
            </w:r>
          </w:p>
        </w:tc>
        <w:tc>
          <w:tcPr>
            <w:tcW w:type="dxa" w:w="2520"/>
            <w:shd w:val="clear" w:color="auto" w:fill="1F3864"/>
          </w:tcPr>
          <w:p>
            <w:r>
              <w:rPr>
                <w:color w:val="FFFFFF"/>
              </w:rPr>
            </w:r>
            <w:r>
              <w:rPr>
                <w:b/>
                <w:sz w:val="17"/>
              </w:rPr>
              <w:t>Draft SPA / Exhibit</w:t>
            </w:r>
          </w:p>
        </w:tc>
        <w:tc>
          <w:tcPr>
            <w:tcW w:type="dxa" w:w="3672"/>
            <w:shd w:val="clear" w:color="auto" w:fill="1F3864"/>
          </w:tcPr>
          <w:p>
            <w:r>
              <w:rPr>
                <w:color w:val="FFFFFF"/>
              </w:rPr>
            </w:r>
            <w:r>
              <w:rPr>
                <w:b/>
                <w:sz w:val="17"/>
              </w:rPr>
              <w:t>Deviation, omission or concern</w:t>
            </w:r>
          </w:p>
        </w:tc>
        <w:tc>
          <w:tcPr>
            <w:tcW w:type="dxa" w:w="1008"/>
            <w:shd w:val="clear" w:color="auto" w:fill="1F3864"/>
          </w:tcPr>
          <w:p>
            <w:r>
              <w:rPr>
                <w:color w:val="FFFFFF"/>
              </w:rPr>
            </w:r>
            <w:r>
              <w:rPr>
                <w:b/>
                <w:sz w:val="17"/>
              </w:rPr>
              <w:t>Severity</w:t>
            </w:r>
          </w:p>
        </w:tc>
        <w:tc>
          <w:tcPr>
            <w:tcW w:type="dxa" w:w="2448"/>
            <w:shd w:val="clear" w:color="auto" w:fill="1F3864"/>
          </w:tcPr>
          <w:p>
            <w:r>
              <w:rPr>
                <w:color w:val="FFFFFF"/>
              </w:rPr>
            </w:r>
            <w:r>
              <w:rPr>
                <w:b/>
                <w:sz w:val="17"/>
              </w:rPr>
              <w:t>Recommended action</w:t>
            </w:r>
          </w:p>
        </w:tc>
      </w:tr>
      <w:tr>
        <w:tc>
          <w:tcPr>
            <w:tcW w:type="dxa" w:w="648"/>
          </w:tcPr>
          <w:p>
            <w:r/>
            <w:r>
              <w:rPr>
                <w:b/>
                <w:sz w:val="17"/>
              </w:rPr>
              <w:t>F-1</w:t>
            </w:r>
          </w:p>
        </w:tc>
        <w:tc>
          <w:tcPr>
            <w:tcW w:type="dxa" w:w="1440"/>
          </w:tcPr>
          <w:p>
            <w:r/>
            <w:r>
              <w:rPr>
                <w:b/>
                <w:sz w:val="17"/>
              </w:rPr>
              <w:t>Single-trigger acceleration</w:t>
            </w:r>
          </w:p>
        </w:tc>
        <w:tc>
          <w:tcPr>
            <w:tcW w:type="dxa" w:w="2520"/>
          </w:tcPr>
          <w:p>
            <w:r/>
            <w:r>
              <w:rPr>
                <w:b w:val="0"/>
                <w:sz w:val="17"/>
              </w:rPr>
              <w:t>TS §5.1: on a Change of Control, 25% of each Founder’s then-unvested shares vest immediately at closing of the Change of Control.</w:t>
            </w:r>
          </w:p>
        </w:tc>
        <w:tc>
          <w:tcPr>
            <w:tcW w:type="dxa" w:w="2520"/>
          </w:tcPr>
          <w:p>
            <w:r/>
            <w:r>
              <w:rPr>
                <w:b w:val="0"/>
                <w:sz w:val="17"/>
              </w:rPr>
              <w:t>Exhibit E (Founder Stock Restriction Agreement): no single-trigger acceleration. Section 2 provides double-trigger acceleration only.</w:t>
            </w:r>
          </w:p>
        </w:tc>
        <w:tc>
          <w:tcPr>
            <w:tcW w:type="dxa" w:w="3672"/>
          </w:tcPr>
          <w:p>
            <w:r/>
            <w:r>
              <w:rPr>
                <w:b w:val="0"/>
                <w:sz w:val="17"/>
              </w:rPr>
              <w:t>An agreed founder term is omitted. Investors generally do not resist dropping single-trigger acceleration, but the founders will spot the omission, and agreed terms should not be silently changed. Note also that single-trigger acceleration affects the unvested equity an acquirer must replace.</w:t>
            </w:r>
          </w:p>
        </w:tc>
        <w:tc>
          <w:tcPr>
            <w:tcW w:type="dxa" w:w="1008"/>
            <w:shd w:val="clear" w:color="auto" w:fill="FFF2B3"/>
          </w:tcPr>
          <w:p>
            <w:r/>
            <w:r>
              <w:rPr>
                <w:b/>
                <w:sz w:val="17"/>
              </w:rPr>
              <w:t>Medium</w:t>
            </w:r>
          </w:p>
        </w:tc>
        <w:tc>
          <w:tcPr>
            <w:tcW w:type="dxa" w:w="2448"/>
          </w:tcPr>
          <w:p>
            <w:r/>
            <w:r>
              <w:rPr>
                <w:b w:val="0"/>
                <w:sz w:val="17"/>
              </w:rPr>
              <w:t>Confirm the client’s position. The term sheet is clear, so expect to restore a 25% single trigger. If it is restored, make it non-cumulative with the double trigger (the double trigger applies to the remaining unvested shares).</w:t>
            </w:r>
          </w:p>
        </w:tc>
      </w:tr>
      <w:tr>
        <w:tc>
          <w:tcPr>
            <w:tcW w:type="dxa" w:w="648"/>
          </w:tcPr>
          <w:p>
            <w:r/>
            <w:r>
              <w:rPr>
                <w:b/>
                <w:sz w:val="17"/>
              </w:rPr>
              <w:t>F-2</w:t>
            </w:r>
          </w:p>
        </w:tc>
        <w:tc>
          <w:tcPr>
            <w:tcW w:type="dxa" w:w="1440"/>
          </w:tcPr>
          <w:p>
            <w:r/>
            <w:r>
              <w:rPr>
                <w:b/>
                <w:sz w:val="17"/>
              </w:rPr>
              <w:t>Double-trigger window</w:t>
            </w:r>
          </w:p>
        </w:tc>
        <w:tc>
          <w:tcPr>
            <w:tcW w:type="dxa" w:w="2520"/>
          </w:tcPr>
          <w:p>
            <w:r/>
            <w:r>
              <w:rPr>
                <w:b w:val="0"/>
                <w:sz w:val="17"/>
              </w:rPr>
              <w:t>TS §5.1: 100% acceleration on termination without Cause or resignation for Good Reason within twelve (12) months after a Change of Control.</w:t>
            </w:r>
          </w:p>
        </w:tc>
        <w:tc>
          <w:tcPr>
            <w:tcW w:type="dxa" w:w="2520"/>
          </w:tcPr>
          <w:p>
            <w:r/>
            <w:r>
              <w:rPr>
                <w:b w:val="0"/>
                <w:sz w:val="17"/>
              </w:rPr>
              <w:t>Exhibit E §2.1: twenty-four (24) months.</w:t>
            </w:r>
          </w:p>
        </w:tc>
        <w:tc>
          <w:tcPr>
            <w:tcW w:type="dxa" w:w="3672"/>
          </w:tcPr>
          <w:p>
            <w:r/>
            <w:r>
              <w:rPr>
                <w:b w:val="0"/>
                <w:sz w:val="17"/>
              </w:rPr>
              <w:t>The protection window is doubled, in the founders’ favor, which raises the retention cost for an acquirer and could depress deal value.</w:t>
            </w:r>
          </w:p>
        </w:tc>
        <w:tc>
          <w:tcPr>
            <w:tcW w:type="dxa" w:w="1008"/>
            <w:shd w:val="clear" w:color="auto" w:fill="F9D9A8"/>
          </w:tcPr>
          <w:p>
            <w:r/>
            <w:r>
              <w:rPr>
                <w:b/>
                <w:sz w:val="17"/>
              </w:rPr>
              <w:t>High</w:t>
            </w:r>
          </w:p>
        </w:tc>
        <w:tc>
          <w:tcPr>
            <w:tcW w:type="dxa" w:w="2448"/>
          </w:tcPr>
          <w:p>
            <w:r/>
            <w:r>
              <w:rPr>
                <w:b w:val="0"/>
                <w:sz w:val="17"/>
              </w:rPr>
              <w:t>Conform to 12 months.</w:t>
            </w:r>
          </w:p>
        </w:tc>
      </w:tr>
      <w:tr>
        <w:tc>
          <w:tcPr>
            <w:tcW w:type="dxa" w:w="648"/>
          </w:tcPr>
          <w:p>
            <w:r/>
            <w:r>
              <w:rPr>
                <w:b/>
                <w:sz w:val="17"/>
              </w:rPr>
              <w:t>F-3</w:t>
            </w:r>
          </w:p>
        </w:tc>
        <w:tc>
          <w:tcPr>
            <w:tcW w:type="dxa" w:w="1440"/>
          </w:tcPr>
          <w:p>
            <w:r/>
            <w:r>
              <w:rPr>
                <w:b/>
                <w:sz w:val="17"/>
              </w:rPr>
              <w:t>Vesting schedule mechanics</w:t>
            </w:r>
          </w:p>
        </w:tc>
        <w:tc>
          <w:tcPr>
            <w:tcW w:type="dxa" w:w="2520"/>
          </w:tcPr>
          <w:p>
            <w:r/>
            <w:r>
              <w:rPr>
                <w:b w:val="0"/>
                <w:sz w:val="17"/>
              </w:rPr>
              <w:t>TS §5.1: 4-year vesting from the Series B closing with a 1-year cliff; 2 years of prior-service credit so that 50% is vested at closing. At the first anniversary “25% of the Founder’s then-unvested shares” vest, and the remainder vests monthly over 36 months, fully vested at the 4th anniversary.</w:t>
            </w:r>
          </w:p>
        </w:tc>
        <w:tc>
          <w:tcPr>
            <w:tcW w:type="dxa" w:w="2520"/>
          </w:tcPr>
          <w:p>
            <w:r/>
            <w:r>
              <w:rPr>
                <w:b w:val="0"/>
                <w:sz w:val="17"/>
              </w:rPr>
              <w:t>Exhibit E §1.1(b)–(d): 50% vested at closing; at the first anniversary 25% of total Founder Shares (one-half of the Unvested Shares) vests; the remainder vests monthly over a “twenty-four (24)-month period commencing on the first anniversary … and ending on the fourth anniversary.”</w:t>
            </w:r>
          </w:p>
        </w:tc>
        <w:tc>
          <w:tcPr>
            <w:tcW w:type="dxa" w:w="3672"/>
          </w:tcPr>
          <w:p>
            <w:r/>
            <w:r>
              <w:rPr>
                <w:b w:val="0"/>
                <w:sz w:val="17"/>
              </w:rPr>
              <w:t>The term sheet is internally inconsistent: a 2-year credit against a 4-year schedule measured from closing does not produce a 4-year tail. The draft resolves it differently from the term sheet text and is also internally inconsistent itself, because a 24-month period starting at the first anniversary ends at the third anniversary, not the fourth. The cliff tranche (25% of total, i.e. 50% of unvested) also differs from the term sheet’s “25% of then-unvested” (i.e. 12.5% of total). The result is ambiguous and could be litigated on any termination.</w:t>
            </w:r>
          </w:p>
        </w:tc>
        <w:tc>
          <w:tcPr>
            <w:tcW w:type="dxa" w:w="1008"/>
            <w:shd w:val="clear" w:color="auto" w:fill="F9D9A8"/>
          </w:tcPr>
          <w:p>
            <w:r/>
            <w:r>
              <w:rPr>
                <w:b/>
                <w:sz w:val="17"/>
              </w:rPr>
              <w:t>High</w:t>
            </w:r>
          </w:p>
        </w:tc>
        <w:tc>
          <w:tcPr>
            <w:tcW w:type="dxa" w:w="2448"/>
          </w:tcPr>
          <w:p>
            <w:r/>
            <w:r>
              <w:rPr>
                <w:b w:val="0"/>
                <w:sz w:val="17"/>
              </w:rPr>
              <w:t>Agree the intended economics with the client and confirm with the Founders. A coherent reading of a 4-year schedule with 2 years’ credit is 50% vested at closing and the remaining 50% vesting monthly over the 24 months to the second anniversary (optionally with a 1-year cliff). Then redraft §1.1 with an explicit share-count table for each Founder (Nandakumar 4,200,000 / Ellingham 3,800,000).</w:t>
            </w:r>
          </w:p>
        </w:tc>
      </w:tr>
      <w:tr>
        <w:tc>
          <w:tcPr>
            <w:tcW w:type="dxa" w:w="648"/>
          </w:tcPr>
          <w:p>
            <w:r/>
            <w:r>
              <w:rPr>
                <w:b/>
                <w:sz w:val="17"/>
              </w:rPr>
              <w:t>F-4</w:t>
            </w:r>
          </w:p>
        </w:tc>
        <w:tc>
          <w:tcPr>
            <w:tcW w:type="dxa" w:w="1440"/>
          </w:tcPr>
          <w:p>
            <w:r/>
            <w:r>
              <w:rPr>
                <w:b/>
                <w:sz w:val="17"/>
              </w:rPr>
              <w:t>Change of Control definition source and scope</w:t>
            </w:r>
          </w:p>
        </w:tc>
        <w:tc>
          <w:tcPr>
            <w:tcW w:type="dxa" w:w="2520"/>
          </w:tcPr>
          <w:p>
            <w:r/>
            <w:r>
              <w:rPr>
                <w:b w:val="0"/>
                <w:sz w:val="17"/>
              </w:rPr>
              <w:t>TS §5.1: Change of Control “as defined in the Company’s Amended and Restated Certificate of Incorporation.”</w:t>
            </w:r>
          </w:p>
        </w:tc>
        <w:tc>
          <w:tcPr>
            <w:tcW w:type="dxa" w:w="2520"/>
          </w:tcPr>
          <w:p>
            <w:r/>
            <w:r>
              <w:rPr>
                <w:b w:val="0"/>
                <w:sz w:val="17"/>
              </w:rPr>
              <w:t>Exhibit E §2.1 uses “Change of Control (as defined in the Purchase Agreement).” The Restated Certificate does not define Change of Control. The SPA definition includes (c) any transaction in which more than 50% of voting power is “transferred,” and does not exclude bona fide equity financings.</w:t>
            </w:r>
          </w:p>
        </w:tc>
        <w:tc>
          <w:tcPr>
            <w:tcW w:type="dxa" w:w="3672"/>
          </w:tcPr>
          <w:p>
            <w:r/>
            <w:r>
              <w:rPr>
                <w:b w:val="0"/>
                <w:sz w:val="17"/>
              </w:rPr>
              <w:t>The definition does not come from the source the term sheet specifies, and the SPA definition diverges from the Deemed Liquidation Event definitions in TS §5.4 and the charter. Clause (c) could arguably be triggered by a primary financing or by aggregated secondary sales, accelerating vesting.</w:t>
            </w:r>
          </w:p>
        </w:tc>
        <w:tc>
          <w:tcPr>
            <w:tcW w:type="dxa" w:w="1008"/>
            <w:shd w:val="clear" w:color="auto" w:fill="FFF2B3"/>
          </w:tcPr>
          <w:p>
            <w:r/>
            <w:r>
              <w:rPr>
                <w:b/>
                <w:sz w:val="17"/>
              </w:rPr>
              <w:t>Medium</w:t>
            </w:r>
          </w:p>
        </w:tc>
        <w:tc>
          <w:tcPr>
            <w:tcW w:type="dxa" w:w="2448"/>
          </w:tcPr>
          <w:p>
            <w:r/>
            <w:r>
              <w:rPr>
                <w:b w:val="0"/>
                <w:sz w:val="17"/>
              </w:rPr>
              <w:t>Use a single definition, preferably the charter Deemed Liquidation Event definition (as conformed to TS §5.4), with an express carve-out for bona fide equity financings.</w:t>
            </w:r>
          </w:p>
        </w:tc>
      </w:tr>
      <w:tr>
        <w:tc>
          <w:tcPr>
            <w:tcW w:type="dxa" w:w="648"/>
          </w:tcPr>
          <w:p>
            <w:r/>
            <w:r>
              <w:rPr>
                <w:b/>
                <w:sz w:val="17"/>
              </w:rPr>
              <w:t>F-5</w:t>
            </w:r>
          </w:p>
        </w:tc>
        <w:tc>
          <w:tcPr>
            <w:tcW w:type="dxa" w:w="1440"/>
          </w:tcPr>
          <w:p>
            <w:r/>
            <w:r>
              <w:rPr>
                <w:b/>
                <w:sz w:val="17"/>
              </w:rPr>
              <w:t>Repurchase Option, Unvested Shares and §83(b)</w:t>
            </w:r>
          </w:p>
        </w:tc>
        <w:tc>
          <w:tcPr>
            <w:tcW w:type="dxa" w:w="2520"/>
          </w:tcPr>
          <w:p>
            <w:r/>
            <w:r>
              <w:rPr>
                <w:b w:val="0"/>
                <w:sz w:val="17"/>
              </w:rPr>
              <w:t>TS §5.1: Restricted Stock Agreements to be entered into at closing; shares not vested are subject to forfeiture.</w:t>
            </w:r>
          </w:p>
        </w:tc>
        <w:tc>
          <w:tcPr>
            <w:tcW w:type="dxa" w:w="2520"/>
          </w:tcPr>
          <w:p>
            <w:r/>
            <w:r>
              <w:rPr>
                <w:b w:val="0"/>
                <w:sz w:val="17"/>
              </w:rPr>
              <w:t>Exhibit E §§1.1(c), 1.2, 3.3: “Unvested Shares” defined as the remaining 50% (a static number that does not shrink as shares vest); repurchase at the lower of cost or FMV, exercisable within 90 days; §83(b) election “within thirty (30) days of the date of this Agreement”; spousal consent “failure … shall not affect” enforceability; recital blanks for the Founder name and share number.</w:t>
            </w:r>
          </w:p>
        </w:tc>
        <w:tc>
          <w:tcPr>
            <w:tcW w:type="dxa" w:w="3672"/>
          </w:tcPr>
          <w:p>
            <w:r/>
            <w:r>
              <w:rPr>
                <w:b w:val="0"/>
                <w:sz w:val="17"/>
              </w:rPr>
              <w:t>(a) Because “Unvested Shares” is static, the repurchase right could be read to reach shares that have since vested. (b) The 30-day §83(b) window runs from the date the shares become subject to the new vesting restriction, which is likely the Closing Date rather than the agreement date. The Company should not predetermine whether an election is advisable, given that the shares were previously issued. (c) Saying that a missing spousal consent does not affect enforceability is wishful in community-property states such as Texas; spousal consent should be a closing deliverable. (d) The name and share blanks must be completed for each Founder.</w:t>
            </w:r>
          </w:p>
        </w:tc>
        <w:tc>
          <w:tcPr>
            <w:tcW w:type="dxa" w:w="1008"/>
            <w:shd w:val="clear" w:color="auto" w:fill="FFF2B3"/>
          </w:tcPr>
          <w:p>
            <w:r/>
            <w:r>
              <w:rPr>
                <w:b/>
                <w:sz w:val="17"/>
              </w:rPr>
              <w:t>Medium</w:t>
            </w:r>
          </w:p>
        </w:tc>
        <w:tc>
          <w:tcPr>
            <w:tcW w:type="dxa" w:w="2448"/>
          </w:tcPr>
          <w:p>
            <w:r/>
            <w:r>
              <w:rPr>
                <w:b w:val="0"/>
                <w:sz w:val="17"/>
              </w:rPr>
              <w:t>Define Unvested Shares dynamically (“shares that have not vested as of the relevant date”). Run the §83(b) analysis with tax counsel and fix the timing language. Make spousal consents a closing condition. Complete the blanks or prepare two separate execution versions.</w:t>
            </w:r>
          </w:p>
        </w:tc>
      </w:tr>
    </w:tbl>
    <w:p/>
    <w:p>
      <w:pPr>
        <w:pStyle w:val="Heading1"/>
      </w:pPr>
      <w:r>
        <w:t>8. Closing Mechanics, Conditions, Fees and Binding Provisions (TS Sections 5.2–6.5)</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648"/>
            <w:shd w:val="clear" w:color="auto" w:fill="1F3864"/>
          </w:tcPr>
          <w:p>
            <w:r>
              <w:rPr>
                <w:color w:val="FFFFFF"/>
              </w:rPr>
            </w:r>
            <w:r>
              <w:rPr>
                <w:b/>
                <w:sz w:val="17"/>
              </w:rPr>
              <w:t>No.</w:t>
            </w:r>
          </w:p>
        </w:tc>
        <w:tc>
          <w:tcPr>
            <w:tcW w:type="dxa" w:w="1440"/>
            <w:shd w:val="clear" w:color="auto" w:fill="1F3864"/>
          </w:tcPr>
          <w:p>
            <w:r>
              <w:rPr>
                <w:color w:val="FFFFFF"/>
              </w:rPr>
            </w:r>
            <w:r>
              <w:rPr>
                <w:b/>
                <w:sz w:val="17"/>
              </w:rPr>
              <w:t>Topic</w:t>
            </w:r>
          </w:p>
        </w:tc>
        <w:tc>
          <w:tcPr>
            <w:tcW w:type="dxa" w:w="2520"/>
            <w:shd w:val="clear" w:color="auto" w:fill="1F3864"/>
          </w:tcPr>
          <w:p>
            <w:r>
              <w:rPr>
                <w:color w:val="FFFFFF"/>
              </w:rPr>
            </w:r>
            <w:r>
              <w:rPr>
                <w:b/>
                <w:sz w:val="17"/>
              </w:rPr>
              <w:t>Term Sheet</w:t>
            </w:r>
          </w:p>
        </w:tc>
        <w:tc>
          <w:tcPr>
            <w:tcW w:type="dxa" w:w="2520"/>
            <w:shd w:val="clear" w:color="auto" w:fill="1F3864"/>
          </w:tcPr>
          <w:p>
            <w:r>
              <w:rPr>
                <w:color w:val="FFFFFF"/>
              </w:rPr>
            </w:r>
            <w:r>
              <w:rPr>
                <w:b/>
                <w:sz w:val="17"/>
              </w:rPr>
              <w:t>Draft SPA / Exhibit</w:t>
            </w:r>
          </w:p>
        </w:tc>
        <w:tc>
          <w:tcPr>
            <w:tcW w:type="dxa" w:w="3672"/>
            <w:shd w:val="clear" w:color="auto" w:fill="1F3864"/>
          </w:tcPr>
          <w:p>
            <w:r>
              <w:rPr>
                <w:color w:val="FFFFFF"/>
              </w:rPr>
            </w:r>
            <w:r>
              <w:rPr>
                <w:b/>
                <w:sz w:val="17"/>
              </w:rPr>
              <w:t>Deviation, omission or concern</w:t>
            </w:r>
          </w:p>
        </w:tc>
        <w:tc>
          <w:tcPr>
            <w:tcW w:type="dxa" w:w="1008"/>
            <w:shd w:val="clear" w:color="auto" w:fill="1F3864"/>
          </w:tcPr>
          <w:p>
            <w:r>
              <w:rPr>
                <w:color w:val="FFFFFF"/>
              </w:rPr>
            </w:r>
            <w:r>
              <w:rPr>
                <w:b/>
                <w:sz w:val="17"/>
              </w:rPr>
              <w:t>Severity</w:t>
            </w:r>
          </w:p>
        </w:tc>
        <w:tc>
          <w:tcPr>
            <w:tcW w:type="dxa" w:w="2448"/>
            <w:shd w:val="clear" w:color="auto" w:fill="1F3864"/>
          </w:tcPr>
          <w:p>
            <w:r>
              <w:rPr>
                <w:color w:val="FFFFFF"/>
              </w:rPr>
            </w:r>
            <w:r>
              <w:rPr>
                <w:b/>
                <w:sz w:val="17"/>
              </w:rPr>
              <w:t>Recommended action</w:t>
            </w:r>
          </w:p>
        </w:tc>
      </w:tr>
      <w:tr>
        <w:tc>
          <w:tcPr>
            <w:tcW w:type="dxa" w:w="648"/>
          </w:tcPr>
          <w:p>
            <w:r/>
            <w:r>
              <w:rPr>
                <w:b/>
                <w:sz w:val="17"/>
              </w:rPr>
              <w:t>C-1</w:t>
            </w:r>
          </w:p>
        </w:tc>
        <w:tc>
          <w:tcPr>
            <w:tcW w:type="dxa" w:w="1440"/>
          </w:tcPr>
          <w:p>
            <w:r/>
            <w:r>
              <w:rPr>
                <w:b/>
                <w:sz w:val="17"/>
              </w:rPr>
              <w:t>Termination and Outside Date</w:t>
            </w:r>
          </w:p>
        </w:tc>
        <w:tc>
          <w:tcPr>
            <w:tcW w:type="dxa" w:w="2520"/>
          </w:tcPr>
          <w:p>
            <w:r/>
            <w:r>
              <w:rPr>
                <w:b w:val="0"/>
                <w:sz w:val="17"/>
              </w:rPr>
              <w:t>TS §5.2: target signing Feb. 28, 2025; target closing Mar. 14, 2025 (within 14 days of signing); Outside Closing Date Apr. 15, 2025, after which “any party may terminate.”</w:t>
            </w:r>
          </w:p>
        </w:tc>
        <w:tc>
          <w:tcPr>
            <w:tcW w:type="dxa" w:w="2520"/>
          </w:tcPr>
          <w:p>
            <w:r/>
            <w:r>
              <w:rPr>
                <w:b w:val="0"/>
                <w:sz w:val="17"/>
              </w:rPr>
              <w:t>SPA §3.1: Outside Date Apr. 15, 2025, and commercially reasonable efforts to close by Mar. 14, 2025, consistent. §9.9(b): only “the Lead Investor or the Company” may terminate, and not a party whose breach was the primary cause. §9.9(c) adds a Lead Investor termination right for a Material Adverse Change.</w:t>
            </w:r>
          </w:p>
        </w:tc>
        <w:tc>
          <w:tcPr>
            <w:tcW w:type="dxa" w:w="3672"/>
          </w:tcPr>
          <w:p>
            <w:r/>
            <w:r>
              <w:rPr>
                <w:b w:val="0"/>
                <w:sz w:val="17"/>
              </w:rPr>
              <w:t>The co-investors (Cascade Point and Ridgeway) lose the agreed right to walk away after Apr. 15. With several, not joint, purchase obligations, each Investor should be able to terminate as to itself. The MAC termination right and the breaching-party exclusion are acceptable, investor-favorable additions.</w:t>
            </w:r>
          </w:p>
        </w:tc>
        <w:tc>
          <w:tcPr>
            <w:tcW w:type="dxa" w:w="1008"/>
            <w:shd w:val="clear" w:color="auto" w:fill="FFF2B3"/>
          </w:tcPr>
          <w:p>
            <w:r/>
            <w:r>
              <w:rPr>
                <w:b/>
                <w:sz w:val="17"/>
              </w:rPr>
              <w:t>Medium</w:t>
            </w:r>
          </w:p>
        </w:tc>
        <w:tc>
          <w:tcPr>
            <w:tcW w:type="dxa" w:w="2448"/>
          </w:tcPr>
          <w:p>
            <w:r/>
            <w:r>
              <w:rPr>
                <w:b w:val="0"/>
                <w:sz w:val="17"/>
              </w:rPr>
              <w:t>Give each Investor (as to itself) and the Company the Outside Date termination right. Consider letting each Investor terminate as to itself for a MAC, or confirm that the client is comfortable with the Lead Investor controlling that right.</w:t>
            </w:r>
          </w:p>
        </w:tc>
      </w:tr>
      <w:tr>
        <w:tc>
          <w:tcPr>
            <w:tcW w:type="dxa" w:w="648"/>
          </w:tcPr>
          <w:p>
            <w:r/>
            <w:r>
              <w:rPr>
                <w:b/>
                <w:sz w:val="17"/>
              </w:rPr>
              <w:t>C-2</w:t>
            </w:r>
          </w:p>
        </w:tc>
        <w:tc>
          <w:tcPr>
            <w:tcW w:type="dxa" w:w="1440"/>
          </w:tcPr>
          <w:p>
            <w:r/>
            <w:r>
              <w:rPr>
                <w:b/>
                <w:sz w:val="17"/>
              </w:rPr>
              <w:t>Closing conditions: due diligence</w:t>
            </w:r>
          </w:p>
        </w:tc>
        <w:tc>
          <w:tcPr>
            <w:tcW w:type="dxa" w:w="2520"/>
          </w:tcPr>
          <w:p>
            <w:r/>
            <w:r>
              <w:rPr>
                <w:b w:val="0"/>
                <w:sz w:val="17"/>
              </w:rPr>
              <w:t>TS §5.3(a): completion of legal, financial and technical due diligence by the Investors, satisfactory to the Lead Investor “in its sole reasonable discretion.”</w:t>
            </w:r>
          </w:p>
        </w:tc>
        <w:tc>
          <w:tcPr>
            <w:tcW w:type="dxa" w:w="2520"/>
          </w:tcPr>
          <w:p>
            <w:r/>
            <w:r>
              <w:rPr>
                <w:b w:val="0"/>
                <w:sz w:val="17"/>
              </w:rPr>
              <w:t>SPA §5.1(l): Lead Investor’s “legal, financial, and business” diligence, satisfactory “in its reasonable discretion.”</w:t>
            </w:r>
          </w:p>
        </w:tc>
        <w:tc>
          <w:tcPr>
            <w:tcW w:type="dxa" w:w="3672"/>
          </w:tcPr>
          <w:p>
            <w:r/>
            <w:r>
              <w:rPr>
                <w:b w:val="0"/>
                <w:sz w:val="17"/>
              </w:rPr>
              <w:t>Technical diligence on the autonomous warehouse logistics technology, which is central to a robotics investment, is no longer named. The standard is softened (“sole” deleted). Also consider whether the condition should survive signing at all, given that the parties sign before closing.</w:t>
            </w:r>
          </w:p>
        </w:tc>
        <w:tc>
          <w:tcPr>
            <w:tcW w:type="dxa" w:w="1008"/>
            <w:shd w:val="clear" w:color="auto" w:fill="FFF2B3"/>
          </w:tcPr>
          <w:p>
            <w:r/>
            <w:r>
              <w:rPr>
                <w:b/>
                <w:sz w:val="17"/>
              </w:rPr>
              <w:t>Medium</w:t>
            </w:r>
          </w:p>
        </w:tc>
        <w:tc>
          <w:tcPr>
            <w:tcW w:type="dxa" w:w="2448"/>
          </w:tcPr>
          <w:p>
            <w:r/>
            <w:r>
              <w:rPr>
                <w:b w:val="0"/>
                <w:sz w:val="17"/>
              </w:rPr>
              <w:t>Restore “legal, financial, and technical” and “sole reasonable discretion.” Coordinate with the client on whether diligence will be complete at signing.</w:t>
            </w:r>
          </w:p>
        </w:tc>
      </w:tr>
      <w:tr>
        <w:tc>
          <w:tcPr>
            <w:tcW w:type="dxa" w:w="648"/>
          </w:tcPr>
          <w:p>
            <w:r/>
            <w:r>
              <w:rPr>
                <w:b/>
                <w:sz w:val="17"/>
              </w:rPr>
              <w:t>C-3</w:t>
            </w:r>
          </w:p>
        </w:tc>
        <w:tc>
          <w:tcPr>
            <w:tcW w:type="dxa" w:w="1440"/>
          </w:tcPr>
          <w:p>
            <w:r/>
            <w:r>
              <w:rPr>
                <w:b/>
                <w:sz w:val="17"/>
              </w:rPr>
              <w:t>Closing conditions: ancillary agreements</w:t>
            </w:r>
          </w:p>
        </w:tc>
        <w:tc>
          <w:tcPr>
            <w:tcW w:type="dxa" w:w="2520"/>
          </w:tcPr>
          <w:p>
            <w:r/>
            <w:r>
              <w:rPr>
                <w:b w:val="0"/>
                <w:sz w:val="17"/>
              </w:rPr>
              <w:t>TS §5.3(c)–(e): IRA, ROFR and Co-Sale Agreement, and Voting Agreement each “in form and substance reasonably satisfactory to the Lead Investor”; the Voting Agreement must provide for the TS §3.1 Board.</w:t>
            </w:r>
          </w:p>
        </w:tc>
        <w:tc>
          <w:tcPr>
            <w:tcW w:type="dxa" w:w="2520"/>
          </w:tcPr>
          <w:p>
            <w:r/>
            <w:r>
              <w:rPr>
                <w:b w:val="0"/>
                <w:sz w:val="17"/>
              </w:rPr>
              <w:t>SPA §5.1(d)–(f): each “substantially in the form of Exhibit B/C/D”; no Lead Investor satisfaction standard.</w:t>
            </w:r>
          </w:p>
        </w:tc>
        <w:tc>
          <w:tcPr>
            <w:tcW w:type="dxa" w:w="3672"/>
          </w:tcPr>
          <w:p>
            <w:r/>
            <w:r>
              <w:rPr>
                <w:b w:val="0"/>
                <w:sz w:val="17"/>
              </w:rPr>
              <w:t>Tying the conditions to the current exhibits, which deviate from the term sheet as described in this report, would lock in the deviations. The Voting Agreement exhibit provides for six directors, not the TS §3.1 Board.</w:t>
            </w:r>
          </w:p>
        </w:tc>
        <w:tc>
          <w:tcPr>
            <w:tcW w:type="dxa" w:w="1008"/>
            <w:shd w:val="clear" w:color="auto" w:fill="FFF2B3"/>
          </w:tcPr>
          <w:p>
            <w:r/>
            <w:r>
              <w:rPr>
                <w:b/>
                <w:sz w:val="17"/>
              </w:rPr>
              <w:t>Medium</w:t>
            </w:r>
          </w:p>
        </w:tc>
        <w:tc>
          <w:tcPr>
            <w:tcW w:type="dxa" w:w="2448"/>
          </w:tcPr>
          <w:p>
            <w:r/>
            <w:r>
              <w:rPr>
                <w:b w:val="0"/>
                <w:sz w:val="17"/>
              </w:rPr>
              <w:t>Add “and otherwise in form and substance reasonably satisfactory to the Lead Investor.” Require the final Voting Agreement to implement the TS §3.1 Board.</w:t>
            </w:r>
          </w:p>
        </w:tc>
      </w:tr>
      <w:tr>
        <w:tc>
          <w:tcPr>
            <w:tcW w:type="dxa" w:w="648"/>
          </w:tcPr>
          <w:p>
            <w:r/>
            <w:r>
              <w:rPr>
                <w:b/>
                <w:sz w:val="17"/>
              </w:rPr>
              <w:t>C-4</w:t>
            </w:r>
          </w:p>
        </w:tc>
        <w:tc>
          <w:tcPr>
            <w:tcW w:type="dxa" w:w="1440"/>
          </w:tcPr>
          <w:p>
            <w:r/>
            <w:r>
              <w:rPr>
                <w:b/>
                <w:sz w:val="17"/>
              </w:rPr>
              <w:t>Closing deliverables: Management Rights Letters</w:t>
            </w:r>
          </w:p>
        </w:tc>
        <w:tc>
          <w:tcPr>
            <w:tcW w:type="dxa" w:w="2520"/>
          </w:tcPr>
          <w:p>
            <w:r/>
            <w:r>
              <w:rPr>
                <w:b w:val="0"/>
                <w:sz w:val="17"/>
              </w:rPr>
              <w:t>TS §5.3(f): delivery of a Management Rights Letter to each Investor that is a VCOC.</w:t>
            </w:r>
          </w:p>
        </w:tc>
        <w:tc>
          <w:tcPr>
            <w:tcW w:type="dxa" w:w="2520"/>
          </w:tcPr>
          <w:p>
            <w:r/>
            <w:r>
              <w:rPr>
                <w:b w:val="0"/>
                <w:sz w:val="17"/>
              </w:rPr>
              <w:t>SPA §§3.2(g), 5.1(h): only to an Investor that qualifies as a VCOC “and has requested such letter.” Exhibit H grants observer-style Board attendance and terminates at a Qualified IPO.</w:t>
            </w:r>
          </w:p>
        </w:tc>
        <w:tc>
          <w:tcPr>
            <w:tcW w:type="dxa" w:w="3672"/>
          </w:tcPr>
          <w:p>
            <w:r/>
            <w:r>
              <w:rPr>
                <w:b w:val="0"/>
                <w:sz w:val="17"/>
              </w:rPr>
              <w:t>Adding a request requirement creates a trap. Company counsel’s Feb. 12 email asks which Investors need letters, so the request should be confirmed in writing now. The letter’s Board-attendance right overlaps with Voting Agreement §1.2.</w:t>
            </w:r>
          </w:p>
        </w:tc>
        <w:tc>
          <w:tcPr>
            <w:tcW w:type="dxa" w:w="1008"/>
            <w:shd w:val="clear" w:color="auto" w:fill="DDEBD5"/>
          </w:tcPr>
          <w:p>
            <w:r/>
            <w:r>
              <w:rPr>
                <w:b/>
                <w:sz w:val="17"/>
              </w:rPr>
              <w:t>Low</w:t>
            </w:r>
          </w:p>
        </w:tc>
        <w:tc>
          <w:tcPr>
            <w:tcW w:type="dxa" w:w="2448"/>
          </w:tcPr>
          <w:p>
            <w:r/>
            <w:r>
              <w:rPr>
                <w:b w:val="0"/>
                <w:sz w:val="17"/>
              </w:rPr>
              <w:t>Delete “and has requested such letter,” or confirm in writing which funds (likely Orchard Hill Fund IV, and possibly the others) require letters. Coordinate Exhibit H with the observer provision.</w:t>
            </w:r>
          </w:p>
        </w:tc>
      </w:tr>
      <w:tr>
        <w:tc>
          <w:tcPr>
            <w:tcW w:type="dxa" w:w="648"/>
          </w:tcPr>
          <w:p>
            <w:r/>
            <w:r>
              <w:rPr>
                <w:b/>
                <w:sz w:val="17"/>
              </w:rPr>
              <w:t>C-5</w:t>
            </w:r>
          </w:p>
        </w:tc>
        <w:tc>
          <w:tcPr>
            <w:tcW w:type="dxa" w:w="1440"/>
          </w:tcPr>
          <w:p>
            <w:r/>
            <w:r>
              <w:rPr>
                <w:b/>
                <w:sz w:val="17"/>
              </w:rPr>
              <w:t>Closing deliverables: good standing, Secretary’s Certificate, legal opinion</w:t>
            </w:r>
          </w:p>
        </w:tc>
        <w:tc>
          <w:tcPr>
            <w:tcW w:type="dxa" w:w="2520"/>
          </w:tcPr>
          <w:p>
            <w:r/>
            <w:r>
              <w:rPr>
                <w:b w:val="0"/>
                <w:sz w:val="17"/>
              </w:rPr>
              <w:t>TS §5.3(g)–(i): Company counsel opinion covering due authorization, valid issuance and securities-law compliance; good standing certificates from Delaware and from the Texas Secretary of State (or Comptroller of Public Accounts) dated within ten (10) business days; Secretary’s Certificate certifying resolutions, “incumbency and authority” of officers, and the charter and Bylaws.</w:t>
            </w:r>
          </w:p>
        </w:tc>
        <w:tc>
          <w:tcPr>
            <w:tcW w:type="dxa" w:w="2520"/>
          </w:tcPr>
          <w:p>
            <w:r/>
            <w:r>
              <w:rPr>
                <w:b w:val="0"/>
                <w:sz w:val="17"/>
              </w:rPr>
              <w:t>SPA §§3.2(d)–(f), 5.1(i)–(k): good standing from the Delaware and Texas Secretaries of State “within five (5) business days”; Secretary’s Certificate certifies “incumbency” (no “authority”); Exhibit F is only a “[Form of Legal Opinion to be attached]” placeholder with a summary list; Exhibit G is attached. Company counsel’s address appears as 600 Congress Avenue, Suite 3200 (SPA §§3.1, 9.5), while the transmittal email gives 100 Congress Avenue, Suite 2400.</w:t>
            </w:r>
          </w:p>
        </w:tc>
        <w:tc>
          <w:tcPr>
            <w:tcW w:type="dxa" w:w="3672"/>
          </w:tcPr>
          <w:p>
            <w:r/>
            <w:r>
              <w:rPr>
                <w:b w:val="0"/>
                <w:sz w:val="17"/>
              </w:rPr>
              <w:t>(a) Five business days is stricter than agreed, which favors investors but creates execution risk for the Company. (b) Texas franchise-tax good standing is evidenced by a Comptroller certificate of account status, which the draft omits. (c) The opinion form is missing, so its scope cannot be agreed. (d) “Authority” has been dropped from the incumbency certification. (e) The closing location and notice address may be wrong.</w:t>
            </w:r>
          </w:p>
        </w:tc>
        <w:tc>
          <w:tcPr>
            <w:tcW w:type="dxa" w:w="1008"/>
            <w:shd w:val="clear" w:color="auto" w:fill="DDEBD5"/>
          </w:tcPr>
          <w:p>
            <w:r/>
            <w:r>
              <w:rPr>
                <w:b/>
                <w:sz w:val="17"/>
              </w:rPr>
              <w:t>Low</w:t>
            </w:r>
          </w:p>
        </w:tc>
        <w:tc>
          <w:tcPr>
            <w:tcW w:type="dxa" w:w="2448"/>
          </w:tcPr>
          <w:p>
            <w:r/>
            <w:r>
              <w:rPr>
                <w:b w:val="0"/>
                <w:sz w:val="17"/>
              </w:rPr>
              <w:t>Conform to 10 business days and add the Texas Comptroller certificate of account status. Ask for the full opinion form now (it should include no-conflict with the charter, Bylaws and material agreements; capitalization; and no registration required). Add “and authority.” Confirm Whitfield &amp; Crane’s correct address.</w:t>
            </w:r>
          </w:p>
        </w:tc>
      </w:tr>
      <w:tr>
        <w:tc>
          <w:tcPr>
            <w:tcW w:type="dxa" w:w="648"/>
          </w:tcPr>
          <w:p>
            <w:r/>
            <w:r>
              <w:rPr>
                <w:b/>
                <w:sz w:val="17"/>
              </w:rPr>
              <w:t>C-6</w:t>
            </w:r>
          </w:p>
        </w:tc>
        <w:tc>
          <w:tcPr>
            <w:tcW w:type="dxa" w:w="1440"/>
          </w:tcPr>
          <w:p>
            <w:r/>
            <w:r>
              <w:rPr>
                <w:b/>
                <w:sz w:val="17"/>
              </w:rPr>
              <w:t>Fees and expenses</w:t>
            </w:r>
          </w:p>
        </w:tc>
        <w:tc>
          <w:tcPr>
            <w:tcW w:type="dxa" w:w="2520"/>
          </w:tcPr>
          <w:p>
            <w:r/>
            <w:r>
              <w:rPr>
                <w:b w:val="0"/>
                <w:sz w:val="17"/>
              </w:rPr>
              <w:t>TS §6.1: Company pays its own fees and reimburses the Lead Investor’s reasonable legal fees and out-of-pocket expenses up to $75,000, payable at closing.</w:t>
            </w:r>
          </w:p>
        </w:tc>
        <w:tc>
          <w:tcPr>
            <w:tcW w:type="dxa" w:w="2520"/>
          </w:tcPr>
          <w:p>
            <w:r/>
            <w:r>
              <w:rPr>
                <w:b w:val="0"/>
                <w:sz w:val="17"/>
              </w:rPr>
              <w:t>SPA §7.4: reimbursement “not to exceed One Hundred Twenty-Five Thousand Dollars ($125,000),” of “legal fees and expenses,” upon presentation of reasonably detailed invoices, payable at closing; other Investors bear their own costs. §9.9 makes §7.4 survive termination.</w:t>
            </w:r>
          </w:p>
        </w:tc>
        <w:tc>
          <w:tcPr>
            <w:tcW w:type="dxa" w:w="3672"/>
          </w:tcPr>
          <w:p>
            <w:r/>
            <w:r>
              <w:rPr>
                <w:b w:val="0"/>
                <w:sz w:val="17"/>
              </w:rPr>
              <w:t>The cap is $50,000 above the agreed $75,000. This favors the client, but the Company will reject it, and accepting a likely scrivener’s error raises candor and re-trade concerns. Because §7.4 survives termination, the provision could be read to require reimbursement even if the deal does not close, which the term sheet does not provide. Co-investors bearing their own costs is consistent with the term sheet.</w:t>
            </w:r>
          </w:p>
        </w:tc>
        <w:tc>
          <w:tcPr>
            <w:tcW w:type="dxa" w:w="1008"/>
            <w:shd w:val="clear" w:color="auto" w:fill="FFF2B3"/>
          </w:tcPr>
          <w:p>
            <w:r/>
            <w:r>
              <w:rPr>
                <w:b/>
                <w:sz w:val="17"/>
              </w:rPr>
              <w:t>Medium</w:t>
            </w:r>
          </w:p>
        </w:tc>
        <w:tc>
          <w:tcPr>
            <w:tcW w:type="dxa" w:w="2448"/>
          </w:tcPr>
          <w:p>
            <w:r/>
            <w:r>
              <w:rPr>
                <w:b w:val="0"/>
                <w:sz w:val="17"/>
              </w:rPr>
              <w:t>Confirm with the client. Expect to conform to $75,000, legal fees and out-of-pocket expenses, payable at closing. Clarify whether reimbursement applies if the deal terminates.</w:t>
            </w:r>
          </w:p>
        </w:tc>
      </w:tr>
      <w:tr>
        <w:tc>
          <w:tcPr>
            <w:tcW w:type="dxa" w:w="648"/>
          </w:tcPr>
          <w:p>
            <w:r/>
            <w:r>
              <w:rPr>
                <w:b/>
                <w:sz w:val="17"/>
              </w:rPr>
              <w:t>C-7</w:t>
            </w:r>
          </w:p>
        </w:tc>
        <w:tc>
          <w:tcPr>
            <w:tcW w:type="dxa" w:w="1440"/>
          </w:tcPr>
          <w:p>
            <w:r/>
            <w:r>
              <w:rPr>
                <w:b/>
                <w:sz w:val="17"/>
              </w:rPr>
              <w:t>Supersession of binding term sheet provisions (exclusivity, confidentiality)</w:t>
            </w:r>
          </w:p>
        </w:tc>
        <w:tc>
          <w:tcPr>
            <w:tcW w:type="dxa" w:w="2520"/>
          </w:tcPr>
          <w:p>
            <w:r/>
            <w:r>
              <w:rPr>
                <w:b w:val="0"/>
                <w:sz w:val="17"/>
              </w:rPr>
              <w:t>TS §§6.2–6.5: binding no-shop through Mar. 1, 2025 (45 days); binding confidentiality; binding Delaware governing law.</w:t>
            </w:r>
          </w:p>
        </w:tc>
        <w:tc>
          <w:tcPr>
            <w:tcW w:type="dxa" w:w="2520"/>
          </w:tcPr>
          <w:p>
            <w:r/>
            <w:r>
              <w:rPr>
                <w:b w:val="0"/>
                <w:sz w:val="17"/>
              </w:rPr>
              <w:t>SPA §9.3: the Transaction Agreements “supersede all prior … agreements …, including, without limitation, the Term Sheet dated January 15, 2025.” The SPA has no confidentiality or exclusivity covenant. Governing law (§9.1) is Delaware, consistent.</w:t>
            </w:r>
          </w:p>
        </w:tc>
        <w:tc>
          <w:tcPr>
            <w:tcW w:type="dxa" w:w="3672"/>
          </w:tcPr>
          <w:p>
            <w:r/>
            <w:r>
              <w:rPr>
                <w:b w:val="0"/>
                <w:sz w:val="17"/>
              </w:rPr>
              <w:t>If the SPA is signed on the Feb. 28 target, the supersession clause ends the binding no-shop one day early and, more importantly, ends the binding confidentiality obligation and the Company’s duty to notify the Lead Investor of unsolicited proposals during the sign-to-close gap (to Mar. 14 and possibly Apr. 15). There would then be no exclusivity between signing and closing.</w:t>
            </w:r>
          </w:p>
        </w:tc>
        <w:tc>
          <w:tcPr>
            <w:tcW w:type="dxa" w:w="1008"/>
            <w:shd w:val="clear" w:color="auto" w:fill="F9D9A8"/>
          </w:tcPr>
          <w:p>
            <w:r/>
            <w:r>
              <w:rPr>
                <w:b/>
                <w:sz w:val="17"/>
              </w:rPr>
              <w:t>High</w:t>
            </w:r>
          </w:p>
        </w:tc>
        <w:tc>
          <w:tcPr>
            <w:tcW w:type="dxa" w:w="2448"/>
          </w:tcPr>
          <w:p>
            <w:r/>
            <w:r>
              <w:rPr>
                <w:b w:val="0"/>
                <w:sz w:val="17"/>
              </w:rPr>
              <w:t>Carve the binding TS provisions out of §9.3 so they survive until they expire, or better, add an SPA covenant extending no-shop and notification obligations through the earlier of Closing or termination, plus a mutual confidentiality covenant (and an IRA confidentiality covenant, see R-8).</w:t>
            </w:r>
          </w:p>
        </w:tc>
      </w:tr>
    </w:tbl>
    <w:p/>
    <w:p>
      <w:pPr>
        <w:pStyle w:val="Heading1"/>
      </w:pPr>
      <w:r>
        <w:t>8A. Other Provisions: Definitions, Additions Not in the Term Sheet, Capitalization and Reps</w:t>
      </w:r>
    </w:p>
    <w:tbl>
      <w:tblPr>
        <w:tblStyle w:val="TableGrid"/>
        <w:tblW w:type="auto" w:w="0"/>
        <w:jc w:val="center"/>
        <w:tblLayout w:type="fixed"/>
        <w:tblLook w:firstColumn="1" w:firstRow="1" w:lastColumn="0" w:lastRow="0" w:noHBand="0" w:noVBand="1" w:val="04A0"/>
      </w:tblPr>
      <w:tblGrid>
        <w:gridCol w:w="2057"/>
        <w:gridCol w:w="2057"/>
        <w:gridCol w:w="2057"/>
        <w:gridCol w:w="2057"/>
        <w:gridCol w:w="2057"/>
        <w:gridCol w:w="2057"/>
        <w:gridCol w:w="2057"/>
      </w:tblGrid>
      <w:tr>
        <w:trPr>
          <w:tblHeader w:val="true"/>
        </w:trPr>
        <w:tc>
          <w:tcPr>
            <w:tcW w:type="dxa" w:w="648"/>
            <w:shd w:val="clear" w:color="auto" w:fill="1F3864"/>
          </w:tcPr>
          <w:p>
            <w:r>
              <w:rPr>
                <w:color w:val="FFFFFF"/>
              </w:rPr>
            </w:r>
            <w:r>
              <w:rPr>
                <w:b/>
                <w:sz w:val="17"/>
              </w:rPr>
              <w:t>No.</w:t>
            </w:r>
          </w:p>
        </w:tc>
        <w:tc>
          <w:tcPr>
            <w:tcW w:type="dxa" w:w="1440"/>
            <w:shd w:val="clear" w:color="auto" w:fill="1F3864"/>
          </w:tcPr>
          <w:p>
            <w:r>
              <w:rPr>
                <w:color w:val="FFFFFF"/>
              </w:rPr>
            </w:r>
            <w:r>
              <w:rPr>
                <w:b/>
                <w:sz w:val="17"/>
              </w:rPr>
              <w:t>Topic</w:t>
            </w:r>
          </w:p>
        </w:tc>
        <w:tc>
          <w:tcPr>
            <w:tcW w:type="dxa" w:w="2520"/>
            <w:shd w:val="clear" w:color="auto" w:fill="1F3864"/>
          </w:tcPr>
          <w:p>
            <w:r>
              <w:rPr>
                <w:color w:val="FFFFFF"/>
              </w:rPr>
            </w:r>
            <w:r>
              <w:rPr>
                <w:b/>
                <w:sz w:val="17"/>
              </w:rPr>
              <w:t>Term Sheet</w:t>
            </w:r>
          </w:p>
        </w:tc>
        <w:tc>
          <w:tcPr>
            <w:tcW w:type="dxa" w:w="2520"/>
            <w:shd w:val="clear" w:color="auto" w:fill="1F3864"/>
          </w:tcPr>
          <w:p>
            <w:r>
              <w:rPr>
                <w:color w:val="FFFFFF"/>
              </w:rPr>
            </w:r>
            <w:r>
              <w:rPr>
                <w:b/>
                <w:sz w:val="17"/>
              </w:rPr>
              <w:t>Draft SPA / Exhibit</w:t>
            </w:r>
          </w:p>
        </w:tc>
        <w:tc>
          <w:tcPr>
            <w:tcW w:type="dxa" w:w="3672"/>
            <w:shd w:val="clear" w:color="auto" w:fill="1F3864"/>
          </w:tcPr>
          <w:p>
            <w:r>
              <w:rPr>
                <w:color w:val="FFFFFF"/>
              </w:rPr>
            </w:r>
            <w:r>
              <w:rPr>
                <w:b/>
                <w:sz w:val="17"/>
              </w:rPr>
              <w:t>Deviation, omission or concern</w:t>
            </w:r>
          </w:p>
        </w:tc>
        <w:tc>
          <w:tcPr>
            <w:tcW w:type="dxa" w:w="1008"/>
            <w:shd w:val="clear" w:color="auto" w:fill="1F3864"/>
          </w:tcPr>
          <w:p>
            <w:r>
              <w:rPr>
                <w:color w:val="FFFFFF"/>
              </w:rPr>
            </w:r>
            <w:r>
              <w:rPr>
                <w:b/>
                <w:sz w:val="17"/>
              </w:rPr>
              <w:t>Severity</w:t>
            </w:r>
          </w:p>
        </w:tc>
        <w:tc>
          <w:tcPr>
            <w:tcW w:type="dxa" w:w="2448"/>
            <w:shd w:val="clear" w:color="auto" w:fill="1F3864"/>
          </w:tcPr>
          <w:p>
            <w:r>
              <w:rPr>
                <w:color w:val="FFFFFF"/>
              </w:rPr>
            </w:r>
            <w:r>
              <w:rPr>
                <w:b/>
                <w:sz w:val="17"/>
              </w:rPr>
              <w:t>Recommended action</w:t>
            </w:r>
          </w:p>
        </w:tc>
      </w:tr>
      <w:tr>
        <w:tc>
          <w:tcPr>
            <w:tcW w:type="dxa" w:w="648"/>
          </w:tcPr>
          <w:p>
            <w:r/>
            <w:r>
              <w:rPr>
                <w:b/>
                <w:sz w:val="17"/>
              </w:rPr>
              <w:t>O-1</w:t>
            </w:r>
          </w:p>
        </w:tc>
        <w:tc>
          <w:tcPr>
            <w:tcW w:type="dxa" w:w="1440"/>
          </w:tcPr>
          <w:p>
            <w:r/>
            <w:r>
              <w:rPr>
                <w:b/>
                <w:sz w:val="17"/>
              </w:rPr>
              <w:t>Deemed Liquidation Event definition</w:t>
            </w:r>
          </w:p>
        </w:tc>
        <w:tc>
          <w:tcPr>
            <w:tcW w:type="dxa" w:w="2520"/>
          </w:tcPr>
          <w:p>
            <w:r/>
            <w:r>
              <w:rPr>
                <w:b w:val="0"/>
                <w:sz w:val="17"/>
              </w:rPr>
              <w:t>TS §5.4: (a) merger or consolidation in which the Company is not the survivor or pre-transaction holders hold &lt; 50% of the surviving entity’s voting power; (b) sale, lease, exclusive license or other disposition of all or substantially all assets; (c) any liquidation, dissolution or winding up.</w:t>
            </w:r>
          </w:p>
        </w:tc>
        <w:tc>
          <w:tcPr>
            <w:tcW w:type="dxa" w:w="2520"/>
          </w:tcPr>
          <w:p>
            <w:r/>
            <w:r>
              <w:rPr>
                <w:b w:val="0"/>
                <w:sz w:val="17"/>
              </w:rPr>
              <w:t>SPA Art. 1 “Deemed Liquidation Event” (any merger or consolidation other than a reincorporation, with no 50% test); Restated Certificate §4.4(c) (merger with a majority-continuity carve-out; asset sale including a subsidiary holding substantially all assets; separate exclusive IP license), with an opt-out “unless the holders of the requisite percentage of the then-outstanding Preferred Stock elect otherwise.”</w:t>
            </w:r>
          </w:p>
        </w:tc>
        <w:tc>
          <w:tcPr>
            <w:tcW w:type="dxa" w:w="3672"/>
          </w:tcPr>
          <w:p>
            <w:r/>
            <w:r>
              <w:rPr>
                <w:b w:val="0"/>
                <w:sz w:val="17"/>
              </w:rPr>
              <w:t>There are three different formulations (term sheet, SPA and charter). The SPA definition says it “has the meaning set forth in the Restated Certificate” but then gives a broader, inconsistent list. The opt-out threshold (“requisite percentage”) is undefined. NVCA practice requires the Series B (here at 60%) to waive DLE treatment. The charter lacks NVCA DLE mechanics: allocation of escrow and contingent consideration, the redemption mechanism for asset sales, and valuation of non-cash consideration.</w:t>
            </w:r>
          </w:p>
        </w:tc>
        <w:tc>
          <w:tcPr>
            <w:tcW w:type="dxa" w:w="1008"/>
            <w:shd w:val="clear" w:color="auto" w:fill="FFF2B3"/>
          </w:tcPr>
          <w:p>
            <w:r/>
            <w:r>
              <w:rPr>
                <w:b/>
                <w:sz w:val="17"/>
              </w:rPr>
              <w:t>Medium</w:t>
            </w:r>
          </w:p>
        </w:tc>
        <w:tc>
          <w:tcPr>
            <w:tcW w:type="dxa" w:w="2448"/>
          </w:tcPr>
          <w:p>
            <w:r/>
            <w:r>
              <w:rPr>
                <w:b w:val="0"/>
                <w:sz w:val="17"/>
              </w:rPr>
              <w:t>Use one definition, in the charter, conformed to TS §5.4 (the subsidiary and IP-license refinements are acceptable). Have the SPA cross-refer only. Define the opt-out as 60% of the Series B. Add NVCA DLE mechanics.</w:t>
            </w:r>
          </w:p>
        </w:tc>
      </w:tr>
      <w:tr>
        <w:tc>
          <w:tcPr>
            <w:tcW w:type="dxa" w:w="648"/>
          </w:tcPr>
          <w:p>
            <w:r/>
            <w:r>
              <w:rPr>
                <w:b/>
                <w:sz w:val="17"/>
              </w:rPr>
              <w:t>O-2</w:t>
            </w:r>
          </w:p>
        </w:tc>
        <w:tc>
          <w:tcPr>
            <w:tcW w:type="dxa" w:w="1440"/>
          </w:tcPr>
          <w:p>
            <w:r/>
            <w:r>
              <w:rPr>
                <w:b/>
                <w:sz w:val="17"/>
              </w:rPr>
              <w:t>Indemnification (not in term sheet)</w:t>
            </w:r>
          </w:p>
        </w:tc>
        <w:tc>
          <w:tcPr>
            <w:tcW w:type="dxa" w:w="2520"/>
          </w:tcPr>
          <w:p>
            <w:r/>
            <w:r>
              <w:rPr>
                <w:b w:val="0"/>
                <w:sz w:val="17"/>
              </w:rPr>
              <w:t>The TS has no indemnification term. The NVCA SPA has none either.</w:t>
            </w:r>
          </w:p>
        </w:tc>
        <w:tc>
          <w:tcPr>
            <w:tcW w:type="dxa" w:w="2520"/>
          </w:tcPr>
          <w:p>
            <w:r/>
            <w:r>
              <w:rPr>
                <w:b w:val="0"/>
                <w:sz w:val="17"/>
              </w:rPr>
              <w:t>SPA Art. 8: Company indemnity for breaches of reps, covenants and certificates; 18-month general survival, with indefinite survival for organization, authorization, capitalization and valid issuance; $200,000 tipping basket (first-dollar recovery, not applicable to fundamental reps); cap at the $28M purchase price except for fraud or willful misconduct; exclusive remedy except for fraud or willful misconduct.</w:t>
            </w:r>
          </w:p>
        </w:tc>
        <w:tc>
          <w:tcPr>
            <w:tcW w:type="dxa" w:w="3672"/>
          </w:tcPr>
          <w:p>
            <w:r/>
            <w:r>
              <w:rPr>
                <w:b w:val="0"/>
                <w:sz w:val="17"/>
              </w:rPr>
              <w:t>This is an addition, and it favors investors. Bear in mind that a Company indemnity paid to investors is partly circular (it is funded from the Company’s own value, including the Series B proceeds) and does not reach the Founders. The exclusive-remedy clause may limit rescission or equitable remedies. Indefinite survival may be unenforceable under 10 Del. C. §8106(c) (a maximum of 20 years must be specified).</w:t>
            </w:r>
          </w:p>
        </w:tc>
        <w:tc>
          <w:tcPr>
            <w:tcW w:type="dxa" w:w="1008"/>
            <w:shd w:val="clear" w:color="auto" w:fill="DDEBD5"/>
          </w:tcPr>
          <w:p>
            <w:r/>
            <w:r>
              <w:rPr>
                <w:b/>
                <w:sz w:val="17"/>
              </w:rPr>
              <w:t>Low</w:t>
            </w:r>
          </w:p>
        </w:tc>
        <w:tc>
          <w:tcPr>
            <w:tcW w:type="dxa" w:w="2448"/>
          </w:tcPr>
          <w:p>
            <w:r/>
            <w:r>
              <w:rPr>
                <w:b w:val="0"/>
                <w:sz w:val="17"/>
              </w:rPr>
              <w:t>Retain. Specify a fixed outside survival period for fundamental reps (for example, 20 years or the statute of limitations), carve equitable relief out of the exclusive-remedy clause, and consider adding the capitalization rep to Founder rep coverage if the client wants it.</w:t>
            </w:r>
          </w:p>
        </w:tc>
      </w:tr>
      <w:tr>
        <w:tc>
          <w:tcPr>
            <w:tcW w:type="dxa" w:w="648"/>
          </w:tcPr>
          <w:p>
            <w:r/>
            <w:r>
              <w:rPr>
                <w:b/>
                <w:sz w:val="17"/>
              </w:rPr>
              <w:t>O-3</w:t>
            </w:r>
          </w:p>
        </w:tc>
        <w:tc>
          <w:tcPr>
            <w:tcW w:type="dxa" w:w="1440"/>
          </w:tcPr>
          <w:p>
            <w:r/>
            <w:r>
              <w:rPr>
                <w:b/>
                <w:sz w:val="17"/>
              </w:rPr>
              <w:t>Amendments, waivers and assignment</w:t>
            </w:r>
          </w:p>
        </w:tc>
        <w:tc>
          <w:tcPr>
            <w:tcW w:type="dxa" w:w="2520"/>
          </w:tcPr>
          <w:p>
            <w:r/>
            <w:r>
              <w:rPr>
                <w:b w:val="0"/>
                <w:sz w:val="17"/>
              </w:rPr>
              <w:t>The TS has no specific term. TS §5.3 lets the Lead Investor waive closing conditions on behalf of all Investors.</w:t>
            </w:r>
          </w:p>
        </w:tc>
        <w:tc>
          <w:tcPr>
            <w:tcW w:type="dxa" w:w="2520"/>
          </w:tcPr>
          <w:p>
            <w:r/>
            <w:r>
              <w:rPr>
                <w:b w:val="0"/>
                <w:sz w:val="17"/>
              </w:rPr>
              <w:t>SPA §9.4: amendments signed by the Company and the Lead Investor before closing, and by the holders of a majority of the Shares after closing. §9.2: an Investor may assign to Affiliates without consent. IRA §5.3: majority of Registrable Securities. ROFR §3.3: majority of the Preferred plus Key Holders. Voting Agreement §3.3: majority of the Series B plus Key Holders.</w:t>
            </w:r>
          </w:p>
        </w:tc>
        <w:tc>
          <w:tcPr>
            <w:tcW w:type="dxa" w:w="3672"/>
          </w:tcPr>
          <w:p>
            <w:r/>
            <w:r>
              <w:rPr>
                <w:b w:val="0"/>
                <w:sz w:val="17"/>
              </w:rPr>
              <w:t>Orchard Hill alone (64.28% of the Series B; about 79% of the as-converted Preferred) can amend the SPA, IRA, ROFR Agreement and Voting Agreement, including changes that adversely and disproportionately affect Cascade Point and Ridgeway (for example, removing their observer, information or pro rata rights). The pre-closing Lead Investor amendment right could even change a co-investor’s purchase obligations.</w:t>
            </w:r>
          </w:p>
        </w:tc>
        <w:tc>
          <w:tcPr>
            <w:tcW w:type="dxa" w:w="1008"/>
            <w:shd w:val="clear" w:color="auto" w:fill="FFF2B3"/>
          </w:tcPr>
          <w:p>
            <w:r/>
            <w:r>
              <w:rPr>
                <w:b/>
                <w:sz w:val="17"/>
              </w:rPr>
              <w:t>Medium</w:t>
            </w:r>
          </w:p>
        </w:tc>
        <w:tc>
          <w:tcPr>
            <w:tcW w:type="dxa" w:w="2448"/>
          </w:tcPr>
          <w:p>
            <w:r/>
            <w:r>
              <w:rPr>
                <w:b w:val="0"/>
                <w:sz w:val="17"/>
              </w:rPr>
              <w:t>Add NVCA-style protections: no amendment that increases an Investor’s purchase commitment, or adversely and disproportionately affects an Investor or its specific rights, without that Investor’s consent. Use a 60% Series B threshold to align with the term sheet.</w:t>
            </w:r>
          </w:p>
        </w:tc>
      </w:tr>
      <w:tr>
        <w:tc>
          <w:tcPr>
            <w:tcW w:type="dxa" w:w="648"/>
          </w:tcPr>
          <w:p>
            <w:r/>
            <w:r>
              <w:rPr>
                <w:b/>
                <w:sz w:val="17"/>
              </w:rPr>
              <w:t>O-4</w:t>
            </w:r>
          </w:p>
        </w:tc>
        <w:tc>
          <w:tcPr>
            <w:tcW w:type="dxa" w:w="1440"/>
          </w:tcPr>
          <w:p>
            <w:r/>
            <w:r>
              <w:rPr>
                <w:b/>
                <w:sz w:val="17"/>
              </w:rPr>
              <w:t>Capitalization representations and schedules</w:t>
            </w:r>
          </w:p>
        </w:tc>
        <w:tc>
          <w:tcPr>
            <w:tcW w:type="dxa" w:w="2520"/>
          </w:tcPr>
          <w:p>
            <w:r/>
            <w:r>
              <w:rPr>
                <w:b w:val="0"/>
                <w:sz w:val="17"/>
              </w:rPr>
              <w:t>TS §1.8: 14,200,000 Common; 4,800,000 Series A at $2.50 ($12M); pool 3,000,000 (2,150,000 granted, 850,000 available); authorized Common currently 30,000,000, to be increased; seed $6.5M; Orchard Hill led the Series A with $7.5M.</w:t>
            </w:r>
          </w:p>
        </w:tc>
        <w:tc>
          <w:tcPr>
            <w:tcW w:type="dxa" w:w="2520"/>
          </w:tcPr>
          <w:p>
            <w:r/>
            <w:r>
              <w:rPr>
                <w:b w:val="0"/>
                <w:sz w:val="17"/>
              </w:rPr>
              <w:t>SPA §4.3(a): current authorized Preferred is stated only as “such shares … as are authorized under the Company’s current Certificate.” §4.3(e): seed $6.5M and Series A $12M. Restated Certificate: 50,000,000 Common, 15,000,000 Preferred. Schedule 2 Parts B and C are mutually inconsistent (32,149,524 vs 28,695,238). Separately circulated cap table (Pro Forma tab) shows a fully-diluted total of 33,699,524, which is incorrect (the components sum to 32,149,524), and the percentages are computed on that wrong denominator. TS App. A post-money percentages total about 112%.</w:t>
            </w:r>
          </w:p>
        </w:tc>
        <w:tc>
          <w:tcPr>
            <w:tcW w:type="dxa" w:w="3672"/>
          </w:tcPr>
          <w:p>
            <w:r/>
            <w:r>
              <w:rPr>
                <w:b w:val="0"/>
                <w:sz w:val="17"/>
              </w:rPr>
              <w:t>The capitalization rep is not specific enough to support indefinite-survival indemnity. Under the funding history, the TS and the separately circulated cap table attribute all 4,800,000 Series A shares ($12M) to Orchard Hill, but the TS says Orchard Hill invested $7.5M in the Series A. Either other Series A holders exist (which affects the Series A Investors under IRA Schedule A, the Voting Agreement signatories, the Series A Director vote and the protective provisions) or one of the figures is wrong. The seed financing ($6.5M) is not reflected in any security on the cap table; confirm whether it converted (SAFEs or notes) into Common or Series A. Any outstanding SAFEs, notes or warrants would undercut the §4.3(g) “no other rights” rep.</w:t>
            </w:r>
          </w:p>
        </w:tc>
        <w:tc>
          <w:tcPr>
            <w:tcW w:type="dxa" w:w="1008"/>
            <w:shd w:val="clear" w:color="auto" w:fill="F9D9A8"/>
          </w:tcPr>
          <w:p>
            <w:r/>
            <w:r>
              <w:rPr>
                <w:b/>
                <w:sz w:val="17"/>
              </w:rPr>
              <w:t>High</w:t>
            </w:r>
          </w:p>
        </w:tc>
        <w:tc>
          <w:tcPr>
            <w:tcW w:type="dxa" w:w="2448"/>
          </w:tcPr>
          <w:p>
            <w:r/>
            <w:r>
              <w:rPr>
                <w:b w:val="0"/>
                <w:sz w:val="17"/>
              </w:rPr>
              <w:t>Require a complete, accurate pre- and post-closing cap table by holder as Schedule 2 (including the seed instruments and how they converted, and the actual Series A holders), state current authorized Preferred, and reconcile the $7.5M vs $12M Series A discrepancy. Correct the circulated cap table and TS App. A arithmetic. Confirm that 50,000,000 authorized Common covers all conversions and the pool (32,149,524 needed, so the reserve is adequate).</w:t>
            </w:r>
          </w:p>
        </w:tc>
      </w:tr>
      <w:tr>
        <w:tc>
          <w:tcPr>
            <w:tcW w:type="dxa" w:w="648"/>
          </w:tcPr>
          <w:p>
            <w:r/>
            <w:r>
              <w:rPr>
                <w:b/>
                <w:sz w:val="17"/>
              </w:rPr>
              <w:t>O-5</w:t>
            </w:r>
          </w:p>
        </w:tc>
        <w:tc>
          <w:tcPr>
            <w:tcW w:type="dxa" w:w="1440"/>
          </w:tcPr>
          <w:p>
            <w:r/>
            <w:r>
              <w:rPr>
                <w:b/>
                <w:sz w:val="17"/>
              </w:rPr>
              <w:t>Representations and warranties: gaps</w:t>
            </w:r>
          </w:p>
        </w:tc>
        <w:tc>
          <w:tcPr>
            <w:tcW w:type="dxa" w:w="2520"/>
          </w:tcPr>
          <w:p>
            <w:r/>
            <w:r>
              <w:rPr>
                <w:b w:val="0"/>
                <w:sz w:val="17"/>
              </w:rPr>
              <w:t>TS §5.3(a) diligence condition; TS §3.2(g) related-party protections; TS §1.1 company facts (87 full-time employees; TTM revenue about $4.3M).</w:t>
            </w:r>
          </w:p>
        </w:tc>
        <w:tc>
          <w:tcPr>
            <w:tcW w:type="dxa" w:w="2520"/>
          </w:tcPr>
          <w:p>
            <w:r/>
            <w:r>
              <w:rPr>
                <w:b w:val="0"/>
                <w:sz w:val="17"/>
              </w:rPr>
              <w:t>SPA Art. 4 contains 14 reps. Disclosure Schedule delivered to the Lead Investor only. §4.9(c) refers to 87 “full-time equivalent” employees.</w:t>
            </w:r>
          </w:p>
        </w:tc>
        <w:tc>
          <w:tcPr>
            <w:tcW w:type="dxa" w:w="3672"/>
          </w:tcPr>
          <w:p>
            <w:r/>
            <w:r>
              <w:rPr>
                <w:b w:val="0"/>
                <w:sz w:val="17"/>
              </w:rPr>
              <w:t>Compared with the NVCA model, the draft omits reps on: related-party transactions; material contracts and obligations; title to property and assets; permits and compliance with laws; data privacy and cybersecurity; employee benefit plans and §409A option pricing; §83(b) elections; export controls and sanctions (relevant to autonomous robotics); corporate documents and minute books; Board and stockholder approvals; Foreign Corrupt Practices Act; real property; government contracts; and the absence of brokers. Several reps are “Knowledge”-qualified or tied to MAC. “Full-time equivalent” differs from the TS “full-time employees.” Using “Material Adverse Change” as a noun (“would have a Material Adverse Change”) is awkward and should be a defined “Material Adverse Effect.”</w:t>
            </w:r>
          </w:p>
        </w:tc>
        <w:tc>
          <w:tcPr>
            <w:tcW w:type="dxa" w:w="1008"/>
            <w:shd w:val="clear" w:color="auto" w:fill="FFF2B3"/>
          </w:tcPr>
          <w:p>
            <w:r/>
            <w:r>
              <w:rPr>
                <w:b/>
                <w:sz w:val="17"/>
              </w:rPr>
              <w:t>Medium</w:t>
            </w:r>
          </w:p>
        </w:tc>
        <w:tc>
          <w:tcPr>
            <w:tcW w:type="dxa" w:w="2448"/>
          </w:tcPr>
          <w:p>
            <w:r/>
            <w:r>
              <w:rPr>
                <w:b w:val="0"/>
                <w:sz w:val="17"/>
              </w:rPr>
              <w:t>Expand Article 4 to NVCA coverage. Deliver the Disclosure Schedule to all Investors. Rename the term to Material Adverse Effect and fix its uses. Align the employee-count rep.</w:t>
            </w:r>
          </w:p>
        </w:tc>
      </w:tr>
    </w:tbl>
    <w:p/>
    <w:p>
      <w:pPr>
        <w:pStyle w:val="Heading1"/>
      </w:pPr>
      <w:r>
        <w:t>9. Drafting, Cross-Reference and Conforming Issues</w:t>
      </w:r>
    </w:p>
    <w:tbl>
      <w:tblPr>
        <w:tblStyle w:val="TableGrid"/>
        <w:tblW w:type="auto" w:w="0"/>
        <w:tblLook w:firstColumn="1" w:firstRow="1" w:lastColumn="0" w:lastRow="0" w:noHBand="0" w:noVBand="1" w:val="04A0"/>
      </w:tblPr>
      <w:tblGrid>
        <w:gridCol w:w="3600"/>
        <w:gridCol w:w="3600"/>
        <w:gridCol w:w="3600"/>
        <w:gridCol w:w="3600"/>
      </w:tblGrid>
      <w:tr>
        <w:trPr>
          <w:tblHeader w:val="true"/>
        </w:trPr>
        <w:tc>
          <w:tcPr>
            <w:tcW w:type="dxa" w:w="720"/>
            <w:shd w:val="clear" w:color="auto" w:fill="1F3864"/>
          </w:tcPr>
          <w:p>
            <w:r>
              <w:rPr>
                <w:color w:val="FFFFFF"/>
              </w:rPr>
            </w:r>
            <w:r>
              <w:rPr>
                <w:b/>
                <w:sz w:val="17"/>
              </w:rPr>
              <w:t>No.</w:t>
            </w:r>
          </w:p>
        </w:tc>
        <w:tc>
          <w:tcPr>
            <w:tcW w:type="dxa" w:w="2880"/>
            <w:shd w:val="clear" w:color="auto" w:fill="1F3864"/>
          </w:tcPr>
          <w:p>
            <w:r>
              <w:rPr>
                <w:color w:val="FFFFFF"/>
              </w:rPr>
            </w:r>
            <w:r>
              <w:rPr>
                <w:b/>
                <w:sz w:val="17"/>
              </w:rPr>
              <w:t>Location</w:t>
            </w:r>
          </w:p>
        </w:tc>
        <w:tc>
          <w:tcPr>
            <w:tcW w:type="dxa" w:w="6624"/>
            <w:shd w:val="clear" w:color="auto" w:fill="1F3864"/>
          </w:tcPr>
          <w:p>
            <w:r>
              <w:rPr>
                <w:color w:val="FFFFFF"/>
              </w:rPr>
            </w:r>
            <w:r>
              <w:rPr>
                <w:b/>
                <w:sz w:val="17"/>
              </w:rPr>
              <w:t>Issue</w:t>
            </w:r>
          </w:p>
        </w:tc>
        <w:tc>
          <w:tcPr>
            <w:tcW w:type="dxa" w:w="4032"/>
            <w:shd w:val="clear" w:color="auto" w:fill="1F3864"/>
          </w:tcPr>
          <w:p>
            <w:r>
              <w:rPr>
                <w:color w:val="FFFFFF"/>
              </w:rPr>
            </w:r>
            <w:r>
              <w:rPr>
                <w:b/>
                <w:sz w:val="17"/>
              </w:rPr>
              <w:t>Fix</w:t>
            </w:r>
          </w:p>
        </w:tc>
      </w:tr>
      <w:tr>
        <w:tc>
          <w:tcPr>
            <w:tcW w:type="dxa" w:w="720"/>
          </w:tcPr>
          <w:p>
            <w:r/>
            <w:r>
              <w:rPr>
                <w:b/>
                <w:sz w:val="17"/>
              </w:rPr>
              <w:t>D-1</w:t>
            </w:r>
          </w:p>
        </w:tc>
        <w:tc>
          <w:tcPr>
            <w:tcW w:type="dxa" w:w="2880"/>
          </w:tcPr>
          <w:p>
            <w:r/>
            <w:r>
              <w:rPr>
                <w:b w:val="0"/>
                <w:sz w:val="17"/>
              </w:rPr>
              <w:t>SPA §2.2 / Art. 1 “Original Issue Price”</w:t>
            </w:r>
          </w:p>
        </w:tc>
        <w:tc>
          <w:tcPr>
            <w:tcW w:type="dxa" w:w="6624"/>
          </w:tcPr>
          <w:p>
            <w:r/>
            <w:r>
              <w:rPr>
                <w:b w:val="0"/>
                <w:sz w:val="17"/>
              </w:rPr>
              <w:t>“Four Dollars and Eighteen Cents ($4.1818)”: the words state $4.18 and the figure is $4.1818.</w:t>
            </w:r>
          </w:p>
        </w:tc>
        <w:tc>
          <w:tcPr>
            <w:tcW w:type="dxa" w:w="4032"/>
          </w:tcPr>
          <w:p>
            <w:r/>
            <w:r>
              <w:rPr>
                <w:b w:val="0"/>
                <w:sz w:val="17"/>
              </w:rPr>
              <w:t>Write “Four and 1818/10000 Dollars ($4.1818)” throughout (SPA §2.2, Art. 1, Schedule 1, charter §4.5(a)).</w:t>
            </w:r>
          </w:p>
        </w:tc>
      </w:tr>
      <w:tr>
        <w:tc>
          <w:tcPr>
            <w:tcW w:type="dxa" w:w="720"/>
          </w:tcPr>
          <w:p>
            <w:r/>
            <w:r>
              <w:rPr>
                <w:b/>
                <w:sz w:val="17"/>
              </w:rPr>
              <w:t>D-2</w:t>
            </w:r>
          </w:p>
        </w:tc>
        <w:tc>
          <w:tcPr>
            <w:tcW w:type="dxa" w:w="2880"/>
          </w:tcPr>
          <w:p>
            <w:r/>
            <w:r>
              <w:rPr>
                <w:b w:val="0"/>
                <w:sz w:val="17"/>
              </w:rPr>
              <w:t>Restated Certificate §4.5(b)(i)</w:t>
            </w:r>
          </w:p>
        </w:tc>
        <w:tc>
          <w:tcPr>
            <w:tcW w:type="dxa" w:w="6624"/>
          </w:tcPr>
          <w:p>
            <w:r/>
            <w:r>
              <w:rPr>
                <w:b w:val="0"/>
                <w:sz w:val="17"/>
              </w:rPr>
              <w:t>“Eight Dollars and Thirty-Six Cents ($8.3636)”: words and figures do not match, and the threshold itself is wrong (see E-6).</w:t>
            </w:r>
          </w:p>
        </w:tc>
        <w:tc>
          <w:tcPr>
            <w:tcW w:type="dxa" w:w="4032"/>
          </w:tcPr>
          <w:p>
            <w:r/>
            <w:r>
              <w:rPr>
                <w:b w:val="0"/>
                <w:sz w:val="17"/>
              </w:rPr>
              <w:t>Replace with the 3x threshold of $12.5454, stated consistently in words and figures.</w:t>
            </w:r>
          </w:p>
        </w:tc>
      </w:tr>
      <w:tr>
        <w:tc>
          <w:tcPr>
            <w:tcW w:type="dxa" w:w="720"/>
          </w:tcPr>
          <w:p>
            <w:r/>
            <w:r>
              <w:rPr>
                <w:b/>
                <w:sz w:val="17"/>
              </w:rPr>
              <w:t>D-3</w:t>
            </w:r>
          </w:p>
        </w:tc>
        <w:tc>
          <w:tcPr>
            <w:tcW w:type="dxa" w:w="2880"/>
          </w:tcPr>
          <w:p>
            <w:r/>
            <w:r>
              <w:rPr>
                <w:b w:val="0"/>
                <w:sz w:val="17"/>
              </w:rPr>
              <w:t>Restated Certificate §4.2</w:t>
            </w:r>
          </w:p>
        </w:tc>
        <w:tc>
          <w:tcPr>
            <w:tcW w:type="dxa" w:w="6624"/>
          </w:tcPr>
          <w:p>
            <w:r/>
            <w:r>
              <w:rPr>
                <w:b w:val="0"/>
                <w:sz w:val="17"/>
              </w:rPr>
              <w:t>Refers to rights “set forth in Sections 4.3 through 4.10,” but Article IV ends at §4.7.</w:t>
            </w:r>
          </w:p>
        </w:tc>
        <w:tc>
          <w:tcPr>
            <w:tcW w:type="dxa" w:w="4032"/>
          </w:tcPr>
          <w:p>
            <w:r/>
            <w:r>
              <w:rPr>
                <w:b w:val="0"/>
                <w:sz w:val="17"/>
              </w:rPr>
              <w:t>Fix the cross-reference after restructuring.</w:t>
            </w:r>
          </w:p>
        </w:tc>
      </w:tr>
      <w:tr>
        <w:tc>
          <w:tcPr>
            <w:tcW w:type="dxa" w:w="720"/>
          </w:tcPr>
          <w:p>
            <w:r/>
            <w:r>
              <w:rPr>
                <w:b/>
                <w:sz w:val="17"/>
              </w:rPr>
              <w:t>D-4</w:t>
            </w:r>
          </w:p>
        </w:tc>
        <w:tc>
          <w:tcPr>
            <w:tcW w:type="dxa" w:w="2880"/>
          </w:tcPr>
          <w:p>
            <w:r/>
            <w:r>
              <w:rPr>
                <w:b w:val="0"/>
                <w:sz w:val="17"/>
              </w:rPr>
              <w:t>Restated Certificate §4.4(a)–(c)</w:t>
            </w:r>
          </w:p>
        </w:tc>
        <w:tc>
          <w:tcPr>
            <w:tcW w:type="dxa" w:w="6624"/>
          </w:tcPr>
          <w:p>
            <w:r/>
            <w:r>
              <w:rPr>
                <w:b w:val="0"/>
                <w:sz w:val="17"/>
              </w:rPr>
              <w:t>“Liquidation Event” is defined in both SPA Art. 1 and charter §4.4(a). §4.4(c) restates the waterfall a third time. §4.4(a) greater-of language conflicts with the §4.4(b) participation.</w:t>
            </w:r>
          </w:p>
        </w:tc>
        <w:tc>
          <w:tcPr>
            <w:tcW w:type="dxa" w:w="4032"/>
          </w:tcPr>
          <w:p>
            <w:r/>
            <w:r>
              <w:rPr>
                <w:b w:val="0"/>
                <w:sz w:val="17"/>
              </w:rPr>
              <w:t>Use a single defined waterfall (see E-3, E-4, O-1).</w:t>
            </w:r>
          </w:p>
        </w:tc>
      </w:tr>
      <w:tr>
        <w:tc>
          <w:tcPr>
            <w:tcW w:type="dxa" w:w="720"/>
          </w:tcPr>
          <w:p>
            <w:r/>
            <w:r>
              <w:rPr>
                <w:b/>
                <w:sz w:val="17"/>
              </w:rPr>
              <w:t>D-5</w:t>
            </w:r>
          </w:p>
        </w:tc>
        <w:tc>
          <w:tcPr>
            <w:tcW w:type="dxa" w:w="2880"/>
          </w:tcPr>
          <w:p>
            <w:r/>
            <w:r>
              <w:rPr>
                <w:b w:val="0"/>
                <w:sz w:val="17"/>
              </w:rPr>
              <w:t>SPA §9.5 notice addresses</w:t>
            </w:r>
          </w:p>
        </w:tc>
        <w:tc>
          <w:tcPr>
            <w:tcW w:type="dxa" w:w="6624"/>
          </w:tcPr>
          <w:p>
            <w:r/>
            <w:r>
              <w:rPr>
                <w:b w:val="0"/>
                <w:sz w:val="17"/>
              </w:rPr>
              <w:t>Company emails use the domain “kaleidoscope-robotics.com,” while the General Counsel’s actual email is dcho@kaleidoscoperobotics.com (Feb. 12 transmittal). The Whitfield &amp; Crane address is 600 Congress Ave., Suite 3200 in the SPA but 100 Congress Ave., Suite 2400 in the email signature.</w:t>
            </w:r>
          </w:p>
        </w:tc>
        <w:tc>
          <w:tcPr>
            <w:tcW w:type="dxa" w:w="4032"/>
          </w:tcPr>
          <w:p>
            <w:r/>
            <w:r>
              <w:rPr>
                <w:b w:val="0"/>
                <w:sz w:val="17"/>
              </w:rPr>
              <w:t>Confirm and correct domains and addresses so that email notice is valid.</w:t>
            </w:r>
          </w:p>
        </w:tc>
      </w:tr>
      <w:tr>
        <w:tc>
          <w:tcPr>
            <w:tcW w:type="dxa" w:w="720"/>
          </w:tcPr>
          <w:p>
            <w:r/>
            <w:r>
              <w:rPr>
                <w:b/>
                <w:sz w:val="17"/>
              </w:rPr>
              <w:t>D-6</w:t>
            </w:r>
          </w:p>
        </w:tc>
        <w:tc>
          <w:tcPr>
            <w:tcW w:type="dxa" w:w="2880"/>
          </w:tcPr>
          <w:p>
            <w:r/>
            <w:r>
              <w:rPr>
                <w:b w:val="0"/>
                <w:sz w:val="17"/>
              </w:rPr>
              <w:t>Voting Agreement / ROFR Agreement “Key Holder”</w:t>
            </w:r>
          </w:p>
        </w:tc>
        <w:tc>
          <w:tcPr>
            <w:tcW w:type="dxa" w:w="6624"/>
          </w:tcPr>
          <w:p>
            <w:r/>
            <w:r>
              <w:rPr>
                <w:b w:val="0"/>
                <w:sz w:val="17"/>
              </w:rPr>
              <w:t>The SPA defines Key Holders as the Founders plus &gt;5% Common holders. The Voting Agreement defines them by reference to the signature pages. Exhibit D uses the SPA definition. Under the Feb. 12 cap table, the 6,200,000 “Other Common” shares may include &gt;5% holders who have not been identified.</w:t>
            </w:r>
          </w:p>
        </w:tc>
        <w:tc>
          <w:tcPr>
            <w:tcW w:type="dxa" w:w="4032"/>
          </w:tcPr>
          <w:p>
            <w:r/>
            <w:r>
              <w:rPr>
                <w:b w:val="0"/>
                <w:sz w:val="17"/>
              </w:rPr>
              <w:t>Identify all Key Holders by name, use a single definition, and attach signature pages and joinders.</w:t>
            </w:r>
          </w:p>
        </w:tc>
      </w:tr>
      <w:tr>
        <w:tc>
          <w:tcPr>
            <w:tcW w:type="dxa" w:w="720"/>
          </w:tcPr>
          <w:p>
            <w:r/>
            <w:r>
              <w:rPr>
                <w:b/>
                <w:sz w:val="17"/>
              </w:rPr>
              <w:t>D-7</w:t>
            </w:r>
          </w:p>
        </w:tc>
        <w:tc>
          <w:tcPr>
            <w:tcW w:type="dxa" w:w="2880"/>
          </w:tcPr>
          <w:p>
            <w:r/>
            <w:r>
              <w:rPr>
                <w:b w:val="0"/>
                <w:sz w:val="17"/>
              </w:rPr>
              <w:t>IRA preamble / Schedule A</w:t>
            </w:r>
          </w:p>
        </w:tc>
        <w:tc>
          <w:tcPr>
            <w:tcW w:type="dxa" w:w="6624"/>
          </w:tcPr>
          <w:p>
            <w:r/>
            <w:r>
              <w:rPr>
                <w:b w:val="0"/>
                <w:sz w:val="17"/>
              </w:rPr>
              <w:t>The IRA refers to Series A holders “listed on Schedule A hereto,” but no Schedule A is attached. Under IRA Art. 1 the Major Investor definition is never used (see R-8).</w:t>
            </w:r>
          </w:p>
        </w:tc>
        <w:tc>
          <w:tcPr>
            <w:tcW w:type="dxa" w:w="4032"/>
          </w:tcPr>
          <w:p>
            <w:r/>
            <w:r>
              <w:rPr>
                <w:b w:val="0"/>
                <w:sz w:val="17"/>
              </w:rPr>
              <w:t>Attach Schedule A (reconcile with O-4) and use the defined terms consistently.</w:t>
            </w:r>
          </w:p>
        </w:tc>
      </w:tr>
      <w:tr>
        <w:tc>
          <w:tcPr>
            <w:tcW w:type="dxa" w:w="720"/>
          </w:tcPr>
          <w:p>
            <w:r/>
            <w:r>
              <w:rPr>
                <w:b/>
                <w:sz w:val="17"/>
              </w:rPr>
              <w:t>D-8</w:t>
            </w:r>
          </w:p>
        </w:tc>
        <w:tc>
          <w:tcPr>
            <w:tcW w:type="dxa" w:w="2880"/>
          </w:tcPr>
          <w:p>
            <w:r/>
            <w:r>
              <w:rPr>
                <w:b w:val="0"/>
                <w:sz w:val="17"/>
              </w:rPr>
              <w:t>SPA §2.4 vs. §4.3(f) vs. Schedule 2</w:t>
            </w:r>
          </w:p>
        </w:tc>
        <w:tc>
          <w:tcPr>
            <w:tcW w:type="dxa" w:w="6624"/>
          </w:tcPr>
          <w:p>
            <w:r/>
            <w:r>
              <w:rPr>
                <w:b w:val="0"/>
                <w:sz w:val="17"/>
              </w:rPr>
              <w:t>Three different statements of the fully-diluted capitalization and of whether the pool is in or out of the pricing base (see E-1).</w:t>
            </w:r>
          </w:p>
        </w:tc>
        <w:tc>
          <w:tcPr>
            <w:tcW w:type="dxa" w:w="4032"/>
          </w:tcPr>
          <w:p>
            <w:r/>
            <w:r>
              <w:rPr>
                <w:b w:val="0"/>
                <w:sz w:val="17"/>
              </w:rPr>
              <w:t>Use a single cap table and a single pricing formula.</w:t>
            </w:r>
          </w:p>
        </w:tc>
      </w:tr>
      <w:tr>
        <w:tc>
          <w:tcPr>
            <w:tcW w:type="dxa" w:w="720"/>
          </w:tcPr>
          <w:p>
            <w:r/>
            <w:r>
              <w:rPr>
                <w:b/>
                <w:sz w:val="17"/>
              </w:rPr>
              <w:t>D-9</w:t>
            </w:r>
          </w:p>
        </w:tc>
        <w:tc>
          <w:tcPr>
            <w:tcW w:type="dxa" w:w="2880"/>
          </w:tcPr>
          <w:p>
            <w:r/>
            <w:r>
              <w:rPr>
                <w:b w:val="0"/>
                <w:sz w:val="17"/>
              </w:rPr>
              <w:t>SPA §4.3(f), §7.1</w:t>
            </w:r>
          </w:p>
        </w:tc>
        <w:tc>
          <w:tcPr>
            <w:tcW w:type="dxa" w:w="6624"/>
          </w:tcPr>
          <w:p>
            <w:r/>
            <w:r>
              <w:rPr>
                <w:b w:val="0"/>
                <w:sz w:val="17"/>
              </w:rPr>
              <w:t>“Approximately fifteen percent (15%)” in §4.3(f) vs “equal to fifteen percent (15%)” in §7.1. Neither is accurate on a 32,149,524-share base (13.39%).</w:t>
            </w:r>
          </w:p>
        </w:tc>
        <w:tc>
          <w:tcPr>
            <w:tcW w:type="dxa" w:w="4032"/>
          </w:tcPr>
          <w:p>
            <w:r/>
            <w:r>
              <w:rPr>
                <w:b w:val="0"/>
                <w:sz w:val="17"/>
              </w:rPr>
              <w:t>Conform after E-1 is resolved.</w:t>
            </w:r>
          </w:p>
        </w:tc>
      </w:tr>
      <w:tr>
        <w:tc>
          <w:tcPr>
            <w:tcW w:type="dxa" w:w="720"/>
          </w:tcPr>
          <w:p>
            <w:r/>
            <w:r>
              <w:rPr>
                <w:b/>
                <w:sz w:val="17"/>
              </w:rPr>
              <w:t>D-10</w:t>
            </w:r>
          </w:p>
        </w:tc>
        <w:tc>
          <w:tcPr>
            <w:tcW w:type="dxa" w:w="2880"/>
          </w:tcPr>
          <w:p>
            <w:r/>
            <w:r>
              <w:rPr>
                <w:b w:val="0"/>
                <w:sz w:val="17"/>
              </w:rPr>
              <w:t>SPA Recitals / signature blocks</w:t>
            </w:r>
          </w:p>
        </w:tc>
        <w:tc>
          <w:tcPr>
            <w:tcW w:type="dxa" w:w="6624"/>
          </w:tcPr>
          <w:p>
            <w:r/>
            <w:r>
              <w:rPr>
                <w:b w:val="0"/>
                <w:sz w:val="17"/>
              </w:rPr>
              <w:t>The recital says the Term Sheet was executed by the Company and the Lead Investor; the co-investors also acknowledged it. The SPA is dated “February __, 2025.” Several blanks appear in Exhibits E and G. The cover note “Right-click to update Table of Contents” suggests the TOC field was not generated.</w:t>
            </w:r>
          </w:p>
        </w:tc>
        <w:tc>
          <w:tcPr>
            <w:tcW w:type="dxa" w:w="4032"/>
          </w:tcPr>
          <w:p>
            <w:r/>
            <w:r>
              <w:rPr>
                <w:b w:val="0"/>
                <w:sz w:val="17"/>
              </w:rPr>
              <w:t>Clean up before signing. Generate the TOC.</w:t>
            </w:r>
          </w:p>
        </w:tc>
      </w:tr>
      <w:tr>
        <w:tc>
          <w:tcPr>
            <w:tcW w:type="dxa" w:w="720"/>
          </w:tcPr>
          <w:p>
            <w:r/>
            <w:r>
              <w:rPr>
                <w:b/>
                <w:sz w:val="17"/>
              </w:rPr>
              <w:t>D-11</w:t>
            </w:r>
          </w:p>
        </w:tc>
        <w:tc>
          <w:tcPr>
            <w:tcW w:type="dxa" w:w="2880"/>
          </w:tcPr>
          <w:p>
            <w:r/>
            <w:r>
              <w:rPr>
                <w:b w:val="0"/>
                <w:sz w:val="17"/>
              </w:rPr>
              <w:t>Exhibit E title</w:t>
            </w:r>
          </w:p>
        </w:tc>
        <w:tc>
          <w:tcPr>
            <w:tcW w:type="dxa" w:w="6624"/>
          </w:tcPr>
          <w:p>
            <w:r/>
            <w:r>
              <w:rPr>
                <w:b w:val="0"/>
                <w:sz w:val="17"/>
              </w:rPr>
              <w:t>The TS refers to “Restricted Stock Agreements.” The SPA uses “Founder Stock Restriction Agreement.”</w:t>
            </w:r>
          </w:p>
        </w:tc>
        <w:tc>
          <w:tcPr>
            <w:tcW w:type="dxa" w:w="4032"/>
          </w:tcPr>
          <w:p>
            <w:r/>
            <w:r>
              <w:rPr>
                <w:b w:val="0"/>
                <w:sz w:val="17"/>
              </w:rPr>
              <w:t>Harmless, but conform terminology in the closing checklist.</w:t>
            </w:r>
          </w:p>
        </w:tc>
      </w:tr>
      <w:tr>
        <w:tc>
          <w:tcPr>
            <w:tcW w:type="dxa" w:w="720"/>
          </w:tcPr>
          <w:p>
            <w:r/>
            <w:r>
              <w:rPr>
                <w:b/>
                <w:sz w:val="17"/>
              </w:rPr>
              <w:t>D-12</w:t>
            </w:r>
          </w:p>
        </w:tc>
        <w:tc>
          <w:tcPr>
            <w:tcW w:type="dxa" w:w="2880"/>
          </w:tcPr>
          <w:p>
            <w:r/>
            <w:r>
              <w:rPr>
                <w:b w:val="0"/>
                <w:sz w:val="17"/>
              </w:rPr>
              <w:t>SPA §4.1</w:t>
            </w:r>
          </w:p>
        </w:tc>
        <w:tc>
          <w:tcPr>
            <w:tcW w:type="dxa" w:w="6624"/>
          </w:tcPr>
          <w:p>
            <w:r/>
            <w:r>
              <w:rPr>
                <w:b w:val="0"/>
                <w:sz w:val="17"/>
              </w:rPr>
              <w:t>Qualification is tied to jurisdictions where failure “would have a Material Adverse Change.” Texas foreign qualification is stated separately.</w:t>
            </w:r>
          </w:p>
        </w:tc>
        <w:tc>
          <w:tcPr>
            <w:tcW w:type="dxa" w:w="4032"/>
          </w:tcPr>
          <w:p>
            <w:r/>
            <w:r>
              <w:rPr>
                <w:b w:val="0"/>
                <w:sz w:val="17"/>
              </w:rPr>
              <w:t>Fix the defined-term usage. Confirm qualification in any other states where employees or warehouses are located.</w:t>
            </w:r>
          </w:p>
        </w:tc>
      </w:tr>
      <w:tr>
        <w:tc>
          <w:tcPr>
            <w:tcW w:type="dxa" w:w="720"/>
          </w:tcPr>
          <w:p>
            <w:r/>
            <w:r>
              <w:rPr>
                <w:b/>
                <w:sz w:val="17"/>
              </w:rPr>
              <w:t>D-13</w:t>
            </w:r>
          </w:p>
        </w:tc>
        <w:tc>
          <w:tcPr>
            <w:tcW w:type="dxa" w:w="2880"/>
          </w:tcPr>
          <w:p>
            <w:r/>
            <w:r>
              <w:rPr>
                <w:b w:val="0"/>
                <w:sz w:val="17"/>
              </w:rPr>
              <w:t>SPA §9.9 survival</w:t>
            </w:r>
          </w:p>
        </w:tc>
        <w:tc>
          <w:tcPr>
            <w:tcW w:type="dxa" w:w="6624"/>
          </w:tcPr>
          <w:p>
            <w:r/>
            <w:r>
              <w:rPr>
                <w:b w:val="0"/>
                <w:sz w:val="17"/>
              </w:rPr>
              <w:t>Lists §9.9, §7.4, §9.1 “and this Article 9.” The survival of §7.4 creates fee-reimbursement ambiguity (see C-6). Confidentiality has no survival because there is no confidentiality covenant.</w:t>
            </w:r>
          </w:p>
        </w:tc>
        <w:tc>
          <w:tcPr>
            <w:tcW w:type="dxa" w:w="4032"/>
          </w:tcPr>
          <w:p>
            <w:r/>
            <w:r>
              <w:rPr>
                <w:b w:val="0"/>
                <w:sz w:val="17"/>
              </w:rPr>
              <w:t>Rationalize the survival list.</w:t>
            </w:r>
          </w:p>
        </w:tc>
      </w:tr>
      <w:tr>
        <w:tc>
          <w:tcPr>
            <w:tcW w:type="dxa" w:w="720"/>
          </w:tcPr>
          <w:p>
            <w:r/>
            <w:r>
              <w:rPr>
                <w:b/>
                <w:sz w:val="17"/>
              </w:rPr>
              <w:t>D-14</w:t>
            </w:r>
          </w:p>
        </w:tc>
        <w:tc>
          <w:tcPr>
            <w:tcW w:type="dxa" w:w="2880"/>
          </w:tcPr>
          <w:p>
            <w:r/>
            <w:r>
              <w:rPr>
                <w:b w:val="0"/>
                <w:sz w:val="17"/>
              </w:rPr>
              <w:t>Restated Certificate Article V / Voting Agreement §1.1</w:t>
            </w:r>
          </w:p>
        </w:tc>
        <w:tc>
          <w:tcPr>
            <w:tcW w:type="dxa" w:w="6624"/>
          </w:tcPr>
          <w:p>
            <w:r/>
            <w:r>
              <w:rPr>
                <w:b w:val="0"/>
                <w:sz w:val="17"/>
              </w:rPr>
              <w:t>The number of directors is set by the Bylaws and the Voting Agreement. The Voting Agreement says six. The TS says seven.</w:t>
            </w:r>
          </w:p>
        </w:tc>
        <w:tc>
          <w:tcPr>
            <w:tcW w:type="dxa" w:w="4032"/>
          </w:tcPr>
          <w:p>
            <w:r/>
            <w:r>
              <w:rPr>
                <w:b w:val="0"/>
                <w:sz w:val="17"/>
              </w:rPr>
              <w:t>Conform to seven and add class-vote provisions (G-7, G-8).</w:t>
            </w:r>
          </w:p>
        </w:tc>
      </w:tr>
    </w:tbl>
    <w:p/>
    <w:p>
      <w:pPr>
        <w:sectPr>
          <w:pgSz w:w="15840" w:h="12240" w:orient="landscape"/>
          <w:pgMar w:top="864" w:right="720" w:bottom="864" w:left="720" w:header="720" w:footer="720" w:gutter="0"/>
          <w:cols w:space="720"/>
          <w:docGrid w:linePitch="360"/>
        </w:sectPr>
      </w:pPr>
    </w:p>
    <w:p>
      <w:pPr>
        <w:pStyle w:val="Heading1"/>
      </w:pPr>
      <w:r>
        <w:t>10. Omissions: Term Sheet Provisions With No (or Incomplete) Counterpart in the Draft</w:t>
      </w:r>
    </w:p>
    <w:p>
      <w:pPr>
        <w:pStyle w:val="ListBullet"/>
        <w:spacing w:after="40"/>
      </w:pPr>
      <w:r>
        <w:t xml:space="preserve"> Series B liquidation seniority over Series A, and the holder-by-holder non-participation election (TS §2.2): E-3, E-4.</w:t>
      </w:r>
    </w:p>
    <w:p>
      <w:pPr>
        <w:pStyle w:val="ListBullet"/>
        <w:spacing w:after="40"/>
      </w:pPr>
      <w:r>
        <w:t xml:space="preserve"> Series B dividend priority over Series A, and the annual-dividend block on Common (TS §2.1): E-5.</w:t>
      </w:r>
    </w:p>
    <w:p>
      <w:pPr>
        <w:pStyle w:val="ListBullet"/>
        <w:spacing w:after="40"/>
      </w:pPr>
      <w:r>
        <w:t xml:space="preserve"> Strategic/commercial Excluded Issuance with the primary-purpose proviso (TS §2.4(2)): E-7.</w:t>
      </w:r>
    </w:p>
    <w:p>
      <w:pPr>
        <w:pStyle w:val="ListBullet"/>
        <w:spacing w:after="40"/>
      </w:pPr>
      <w:r>
        <w:t xml:space="preserve"> Charter class-vote rights for the Series B to elect the Series B Directors (TS §2.5): G-8.</w:t>
      </w:r>
    </w:p>
    <w:p>
      <w:pPr>
        <w:pStyle w:val="ListBullet"/>
        <w:spacing w:after="40"/>
      </w:pPr>
      <w:r>
        <w:t xml:space="preserve"> Related-party transaction protective provision (TS §3.2(g)): G-3.</w:t>
      </w:r>
    </w:p>
    <w:p>
      <w:pPr>
        <w:pStyle w:val="ListBullet"/>
        <w:spacing w:after="40"/>
      </w:pPr>
      <w:r>
        <w:t xml:space="preserve"> Second Independent Director and the experience qualification (TS §3.1(d)): G-7.</w:t>
      </w:r>
    </w:p>
    <w:p>
      <w:pPr>
        <w:pStyle w:val="ListBullet"/>
        <w:spacing w:after="40"/>
      </w:pPr>
      <w:r>
        <w:t xml:space="preserve"> Common-holder approval requirement for the drag-along (TS §3.3): G-9.</w:t>
      </w:r>
    </w:p>
    <w:p>
      <w:pPr>
        <w:pStyle w:val="ListBullet"/>
        <w:spacing w:after="40"/>
      </w:pPr>
      <w:r>
        <w:t xml:space="preserve"> 15-business-day preemptive exercise period and same-terms protection (TS §4.1): R-1.</w:t>
      </w:r>
    </w:p>
    <w:p>
      <w:pPr>
        <w:pStyle w:val="ListBullet"/>
        <w:spacing w:after="40"/>
      </w:pPr>
      <w:r>
        <w:t xml:space="preserve"> Co-sale rights for Series A holders (“each holder of Preferred Stock”) (TS §4.2): R-2.</w:t>
      </w:r>
    </w:p>
    <w:p>
      <w:pPr>
        <w:pStyle w:val="ListBullet"/>
        <w:spacing w:after="40"/>
      </w:pPr>
      <w:r>
        <w:t xml:space="preserve"> 180-day limit on demands after a prior registration (TS §4.3): R-3; 20-day piggyback notice: R-5; Company lock-up: R-6.</w:t>
      </w:r>
    </w:p>
    <w:p>
      <w:pPr>
        <w:pStyle w:val="ListBullet"/>
        <w:spacing w:after="40"/>
      </w:pPr>
      <w:r>
        <w:t xml:space="preserve"> Major Investor limitation, Q4 quarterly statements and confidentiality of information (TS §4.4): R-8.</w:t>
      </w:r>
    </w:p>
    <w:p>
      <w:pPr>
        <w:pStyle w:val="ListBullet"/>
        <w:spacing w:after="40"/>
      </w:pPr>
      <w:r>
        <w:t xml:space="preserve"> Single-trigger 25% acceleration (TS §5.1): F-1.</w:t>
      </w:r>
    </w:p>
    <w:p>
      <w:pPr>
        <w:pStyle w:val="ListBullet"/>
        <w:spacing w:after="40"/>
      </w:pPr>
      <w:r>
        <w:t xml:space="preserve"> Right of “any party” to terminate after the Outside Date (TS §5.2): C-1.</w:t>
      </w:r>
    </w:p>
    <w:p>
      <w:pPr>
        <w:pStyle w:val="ListBullet"/>
        <w:spacing w:after="40"/>
      </w:pPr>
      <w:r>
        <w:t xml:space="preserve"> “Technical” diligence and the “sole” discretion standard (TS §5.3(a)); Lead Investor satisfaction with the ancillary agreements (TS §5.3(c)–(e)); Texas Comptroller good standing (TS §5.3(h)); “authority” certification (TS §5.3(i)): C-2, C-3, C-5.</w:t>
      </w:r>
    </w:p>
    <w:p>
      <w:pPr>
        <w:pStyle w:val="ListBullet"/>
        <w:spacing w:after="40"/>
      </w:pPr>
      <w:r>
        <w:t xml:space="preserve"> Continuation of the binding no-shop, notice of unsolicited proposals and confidentiality obligations (TS §§6.2–6.3), which §9.3 currently extinguishes: C-7.</w:t>
      </w:r>
    </w:p>
    <w:p>
      <w:pPr>
        <w:pStyle w:val="ListBullet"/>
        <w:spacing w:after="40"/>
      </w:pPr>
      <w:r>
        <w:t xml:space="preserve"> Form of legal opinion (Exhibit F is a placeholder): C-5.</w:t>
      </w:r>
    </w:p>
    <w:p>
      <w:pPr>
        <w:pStyle w:val="Heading1"/>
      </w:pPr>
      <w:r>
        <w:t>11. Provisions Consistent With the Term Sheet (no change needed, subject to conforming edits)</w:t>
      </w:r>
    </w:p>
    <w:p>
      <w:pPr>
        <w:pStyle w:val="ListBullet"/>
        <w:spacing w:after="40"/>
      </w:pPr>
      <w:r>
        <w:t xml:space="preserve"> Issuer details (Delaware; incorporated June 14, 2019; 1830 Industrial Parkway, Austin), officers, Founders’ holdings (4,200,000 / 3,800,000), TTM revenue (about $4.3M), Redwood Alliance as auditor.</w:t>
      </w:r>
    </w:p>
    <w:p>
      <w:pPr>
        <w:pStyle w:val="ListBullet"/>
        <w:spacing w:after="40"/>
      </w:pPr>
      <w:r>
        <w:t xml:space="preserve"> Aggregate investment of $28,000,000 and the per-Investor dollar amounts ($18M / $6M / $4M), subject to the share-count corrections in E-2.</w:t>
      </w:r>
    </w:p>
    <w:p>
      <w:pPr>
        <w:pStyle w:val="ListBullet"/>
        <w:spacing w:after="40"/>
      </w:pPr>
      <w:r>
        <w:t xml:space="preserve"> 8% non-cumulative, when-and-if-declared dividend rate ($0.3345 Series B; $0.20 Series A), subject to the priority fixes in E-5.</w:t>
      </w:r>
    </w:p>
    <w:p>
      <w:pPr>
        <w:pStyle w:val="ListBullet"/>
        <w:spacing w:after="40"/>
      </w:pPr>
      <w:r>
        <w:t xml:space="preserve"> 1:1 initial conversion, voluntary conversion, the 60% Series B vote for automatic conversion, and broad-based weighted-average anti-dilution for both series.</w:t>
      </w:r>
    </w:p>
    <w:p>
      <w:pPr>
        <w:pStyle w:val="ListBullet"/>
        <w:spacing w:after="40"/>
      </w:pPr>
      <w:r>
        <w:t xml:space="preserve"> As-converted voting together with Common.</w:t>
      </w:r>
    </w:p>
    <w:p>
      <w:pPr>
        <w:pStyle w:val="ListBullet"/>
        <w:spacing w:after="40"/>
      </w:pPr>
      <w:r>
        <w:t xml:space="preserve"> Series B Directors (Hargrove plus one Lead Investor designee), Series A Director (Aldridge) and Common Directors (Nandakumar, Ellingham); $4M observer threshold.</w:t>
      </w:r>
    </w:p>
    <w:p>
      <w:pPr>
        <w:pStyle w:val="ListBullet"/>
        <w:spacing w:after="40"/>
      </w:pPr>
      <w:r>
        <w:t xml:space="preserve"> Demand registration at 30% with a two-demand cap; unlimited S-3 with a cap of two per 12 months; Company bears registration expenses.</w:t>
      </w:r>
    </w:p>
    <w:p>
      <w:pPr>
        <w:pStyle w:val="ListBullet"/>
        <w:spacing w:after="40"/>
      </w:pPr>
      <w:r>
        <w:t xml:space="preserve"> Audited annual statements within 120 days; annual budget 30 days before year-end; quarterly statements within 45 days.</w:t>
      </w:r>
    </w:p>
    <w:p>
      <w:pPr>
        <w:pStyle w:val="ListBullet"/>
        <w:spacing w:after="40"/>
      </w:pPr>
      <w:r>
        <w:t xml:space="preserve"> Founder vesting from the Series B closing, with 2 years of prior-service credit (50% vested at closing); 100% double-trigger acceleration.</w:t>
      </w:r>
    </w:p>
    <w:p>
      <w:pPr>
        <w:pStyle w:val="ListBullet"/>
        <w:spacing w:after="40"/>
      </w:pPr>
      <w:r>
        <w:t xml:space="preserve"> Target closing of Mar. 14, 2025 (within 14 days of signing); Outside Date of Apr. 15, 2025; Lead Investor waiver of conditions on behalf of all Investors; Restated Certificate filing; IRA, Voting Agreement, ROFR and Co-Sale Agreement, Founder agreements, opinion, good standing and Secretary’s Certificate as deliverables.</w:t>
      </w:r>
    </w:p>
    <w:p>
      <w:pPr>
        <w:pStyle w:val="ListBullet"/>
        <w:spacing w:after="40"/>
      </w:pPr>
      <w:r>
        <w:t xml:space="preserve"> Company pays its own fees; co-investors bear their own; Delaware governing law.</w:t>
      </w:r>
    </w:p>
    <w:p>
      <w:pPr>
        <w:pStyle w:val="Heading1"/>
      </w:pPr>
      <w:r>
        <w:t>12. Term Sheet Ambiguities to Resolve With the Client Before Marking Up</w:t>
      </w:r>
    </w:p>
    <w:p>
      <w:pPr>
        <w:pStyle w:val="ListBullet"/>
        <w:spacing w:after="40"/>
      </w:pPr>
      <w:r>
        <w:t xml:space="preserve"> Option pool and pricing (E-1): the term sheet’s pre-money pool statement cannot be reconciled with $4.1818 and 22,000,000 shares. Get the client’s instructions on which controls: the $92M pre-money with the pool inside it, or the $4.1818 price.</w:t>
      </w:r>
    </w:p>
    <w:p>
      <w:pPr>
        <w:pStyle w:val="ListBullet"/>
        <w:spacing w:after="40"/>
      </w:pPr>
      <w:r>
        <w:t xml:space="preserve"> Founder vesting arithmetic (F-3): the term sheet’s 4-year schedule, 2-year credit, 1-year cliff and 36-month tail do not reconcile. Agree a share-count schedule.</w:t>
      </w:r>
    </w:p>
    <w:p>
      <w:pPr>
        <w:pStyle w:val="ListBullet"/>
        <w:spacing w:after="40"/>
      </w:pPr>
      <w:r>
        <w:t xml:space="preserve"> Series A ownership (O-4): the TS says Orchard Hill invested $7.5M in the Series A, but the cap table attributes all $12M (4,800,000 shares) to Orchard Hill Fund IV. Confirm the Series A holder list. It matters for the Series A Director, the Series A class votes, IRA Schedule A and the signatories.</w:t>
      </w:r>
    </w:p>
    <w:p>
      <w:pPr>
        <w:pStyle w:val="ListBullet"/>
        <w:spacing w:after="40"/>
      </w:pPr>
      <w:r>
        <w:t xml:space="preserve"> Seed financing ($6.5M): confirm how the seed instruments converted, and that no SAFEs, notes or warrants are outstanding (§4.3(g)).</w:t>
      </w:r>
    </w:p>
    <w:p>
      <w:pPr>
        <w:pStyle w:val="ListBullet"/>
        <w:spacing w:after="40"/>
      </w:pPr>
      <w:r>
        <w:t xml:space="preserve"> Orchard Hill concentration: Orchard Hill designates three of the seven directors (2 Series B and 1 Series A), holds about 79% of the as-converted Preferred and 64.28% of the Series B. Co-investor protections (O-3) and the drag thresholds (G-9) should be considered with this in mind. Cascade Point and Ridgeway may want separate consent rights over disproportionate amendments.</w:t>
      </w:r>
    </w:p>
    <w:p>
      <w:pPr>
        <w:pStyle w:val="ListBullet"/>
        <w:spacing w:after="40"/>
      </w:pPr>
      <w:r>
        <w:t xml:space="preserve"> Management Rights Letters: respond to Company counsel’s request to identify the VCOC Investors (C-4).</w:t>
      </w:r>
    </w:p>
    <w:p>
      <w:pPr>
        <w:pStyle w:val="Heading1"/>
      </w:pPr>
      <w:r>
        <w:t>13. Recommended Next Steps</w:t>
      </w:r>
    </w:p>
    <w:p>
      <w:pPr>
        <w:pStyle w:val="ListNumber"/>
        <w:spacing w:after="40"/>
      </w:pPr>
      <w:r>
        <w:t>Before Feb. 17: send the client a short issues list (Section 1 Critical and High items plus Section 12), and get instructions on the investor-favorable deviations (participation, $125k expense cap, S-3 $1M, 5-day good standing, added conditions and indemnity).</w:t>
      </w:r>
    </w:p>
    <w:p>
      <w:pPr>
        <w:pStyle w:val="ListNumber"/>
        <w:spacing w:after="40"/>
      </w:pPr>
      <w:r>
        <w:t>Week of Feb. 17: accept Company counsel’s offer of an early call. Lead with E-1 (pricing and pool), E-3/E-4 (waterfall), E-6 (Qualified IPO), G-4/G-9 (M&amp;A veto and drag) and G-7 (Board). Ask for the Exhibit F opinion form, a complete holder-level cap table, and the Disclosure Schedule.</w:t>
      </w:r>
    </w:p>
    <w:p>
      <w:pPr>
        <w:pStyle w:val="ListNumber"/>
        <w:spacing w:after="40"/>
      </w:pPr>
      <w:r>
        <w:t>By Feb. 21: deliver a full markup of the SPA and each exhibit conforming to the term sheet, with Schedules 1 and 2 and the charter share designation recomputed off one agreed price.</w:t>
      </w:r>
    </w:p>
    <w:p>
      <w:pPr>
        <w:pStyle w:val="ListNumber"/>
        <w:spacing w:after="40"/>
      </w:pPr>
      <w:r>
        <w:t>Protect exclusivity: add sign-to-close no-shop and confidentiality covenants and carve the binding TS provisions out of §9.3 (C-7). If signing slips past Mar. 1, consider asking for a written extension of the TS §6.2 exclusivity period.</w:t>
      </w:r>
    </w:p>
    <w:p>
      <w:pPr>
        <w:pStyle w:val="ListNumber"/>
        <w:spacing w:after="40"/>
      </w:pPr>
      <w:r>
        <w:t>Closing checklist: Texas Comptroller certificate; good standing certificates dated within 10 business days; VCOC letters; spousal consents; §83(b) analysis; Board and stockholder approvals of the charter (including any Series A class vote under DGCL §242(b)(2)) and of the pool increase.</w:t>
      </w:r>
    </w:p>
    <w:p>
      <w:pPr>
        <w:pStyle w:val="Heading1"/>
      </w:pPr>
      <w:r>
        <w:t>Appendix A — Pricing and Option Pool Arithmetic</w:t>
      </w:r>
    </w:p>
    <w:p>
      <w:pPr>
        <w:pStyle w:val="ListBullet"/>
        <w:spacing w:after="40"/>
      </w:pPr>
      <w:r>
        <w:t xml:space="preserve"> Stated pricing: $92,000,000 ÷ 22,000,000 = $4.181818…, rounded to $4.1818. The 22,000,000 consists of 14,200,000 Common, 4,800,000 Series A and the 3,000,000-share existing pool (2,150,000 granted plus 850,000 available).</w:t>
      </w:r>
    </w:p>
    <w:p>
      <w:pPr>
        <w:pStyle w:val="ListBullet"/>
        <w:spacing w:after="40"/>
      </w:pPr>
      <w:r>
        <w:t xml:space="preserve"> Actual post-closing FD: 14,200,000 + 4,800,000 + 6,695,238 (Series B) + 2,150,000 (granted) + 4,304,286 (unallocated) = 32,149,524 (matches SPA Sched. 2 Part B). Cap-table workbook “GRAND TOTAL (Fully-Diluted)” of 33,699,524 overstates this by 1,550,000.</w:t>
      </w:r>
    </w:p>
    <w:p>
      <w:pPr>
        <w:pStyle w:val="ListBullet"/>
        <w:spacing w:after="40"/>
      </w:pPr>
      <w:r>
        <w:t xml:space="preserve"> Pool share of actual FD: 4,304,286 ÷ 32,149,524 = 13.39% (not 15%). Series B share: 6,695,238 ÷ 32,149,524 = 20.83% (not 23.3%).</w:t>
      </w:r>
    </w:p>
    <w:p>
      <w:pPr>
        <w:pStyle w:val="ListBullet"/>
        <w:spacing w:after="40"/>
      </w:pPr>
      <w:r>
        <w:t xml:space="preserve"> Effective valuation: $4.1818 × 25,454,286 pre-money FD shares (including the expanded pool) = about $106.44M; × 32,149,524 = about $134.44M post-money.</w:t>
      </w:r>
    </w:p>
    <w:p>
      <w:pPr>
        <w:pStyle w:val="ListBullet"/>
        <w:spacing w:after="40"/>
      </w:pPr>
      <w:r>
        <w:t xml:space="preserve"> True pre-money pool solution ($92M pre, $28M new money, 15% post-money unallocated pool, 21,150,000 other pre-money FD shares): post-money FD N satisfies 21,150,000 + 0.15N = (92/120)N, so N ≈ 34,297,297; unallocated pool ≈ 5,144,595 (an increase of about 4,294,595); price ≈ $120,000,000 ÷ 34,297,297 ≈ $3.4988; Series B shares ≈ 8,002,703.</w:t>
      </w:r>
    </w:p>
    <w:p>
      <w:pPr>
        <w:pStyle w:val="ListBullet"/>
        <w:spacing w:after="40"/>
      </w:pPr>
      <w:r>
        <w:t xml:space="preserve"> Per-investor allocation at $4.1818 (rounded down): Orchard Hill 4,304,366 ($17,999,997.74); Cascade Point 1,434,788 ($5,999,996.46); Ridgeway 956,525 ($3,999,996.25); total 6,695,679. Draft shares (4,303,883 / 1,434,813 / 956,542) imply per-share prices of $4.18227 / $4.18173 / $4.18173.</w:t>
      </w:r>
    </w:p>
    <w:p>
      <w:pPr>
        <w:spacing w:after="80"/>
      </w:pPr>
      <w:r>
        <w:rPr>
          <w:b w:val="0"/>
          <w:i w:val="0"/>
        </w:rPr>
      </w:r>
    </w:p>
    <w:p>
      <w:pPr>
        <w:spacing w:after="80"/>
      </w:pPr>
      <w:r>
        <w:rPr>
          <w:b w:val="0"/>
          <w:i/>
          <w:sz w:val="17"/>
        </w:rPr>
        <w:t>This report is based solely on the documents listed above. It does not reflect diligence findings or the Disclosure Schedule, which have not been provided. Prepared for review by the supervising partner; not for distribution to Company counsel in this form.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