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 WORK PRODUCT</w:t>
      </w:r>
    </w:p>
    <w:p>
      <w:pPr>
        <w:spacing w:after="80"/>
        <w:jc w:val="center"/>
      </w:pPr>
      <w:r>
        <w:rPr>
          <w:b/>
          <w:i w:val="0"/>
          <w:sz w:val="32"/>
        </w:rPr>
        <w:t>ISSUES MEMORANDUM</w:t>
      </w:r>
    </w:p>
    <w:p>
      <w:pPr>
        <w:spacing w:after="80"/>
        <w:jc w:val="center"/>
      </w:pPr>
      <w:r>
        <w:rPr>
          <w:b/>
          <w:i w:val="0"/>
          <w:sz w:val="22"/>
        </w:rPr>
        <w:t>Secondary Sale of 425,000 Shares of Common Stock of Meridian Bolt Technologies, Inc. by Marcus Hale to Verdana Growth Partners III, L.P.</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1F3A5F"/>
          </w:tcPr>
          <w:p>
            <w:r/>
            <w:r>
              <w:rPr>
                <w:b/>
                <w:color w:val="FFFFFF"/>
                <w:sz w:val="18"/>
              </w:rPr>
            </w:r>
          </w:p>
        </w:tc>
        <w:tc>
          <w:tcPr>
            <w:tcW w:type="dxa" w:w="7488"/>
            <w:shd w:val="clear" w:color="auto" w:fill="1F3A5F"/>
          </w:tcPr>
          <w:p>
            <w:r/>
            <w:r>
              <w:rPr>
                <w:b/>
                <w:color w:val="FFFFFF"/>
                <w:sz w:val="18"/>
              </w:rPr>
            </w:r>
          </w:p>
        </w:tc>
      </w:tr>
      <w:tr>
        <w:tc>
          <w:tcPr>
            <w:tcW w:type="dxa" w:w="1872"/>
          </w:tcPr>
          <w:p>
            <w:r/>
            <w:r>
              <w:rPr>
                <w:b w:val="0"/>
                <w:sz w:val="18"/>
              </w:rPr>
              <w:t>TO</w:t>
            </w:r>
          </w:p>
        </w:tc>
        <w:tc>
          <w:tcPr>
            <w:tcW w:type="dxa" w:w="7488"/>
          </w:tcPr>
          <w:p>
            <w:r/>
            <w:r>
              <w:rPr>
                <w:b w:val="0"/>
                <w:sz w:val="18"/>
              </w:rPr>
              <w:t>Supervising Partner; Transaction Team</w:t>
            </w:r>
          </w:p>
        </w:tc>
      </w:tr>
      <w:tr>
        <w:tc>
          <w:tcPr>
            <w:tcW w:type="dxa" w:w="1872"/>
          </w:tcPr>
          <w:p>
            <w:r/>
            <w:r>
              <w:rPr>
                <w:b w:val="0"/>
                <w:sz w:val="18"/>
              </w:rPr>
              <w:t>FROM</w:t>
            </w:r>
          </w:p>
        </w:tc>
        <w:tc>
          <w:tcPr>
            <w:tcW w:type="dxa" w:w="7488"/>
          </w:tcPr>
          <w:p>
            <w:r/>
            <w:r>
              <w:rPr>
                <w:b w:val="0"/>
                <w:sz w:val="18"/>
              </w:rPr>
              <w:t>Reviewing Associate</w:t>
            </w:r>
          </w:p>
        </w:tc>
      </w:tr>
      <w:tr>
        <w:tc>
          <w:tcPr>
            <w:tcW w:type="dxa" w:w="1872"/>
          </w:tcPr>
          <w:p>
            <w:r/>
            <w:r>
              <w:rPr>
                <w:b w:val="0"/>
                <w:sz w:val="18"/>
              </w:rPr>
              <w:t>RE</w:t>
            </w:r>
          </w:p>
        </w:tc>
        <w:tc>
          <w:tcPr>
            <w:tcW w:type="dxa" w:w="7488"/>
          </w:tcPr>
          <w:p>
            <w:r/>
            <w:r>
              <w:rPr>
                <w:b w:val="0"/>
                <w:sz w:val="18"/>
              </w:rPr>
              <w:t>Legal, procedural and cross-document issues in the draft Stock Transfer Agreement dated as of December 1, 2024 (the "STA") and related transfer documents</w:t>
            </w:r>
          </w:p>
        </w:tc>
      </w:tr>
      <w:tr>
        <w:tc>
          <w:tcPr>
            <w:tcW w:type="dxa" w:w="1872"/>
          </w:tcPr>
          <w:p>
            <w:r/>
            <w:r>
              <w:rPr>
                <w:b w:val="0"/>
                <w:sz w:val="18"/>
              </w:rPr>
              <w:t>TRANSACTION</w:t>
            </w:r>
          </w:p>
        </w:tc>
        <w:tc>
          <w:tcPr>
            <w:tcW w:type="dxa" w:w="7488"/>
          </w:tcPr>
          <w:p>
            <w:r/>
            <w:r>
              <w:rPr>
                <w:b w:val="0"/>
                <w:sz w:val="18"/>
              </w:rPr>
              <w:t>Marcus Hale (Seller; co-founder, CTO and Common Director) sells 425,000 shares of Common Stock at $6.25/share to Verdana Growth Partners III, L.P. (Buyer; Series B lead, holder of 3,200,000 Series B Preferred, Board designee Priya Chandrasekaran). Scheduled Closing: January 24, 2025. Outside Date: February 28, 2025.</w:t>
            </w:r>
          </w:p>
        </w:tc>
      </w:tr>
    </w:tbl>
    <w:p>
      <w:pPr>
        <w:spacing w:after="40"/>
      </w:pPr>
    </w:p>
    <w:p>
      <w:pPr>
        <w:pStyle w:val="Heading1"/>
      </w:pPr>
      <w:r>
        <w:t>I. Executive Summary</w:t>
      </w:r>
    </w:p>
    <w:p>
      <w:pPr>
        <w:spacing w:after="80"/>
      </w:pPr>
      <w:r>
        <w:rPr>
          <w:b w:val="0"/>
          <w:i w:val="0"/>
        </w:rPr>
        <w:t xml:space="preserve">We reviewed the nine documents in the transaction file (listed in Part II) and tested the STA against the Company's Amended and Restated Certificate of Incorporation (the "Charter"), the Amended and Restated Bylaws (the "Bylaws"), the Right of First Refusal and Co-Sale Agreement dated August 22, 2022 (the "ROFR Agreement"), the Transfer Notice, the two waivers, the cap table and the 409A summary. </w:t>
      </w:r>
      <w:r>
        <w:rPr>
          <w:b/>
          <w:i w:val="0"/>
        </w:rPr>
        <w:t>In its current form the transaction cannot close on January 24, 2025 without a material risk that the transfer is void.</w:t>
      </w:r>
      <w:r>
        <w:rPr>
          <w:b w:val="0"/>
          <w:i w:val="0"/>
        </w:rPr>
        <w:t xml:space="preserve"> Each of the Charter (Art. IX, §9.1), the Bylaws (§§5.3, 7.1–7.3) and the ROFR Agreement (§§5.1, 8.1) states that a non-compliant transfer is "void" and that the Company will not register it. Several required approvals and waivers have not been obtained, and the STA does not make them closing conditions.</w:t>
      </w:r>
    </w:p>
    <w:p>
      <w:pPr>
        <w:spacing w:after="80"/>
      </w:pPr>
      <w:r>
        <w:rPr>
          <w:b/>
          <w:i w:val="0"/>
        </w:rPr>
        <w:t>The most significant issues are:</w:t>
      </w:r>
    </w:p>
    <w:p>
      <w:pPr>
        <w:pStyle w:val="ListBullet"/>
        <w:spacing w:after="40"/>
      </w:pPr>
      <w:r>
        <w:rPr>
          <w:b/>
          <w:i w:val="0"/>
        </w:rPr>
        <w:t>No Board consent has been obtained, and the STA does not make it a closing condition.</w:t>
      </w:r>
      <w:r>
        <w:rPr>
          <w:b w:val="0"/>
          <w:i w:val="0"/>
        </w:rPr>
        <w:t xml:space="preserve"> Charter §9.1 requires the Board's </w:t>
      </w:r>
      <w:r>
        <w:rPr>
          <w:b/>
          <w:i w:val="0"/>
        </w:rPr>
        <w:t>prior written consent</w:t>
      </w:r>
      <w:r>
        <w:rPr>
          <w:b w:val="0"/>
          <w:i w:val="0"/>
        </w:rPr>
        <w:t>, given in its sole discretion. Bylaws §7.2 requires approval by a majority of the Board. The STA reduces this to a Seller "commercially reasonable efforts" covenant (§7.1) and a Buyer-only, waivable condition that asks only for Board "acknowledgment" (§5.1(e)). Two of the five directors are interested: Hale is the Seller and Chandrasekaran is the Buyer's designee. Approval should therefore be given by the disinterested directors (Fong, Nakamura and Dominguez), as Charter §4.5(e) and Bylaws §3.13 / DGCL §144 contemplate (Issues 1–2).</w:t>
      </w:r>
    </w:p>
    <w:p>
      <w:pPr>
        <w:pStyle w:val="ListBullet"/>
        <w:spacing w:after="40"/>
      </w:pPr>
      <w:r>
        <w:rPr>
          <w:b/>
          <w:i w:val="0"/>
        </w:rPr>
        <w:t>Preferred Stockholder consent is required under Bylaws §7.3 and has not been addressed.</w:t>
      </w:r>
      <w:r>
        <w:rPr>
          <w:b w:val="0"/>
          <w:i w:val="0"/>
        </w:rPr>
        <w:t xml:space="preserve"> The 425,000 shares are 5.18% of the 8,200,000 common shares outstanding, which is above the 5% threshold (the cap table itself flags this). A majority of the 6,400,000 Preferred shares means more than 3,200,000 shares. Verdana's 3,200,000 Series B shares are exactly 50%, so </w:t>
      </w:r>
      <w:r>
        <w:rPr>
          <w:b/>
          <w:i w:val="0"/>
        </w:rPr>
        <w:t>the written consent of Ridgeline Ventures, L.P. is required</w:t>
      </w:r>
      <w:r>
        <w:rPr>
          <w:b w:val="0"/>
          <w:i w:val="0"/>
        </w:rPr>
        <w:t xml:space="preserve"> (Issue 3).</w:t>
      </w:r>
    </w:p>
    <w:p>
      <w:pPr>
        <w:pStyle w:val="ListBullet"/>
        <w:spacing w:after="40"/>
      </w:pPr>
      <w:r>
        <w:rPr>
          <w:b/>
          <w:i w:val="0"/>
        </w:rPr>
        <w:t>The ROFR process is incomplete.</w:t>
      </w:r>
      <w:r>
        <w:rPr>
          <w:b w:val="0"/>
          <w:i w:val="0"/>
        </w:rPr>
        <w:t xml:space="preserve"> Ridgeline Ventures, L.P., the only other Investor, has not waived its Secondary ROFR, over-allotment right or Co-Sale Right. On the documents, Ridgeline's exercise windows run to about </w:t>
      </w:r>
      <w:r>
        <w:rPr>
          <w:b/>
          <w:i w:val="0"/>
        </w:rPr>
        <w:t>January 22, 2025 (Secondary ROFR and Co-Sale)</w:t>
      </w:r>
      <w:r>
        <w:rPr>
          <w:b w:val="0"/>
          <w:i w:val="0"/>
        </w:rPr>
        <w:t xml:space="preserve"> and about </w:t>
      </w:r>
      <w:r>
        <w:rPr>
          <w:b/>
          <w:i w:val="0"/>
        </w:rPr>
        <w:t>January 29, 2025 (over-allotment)</w:t>
      </w:r>
      <w:r>
        <w:rPr>
          <w:b w:val="0"/>
          <w:i w:val="0"/>
        </w:rPr>
        <w:t>, which is after the January 24 Closing. Ridgeline could buy up to all 425,000 shares (its 212,500-share pro rata share plus over-allotment of Verdana's waived portion), or co-sell about 197,101 shares. STA Rep 3.5 ("all waivers ... obtained") is therefore untrue (Issues 5–6).</w:t>
      </w:r>
    </w:p>
    <w:p>
      <w:pPr>
        <w:pStyle w:val="ListBullet"/>
        <w:spacing w:after="40"/>
      </w:pPr>
      <w:r>
        <w:rPr>
          <w:b/>
          <w:i w:val="0"/>
        </w:rPr>
        <w:t>The Transfer Notice is defective and the timeline cannot be reconciled.</w:t>
      </w:r>
      <w:r>
        <w:rPr>
          <w:b w:val="0"/>
          <w:i w:val="0"/>
        </w:rPr>
        <w:t xml:space="preserve"> The STA is dated December 1, 2024, before the December 20 Transfer Notice. Yet its recitals and representations describe the notice and the January 6 and January 10, 2025 waivers as past events. The Transfer Notice did not attach the STA or summarize its non-price terms, which ROFR §2.1(a)(vi)–(vii) requires. It also cites the wrong ROFR sections. A defective notice may mean the ROFR periods never started (Issues 4, 7).</w:t>
      </w:r>
    </w:p>
    <w:p>
      <w:pPr>
        <w:pStyle w:val="ListBullet"/>
        <w:spacing w:after="40"/>
      </w:pPr>
      <w:r>
        <w:rPr>
          <w:b/>
          <w:i w:val="0"/>
        </w:rPr>
        <w:t>The Purchase Price is miscalculated.</w:t>
      </w:r>
      <w:r>
        <w:rPr>
          <w:b w:val="0"/>
          <w:i w:val="0"/>
        </w:rPr>
        <w:t xml:space="preserve"> 425,000 × $6.25 = </w:t>
      </w:r>
      <w:r>
        <w:rPr>
          <w:b/>
          <w:i w:val="0"/>
        </w:rPr>
        <w:t>$2,656,250</w:t>
      </w:r>
      <w:r>
        <w:rPr>
          <w:b w:val="0"/>
          <w:i w:val="0"/>
        </w:rPr>
        <w:t>, not $2,653,125 (a $3,125 shortfall, equal to 500 shares). The wrong figure appears four times in the STA (§§2.1, 6.3(a), 8.1, 8.3(c)). Every other document uses $2,656,250. A lower aggregate price than the Transfer Notice also arguably breaches ROFR §2.3(i)–(ii) (Issue 8).</w:t>
      </w:r>
    </w:p>
    <w:p>
      <w:pPr>
        <w:pStyle w:val="ListBullet"/>
        <w:spacing w:after="40"/>
      </w:pPr>
      <w:r>
        <w:rPr>
          <w:b/>
          <w:i w:val="0"/>
        </w:rPr>
        <w:t>The Verdana waiver email is deficient.</w:t>
      </w:r>
      <w:r>
        <w:rPr>
          <w:b w:val="0"/>
          <w:i w:val="0"/>
        </w:rPr>
        <w:t xml:space="preserve"> It is addressed to Company counsel, not to the Seller as STA §3.5 states. It cites the wrong section (§3.2 rather than §2.2), comes from a different email address than the STA notice address, and does not waive the Co-Sale Right. It is not a clearly "signed" writing as ROFR §9.5 requires (Issue 9).</w:t>
      </w:r>
    </w:p>
    <w:p>
      <w:pPr>
        <w:pStyle w:val="ListBullet"/>
        <w:spacing w:after="40"/>
      </w:pPr>
      <w:r>
        <w:rPr>
          <w:b/>
          <w:i w:val="0"/>
        </w:rPr>
        <w:t>The securities law exemption is misidentified.</w:t>
      </w:r>
      <w:r>
        <w:rPr>
          <w:b w:val="0"/>
          <w:i w:val="0"/>
        </w:rPr>
        <w:t xml:space="preserve"> Section 4(a)(2) is available only for transactions "by an issuer". The Seller is an affiliate (officer, director and 12.67% holder) reselling restricted securities. The sale must rely on Section 4(a)(7) or the "Section 4(a)(1½)" analysis, and the Buyer's investment representations should be expanded (Issue 13).</w:t>
      </w:r>
    </w:p>
    <w:p>
      <w:pPr>
        <w:pStyle w:val="ListBullet"/>
        <w:spacing w:after="40"/>
      </w:pPr>
      <w:r>
        <w:rPr>
          <w:b/>
          <w:i w:val="0"/>
        </w:rPr>
        <w:t>There are tax and 409A exposures.</w:t>
      </w:r>
      <w:r>
        <w:rPr>
          <w:b w:val="0"/>
          <w:i w:val="0"/>
        </w:rPr>
        <w:t xml:space="preserve"> (a) The $6.25 price is a 29.7% premium to the June 15, 2024 409A FMV of $4.82. The 409A report identifies such a secondary sale as a "material event" that may undercut the safe harbor. STA §2.1, which says the price "represents the fair market value", should be deleted. (b) A premium paid by an existing investor to an officer and director creates a risk that part of the price is treated as compensation. (c) The Seller's shares reach the five-year QSBS holding period on April 1, 2025. Closing on January 24, 2025 may forfeit the Section 1202 exclusion (Issues 15–17).</w:t>
      </w:r>
    </w:p>
    <w:p>
      <w:pPr>
        <w:spacing w:after="80"/>
      </w:pPr>
      <w:r>
        <w:rPr>
          <w:b/>
          <w:i w:val="0"/>
        </w:rPr>
        <w:t>Bottom line:</w:t>
      </w:r>
      <w:r>
        <w:rPr>
          <w:b w:val="0"/>
          <w:i w:val="0"/>
        </w:rPr>
        <w:t xml:space="preserve"> the Closing should not proceed until the items in the Closing Action Plan (Part VI) are complete, in particular: (i) Board written consent by the disinterested directors; (ii) Ridgeline's consent and waiver package (Bylaws §7.3, Secondary ROFR, over-allotment and Co-Sale); (iii) a signed Verdana waiver; (iv) correction of the Purchase Price; and (v) a corrected or redelivered Transfer Notice. The parties should consider moving the Closing to on or after April 2, 2025 (more than five years after the April 1, 2020 acquisition). That remains inside the ROFR §2.3 90-day window, but it requires extending the February 28, 2025 Outside Date.</w:t>
      </w:r>
    </w:p>
    <w:p>
      <w:pPr>
        <w:spacing w:after="80"/>
      </w:pPr>
      <w:r>
        <w:rPr>
          <w:b w:val="0"/>
          <w:i/>
          <w:sz w:val="19"/>
        </w:rPr>
        <w:t>Note on timing: this memorandum analyzes the documents as a pre-closing package with a January 24, 2025 Closing. If the Closing has already occurred, the items identified as "void transfer" risks become remediation items. Those would include ratification by the Board and Preferred holders, waivers from Ridgeline, and correction of the stock ledger, and possibly ratification under DGCL §204.</w:t>
      </w:r>
    </w:p>
    <w:p>
      <w:pPr>
        <w:pStyle w:val="Heading1"/>
      </w:pPr>
      <w:r>
        <w:t>II.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432"/>
            <w:shd w:val="clear" w:color="auto" w:fill="1F3A5F"/>
          </w:tcPr>
          <w:p>
            <w:r/>
            <w:r>
              <w:rPr>
                <w:b/>
                <w:color w:val="FFFFFF"/>
                <w:sz w:val="18"/>
              </w:rPr>
              <w:t>#</w:t>
            </w:r>
          </w:p>
        </w:tc>
        <w:tc>
          <w:tcPr>
            <w:tcW w:type="dxa" w:w="3744"/>
            <w:shd w:val="clear" w:color="auto" w:fill="1F3A5F"/>
          </w:tcPr>
          <w:p>
            <w:r/>
            <w:r>
              <w:rPr>
                <w:b/>
                <w:color w:val="FFFFFF"/>
                <w:sz w:val="18"/>
              </w:rPr>
              <w:t>Document</w:t>
            </w:r>
          </w:p>
        </w:tc>
        <w:tc>
          <w:tcPr>
            <w:tcW w:type="dxa" w:w="5184"/>
            <w:shd w:val="clear" w:color="auto" w:fill="1F3A5F"/>
          </w:tcPr>
          <w:p>
            <w:r/>
            <w:r>
              <w:rPr>
                <w:b/>
                <w:color w:val="FFFFFF"/>
                <w:sz w:val="18"/>
              </w:rPr>
              <w:t>Key terms / relevance</w:t>
            </w:r>
          </w:p>
        </w:tc>
      </w:tr>
      <w:tr>
        <w:tc>
          <w:tcPr>
            <w:tcW w:type="dxa" w:w="432"/>
          </w:tcPr>
          <w:p>
            <w:r/>
            <w:r>
              <w:rPr>
                <w:b w:val="0"/>
                <w:sz w:val="18"/>
              </w:rPr>
              <w:t>1</w:t>
            </w:r>
          </w:p>
        </w:tc>
        <w:tc>
          <w:tcPr>
            <w:tcW w:type="dxa" w:w="3744"/>
          </w:tcPr>
          <w:p>
            <w:r/>
            <w:r>
              <w:rPr>
                <w:b w:val="0"/>
                <w:sz w:val="18"/>
              </w:rPr>
              <w:t>Stock Transfer Agreement (STA), dated as of Dec. 1, 2024 (Linford Hayes PLLC draft)</w:t>
            </w:r>
          </w:p>
        </w:tc>
        <w:tc>
          <w:tcPr>
            <w:tcW w:type="dxa" w:w="5184"/>
          </w:tcPr>
          <w:p>
            <w:r/>
            <w:r>
              <w:rPr>
                <w:b w:val="0"/>
                <w:sz w:val="18"/>
              </w:rPr>
              <w:t>425,000 shares; $6.25/share; stated aggregate $2,653,125; Closing Jan. 24, 2025; Outside Date Feb. 28, 2025; NY law/AAA arbitration</w:t>
            </w:r>
          </w:p>
        </w:tc>
      </w:tr>
      <w:tr>
        <w:tc>
          <w:tcPr>
            <w:tcW w:type="dxa" w:w="432"/>
          </w:tcPr>
          <w:p>
            <w:r/>
            <w:r>
              <w:rPr>
                <w:b w:val="0"/>
                <w:sz w:val="18"/>
              </w:rPr>
              <w:t>2</w:t>
            </w:r>
          </w:p>
        </w:tc>
        <w:tc>
          <w:tcPr>
            <w:tcW w:type="dxa" w:w="3744"/>
          </w:tcPr>
          <w:p>
            <w:r/>
            <w:r>
              <w:rPr>
                <w:b w:val="0"/>
                <w:sz w:val="18"/>
              </w:rPr>
              <w:t>Right of First Refusal and Co-Sale Agreement, Aug. 22, 2022</w:t>
            </w:r>
          </w:p>
        </w:tc>
        <w:tc>
          <w:tcPr>
            <w:tcW w:type="dxa" w:w="5184"/>
          </w:tcPr>
          <w:p>
            <w:r/>
            <w:r>
              <w:rPr>
                <w:b w:val="0"/>
                <w:sz w:val="18"/>
              </w:rPr>
              <w:t>Company ROFR (15 days), Investor Secondary ROFR (15 days) + over-allotment (5 business days), Co-Sale; 30-day advance notice; void transfers; Delaware law</w:t>
            </w:r>
          </w:p>
        </w:tc>
      </w:tr>
      <w:tr>
        <w:tc>
          <w:tcPr>
            <w:tcW w:type="dxa" w:w="432"/>
          </w:tcPr>
          <w:p>
            <w:r/>
            <w:r>
              <w:rPr>
                <w:b w:val="0"/>
                <w:sz w:val="18"/>
              </w:rPr>
              <w:t>3</w:t>
            </w:r>
          </w:p>
        </w:tc>
        <w:tc>
          <w:tcPr>
            <w:tcW w:type="dxa" w:w="3744"/>
          </w:tcPr>
          <w:p>
            <w:r/>
            <w:r>
              <w:rPr>
                <w:b w:val="0"/>
                <w:sz w:val="18"/>
              </w:rPr>
              <w:t>Transfer Notice from M. Hale to Company Secretary, Dec. 20, 2024</w:t>
            </w:r>
          </w:p>
        </w:tc>
        <w:tc>
          <w:tcPr>
            <w:tcW w:type="dxa" w:w="5184"/>
          </w:tcPr>
          <w:p>
            <w:r/>
            <w:r>
              <w:rPr>
                <w:b w:val="0"/>
                <w:sz w:val="18"/>
              </w:rPr>
              <w:t>425,000 shares; $6.25; $2,656,250; proposed closing on or about Jan. 24, 2025</w:t>
            </w:r>
          </w:p>
        </w:tc>
      </w:tr>
      <w:tr>
        <w:tc>
          <w:tcPr>
            <w:tcW w:type="dxa" w:w="432"/>
          </w:tcPr>
          <w:p>
            <w:r/>
            <w:r>
              <w:rPr>
                <w:b w:val="0"/>
                <w:sz w:val="18"/>
              </w:rPr>
              <w:t>4</w:t>
            </w:r>
          </w:p>
        </w:tc>
        <w:tc>
          <w:tcPr>
            <w:tcW w:type="dxa" w:w="3744"/>
          </w:tcPr>
          <w:p>
            <w:r/>
            <w:r>
              <w:rPr>
                <w:b w:val="0"/>
                <w:sz w:val="18"/>
              </w:rPr>
              <w:t>Company ROFR waiver letter, Jan. 6, 2025 (J. Fong, CEO)</w:t>
            </w:r>
          </w:p>
        </w:tc>
        <w:tc>
          <w:tcPr>
            <w:tcW w:type="dxa" w:w="5184"/>
          </w:tcPr>
          <w:p>
            <w:r/>
            <w:r>
              <w:rPr>
                <w:b w:val="0"/>
                <w:sz w:val="18"/>
              </w:rPr>
              <w:t>Company waives primary ROFR at $2,656,250; expressly subject to all other approvals</w:t>
            </w:r>
          </w:p>
        </w:tc>
      </w:tr>
      <w:tr>
        <w:tc>
          <w:tcPr>
            <w:tcW w:type="dxa" w:w="432"/>
          </w:tcPr>
          <w:p>
            <w:r/>
            <w:r>
              <w:rPr>
                <w:b w:val="0"/>
                <w:sz w:val="18"/>
              </w:rPr>
              <w:t>5</w:t>
            </w:r>
          </w:p>
        </w:tc>
        <w:tc>
          <w:tcPr>
            <w:tcW w:type="dxa" w:w="3744"/>
          </w:tcPr>
          <w:p>
            <w:r/>
            <w:r>
              <w:rPr>
                <w:b w:val="0"/>
                <w:sz w:val="18"/>
              </w:rPr>
              <w:t>Verdana waiver email, P. Chandrasekaran to C. Brennan, Jan. 10, 2025 (03:47 UTC)</w:t>
            </w:r>
          </w:p>
        </w:tc>
        <w:tc>
          <w:tcPr>
            <w:tcW w:type="dxa" w:w="5184"/>
          </w:tcPr>
          <w:p>
            <w:r/>
            <w:r>
              <w:rPr>
                <w:b w:val="0"/>
                <w:sz w:val="18"/>
              </w:rPr>
              <w:t>Waives "secondary right of first refusal under Section 3.2"; offers formal signed letter</w:t>
            </w:r>
          </w:p>
        </w:tc>
      </w:tr>
      <w:tr>
        <w:tc>
          <w:tcPr>
            <w:tcW w:type="dxa" w:w="432"/>
          </w:tcPr>
          <w:p>
            <w:r/>
            <w:r>
              <w:rPr>
                <w:b w:val="0"/>
                <w:sz w:val="18"/>
              </w:rPr>
              <w:t>6</w:t>
            </w:r>
          </w:p>
        </w:tc>
        <w:tc>
          <w:tcPr>
            <w:tcW w:type="dxa" w:w="3744"/>
          </w:tcPr>
          <w:p>
            <w:r/>
            <w:r>
              <w:rPr>
                <w:b w:val="0"/>
                <w:sz w:val="18"/>
              </w:rPr>
              <w:t>Amended and Restated Certificate of Incorporation, Aug. 22, 2022</w:t>
            </w:r>
          </w:p>
        </w:tc>
        <w:tc>
          <w:tcPr>
            <w:tcW w:type="dxa" w:w="5184"/>
          </w:tcPr>
          <w:p>
            <w:r/>
            <w:r>
              <w:rPr>
                <w:b w:val="0"/>
                <w:sz w:val="18"/>
              </w:rPr>
              <w:t>Art. IX Board prior written consent to Common transfers; §4.5(e) Affiliate Transactions; §5.2 Board composition</w:t>
            </w:r>
          </w:p>
        </w:tc>
      </w:tr>
      <w:tr>
        <w:tc>
          <w:tcPr>
            <w:tcW w:type="dxa" w:w="432"/>
          </w:tcPr>
          <w:p>
            <w:r/>
            <w:r>
              <w:rPr>
                <w:b w:val="0"/>
                <w:sz w:val="18"/>
              </w:rPr>
              <w:t>7</w:t>
            </w:r>
          </w:p>
        </w:tc>
        <w:tc>
          <w:tcPr>
            <w:tcW w:type="dxa" w:w="3744"/>
          </w:tcPr>
          <w:p>
            <w:r/>
            <w:r>
              <w:rPr>
                <w:b w:val="0"/>
                <w:sz w:val="18"/>
              </w:rPr>
              <w:t>Amended and Restated Bylaws, Aug. 22, 2022</w:t>
            </w:r>
          </w:p>
        </w:tc>
        <w:tc>
          <w:tcPr>
            <w:tcW w:type="dxa" w:w="5184"/>
          </w:tcPr>
          <w:p>
            <w:r/>
            <w:r>
              <w:rPr>
                <w:b w:val="0"/>
                <w:sz w:val="18"/>
              </w:rPr>
              <w:t>§7.2 Board majority approval; §7.3 Preferred majority consent for transfers &gt;5% of Common; §3.13 interested directors; §5.3 registration</w:t>
            </w:r>
          </w:p>
        </w:tc>
      </w:tr>
      <w:tr>
        <w:tc>
          <w:tcPr>
            <w:tcW w:type="dxa" w:w="432"/>
          </w:tcPr>
          <w:p>
            <w:r/>
            <w:r>
              <w:rPr>
                <w:b w:val="0"/>
                <w:sz w:val="18"/>
              </w:rPr>
              <w:t>8</w:t>
            </w:r>
          </w:p>
        </w:tc>
        <w:tc>
          <w:tcPr>
            <w:tcW w:type="dxa" w:w="3744"/>
          </w:tcPr>
          <w:p>
            <w:r/>
            <w:r>
              <w:rPr>
                <w:b w:val="0"/>
                <w:sz w:val="18"/>
              </w:rPr>
              <w:t>Cap Table Summary (as of Oct. 1, 2024), incl. Pro Forma and Option Grants Detail</w:t>
            </w:r>
          </w:p>
        </w:tc>
        <w:tc>
          <w:tcPr>
            <w:tcW w:type="dxa" w:w="5184"/>
          </w:tcPr>
          <w:p>
            <w:r/>
            <w:r>
              <w:rPr>
                <w:b w:val="0"/>
                <w:sz w:val="18"/>
              </w:rPr>
              <w:t>8,200,000 Common; 6,400,000 Preferred; transfer = 5.18% of Common; option detail</w:t>
            </w:r>
          </w:p>
        </w:tc>
      </w:tr>
      <w:tr>
        <w:tc>
          <w:tcPr>
            <w:tcW w:type="dxa" w:w="432"/>
          </w:tcPr>
          <w:p>
            <w:r/>
            <w:r>
              <w:rPr>
                <w:b w:val="0"/>
                <w:sz w:val="18"/>
              </w:rPr>
              <w:t>9</w:t>
            </w:r>
          </w:p>
        </w:tc>
        <w:tc>
          <w:tcPr>
            <w:tcW w:type="dxa" w:w="3744"/>
          </w:tcPr>
          <w:p>
            <w:r/>
            <w:r>
              <w:rPr>
                <w:b w:val="0"/>
                <w:sz w:val="18"/>
              </w:rPr>
              <w:t>Section 409A Valuation Executive Summary (valuation date June 15, 2024)</w:t>
            </w:r>
          </w:p>
        </w:tc>
        <w:tc>
          <w:tcPr>
            <w:tcW w:type="dxa" w:w="5184"/>
          </w:tcPr>
          <w:p>
            <w:r/>
            <w:r>
              <w:rPr>
                <w:b w:val="0"/>
                <w:sz w:val="18"/>
              </w:rPr>
              <w:t>FMV $4.82/share (pre-DLOM $6.43; 25% DLOM); "material events" include secondary sales at materially different prices</w:t>
            </w:r>
          </w:p>
        </w:tc>
      </w:tr>
    </w:tbl>
    <w:p>
      <w:pPr>
        <w:spacing w:after="40"/>
      </w:pPr>
    </w:p>
    <w:p>
      <w:pPr>
        <w:spacing w:after="80"/>
      </w:pPr>
      <w:r>
        <w:rPr>
          <w:b w:val="0"/>
          <w:i/>
          <w:sz w:val="19"/>
        </w:rPr>
        <w:t>Not provided, but referenced and relevant: Investors' Rights Agreement (Aug. 22, 2022); Voting Agreement; Series A and Series B Stock Purchase Agreements; Hale's Restricted Stock Purchase Agreement (Apr. 1, 2020) and 83(b) election; Board minutes or consents (including any Jan. 6 or Jan. 17, 2025 action); evidence that the Transfer Notice was forwarded to Investors; Hale's stock certificate(s); 2021 Equity Incentive Plan. See Part VII.</w:t>
      </w:r>
    </w:p>
    <w:p>
      <w:pPr>
        <w:pStyle w:val="Heading1"/>
      </w:pPr>
      <w:r>
        <w:t>III. Key Facts and Reconstructed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3A5F"/>
          </w:tcPr>
          <w:p>
            <w:r/>
            <w:r>
              <w:rPr>
                <w:b/>
                <w:color w:val="FFFFFF"/>
                <w:sz w:val="17"/>
              </w:rPr>
              <w:t>Date</w:t>
            </w:r>
          </w:p>
        </w:tc>
        <w:tc>
          <w:tcPr>
            <w:tcW w:type="dxa" w:w="2880"/>
            <w:shd w:val="clear" w:color="auto" w:fill="1F3A5F"/>
          </w:tcPr>
          <w:p>
            <w:r/>
            <w:r>
              <w:rPr>
                <w:b/>
                <w:color w:val="FFFFFF"/>
                <w:sz w:val="17"/>
              </w:rPr>
              <w:t>Event</w:t>
            </w:r>
          </w:p>
        </w:tc>
        <w:tc>
          <w:tcPr>
            <w:tcW w:type="dxa" w:w="2304"/>
            <w:shd w:val="clear" w:color="auto" w:fill="1F3A5F"/>
          </w:tcPr>
          <w:p>
            <w:r/>
            <w:r>
              <w:rPr>
                <w:b/>
                <w:color w:val="FFFFFF"/>
                <w:sz w:val="17"/>
              </w:rPr>
              <w:t>Source</w:t>
            </w:r>
          </w:p>
        </w:tc>
        <w:tc>
          <w:tcPr>
            <w:tcW w:type="dxa" w:w="2736"/>
            <w:shd w:val="clear" w:color="auto" w:fill="1F3A5F"/>
          </w:tcPr>
          <w:p>
            <w:r/>
            <w:r>
              <w:rPr>
                <w:b/>
                <w:color w:val="FFFFFF"/>
                <w:sz w:val="17"/>
              </w:rPr>
              <w:t>Comment</w:t>
            </w:r>
          </w:p>
        </w:tc>
      </w:tr>
      <w:tr>
        <w:tc>
          <w:tcPr>
            <w:tcW w:type="dxa" w:w="1440"/>
          </w:tcPr>
          <w:p>
            <w:r/>
            <w:r>
              <w:rPr>
                <w:b w:val="0"/>
                <w:sz w:val="17"/>
              </w:rPr>
              <w:t>Apr. 1, 2020</w:t>
            </w:r>
          </w:p>
        </w:tc>
        <w:tc>
          <w:tcPr>
            <w:tcW w:type="dxa" w:w="2880"/>
          </w:tcPr>
          <w:p>
            <w:r/>
            <w:r>
              <w:rPr>
                <w:b w:val="0"/>
                <w:sz w:val="17"/>
              </w:rPr>
              <w:t>Hale acquires 1,850,000 restricted shares; 83(b) filed Apr. 28, 2020</w:t>
            </w:r>
          </w:p>
        </w:tc>
        <w:tc>
          <w:tcPr>
            <w:tcW w:type="dxa" w:w="2304"/>
          </w:tcPr>
          <w:p>
            <w:r/>
            <w:r>
              <w:rPr>
                <w:b w:val="0"/>
                <w:sz w:val="17"/>
              </w:rPr>
              <w:t>STA Recitals, §3.7; Cap Table</w:t>
            </w:r>
          </w:p>
        </w:tc>
        <w:tc>
          <w:tcPr>
            <w:tcW w:type="dxa" w:w="2736"/>
          </w:tcPr>
          <w:p>
            <w:r/>
            <w:r>
              <w:rPr>
                <w:b w:val="0"/>
                <w:sz w:val="17"/>
              </w:rPr>
              <w:t>83(b) timely (27 days). QSBS 5-year holding period would run to Apr. 1, 2025.</w:t>
            </w:r>
          </w:p>
        </w:tc>
      </w:tr>
      <w:tr>
        <w:tc>
          <w:tcPr>
            <w:tcW w:type="dxa" w:w="1440"/>
          </w:tcPr>
          <w:p>
            <w:r/>
            <w:r>
              <w:rPr>
                <w:b w:val="0"/>
                <w:sz w:val="17"/>
              </w:rPr>
              <w:t>Apr. 1, 2024 vs. Oct. 1, 2024</w:t>
            </w:r>
          </w:p>
        </w:tc>
        <w:tc>
          <w:tcPr>
            <w:tcW w:type="dxa" w:w="2880"/>
          </w:tcPr>
          <w:p>
            <w:r/>
            <w:r>
              <w:rPr>
                <w:b w:val="0"/>
                <w:sz w:val="17"/>
              </w:rPr>
              <w:t>Hale fully vested</w:t>
            </w:r>
          </w:p>
        </w:tc>
        <w:tc>
          <w:tcPr>
            <w:tcW w:type="dxa" w:w="2304"/>
          </w:tcPr>
          <w:p>
            <w:r/>
            <w:r>
              <w:rPr>
                <w:b w:val="0"/>
                <w:sz w:val="17"/>
              </w:rPr>
              <w:t>Cap Table ("fully vested as of April 1, 2024"); STA §3.1 / Recitals ("as of October 1, 2024")</w:t>
            </w:r>
          </w:p>
        </w:tc>
        <w:tc>
          <w:tcPr>
            <w:tcW w:type="dxa" w:w="2736"/>
          </w:tcPr>
          <w:p>
            <w:r/>
            <w:r>
              <w:rPr>
                <w:b w:val="0"/>
                <w:sz w:val="17"/>
              </w:rPr>
              <w:t>Inconsistent vesting date; conform to RSPA.</w:t>
            </w:r>
          </w:p>
        </w:tc>
      </w:tr>
      <w:tr>
        <w:tc>
          <w:tcPr>
            <w:tcW w:type="dxa" w:w="1440"/>
          </w:tcPr>
          <w:p>
            <w:r/>
            <w:r>
              <w:rPr>
                <w:b w:val="0"/>
                <w:sz w:val="17"/>
              </w:rPr>
              <w:t>June 15, 2024</w:t>
            </w:r>
          </w:p>
        </w:tc>
        <w:tc>
          <w:tcPr>
            <w:tcW w:type="dxa" w:w="2880"/>
          </w:tcPr>
          <w:p>
            <w:r/>
            <w:r>
              <w:rPr>
                <w:b w:val="0"/>
                <w:sz w:val="17"/>
              </w:rPr>
              <w:t>409A FMV $4.82/share</w:t>
            </w:r>
          </w:p>
        </w:tc>
        <w:tc>
          <w:tcPr>
            <w:tcW w:type="dxa" w:w="2304"/>
          </w:tcPr>
          <w:p>
            <w:r/>
            <w:r>
              <w:rPr>
                <w:b w:val="0"/>
                <w:sz w:val="17"/>
              </w:rPr>
              <w:t>409A Summary</w:t>
            </w:r>
          </w:p>
        </w:tc>
        <w:tc>
          <w:tcPr>
            <w:tcW w:type="dxa" w:w="2736"/>
          </w:tcPr>
          <w:p>
            <w:r/>
            <w:r>
              <w:rPr>
                <w:b w:val="0"/>
                <w:sz w:val="17"/>
              </w:rPr>
              <w:t>Valid to June 15, 2025 absent material events.</w:t>
            </w:r>
          </w:p>
        </w:tc>
      </w:tr>
      <w:tr>
        <w:tc>
          <w:tcPr>
            <w:tcW w:type="dxa" w:w="1440"/>
          </w:tcPr>
          <w:p>
            <w:r/>
            <w:r>
              <w:rPr>
                <w:b w:val="0"/>
                <w:sz w:val="17"/>
              </w:rPr>
              <w:t>Aug. 22, 2024</w:t>
            </w:r>
          </w:p>
        </w:tc>
        <w:tc>
          <w:tcPr>
            <w:tcW w:type="dxa" w:w="2880"/>
          </w:tcPr>
          <w:p>
            <w:r/>
            <w:r>
              <w:rPr>
                <w:b w:val="0"/>
                <w:sz w:val="17"/>
              </w:rPr>
              <w:t>ROFR Agreement §6 lock-up expires</w:t>
            </w:r>
          </w:p>
        </w:tc>
        <w:tc>
          <w:tcPr>
            <w:tcW w:type="dxa" w:w="2304"/>
          </w:tcPr>
          <w:p>
            <w:r/>
            <w:r>
              <w:rPr>
                <w:b w:val="0"/>
                <w:sz w:val="17"/>
              </w:rPr>
              <w:t>ROFR §6.1–6.2</w:t>
            </w:r>
          </w:p>
        </w:tc>
        <w:tc>
          <w:tcPr>
            <w:tcW w:type="dxa" w:w="2736"/>
          </w:tcPr>
          <w:p>
            <w:r/>
            <w:r>
              <w:rPr>
                <w:b w:val="0"/>
                <w:sz w:val="17"/>
              </w:rPr>
              <w:t>ROFR/Co-Sale continue in force (§6.2).</w:t>
            </w:r>
          </w:p>
        </w:tc>
      </w:tr>
      <w:tr>
        <w:tc>
          <w:tcPr>
            <w:tcW w:type="dxa" w:w="1440"/>
          </w:tcPr>
          <w:p>
            <w:r/>
            <w:r>
              <w:rPr>
                <w:b w:val="0"/>
                <w:sz w:val="17"/>
              </w:rPr>
              <w:t>Dec. 1, 2024</w:t>
            </w:r>
          </w:p>
        </w:tc>
        <w:tc>
          <w:tcPr>
            <w:tcW w:type="dxa" w:w="2880"/>
          </w:tcPr>
          <w:p>
            <w:r/>
            <w:r>
              <w:rPr>
                <w:b w:val="0"/>
                <w:sz w:val="17"/>
              </w:rPr>
              <w:t>STA "dated as of"</w:t>
            </w:r>
          </w:p>
        </w:tc>
        <w:tc>
          <w:tcPr>
            <w:tcW w:type="dxa" w:w="2304"/>
          </w:tcPr>
          <w:p>
            <w:r/>
            <w:r>
              <w:rPr>
                <w:b w:val="0"/>
                <w:sz w:val="17"/>
              </w:rPr>
              <w:t>STA preamble; Verdana email confirms an STA "dated December 1, 2024"</w:t>
            </w:r>
          </w:p>
        </w:tc>
        <w:tc>
          <w:tcPr>
            <w:tcW w:type="dxa" w:w="2736"/>
          </w:tcPr>
          <w:p>
            <w:r/>
            <w:r>
              <w:rPr>
                <w:b w:val="0"/>
                <w:sz w:val="17"/>
              </w:rPr>
              <w:t>Predates the Transfer Notice, yet describes later events as past.</w:t>
            </w:r>
          </w:p>
        </w:tc>
      </w:tr>
      <w:tr>
        <w:tc>
          <w:tcPr>
            <w:tcW w:type="dxa" w:w="1440"/>
          </w:tcPr>
          <w:p>
            <w:r/>
            <w:r>
              <w:rPr>
                <w:b w:val="0"/>
                <w:sz w:val="17"/>
              </w:rPr>
              <w:t>Dec. 20, 2024</w:t>
            </w:r>
          </w:p>
        </w:tc>
        <w:tc>
          <w:tcPr>
            <w:tcW w:type="dxa" w:w="2880"/>
          </w:tcPr>
          <w:p>
            <w:r/>
            <w:r>
              <w:rPr>
                <w:b w:val="0"/>
                <w:sz w:val="17"/>
              </w:rPr>
              <w:t>Transfer Notice delivered to Company "Secretary"</w:t>
            </w:r>
          </w:p>
        </w:tc>
        <w:tc>
          <w:tcPr>
            <w:tcW w:type="dxa" w:w="2304"/>
          </w:tcPr>
          <w:p>
            <w:r/>
            <w:r>
              <w:rPr>
                <w:b w:val="0"/>
                <w:sz w:val="17"/>
              </w:rPr>
              <w:t>Transfer Notice</w:t>
            </w:r>
          </w:p>
        </w:tc>
        <w:tc>
          <w:tcPr>
            <w:tcW w:type="dxa" w:w="2736"/>
          </w:tcPr>
          <w:p>
            <w:r/>
            <w:r>
              <w:rPr>
                <w:b w:val="0"/>
                <w:sz w:val="17"/>
              </w:rPr>
              <w:t>30-day minimum notice satisfied for a Jan. 24 closing (35 days), subject to notice defects.</w:t>
            </w:r>
          </w:p>
        </w:tc>
      </w:tr>
      <w:tr>
        <w:tc>
          <w:tcPr>
            <w:tcW w:type="dxa" w:w="1440"/>
          </w:tcPr>
          <w:p>
            <w:r/>
            <w:r>
              <w:rPr>
                <w:b w:val="0"/>
                <w:sz w:val="17"/>
              </w:rPr>
              <w:t>Jan. 4, 2025 (Sat.)</w:t>
            </w:r>
          </w:p>
        </w:tc>
        <w:tc>
          <w:tcPr>
            <w:tcW w:type="dxa" w:w="2880"/>
          </w:tcPr>
          <w:p>
            <w:r/>
            <w:r>
              <w:rPr>
                <w:b w:val="0"/>
                <w:sz w:val="17"/>
              </w:rPr>
              <w:t>Company Notice Period expires (15 days)</w:t>
            </w:r>
          </w:p>
        </w:tc>
        <w:tc>
          <w:tcPr>
            <w:tcW w:type="dxa" w:w="2304"/>
          </w:tcPr>
          <w:p>
            <w:r/>
            <w:r>
              <w:rPr>
                <w:b w:val="0"/>
                <w:sz w:val="17"/>
              </w:rPr>
              <w:t>ROFR §2.1(b)</w:t>
            </w:r>
          </w:p>
        </w:tc>
        <w:tc>
          <w:tcPr>
            <w:tcW w:type="dxa" w:w="2736"/>
          </w:tcPr>
          <w:p>
            <w:r/>
            <w:r>
              <w:rPr>
                <w:b w:val="0"/>
                <w:sz w:val="17"/>
              </w:rPr>
              <w:t>Company deemed to decline; must forward Transfer Notice to Investors within 2 business days (by about Jan. 7).</w:t>
            </w:r>
          </w:p>
        </w:tc>
      </w:tr>
      <w:tr>
        <w:tc>
          <w:tcPr>
            <w:tcW w:type="dxa" w:w="1440"/>
          </w:tcPr>
          <w:p>
            <w:r/>
            <w:r>
              <w:rPr>
                <w:b w:val="0"/>
                <w:sz w:val="17"/>
              </w:rPr>
              <w:t>Jan. 6, 2025</w:t>
            </w:r>
          </w:p>
        </w:tc>
        <w:tc>
          <w:tcPr>
            <w:tcW w:type="dxa" w:w="2880"/>
          </w:tcPr>
          <w:p>
            <w:r/>
            <w:r>
              <w:rPr>
                <w:b w:val="0"/>
                <w:sz w:val="17"/>
              </w:rPr>
              <w:t>Company waiver letter (signed by CEO)</w:t>
            </w:r>
          </w:p>
        </w:tc>
        <w:tc>
          <w:tcPr>
            <w:tcW w:type="dxa" w:w="2304"/>
          </w:tcPr>
          <w:p>
            <w:r/>
            <w:r>
              <w:rPr>
                <w:b w:val="0"/>
                <w:sz w:val="17"/>
              </w:rPr>
              <w:t>Company waiver</w:t>
            </w:r>
          </w:p>
        </w:tc>
        <w:tc>
          <w:tcPr>
            <w:tcW w:type="dxa" w:w="2736"/>
          </w:tcPr>
          <w:p>
            <w:r/>
            <w:r>
              <w:rPr>
                <w:b w:val="0"/>
                <w:sz w:val="17"/>
              </w:rPr>
              <w:t>Issued after the Company Notice Period expired; refers to Board "review", but no Board action has been produced.</w:t>
            </w:r>
          </w:p>
        </w:tc>
      </w:tr>
      <w:tr>
        <w:tc>
          <w:tcPr>
            <w:tcW w:type="dxa" w:w="1440"/>
          </w:tcPr>
          <w:p>
            <w:r/>
            <w:r>
              <w:rPr>
                <w:b w:val="0"/>
                <w:sz w:val="17"/>
              </w:rPr>
              <w:t>Jan. 10, 2025 (03:47 UTC; evening of Jan. 9 Pacific)</w:t>
            </w:r>
          </w:p>
        </w:tc>
        <w:tc>
          <w:tcPr>
            <w:tcW w:type="dxa" w:w="2880"/>
          </w:tcPr>
          <w:p>
            <w:r/>
            <w:r>
              <w:rPr>
                <w:b w:val="0"/>
                <w:sz w:val="17"/>
              </w:rPr>
              <w:t>Verdana waiver email to Company counsel</w:t>
            </w:r>
          </w:p>
        </w:tc>
        <w:tc>
          <w:tcPr>
            <w:tcW w:type="dxa" w:w="2304"/>
          </w:tcPr>
          <w:p>
            <w:r/>
            <w:r>
              <w:rPr>
                <w:b w:val="0"/>
                <w:sz w:val="17"/>
              </w:rPr>
              <w:t>.eml</w:t>
            </w:r>
          </w:p>
        </w:tc>
        <w:tc>
          <w:tcPr>
            <w:tcW w:type="dxa" w:w="2736"/>
          </w:tcPr>
          <w:p>
            <w:r/>
            <w:r>
              <w:rPr>
                <w:b w:val="0"/>
                <w:sz w:val="17"/>
              </w:rPr>
              <w:t>See Issue 9.</w:t>
            </w:r>
          </w:p>
        </w:tc>
      </w:tr>
      <w:tr>
        <w:tc>
          <w:tcPr>
            <w:tcW w:type="dxa" w:w="1440"/>
          </w:tcPr>
          <w:p>
            <w:r/>
            <w:r>
              <w:rPr>
                <w:b w:val="0"/>
                <w:sz w:val="17"/>
              </w:rPr>
              <w:t>Jan. 17, 2025</w:t>
            </w:r>
          </w:p>
        </w:tc>
        <w:tc>
          <w:tcPr>
            <w:tcW w:type="dxa" w:w="2880"/>
          </w:tcPr>
          <w:p>
            <w:r/>
            <w:r>
              <w:rPr>
                <w:b w:val="0"/>
                <w:sz w:val="17"/>
              </w:rPr>
              <w:t>Board meeting (Board approval targeted)</w:t>
            </w:r>
          </w:p>
        </w:tc>
        <w:tc>
          <w:tcPr>
            <w:tcW w:type="dxa" w:w="2304"/>
          </w:tcPr>
          <w:p>
            <w:r/>
            <w:r>
              <w:rPr>
                <w:b w:val="0"/>
                <w:sz w:val="17"/>
              </w:rPr>
              <w:t>STA §7.1; Verdana email</w:t>
            </w:r>
          </w:p>
        </w:tc>
        <w:tc>
          <w:tcPr>
            <w:tcW w:type="dxa" w:w="2736"/>
          </w:tcPr>
          <w:p>
            <w:r/>
            <w:r>
              <w:rPr>
                <w:b w:val="0"/>
                <w:sz w:val="17"/>
              </w:rPr>
              <w:t>Only 7 days before Closing.</w:t>
            </w:r>
          </w:p>
        </w:tc>
      </w:tr>
      <w:tr>
        <w:tc>
          <w:tcPr>
            <w:tcW w:type="dxa" w:w="1440"/>
          </w:tcPr>
          <w:p>
            <w:r/>
            <w:r>
              <w:rPr>
                <w:b w:val="0"/>
                <w:sz w:val="17"/>
              </w:rPr>
              <w:t>~Jan. 22, 2025</w:t>
            </w:r>
          </w:p>
        </w:tc>
        <w:tc>
          <w:tcPr>
            <w:tcW w:type="dxa" w:w="2880"/>
          </w:tcPr>
          <w:p>
            <w:r/>
            <w:r>
              <w:rPr>
                <w:b w:val="0"/>
                <w:sz w:val="17"/>
              </w:rPr>
              <w:t>Investor Notice Period expires (15 days from receipt of forwarded notice, assuming receipt about Jan. 7)</w:t>
            </w:r>
          </w:p>
        </w:tc>
        <w:tc>
          <w:tcPr>
            <w:tcW w:type="dxa" w:w="2304"/>
          </w:tcPr>
          <w:p>
            <w:r/>
            <w:r>
              <w:rPr>
                <w:b w:val="0"/>
                <w:sz w:val="17"/>
              </w:rPr>
              <w:t>ROFR §§1.9, 2.2(a), 3.1</w:t>
            </w:r>
          </w:p>
        </w:tc>
        <w:tc>
          <w:tcPr>
            <w:tcW w:type="dxa" w:w="2736"/>
          </w:tcPr>
          <w:p>
            <w:r/>
            <w:r>
              <w:rPr>
                <w:b w:val="0"/>
                <w:sz w:val="17"/>
              </w:rPr>
              <w:t>Ridgeline Secondary ROFR and Co-Sale election deadline. Actual date depends on when Ridgeline received the notice, which is undocumented.</w:t>
            </w:r>
          </w:p>
        </w:tc>
      </w:tr>
      <w:tr>
        <w:tc>
          <w:tcPr>
            <w:tcW w:type="dxa" w:w="1440"/>
          </w:tcPr>
          <w:p>
            <w:r/>
            <w:r>
              <w:rPr>
                <w:b w:val="0"/>
                <w:sz w:val="17"/>
              </w:rPr>
              <w:t>Jan. 24, 2025</w:t>
            </w:r>
          </w:p>
        </w:tc>
        <w:tc>
          <w:tcPr>
            <w:tcW w:type="dxa" w:w="2880"/>
          </w:tcPr>
          <w:p>
            <w:r/>
            <w:r>
              <w:rPr>
                <w:b w:val="0"/>
                <w:sz w:val="17"/>
              </w:rPr>
              <w:t>Scheduled Closing</w:t>
            </w:r>
          </w:p>
        </w:tc>
        <w:tc>
          <w:tcPr>
            <w:tcW w:type="dxa" w:w="2304"/>
          </w:tcPr>
          <w:p>
            <w:r/>
            <w:r>
              <w:rPr>
                <w:b w:val="0"/>
                <w:sz w:val="17"/>
              </w:rPr>
              <w:t>STA §6.1</w:t>
            </w:r>
          </w:p>
        </w:tc>
        <w:tc>
          <w:tcPr>
            <w:tcW w:type="dxa" w:w="2736"/>
          </w:tcPr>
          <w:p>
            <w:r/>
            <w:r>
              <w:rPr>
                <w:b/>
                <w:sz w:val="17"/>
              </w:rPr>
              <w:t>Before</w:t>
            </w:r>
            <w:r>
              <w:rPr>
                <w:b w:val="0"/>
                <w:sz w:val="17"/>
              </w:rPr>
              <w:t xml:space="preserve"> the over-allotment period ends.</w:t>
            </w:r>
          </w:p>
        </w:tc>
      </w:tr>
      <w:tr>
        <w:tc>
          <w:tcPr>
            <w:tcW w:type="dxa" w:w="1440"/>
          </w:tcPr>
          <w:p>
            <w:r/>
            <w:r>
              <w:rPr>
                <w:b w:val="0"/>
                <w:sz w:val="17"/>
              </w:rPr>
              <w:t>~Jan. 29, 2025</w:t>
            </w:r>
          </w:p>
        </w:tc>
        <w:tc>
          <w:tcPr>
            <w:tcW w:type="dxa" w:w="2880"/>
          </w:tcPr>
          <w:p>
            <w:r/>
            <w:r>
              <w:rPr>
                <w:b w:val="0"/>
                <w:sz w:val="17"/>
              </w:rPr>
              <w:t>Over-allotment period expires (5 business days after Investor Notice Period)</w:t>
            </w:r>
          </w:p>
        </w:tc>
        <w:tc>
          <w:tcPr>
            <w:tcW w:type="dxa" w:w="2304"/>
          </w:tcPr>
          <w:p>
            <w:r/>
            <w:r>
              <w:rPr>
                <w:b w:val="0"/>
                <w:sz w:val="17"/>
              </w:rPr>
              <w:t>ROFR §2.2(b)</w:t>
            </w:r>
          </w:p>
        </w:tc>
        <w:tc>
          <w:tcPr>
            <w:tcW w:type="dxa" w:w="2736"/>
          </w:tcPr>
          <w:p>
            <w:r/>
            <w:r>
              <w:rPr>
                <w:b w:val="0"/>
                <w:sz w:val="17"/>
              </w:rPr>
              <w:t>Earliest date the ROFR process is complete without Ridgeline's waiver.</w:t>
            </w:r>
          </w:p>
        </w:tc>
      </w:tr>
      <w:tr>
        <w:tc>
          <w:tcPr>
            <w:tcW w:type="dxa" w:w="1440"/>
          </w:tcPr>
          <w:p>
            <w:r/>
            <w:r>
              <w:rPr>
                <w:b w:val="0"/>
                <w:sz w:val="17"/>
              </w:rPr>
              <w:t>Feb. 28, 2025</w:t>
            </w:r>
          </w:p>
        </w:tc>
        <w:tc>
          <w:tcPr>
            <w:tcW w:type="dxa" w:w="2880"/>
          </w:tcPr>
          <w:p>
            <w:r/>
            <w:r>
              <w:rPr>
                <w:b w:val="0"/>
                <w:sz w:val="17"/>
              </w:rPr>
              <w:t>STA Outside Date</w:t>
            </w:r>
          </w:p>
        </w:tc>
        <w:tc>
          <w:tcPr>
            <w:tcW w:type="dxa" w:w="2304"/>
          </w:tcPr>
          <w:p>
            <w:r/>
            <w:r>
              <w:rPr>
                <w:b w:val="0"/>
                <w:sz w:val="17"/>
              </w:rPr>
              <w:t>STA §9.1(b)</w:t>
            </w:r>
          </w:p>
        </w:tc>
        <w:tc>
          <w:tcPr>
            <w:tcW w:type="dxa" w:w="2736"/>
          </w:tcPr>
          <w:p>
            <w:r/>
          </w:p>
        </w:tc>
      </w:tr>
      <w:tr>
        <w:tc>
          <w:tcPr>
            <w:tcW w:type="dxa" w:w="1440"/>
          </w:tcPr>
          <w:p>
            <w:r/>
            <w:r>
              <w:rPr>
                <w:b w:val="0"/>
                <w:sz w:val="17"/>
              </w:rPr>
              <w:t>Apr. 1, 2025</w:t>
            </w:r>
          </w:p>
        </w:tc>
        <w:tc>
          <w:tcPr>
            <w:tcW w:type="dxa" w:w="2880"/>
          </w:tcPr>
          <w:p>
            <w:r/>
            <w:r>
              <w:rPr>
                <w:b w:val="0"/>
                <w:sz w:val="17"/>
              </w:rPr>
              <w:t>Five-year QSBS holding period met (if otherwise eligible)</w:t>
            </w:r>
          </w:p>
        </w:tc>
        <w:tc>
          <w:tcPr>
            <w:tcW w:type="dxa" w:w="2304"/>
          </w:tcPr>
          <w:p>
            <w:r/>
            <w:r>
              <w:rPr>
                <w:b w:val="0"/>
                <w:sz w:val="17"/>
              </w:rPr>
              <w:t>IRC §1202</w:t>
            </w:r>
          </w:p>
        </w:tc>
        <w:tc>
          <w:tcPr>
            <w:tcW w:type="dxa" w:w="2736"/>
          </w:tcPr>
          <w:p>
            <w:r/>
            <w:r>
              <w:rPr>
                <w:b w:val="0"/>
                <w:sz w:val="17"/>
              </w:rPr>
              <w:t>See Issue 17.</w:t>
            </w:r>
          </w:p>
        </w:tc>
      </w:tr>
      <w:tr>
        <w:tc>
          <w:tcPr>
            <w:tcW w:type="dxa" w:w="1440"/>
          </w:tcPr>
          <w:p>
            <w:r/>
            <w:r>
              <w:rPr>
                <w:b w:val="0"/>
                <w:sz w:val="17"/>
              </w:rPr>
              <w:t>~Apr. 29, 2025</w:t>
            </w:r>
          </w:p>
        </w:tc>
        <w:tc>
          <w:tcPr>
            <w:tcW w:type="dxa" w:w="2880"/>
          </w:tcPr>
          <w:p>
            <w:r/>
            <w:r>
              <w:rPr>
                <w:b w:val="0"/>
                <w:sz w:val="17"/>
              </w:rPr>
              <w:t>ROFR §2.3 90-day window to close ends (90 days after ~Jan. 29)</w:t>
            </w:r>
          </w:p>
        </w:tc>
        <w:tc>
          <w:tcPr>
            <w:tcW w:type="dxa" w:w="2304"/>
          </w:tcPr>
          <w:p>
            <w:r/>
            <w:r>
              <w:rPr>
                <w:b w:val="0"/>
                <w:sz w:val="17"/>
              </w:rPr>
              <w:t>ROFR §2.3</w:t>
            </w:r>
          </w:p>
        </w:tc>
        <w:tc>
          <w:tcPr>
            <w:tcW w:type="dxa" w:w="2736"/>
          </w:tcPr>
          <w:p>
            <w:r/>
            <w:r>
              <w:rPr>
                <w:b w:val="0"/>
                <w:sz w:val="17"/>
              </w:rPr>
              <w:t>After this date a new Transfer Notice is required.</w:t>
            </w:r>
          </w:p>
        </w:tc>
      </w:tr>
    </w:tbl>
    <w:p>
      <w:pPr>
        <w:spacing w:after="40"/>
      </w:pPr>
    </w:p>
    <w:p>
      <w:pPr>
        <w:pStyle w:val="Heading1"/>
      </w:pPr>
      <w:r>
        <w:t>IV. Detailed Issues</w:t>
      </w:r>
    </w:p>
    <w:p>
      <w:pPr>
        <w:spacing w:after="80"/>
      </w:pPr>
      <w:r>
        <w:rPr>
          <w:b w:val="0"/>
          <w:i w:val="0"/>
          <w:sz w:val="19"/>
        </w:rPr>
        <w:t xml:space="preserve">Severity key: </w:t>
      </w:r>
      <w:r>
        <w:rPr>
          <w:b/>
          <w:i w:val="0"/>
          <w:sz w:val="19"/>
        </w:rPr>
        <w:t>Critical</w:t>
      </w:r>
      <w:r>
        <w:rPr>
          <w:b w:val="0"/>
          <w:i w:val="0"/>
          <w:sz w:val="19"/>
        </w:rPr>
        <w:t xml:space="preserve">: may render the transfer void or prevent Closing. </w:t>
      </w:r>
      <w:r>
        <w:rPr>
          <w:b/>
          <w:i w:val="0"/>
          <w:sz w:val="19"/>
        </w:rPr>
        <w:t>High</w:t>
      </w:r>
      <w:r>
        <w:rPr>
          <w:b w:val="0"/>
          <w:i w:val="0"/>
          <w:sz w:val="19"/>
        </w:rPr>
        <w:t xml:space="preserve">: material legal or economic exposure or a false representation. </w:t>
      </w:r>
      <w:r>
        <w:rPr>
          <w:b/>
          <w:i w:val="0"/>
          <w:sz w:val="19"/>
        </w:rPr>
        <w:t>Medium</w:t>
      </w:r>
      <w:r>
        <w:rPr>
          <w:b w:val="0"/>
          <w:i w:val="0"/>
          <w:sz w:val="19"/>
        </w:rPr>
        <w:t xml:space="preserve">: should be fixed before signing or Closing. </w:t>
      </w:r>
      <w:r>
        <w:rPr>
          <w:b/>
          <w:i w:val="0"/>
          <w:sz w:val="19"/>
        </w:rPr>
        <w:t>Low</w:t>
      </w:r>
      <w:r>
        <w:rPr>
          <w:b w:val="0"/>
          <w:i w:val="0"/>
          <w:sz w:val="19"/>
        </w:rPr>
        <w:t>: clean-up or conforming change.</w:t>
      </w:r>
    </w:p>
    <w:p>
      <w:pPr>
        <w:pStyle w:val="Heading2"/>
      </w:pPr>
      <w:r>
        <w:t>A. Corporate Approvals and Charter/Bylaw Transfer Restrictions</w:t>
      </w:r>
    </w:p>
    <w:p>
      <w:pPr>
        <w:pStyle w:val="Heading3"/>
      </w:pPr>
      <w:r>
        <w:t>Issue 1. Board prior written consent is required (Charter Art. IX; Bylaws §7.2) but the STA treats it as an efforts covenant and a waivable "acknowledgment" condition</w:t>
      </w:r>
    </w:p>
    <w:p>
      <w:pPr>
        <w:spacing w:after="80"/>
      </w:pPr>
      <w:r>
        <w:rPr>
          <w:b/>
          <w:i w:val="0"/>
          <w:sz w:val="19"/>
        </w:rPr>
        <w:t>Severity:</w:t>
      </w:r>
      <w:r>
        <w:rPr>
          <w:b w:val="0"/>
          <w:i w:val="0"/>
          <w:sz w:val="19"/>
        </w:rPr>
        <w:t xml:space="preserve"> Critical    </w:t>
      </w:r>
      <w:r>
        <w:rPr>
          <w:b/>
          <w:i w:val="0"/>
          <w:sz w:val="19"/>
        </w:rPr>
        <w:t>Documents / provisions:</w:t>
      </w:r>
      <w:r>
        <w:rPr>
          <w:b w:val="0"/>
          <w:i w:val="0"/>
          <w:sz w:val="19"/>
        </w:rPr>
        <w:t xml:space="preserve"> Charter §§9.1, 9.3; Bylaws §§5.3, 7.1, 7.2; ROFR §§5.2, 8.2; STA §§3.1, 3.3, 5.1(e), 7.1; Company waiver letter</w:t>
      </w:r>
    </w:p>
    <w:p>
      <w:pPr>
        <w:spacing w:after="80"/>
      </w:pPr>
      <w:r>
        <w:rPr>
          <w:b w:val="0"/>
          <w:i w:val="0"/>
        </w:rPr>
        <w:t xml:space="preserve">Charter §9.1 prohibits any transfer of Common Stock "without the </w:t>
      </w:r>
      <w:r>
        <w:rPr>
          <w:b/>
          <w:i w:val="0"/>
        </w:rPr>
        <w:t>prior written consent</w:t>
      </w:r>
      <w:r>
        <w:rPr>
          <w:b w:val="0"/>
          <w:i w:val="0"/>
        </w:rPr>
        <w:t xml:space="preserve"> of the Board ... which consent may be granted or withheld in the sole discretion of the Board". A non-compliant transfer is "void and of no force or effect". None of the §9.2 exemptions applies to a sale to an unaffiliated investor. Bylaws §7.2 separately requires approval "by the affirmative vote of a majority of the Board of Directors". The request must go to the Secretary in writing and state all material terms. ROFR §§5.2 and 8.2 make compliance with these Charter and Bylaw restrictions an independent condition, and Bylaws §5.3 bars registration until they are satisfied.</w:t>
      </w:r>
    </w:p>
    <w:p>
      <w:pPr>
        <w:spacing w:after="80"/>
      </w:pPr>
      <w:r>
        <w:rPr>
          <w:b w:val="0"/>
          <w:i w:val="0"/>
        </w:rPr>
        <w:t xml:space="preserve">The STA does not reflect this. (i) §7.1 obliges the Seller only to use "commercially reasonable efforts" to obtain approval "at or prior to" the January 17, 2025 meeting. It also contemplates that the Board may </w:t>
      </w:r>
      <w:r>
        <w:rPr>
          <w:b/>
          <w:i w:val="0"/>
        </w:rPr>
        <w:t>not</w:t>
      </w:r>
      <w:r>
        <w:rPr>
          <w:b w:val="0"/>
          <w:i w:val="0"/>
        </w:rPr>
        <w:t xml:space="preserve"> approve and that efforts simply "continue". (ii) §5.1(e) requires only Board "acknowledgment", which is not consent. It is a condition only to the Buyer's obligations, so the Buyer could waive it and close into a void transfer. (iii) The Seller has no reciprocal condition (§5.2). (iv) §3.3 states that no consent of "any other Person" is required except those already obtained "prior to the date hereof" (December 1, 2024). No Board consent existed then, so the representation is false when made. (v) §3.1 represents that the Shares are free of "restrictions on transfer of any kind" other than securities laws, which ignores the Charter, Bylaws and ROFR restrictions.</w:t>
      </w:r>
    </w:p>
    <w:p>
      <w:pPr>
        <w:spacing w:after="80"/>
      </w:pPr>
      <w:r>
        <w:rPr>
          <w:b w:val="0"/>
          <w:i w:val="0"/>
        </w:rPr>
        <w:t>The Company waiver letter says the Board "duly reviewed" the Transfer Notice, but no resolution or written consent has been produced. The letter is signed by the CEO alone and expressly preserves "all other ... consents, and approvals required under ... the Company's Certificate of Incorporation, bylaws". It is not Board consent.</w:t>
      </w:r>
    </w:p>
    <w:p>
      <w:pPr>
        <w:spacing w:after="80"/>
      </w:pPr>
      <w:r>
        <w:rPr>
          <w:b/>
          <w:i w:val="0"/>
        </w:rPr>
        <w:t>Recommendation:</w:t>
      </w:r>
      <w:r>
        <w:rPr>
          <w:b w:val="0"/>
          <w:i w:val="0"/>
        </w:rPr>
        <w:t xml:space="preserve"> Obtain a Board written consent (or minutes of a duly noticed meeting plus a written consent instrument, to satisfy the Charter's "prior written consent" language) before Closing. It should expressly approve the transfer under Charter §9.1 and Bylaws §7.2 and authorize registration. Amend STA §5.1(e) to require "the prior written consent of the Board under Article IX of the Charter and Section 7.2 of the Bylaws". Make it a mutual, non-waivable condition (add it to §5.2) and a Seller closing deliverable (§6.2). Correct §§3.1 and 3.3 to list the Charter, Bylaws and ROFR restrictions as exceptions, and make §3.3 speak as of Closing.</w:t>
      </w:r>
    </w:p>
    <w:p>
      <w:pPr>
        <w:pStyle w:val="Heading3"/>
      </w:pPr>
      <w:r>
        <w:t>Issue 2. Interested-director and affiliate-transaction approval; conflict of Buyer's Board designee</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Charter §§4.5(e), 5.2; Bylaws §3.13; DGCL §144; STA §§4.5, 7.1; Verdana email</w:t>
      </w:r>
    </w:p>
    <w:p>
      <w:pPr>
        <w:spacing w:after="80"/>
      </w:pPr>
      <w:r>
        <w:rPr>
          <w:b w:val="0"/>
          <w:i w:val="0"/>
        </w:rPr>
        <w:t>Two of the five directors are interested. Marcus Hale (Common Director) is the Seller. Priya Chandrasekaran (Series B Director) is the Buyer's designee and Managing Director of its general partner, and she signs the STA and the waiver for the Buyer. Charter §4.5(e) requires approval "by a majority of the disinterested members of the Board" for any transaction with a director, officer or 5%+ holder. Arguably the Company is a party here: it countersigns the STA (Sections 6, 7.1 and 10.3), is a third-party beneficiary (§10.10), waived its ROFR (forgoing the chance to buy the shares itself) and must consent to and register the transfer. If §4.5(e) applies, the approval also requires Preferred majority consent. STA §7.1 contemplates approval by a simple "majority of the Board", which could count conflicted votes.</w:t>
      </w:r>
    </w:p>
    <w:p>
      <w:pPr>
        <w:spacing w:after="80"/>
      </w:pPr>
      <w:r>
        <w:rPr>
          <w:b w:val="0"/>
          <w:i w:val="0"/>
        </w:rPr>
        <w:t>The Company's decision not to buy the shares (and possibly to repurchase undervalued stock) while a director's fund buys them raises duty-of-loyalty and corporate-opportunity questions for Chandrasekaran. The disinterested directors (Fong, Nakamura and Dominguez) should make an informed decision, with the interests disclosed (Bylaws §3.13(a); DGCL §144(a)(1)). Note that Julia Fong is also a Key Holder subject to the same ROFR regime. Her independence should be considered but is not obviously compromised.</w:t>
      </w:r>
    </w:p>
    <w:p>
      <w:pPr>
        <w:spacing w:after="80"/>
      </w:pPr>
      <w:r>
        <w:rPr>
          <w:b w:val="0"/>
          <w:i w:val="0"/>
        </w:rPr>
        <w:t>The Verdana email shows Chandrasekaran discussing the deal with Company counsel and referring to "the rest of the board" at the January 17 meeting. Under the Charter, Company counsel (Catherine Brennan) is not a director (§5.2 lists Nakamura, Chandrasekaran, Fong, Hale and Dominguez). Either the Board has changed and the records must be updated, or the remark is loose. Either way, Board composition should be confirmed before approval is sought.</w:t>
      </w:r>
    </w:p>
    <w:p>
      <w:pPr>
        <w:spacing w:after="80"/>
      </w:pPr>
      <w:r>
        <w:rPr>
          <w:b/>
          <w:i w:val="0"/>
        </w:rPr>
        <w:t>Recommendation:</w:t>
      </w:r>
      <w:r>
        <w:rPr>
          <w:b w:val="0"/>
          <w:i w:val="0"/>
        </w:rPr>
        <w:t xml:space="preserve"> Have Hale and Chandrasekaran disclose their interests and recuse themselves. Obtain approval from a majority of the disinterested directors, with findings on Company ROFR waiver and fairness. Amend STA §7.1 to require approval "by a majority of the disinterested directors" in addition to any vote the Charter or Bylaws require. Confirm current Board composition. Consider whether Charter §4.5(e) Preferred consent is required; Ridgeline's consent under Issue 3 can cover it.</w:t>
      </w:r>
    </w:p>
    <w:p>
      <w:pPr>
        <w:pStyle w:val="Heading3"/>
      </w:pPr>
      <w:r>
        <w:t>Issue 3. Preferred Stockholder majority consent under Bylaws §7.3 is required, and Verdana alone cannot provide it</w:t>
      </w:r>
    </w:p>
    <w:p>
      <w:pPr>
        <w:spacing w:after="80"/>
      </w:pPr>
      <w:r>
        <w:rPr>
          <w:b/>
          <w:i w:val="0"/>
          <w:sz w:val="19"/>
        </w:rPr>
        <w:t>Severity:</w:t>
      </w:r>
      <w:r>
        <w:rPr>
          <w:b w:val="0"/>
          <w:i w:val="0"/>
          <w:sz w:val="19"/>
        </w:rPr>
        <w:t xml:space="preserve"> Critical    </w:t>
      </w:r>
      <w:r>
        <w:rPr>
          <w:b/>
          <w:i w:val="0"/>
          <w:sz w:val="19"/>
        </w:rPr>
        <w:t>Documents / provisions:</w:t>
      </w:r>
      <w:r>
        <w:rPr>
          <w:b w:val="0"/>
          <w:i w:val="0"/>
          <w:sz w:val="19"/>
        </w:rPr>
        <w:t xml:space="preserve"> Bylaws §§7.3, 13.3; Cap Table (Header; Pro Forma note); STA §§3.3, 5.1</w:t>
      </w:r>
    </w:p>
    <w:p>
      <w:pPr>
        <w:spacing w:after="80"/>
      </w:pPr>
      <w:r>
        <w:rPr>
          <w:b w:val="0"/>
          <w:i w:val="0"/>
        </w:rPr>
        <w:t xml:space="preserve">Bylaws §7.3 requires, in addition to Board approval, the </w:t>
      </w:r>
      <w:r>
        <w:rPr>
          <w:b/>
          <w:i w:val="0"/>
        </w:rPr>
        <w:t>prior written consent of a majority of the outstanding Preferred Stock</w:t>
      </w:r>
      <w:r>
        <w:rPr>
          <w:b w:val="0"/>
          <w:i w:val="0"/>
        </w:rPr>
        <w:t xml:space="preserve"> (voting as a single class, as-converted) for any transfer of more than 5% of the Common Stock outstanding. The count is taken as of the date of the transfer notice to the Board and excludes options. 425,000 / 8,200,000 = </w:t>
      </w:r>
      <w:r>
        <w:rPr>
          <w:b/>
          <w:i w:val="0"/>
        </w:rPr>
        <w:t>5.18%</w:t>
      </w:r>
      <w:r>
        <w:rPr>
          <w:b w:val="0"/>
          <w:i w:val="0"/>
        </w:rPr>
        <w:t>, above the 410,000-share threshold. The Company's own pro forma cap table says so. Without this consent the Company "shall not register or record" the transfer.</w:t>
      </w:r>
    </w:p>
    <w:p>
      <w:pPr>
        <w:spacing w:after="80"/>
      </w:pPr>
      <w:r>
        <w:rPr>
          <w:b w:val="0"/>
          <w:i w:val="0"/>
        </w:rPr>
        <w:t xml:space="preserve">There are 6,400,000 Preferred shares outstanding: Ridgeline holds 3,200,000 Series A and Verdana 3,200,000 Series B, all convertible 1:1. A majority requires more than 3,200,000 shares. Verdana's 3,200,000 shares are exactly 50%, which is not a majority. </w:t>
      </w:r>
      <w:r>
        <w:rPr>
          <w:b/>
          <w:i w:val="0"/>
        </w:rPr>
        <w:t>Ridgeline's written consent is therefore necessary.</w:t>
      </w:r>
      <w:r>
        <w:rPr>
          <w:b w:val="0"/>
          <w:i w:val="0"/>
        </w:rPr>
        <w:t xml:space="preserve"> The STA does not mention §7.3 at all.</w:t>
      </w:r>
    </w:p>
    <w:p>
      <w:pPr>
        <w:spacing w:after="80"/>
      </w:pPr>
      <w:r>
        <w:rPr>
          <w:b w:val="0"/>
          <w:i w:val="0"/>
        </w:rPr>
        <w:t>Alternative structuring: reducing the sale to 410,000 shares or fewer (5.0% or less) would avoid §7.3. Any change, however, requires a new or amended Transfer Notice under ROFR §2.1 and new waivers.</w:t>
      </w:r>
    </w:p>
    <w:p>
      <w:pPr>
        <w:spacing w:after="80"/>
      </w:pPr>
      <w:r>
        <w:rPr>
          <w:b/>
          <w:i w:val="0"/>
        </w:rPr>
        <w:t>Recommendation:</w:t>
      </w:r>
      <w:r>
        <w:rPr>
          <w:b w:val="0"/>
          <w:i w:val="0"/>
        </w:rPr>
        <w:t xml:space="preserve"> Obtain a written consent from holders of a majority of the Preferred (Verdana and Ridgeline) under Bylaws §7.3. Add it as a closing condition and Seller deliverable. Bundle it with the Ridgeline ROFR and Co-Sale waiver (Issue 5) and any Charter §4.5(e) consent.</w:t>
      </w:r>
    </w:p>
    <w:p>
      <w:pPr>
        <w:pStyle w:val="Heading2"/>
      </w:pPr>
      <w:r>
        <w:t>B. ROFR / Co-Sale Compliance</w:t>
      </w:r>
    </w:p>
    <w:p>
      <w:pPr>
        <w:pStyle w:val="Heading3"/>
      </w:pPr>
      <w:r>
        <w:t>Issue 4. The Transfer Notice is deficient: no STA copy, no summary of non-price terms, wrong cross-references, wrong addressee, and not shown as signed</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ROFR §§2.1(a)(vi)–(vii), 2.2, 2.3, 9.2; Transfer Notice ¶¶3–7; STA §3.5</w:t>
      </w:r>
    </w:p>
    <w:p>
      <w:pPr>
        <w:spacing w:after="80"/>
      </w:pPr>
      <w:r>
        <w:rPr>
          <w:b w:val="0"/>
          <w:i w:val="0"/>
        </w:rPr>
        <w:t>ROFR §2.1(a) requires the Transfer Notice to set out "(vi) a summary of the material terms and conditions ... including any representations, warranties, indemnification obligations, or other non-price terms; and (vii) a true, correct, and complete copy of any written agreement" relating to the transfer. The STA existed in draft or signed form on December 1, 2024 (both its date and the Verdana email confirm this), but the Transfer Notice neither attaches it nor describes its terms. These include the Seller indemnity capped at the Purchase Price, the $25,000 tipping basket, 24-month survival, NY governing law, AAA arbitration and the Board-approval covenant. The notice states only price, number of shares, cash payment and the absence of escrow.</w:t>
      </w:r>
    </w:p>
    <w:p>
      <w:pPr>
        <w:spacing w:after="80"/>
      </w:pPr>
      <w:r>
        <w:rPr>
          <w:b w:val="0"/>
          <w:i w:val="0"/>
        </w:rPr>
        <w:t>Consequences: (i) the Company and Investors could not evaluate the offer "on the terms set forth in the Transfer Notice", so a court could find that the 15-day periods never started and that the waivers were given without full information. (ii) Under ROFR §2.3(ii) the Seller may sell only on terms "no more favorable to the Proposed Transferee" than those in the notice. Undisclosed buyer-favorable terms put the sale outside that safe harbor.</w:t>
      </w:r>
    </w:p>
    <w:p>
      <w:pPr>
        <w:spacing w:after="80"/>
      </w:pPr>
      <w:r>
        <w:rPr>
          <w:b w:val="0"/>
          <w:i w:val="0"/>
        </w:rPr>
        <w:t>Other defects: (a) ¶5 attributes the Company ROFR to "Section 2.2" (correct: §2.1(b)) and the Investor rights to "Sections 2.3 and 3" (correct: §§2.2 and 3). (b) It is addressed to the "Secretary" without a name. ROFR §9.2 requires notice to the Company "Attention: Chief Executive Officer" (jfong@meridianbolt.com), with a copy to Darnell &amp; Whitaker LLP, and email notice must be followed by a confirming notice within one business day. Delivery method and receipt are undocumented. (c) The signature line is blank in the file copy. (d) It says the shares are free of encumbrances other than the ROFR Agreement and securities laws, which omits the Charter and Bylaw restrictions. (e) It invokes Section 4(a)(2) (see Issue 13). By contrast, sending it to the Secretary does track Bylaws §7.2 for the Board-approval request.</w:t>
      </w:r>
    </w:p>
    <w:p>
      <w:pPr>
        <w:spacing w:after="80"/>
      </w:pPr>
      <w:r>
        <w:rPr>
          <w:b/>
          <w:i w:val="0"/>
        </w:rPr>
        <w:t>Recommendation:</w:t>
      </w:r>
      <w:r>
        <w:rPr>
          <w:b w:val="0"/>
          <w:i w:val="0"/>
        </w:rPr>
        <w:t xml:space="preserve"> Have the Seller deliver a supplemental or restated Transfer Notice to the Company (Attention: CEO, copy to Darnell &amp; Whitaker) that attaches the final STA, summarizes the non-price terms, corrects the section references and is signed. Restart the 15-day periods unless every Investor and the Company waive the defects in writing. At minimum, obtain an express written acknowledgment from the Company and both Investors that they received the STA and waive any notice deficiency.</w:t>
      </w:r>
    </w:p>
    <w:p>
      <w:pPr>
        <w:pStyle w:val="Heading3"/>
      </w:pPr>
      <w:r>
        <w:t>Issue 5. Ridgeline Ventures has not waived its Secondary ROFR, over-allotment or Co-Sale rights, and its exercise periods run past the Closing Date</w:t>
      </w:r>
    </w:p>
    <w:p>
      <w:pPr>
        <w:spacing w:after="80"/>
      </w:pPr>
      <w:r>
        <w:rPr>
          <w:b/>
          <w:i w:val="0"/>
          <w:sz w:val="19"/>
        </w:rPr>
        <w:t>Severity:</w:t>
      </w:r>
      <w:r>
        <w:rPr>
          <w:b w:val="0"/>
          <w:i w:val="0"/>
          <w:sz w:val="19"/>
        </w:rPr>
        <w:t xml:space="preserve"> Critical    </w:t>
      </w:r>
      <w:r>
        <w:rPr>
          <w:b/>
          <w:i w:val="0"/>
          <w:sz w:val="19"/>
        </w:rPr>
        <w:t>Documents / provisions:</w:t>
      </w:r>
      <w:r>
        <w:rPr>
          <w:b w:val="0"/>
          <w:i w:val="0"/>
          <w:sz w:val="19"/>
        </w:rPr>
        <w:t xml:space="preserve"> ROFR §§1.9, 2.1(b), 2.2(a)–(b), 2.3, 3.1–3.3, 5.1, Exhibit B; STA §§3.5, 5.1(c), 6.1, 6.2(c)–(d)</w:t>
      </w:r>
    </w:p>
    <w:p>
      <w:pPr>
        <w:spacing w:after="80"/>
      </w:pPr>
      <w:r>
        <w:rPr>
          <w:b w:val="0"/>
          <w:i w:val="0"/>
        </w:rPr>
        <w:t xml:space="preserve">ROFR Exhibit B lists two Investors, Verdana (3,200,000 Series B) and </w:t>
      </w:r>
      <w:r>
        <w:rPr>
          <w:b/>
          <w:i w:val="0"/>
        </w:rPr>
        <w:t>Ridgeline Ventures, L.P. (3,200,000 Series A; Series A Director David Nakamura)</w:t>
      </w:r>
      <w:r>
        <w:rPr>
          <w:b w:val="0"/>
          <w:i w:val="0"/>
        </w:rPr>
        <w:t>. The file contains no evidence that the Company forwarded the Transfer Notice to Ridgeline within two business days after the Company Notice Period, as §2.1(b) requires, and no Ridgeline waiver.</w:t>
      </w:r>
    </w:p>
    <w:p>
      <w:pPr>
        <w:spacing w:after="80"/>
      </w:pPr>
      <w:r>
        <w:rPr>
          <w:b w:val="0"/>
          <w:i w:val="0"/>
        </w:rPr>
        <w:t xml:space="preserve">Ridgeline's rights: (i) </w:t>
      </w:r>
      <w:r>
        <w:rPr>
          <w:b/>
          <w:i w:val="0"/>
        </w:rPr>
        <w:t>Secondary ROFR</w:t>
      </w:r>
      <w:r>
        <w:rPr>
          <w:b w:val="0"/>
          <w:i w:val="0"/>
        </w:rPr>
        <w:t xml:space="preserve">: pro rata share of 50% (3.2M / 6.4M as-converted), or 212,500 shares. (ii) </w:t>
      </w:r>
      <w:r>
        <w:rPr>
          <w:b/>
          <w:i w:val="0"/>
        </w:rPr>
        <w:t>Over-allotment</w:t>
      </w:r>
      <w:r>
        <w:rPr>
          <w:b w:val="0"/>
          <w:i w:val="0"/>
        </w:rPr>
        <w:t xml:space="preserve">: because Verdana declined, Ridgeline, if it exercises in full, may buy Verdana's unsubscribed 212,500 shares within five business days after the Investor Notice Period (§2.2(b)). That means up to all </w:t>
      </w:r>
      <w:r>
        <w:rPr>
          <w:b/>
          <w:i w:val="0"/>
        </w:rPr>
        <w:t>425,000</w:t>
      </w:r>
      <w:r>
        <w:rPr>
          <w:b w:val="0"/>
          <w:i w:val="0"/>
        </w:rPr>
        <w:t xml:space="preserve"> shares. (iii) </w:t>
      </w:r>
      <w:r>
        <w:rPr>
          <w:b/>
          <w:i w:val="0"/>
        </w:rPr>
        <w:t>Co-Sale</w:t>
      </w:r>
      <w:r>
        <w:rPr>
          <w:b w:val="0"/>
          <w:i w:val="0"/>
        </w:rPr>
        <w:t xml:space="preserve">: alternatively, it may sell about 3,200,000 / (3,700,000 Key Holder shares + 3,200,000) × 425,000 ≈ </w:t>
      </w:r>
      <w:r>
        <w:rPr>
          <w:b/>
          <w:i w:val="0"/>
        </w:rPr>
        <w:t>197,101 shares</w:t>
      </w:r>
      <w:r>
        <w:rPr>
          <w:b w:val="0"/>
          <w:i w:val="0"/>
        </w:rPr>
        <w:t xml:space="preserve"> into the deal, which would reduce Hale's shares proportionately (§§3.1–3.2).</w:t>
      </w:r>
    </w:p>
    <w:p>
      <w:pPr>
        <w:spacing w:after="80"/>
      </w:pPr>
      <w:r>
        <w:rPr>
          <w:b w:val="0"/>
          <w:i w:val="0"/>
        </w:rPr>
        <w:t xml:space="preserve">Timing: the Company Notice Period ended on January 4, 2025, and forwarding was due by about January 7. Ridgeline's 15-day Investor Notice Period therefore ends around </w:t>
      </w:r>
      <w:r>
        <w:rPr>
          <w:b/>
          <w:i w:val="0"/>
        </w:rPr>
        <w:t>January 22</w:t>
      </w:r>
      <w:r>
        <w:rPr>
          <w:b w:val="0"/>
          <w:i w:val="0"/>
        </w:rPr>
        <w:t xml:space="preserve">, and over-allotment around </w:t>
      </w:r>
      <w:r>
        <w:rPr>
          <w:b/>
          <w:i w:val="0"/>
        </w:rPr>
        <w:t>January 29</w:t>
      </w:r>
      <w:r>
        <w:rPr>
          <w:b w:val="0"/>
          <w:i w:val="0"/>
        </w:rPr>
        <w:t>. Those dates are later still if forwarding was late or never happened, in which case the periods have not begun. A January 24 Closing would precede the end of the process. Under ROFR §§3.3 and 5.1 the transfer would be void, Ridgeline could require Hale to buy its shares at $6.25 (put right) or seek an injunction or unwinding without bond, and ROFR §9.9 provides specific performance.</w:t>
      </w:r>
    </w:p>
    <w:p>
      <w:pPr>
        <w:spacing w:after="80"/>
      </w:pPr>
      <w:r>
        <w:rPr>
          <w:b w:val="0"/>
          <w:i w:val="0"/>
        </w:rPr>
        <w:t>The STA assumes the problem away. §3.5 represents that the Seller "has obtained all waivers and consents required" (untrue). §5.1(c) requires waiver of "all applicable secondary rights of first refusal" but does not mention Co-Sale Rights or over-allotment. The STA also has no mechanism for adjusting the number of Shares if Ridgeline exercises.</w:t>
      </w:r>
    </w:p>
    <w:p>
      <w:pPr>
        <w:spacing w:after="80"/>
      </w:pPr>
      <w:r>
        <w:rPr>
          <w:b/>
          <w:i w:val="0"/>
        </w:rPr>
        <w:t>Recommendation:</w:t>
      </w:r>
      <w:r>
        <w:rPr>
          <w:b w:val="0"/>
          <w:i w:val="0"/>
        </w:rPr>
        <w:t xml:space="preserve"> Obtain a written, signed Ridgeline waiver of its Secondary ROFR, over-allotment and Co-Sale Rights for this specific transfer, together with its Bylaws §7.3 consent, or wait until all periods have expired with documented forwarding. Obtain written confirmation from the Company of the date it forwarded the Transfer Notice to each Investor. Amend STA §5.1(c) to cover Co-Sale and over-allotment rights and §6.2 to add the Ridgeline waiver as a deliverable. Add a share-reduction and termination mechanic if any ROFR or Co-Sale right is exercised. Consider the ROFR §4(c) Exempt Transfer route instead: Board approval including a majority of the Investor-designated directors (Nakamura and Chandrasekaran) plus holders of a majority of Investor shares. That route also requires Ridgeline.</w:t>
      </w:r>
    </w:p>
    <w:p>
      <w:pPr>
        <w:pStyle w:val="Heading3"/>
      </w:pPr>
      <w:r>
        <w:t>Issue 6. Closing Date and timing mechanics do not match the ROFR timetable; risk under ROFR §2.3</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ROFR §§2.1(a), 2.2, 2.3; STA §§1 ("Closing Date"), 6.1, 9.1(b); Transfer Notice ¶4</w:t>
      </w:r>
    </w:p>
    <w:p>
      <w:pPr>
        <w:spacing w:after="80"/>
      </w:pPr>
      <w:r>
        <w:rPr>
          <w:b w:val="0"/>
          <w:i w:val="0"/>
        </w:rPr>
        <w:t>The 30-day advance notice requirement (§2.1(a)) is met: December 20 to January 24 is 35 days. However, the fixed January 24 Closing comes before the latest ROFR deadline (about January 29) unless every Investor waives. The Transfer Notice itself undertakes that the transfer "will not be consummated prior to the expiration of all applicable exercise periods ... unless such rights are waived in writing". The STA has no matching covenant.</w:t>
      </w:r>
    </w:p>
    <w:p>
      <w:pPr>
        <w:spacing w:after="80"/>
      </w:pPr>
      <w:r>
        <w:rPr>
          <w:b w:val="0"/>
          <w:i w:val="0"/>
        </w:rPr>
        <w:t>Under ROFR §2.3(iii) the transfer must close within 90 days after all exercise periods expire, roughly by late April 2025, or a new Transfer Notice is required. The STA Outside Date (February 28, 2025) falls well inside that window. Moving the Closing to April 2025, for example for QSBS (Issue 17), would require amending the Outside Date.</w:t>
      </w:r>
    </w:p>
    <w:p>
      <w:pPr>
        <w:spacing w:after="80"/>
      </w:pPr>
      <w:r>
        <w:rPr>
          <w:b/>
          <w:i w:val="0"/>
        </w:rPr>
        <w:t>Recommendation:</w:t>
      </w:r>
      <w:r>
        <w:rPr>
          <w:b w:val="0"/>
          <w:i w:val="0"/>
        </w:rPr>
        <w:t xml:space="preserve"> Replace the fixed Closing Date with "the third Business Day after satisfaction or waiver of the conditions in Section 5 (including expiration or written waiver of all rights under the ROFR Agreement)". Add a covenant mirroring Transfer Notice ¶4. Align the Outside Date with the ROFR §2.3 90-day window.</w:t>
      </w:r>
    </w:p>
    <w:p>
      <w:pPr>
        <w:pStyle w:val="Heading3"/>
      </w:pPr>
      <w:r>
        <w:t>Issue 7. The STA is dated December 1, 2024 but recites and represents later events as past facts</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STA preamble, Recitals, §§1 ("Transfer Notice"), 3.5, 5.1(c), 6.2(b)–(d); Verdana email</w:t>
      </w:r>
    </w:p>
    <w:p>
      <w:pPr>
        <w:spacing w:after="80"/>
      </w:pPr>
      <w:r>
        <w:rPr>
          <w:b w:val="0"/>
          <w:i w:val="0"/>
        </w:rPr>
        <w:t>The STA is "dated as of December 1, 2024", but its recitals and §3.5 state that the Transfer Notice "was delivered" on December 20, 2024, and that the Company and Verdana waived on January 6 and January 10, 2025. Representations speak "as of the date hereof" (§5.1(a)), so §3.5 was untrue when made. The Verdana email confirms an STA "dated December 1, 2024" already existed. Either the document was signed on December 1 and later revised without a formal amendment under §10.2, or it is being backdated.</w:t>
      </w:r>
    </w:p>
    <w:p>
      <w:pPr>
        <w:spacing w:after="80"/>
      </w:pPr>
      <w:r>
        <w:rPr>
          <w:b w:val="0"/>
          <w:i w:val="0"/>
        </w:rPr>
        <w:t>Backdating creates evidentiary and ROFR problems. A binding agreement signed before the Transfer Notice had to be disclosed (Issue 4). An "as of" date earlier than the execution date can also misstate when the parties made their commitments, which matters for the 409A "material event" analysis (Issue 15) and for the Board's review.</w:t>
      </w:r>
    </w:p>
    <w:p>
      <w:pPr>
        <w:spacing w:after="80"/>
      </w:pPr>
      <w:r>
        <w:rPr>
          <w:b/>
          <w:i w:val="0"/>
        </w:rPr>
        <w:t>Recommendation:</w:t>
      </w:r>
      <w:r>
        <w:rPr>
          <w:b w:val="0"/>
          <w:i w:val="0"/>
        </w:rPr>
        <w:t xml:space="preserve"> Determine whether the STA was signed on December 1. If it was, document the changes by a written amendment under §10.2 and disclose the original to the Company and Investors. If it was not, date it as of actual execution and recast the recitals and §3.5 as statements true when signed, with a bring-down at Closing. Remove the "as of" fiction.</w:t>
      </w:r>
    </w:p>
    <w:p>
      <w:pPr>
        <w:pStyle w:val="Heading2"/>
      </w:pPr>
      <w:r>
        <w:t>C. Economic Terms and Waiver Documentation</w:t>
      </w:r>
    </w:p>
    <w:p>
      <w:pPr>
        <w:pStyle w:val="Heading3"/>
      </w:pPr>
      <w:r>
        <w:t>Issue 8. Purchase Price arithmetic error ($2,653,125 vs. $2,656,250) repeated in four places</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STA §§2.1, 6.3(a), 8.1, 8.3(c); Transfer Notice ¶3; Company waiver; Verdana email; Cap Table Pro Forma note 3</w:t>
      </w:r>
    </w:p>
    <w:p>
      <w:pPr>
        <w:spacing w:after="80"/>
      </w:pPr>
      <w:r>
        <w:rPr>
          <w:b w:val="0"/>
          <w:i w:val="0"/>
        </w:rPr>
        <w:t xml:space="preserve">425,000 × $6.25 = </w:t>
      </w:r>
      <w:r>
        <w:rPr>
          <w:b/>
          <w:i w:val="0"/>
        </w:rPr>
        <w:t>$2,656,250</w:t>
      </w:r>
      <w:r>
        <w:rPr>
          <w:b w:val="0"/>
          <w:i w:val="0"/>
        </w:rPr>
        <w:t xml:space="preserve">. The STA states $2,653,125, which equals 424,500 shares at $6.25, a shortfall of </w:t>
      </w:r>
      <w:r>
        <w:rPr>
          <w:b/>
          <w:i w:val="0"/>
        </w:rPr>
        <w:t>$3,125</w:t>
      </w:r>
      <w:r>
        <w:rPr>
          <w:b w:val="0"/>
          <w:i w:val="0"/>
        </w:rPr>
        <w:t>. Every other document uses $2,656,250: the Transfer Notice, the Company waiver ("$2,656,250.00"), the Verdana email and the cap table. The STA is internally inconsistent: the per-share price and share count produce one figure, while the stated aggregate, the wire amount (§6.3(a)) and the indemnity cap (§§8.1, 8.3(c)) use another.</w:t>
      </w:r>
    </w:p>
    <w:p>
      <w:pPr>
        <w:spacing w:after="80"/>
      </w:pPr>
      <w:r>
        <w:rPr>
          <w:b w:val="0"/>
          <w:i w:val="0"/>
        </w:rPr>
        <w:t>Legal significance: (i) a payment dispute at Closing. (ii) Under ROFR §2.3(i)–(ii), the sale must be at a price "no less than" and on terms "no more favorable to the Proposed Transferee than" those in the Transfer Notice. A lower aggregate price is more favorable to the Buyer, and both waivers are expressly limited to the $2,656,250 transfer. (iii) It reduces the indemnity cap.</w:t>
      </w:r>
    </w:p>
    <w:p>
      <w:pPr>
        <w:spacing w:after="80"/>
      </w:pPr>
      <w:r>
        <w:rPr>
          <w:b/>
          <w:i w:val="0"/>
        </w:rPr>
        <w:t>Recommendation:</w:t>
      </w:r>
      <w:r>
        <w:rPr>
          <w:b w:val="0"/>
          <w:i w:val="0"/>
        </w:rPr>
        <w:t xml:space="preserve"> Correct all four references to $2,656,250, and state the price formulaically (Per Share Price × number of Shares) so it controls over any stated total. Confirm the corrected figure in the Exhibit B wire instructions and the closing certificates.</w:t>
      </w:r>
    </w:p>
    <w:p>
      <w:pPr>
        <w:pStyle w:val="Heading3"/>
      </w:pPr>
      <w:r>
        <w:t>Issue 9. The Verdana waiver email is defective and does not match the STA description</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Verdana email (Jan. 10, 2025); ROFR §§2.2, 3.1, 9.2, 9.5; STA §§3.5, 5.1(c), 6.2(d), 10.3</w:t>
      </w:r>
    </w:p>
    <w:p>
      <w:pPr>
        <w:spacing w:after="80"/>
      </w:pPr>
      <w:r>
        <w:rPr>
          <w:b w:val="0"/>
          <w:i w:val="0"/>
        </w:rPr>
        <w:t xml:space="preserve">(a) </w:t>
      </w:r>
      <w:r>
        <w:rPr>
          <w:b/>
          <w:i w:val="0"/>
        </w:rPr>
        <w:t>Wrong section</w:t>
      </w:r>
      <w:r>
        <w:rPr>
          <w:b w:val="0"/>
          <w:i w:val="0"/>
        </w:rPr>
        <w:t xml:space="preserve">: it waives the secondary ROFR "under Section 3.2". §3.2 is Co-Sale mechanics; the Secondary ROFR is §2.2(a). (b) </w:t>
      </w:r>
      <w:r>
        <w:rPr>
          <w:b/>
          <w:i w:val="0"/>
        </w:rPr>
        <w:t>Wrong defined terms</w:t>
      </w:r>
      <w:r>
        <w:rPr>
          <w:b w:val="0"/>
          <w:i w:val="0"/>
        </w:rPr>
        <w:t xml:space="preserve">: it refers to an agreement "among the Company, the Founders, and the Investors". The ROFR Agreement uses "Key Holders". (c) </w:t>
      </w:r>
      <w:r>
        <w:rPr>
          <w:b/>
          <w:i w:val="0"/>
        </w:rPr>
        <w:t>Recipient</w:t>
      </w:r>
      <w:r>
        <w:rPr>
          <w:b w:val="0"/>
          <w:i w:val="0"/>
        </w:rPr>
        <w:t xml:space="preserve">: it was sent to Catherine Brennan (Company counsel), not to the Seller as STA §§3.5 and 6.2(d) state. ROFR §2.2(a) requires an Investor's election notice to go to both the Key Holder and the Company. (d) </w:t>
      </w:r>
      <w:r>
        <w:rPr>
          <w:b/>
          <w:i w:val="0"/>
        </w:rPr>
        <w:t>Sender address</w:t>
      </w:r>
      <w:r>
        <w:rPr>
          <w:b w:val="0"/>
          <w:i w:val="0"/>
        </w:rPr>
        <w:t xml:space="preserve">: pchandrasekaran@verdanacapital.com, while STA §10.3 lists priya@verdanacapital.com. (e) </w:t>
      </w:r>
      <w:r>
        <w:rPr>
          <w:b/>
          <w:i w:val="0"/>
        </w:rPr>
        <w:t>Scope</w:t>
      </w:r>
      <w:r>
        <w:rPr>
          <w:b w:val="0"/>
          <w:i w:val="0"/>
        </w:rPr>
        <w:t xml:space="preserve">: it does not waive the Co-Sale Right (§3.1) or address over-allotment (§2.2(b)). (f) </w:t>
      </w:r>
      <w:r>
        <w:rPr>
          <w:b/>
          <w:i w:val="0"/>
        </w:rPr>
        <w:t>Formality</w:t>
      </w:r>
      <w:r>
        <w:rPr>
          <w:b w:val="0"/>
          <w:i w:val="0"/>
        </w:rPr>
        <w:t xml:space="preserve">: ROFR §9.5 requires waivers to be "in writing and signed by the Party against whom enforcement ... is sought". The email has only a typed signature block of an officer of the GP, not an execution block for the LP "by its General Partner". It also says Verdana is "hoping this email confirmation will suffice" and offers a formal letter. An e-signature under Delaware UETA (6 Del. C. ch. 12A) turns on intent, which the email's own hedging puts in doubt. (g) </w:t>
      </w:r>
      <w:r>
        <w:rPr>
          <w:b/>
          <w:i w:val="0"/>
        </w:rPr>
        <w:t>Date</w:t>
      </w:r>
      <w:r>
        <w:rPr>
          <w:b w:val="0"/>
          <w:i w:val="0"/>
        </w:rPr>
        <w:t>: the header shows 03:47 UTC on January 10, which is January 9 in San Francisco. The STA cites January 10.</w:t>
      </w:r>
    </w:p>
    <w:p>
      <w:pPr>
        <w:spacing w:after="80"/>
      </w:pPr>
      <w:r>
        <w:rPr>
          <w:b w:val="0"/>
          <w:i w:val="0"/>
        </w:rPr>
        <w:t>Verdana is also the Proposed Transferee, so its practical incentive to challenge is low. But Ridgeline or the Company could rely on these defects, and the STA representations and conditions rest on an instrument that does not say what they say it does.</w:t>
      </w:r>
    </w:p>
    <w:p>
      <w:pPr>
        <w:spacing w:after="80"/>
      </w:pPr>
      <w:r>
        <w:rPr>
          <w:b/>
          <w:i w:val="0"/>
        </w:rPr>
        <w:t>Recommendation:</w:t>
      </w:r>
      <w:r>
        <w:rPr>
          <w:b w:val="0"/>
          <w:i w:val="0"/>
        </w:rPr>
        <w:t xml:space="preserve"> Obtain a formal waiver letter signed by Verdana Growth Partners III, L.P., by Verdana Capital Management LLC, its General Partner. It should cite ROFR §§2.2(a), 2.2(b) and 3.1, use defined terms correctly, be addressed to the Seller and the Company, refer to the corrected STA and price, and waive any notice defects. Conform STA §§3.5 and 6.2(d) and the §10.3 notice email.</w:t>
      </w:r>
    </w:p>
    <w:p>
      <w:pPr>
        <w:pStyle w:val="Heading3"/>
      </w:pPr>
      <w:r>
        <w:t>Issue 10. Company waiver letter: timing, Board authority and scope</w:t>
      </w:r>
    </w:p>
    <w:p>
      <w:pPr>
        <w:spacing w:after="80"/>
      </w:pPr>
      <w:r>
        <w:rPr>
          <w:b/>
          <w:i w:val="0"/>
          <w:sz w:val="19"/>
        </w:rPr>
        <w:t>Severity:</w:t>
      </w:r>
      <w:r>
        <w:rPr>
          <w:b w:val="0"/>
          <w:i w:val="0"/>
          <w:sz w:val="19"/>
        </w:rPr>
        <w:t xml:space="preserve"> Medium    </w:t>
      </w:r>
      <w:r>
        <w:rPr>
          <w:b/>
          <w:i w:val="0"/>
          <w:sz w:val="19"/>
        </w:rPr>
        <w:t>Documents / provisions:</w:t>
      </w:r>
      <w:r>
        <w:rPr>
          <w:b w:val="0"/>
          <w:i w:val="0"/>
          <w:sz w:val="19"/>
        </w:rPr>
        <w:t xml:space="preserve"> Company waiver (Jan. 6, 2025); ROFR §§2.1(b), 2.2; STA §§3.5, 5.1(c), 6.2(c)</w:t>
      </w:r>
    </w:p>
    <w:p>
      <w:pPr>
        <w:spacing w:after="80"/>
      </w:pPr>
      <w:r>
        <w:rPr>
          <w:b w:val="0"/>
          <w:i w:val="0"/>
        </w:rPr>
        <w:t>The waiver is dated January 6, 2025, two days after the 15-day Company Notice Period expired on January 4, 2025. By then the Company was already deemed to have declined under §2.1(b), so the letter is harmless as a waiver. The point that matters is that the Company's obligation to forward the notice to the Investors "promptly ... and in any event within two (2) business days" was triggered on January 4–7. The letter does not say the notice was forwarded.</w:t>
      </w:r>
    </w:p>
    <w:p>
      <w:pPr>
        <w:spacing w:after="80"/>
      </w:pPr>
      <w:r>
        <w:rPr>
          <w:b w:val="0"/>
          <w:i w:val="0"/>
        </w:rPr>
        <w:t>The letter states that the Board "duly reviewed" the Transfer Notice, but it is signed by the CEO alone and no Board resolution has been produced. If the Board acted, it would have included the two interested directors (Issue 2). The letter does not refer to the STA or its non-price terms, so it waives only the terms in the (deficient) Transfer Notice. It does not constitute Charter Art. IX or Bylaws §7.2 consent, and it expressly preserves those requirements. It is addressed to Hale's home address under his Company title, and it was copied to counsel but not to the Investors.</w:t>
      </w:r>
    </w:p>
    <w:p>
      <w:pPr>
        <w:spacing w:after="80"/>
      </w:pPr>
      <w:r>
        <w:rPr>
          <w:b/>
          <w:i w:val="0"/>
        </w:rPr>
        <w:t>Recommendation:</w:t>
      </w:r>
      <w:r>
        <w:rPr>
          <w:b w:val="0"/>
          <w:i w:val="0"/>
        </w:rPr>
        <w:t xml:space="preserve"> Obtain (i) the Board resolution or consent (if any) supporting the waiver, (ii) written confirmation of the date the Transfer Notice was forwarded to each Investor, and (iii) a bring-down or acknowledgment that the waiver covers the final STA terms and the corrected price.</w:t>
      </w:r>
    </w:p>
    <w:p>
      <w:pPr>
        <w:pStyle w:val="Heading2"/>
      </w:pPr>
      <w:r>
        <w:t>D. STA Drafting and Representation Issues</w:t>
      </w:r>
    </w:p>
    <w:p>
      <w:pPr>
        <w:pStyle w:val="Heading3"/>
      </w:pPr>
      <w:r>
        <w:t>Issue 11. Seller representations that are inaccurate or inconsistent with the record</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STA §§3.1, 3.3, 3.5, 3.6, Recitals; Cap Table; ROFR §6; 409A §5(c)</w:t>
      </w:r>
    </w:p>
    <w:p>
      <w:pPr>
        <w:spacing w:after="80"/>
      </w:pPr>
      <w:r>
        <w:rPr>
          <w:b/>
          <w:i w:val="0"/>
        </w:rPr>
        <w:t>§3.1 (title / free and clear):</w:t>
      </w:r>
      <w:r>
        <w:rPr>
          <w:b w:val="0"/>
          <w:i w:val="0"/>
        </w:rPr>
        <w:t xml:space="preserve"> the Shares are subject to the Charter Art. IX consent right, the Bylaws Art. VII restrictions, the ROFR Agreement (including the restrictive legend under ROFR §8.1 and Charter §9.4) and possibly the Investors' Rights Agreement. The "no restrictions on transfer of any kind" statement is untrue. §2.1 likewise sells "free and clear of all Encumbrances", and "Encumbrance" is defined to include any "right of first refusal" and "legend".</w:t>
      </w:r>
    </w:p>
    <w:p>
      <w:pPr>
        <w:spacing w:after="80"/>
      </w:pPr>
      <w:r>
        <w:rPr>
          <w:b/>
          <w:i w:val="0"/>
        </w:rPr>
        <w:t>Vesting date:</w:t>
      </w:r>
      <w:r>
        <w:rPr>
          <w:b w:val="0"/>
          <w:i w:val="0"/>
        </w:rPr>
        <w:t xml:space="preserve"> the STA (Recitals and §3.1) says the shares were "fully vested as of October 1, 2024". The cap table says "Fully vested as of April 1, 2024", which matches four-year vesting from the April 1, 2020 RSPA. The RSPA should be checked to confirm that any Company repurchase right has lapsed.</w:t>
      </w:r>
    </w:p>
    <w:p>
      <w:pPr>
        <w:spacing w:after="80"/>
      </w:pPr>
      <w:r>
        <w:rPr>
          <w:b/>
          <w:i w:val="0"/>
        </w:rPr>
        <w:t>§3.3:</w:t>
      </w:r>
      <w:r>
        <w:rPr>
          <w:b w:val="0"/>
          <w:i w:val="0"/>
        </w:rPr>
        <w:t xml:space="preserve"> see Issue 1. </w:t>
      </w:r>
      <w:r>
        <w:rPr>
          <w:b/>
          <w:i w:val="0"/>
        </w:rPr>
        <w:t>§3.5:</w:t>
      </w:r>
      <w:r>
        <w:rPr>
          <w:b w:val="0"/>
          <w:i w:val="0"/>
        </w:rPr>
        <w:t xml:space="preserve"> see Issues 5, 7 and 9 (untrue as to all waivers, the email recipient and timing).</w:t>
      </w:r>
    </w:p>
    <w:p>
      <w:pPr>
        <w:spacing w:after="80"/>
      </w:pPr>
      <w:r>
        <w:rPr>
          <w:b/>
          <w:i w:val="0"/>
        </w:rPr>
        <w:t>§3.6 (lock-up):</w:t>
      </w:r>
      <w:r>
        <w:rPr>
          <w:b w:val="0"/>
          <w:i w:val="0"/>
        </w:rPr>
        <w:t xml:space="preserve"> this is accurate as to the ROFR Agreement §6 lock-up, which expired August 22, 2024, although the STA calls it a separate "lock-up agreement". However, the 409A report (§5(c)) states that the </w:t>
      </w:r>
      <w:r>
        <w:rPr>
          <w:b/>
          <w:i w:val="0"/>
        </w:rPr>
        <w:t>Investors' Rights Agreement</w:t>
      </w:r>
      <w:r>
        <w:rPr>
          <w:b w:val="0"/>
          <w:i w:val="0"/>
        </w:rPr>
        <w:t xml:space="preserve"> contains "market standoff and lock-up provisions applicable to all common stockholders". The IRA is defined in the STA but never used, and it has not been provided. The flat statement that the Seller "is not subject to any lock-up, market standoff, or similar restriction" needs to be checked against the IRA.</w:t>
      </w:r>
    </w:p>
    <w:p>
      <w:pPr>
        <w:spacing w:after="80"/>
      </w:pPr>
      <w:r>
        <w:rPr>
          <w:b/>
          <w:i w:val="0"/>
        </w:rPr>
        <w:t>Community property:</w:t>
      </w:r>
      <w:r>
        <w:rPr>
          <w:b w:val="0"/>
          <w:i w:val="0"/>
        </w:rPr>
        <w:t xml:space="preserve"> the Seller lives in Texas, a community property state, and the shares were acquired in 2020. The definition of "Encumbrance" includes "community property interest", and §3.1 says no other Person has any interest. If Hale is married, a spousal consent should be obtained.</w:t>
      </w:r>
    </w:p>
    <w:p>
      <w:pPr>
        <w:spacing w:after="80"/>
      </w:pPr>
      <w:r>
        <w:rPr>
          <w:b/>
          <w:i w:val="0"/>
        </w:rPr>
        <w:t>Company description:</w:t>
      </w:r>
      <w:r>
        <w:rPr>
          <w:b w:val="0"/>
          <w:i w:val="0"/>
        </w:rPr>
        <w:t xml:space="preserve"> the Recitals describe the business as "electric vehicle charging infrastructure". The 409A report describes "industrial automation and predictive-maintenance software-as-a-service". This should be reconciled. Inaccurate descriptions undermine the information record on which the Buyer relies (§4.5) and the 409A report's reliability.</w:t>
      </w:r>
    </w:p>
    <w:p>
      <w:pPr>
        <w:spacing w:after="80"/>
      </w:pPr>
      <w:r>
        <w:rPr>
          <w:b/>
          <w:i w:val="0"/>
        </w:rPr>
        <w:t>Recommendation:</w:t>
      </w:r>
      <w:r>
        <w:rPr>
          <w:b w:val="0"/>
          <w:i w:val="0"/>
        </w:rPr>
        <w:t xml:space="preserve"> Revise §§2.1 and 3.1 to carve out the restrictions under the Charter, Bylaws, ROFR Agreement, IRA, Voting Agreement and legends. Conform the vesting date to the RSPA (April 1, 2024, if confirmed). Review the IRA and revise §3.6. Obtain a spousal consent if applicable. Correct the business description.</w:t>
      </w:r>
    </w:p>
    <w:p>
      <w:pPr>
        <w:pStyle w:val="Heading3"/>
      </w:pPr>
      <w:r>
        <w:t>Issue 12. Closing conditions, deliverables and Company role are incomplete</w:t>
      </w:r>
    </w:p>
    <w:p>
      <w:pPr>
        <w:spacing w:after="80"/>
      </w:pPr>
      <w:r>
        <w:rPr>
          <w:b/>
          <w:i w:val="0"/>
          <w:sz w:val="19"/>
        </w:rPr>
        <w:t>Severity:</w:t>
      </w:r>
      <w:r>
        <w:rPr>
          <w:b w:val="0"/>
          <w:i w:val="0"/>
          <w:sz w:val="19"/>
        </w:rPr>
        <w:t xml:space="preserve"> Medium    </w:t>
      </w:r>
      <w:r>
        <w:rPr>
          <w:b/>
          <w:i w:val="0"/>
          <w:sz w:val="19"/>
        </w:rPr>
        <w:t>Documents / provisions:</w:t>
      </w:r>
      <w:r>
        <w:rPr>
          <w:b w:val="0"/>
          <w:i w:val="0"/>
          <w:sz w:val="19"/>
        </w:rPr>
        <w:t xml:space="preserve"> STA §§2.3, 5.1, 5.2, 6.2, 6.3, 10.10, Exhibits A–B; Bylaws §§5.1, 5.3; ROFR §8.1; Charter §9.4</w:t>
      </w:r>
    </w:p>
    <w:p>
      <w:pPr>
        <w:spacing w:after="80"/>
      </w:pPr>
      <w:r>
        <w:rPr>
          <w:b w:val="0"/>
          <w:i w:val="0"/>
        </w:rPr>
        <w:t>Missing conditions and deliverables: Board written consent (Issue 1); Bylaws §7.3 Preferred consent (Issue 3); Ridgeline waivers including Co-Sale (Issue 5); a signed Verdana waiver (Issue 9); the Company's undertaking to register the transfer; a balance certificate for Hale's remaining 1,425,000 shares; issuance of the Buyer's certificate with the Charter §9.4 legends; a spousal consent; and a bring-down officer's certificate on approvals.</w:t>
      </w:r>
    </w:p>
    <w:p>
      <w:pPr>
        <w:spacing w:after="80"/>
      </w:pPr>
      <w:r>
        <w:rPr>
          <w:b w:val="0"/>
          <w:i w:val="0"/>
        </w:rPr>
        <w:t>The Company signs the STA only to "acknowledge" Sections 6, 7.1 and 10.3 and is a third-party beneficiary (§10.10). It makes no commitment to register the transfer. Under Bylaws §5.3 the Company must record the transfer "upon surrender of the certificate", and the Secretary maintains the ledger (Bylaws §4.5). STA §2.3 has the Buyer instruct the transfer agent. Notably, the Company signature block makes the Company bound by NY-law arbitration only for limited purposes.</w:t>
      </w:r>
    </w:p>
    <w:p>
      <w:pPr>
        <w:spacing w:after="80"/>
      </w:pPr>
      <w:r>
        <w:rPr>
          <w:b w:val="0"/>
          <w:i w:val="0"/>
        </w:rPr>
        <w:t>Exhibit A (stock power) leaves the certificate number and attorney-in-fact blank, and the date is "_____, 2025". The Exhibit B wire instructions are blank. The Seller's bank (Lone Star National Bank) is also the Company's depository bank under Bylaws §4.6, which is not improper but should be confirmed, along with the Seller's personal account. Use telephone call-back verification to mitigate wire-fraud risk.</w:t>
      </w:r>
    </w:p>
    <w:p>
      <w:pPr>
        <w:spacing w:after="80"/>
      </w:pPr>
      <w:r>
        <w:rPr>
          <w:b/>
          <w:i w:val="0"/>
        </w:rPr>
        <w:t>Recommendation:</w:t>
      </w:r>
      <w:r>
        <w:rPr>
          <w:b w:val="0"/>
          <w:i w:val="0"/>
        </w:rPr>
        <w:t xml:space="preserve"> Add the missing conditions and deliverables. Have the Company sign a short joinder or acknowledgment covering registration on the ledger, cancellation and reissuance of certificates (including the Seller's balance certificate), legends and stop-transfer release. Complete Exhibits A and B before Closing.</w:t>
      </w:r>
    </w:p>
    <w:p>
      <w:pPr>
        <w:pStyle w:val="Heading3"/>
      </w:pPr>
      <w:r>
        <w:t>Issue 13. Misidentified securities law exemption and thin Buyer investment representations</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STA Recitals, §§4.2, 4.5; Transfer Notice ¶6; Charter §9.4(a)</w:t>
      </w:r>
    </w:p>
    <w:p>
      <w:pPr>
        <w:spacing w:after="80"/>
      </w:pPr>
      <w:r>
        <w:rPr>
          <w:b w:val="0"/>
          <w:i w:val="0"/>
        </w:rPr>
        <w:t xml:space="preserve">The STA recital relies on Section 4(a)(2) of the Securities Act "as a transaction by an issuer not involving any public offering", and the Transfer Notice repeats this. Section 4(a)(2) covers only transactions </w:t>
      </w:r>
      <w:r>
        <w:rPr>
          <w:b/>
          <w:i w:val="0"/>
        </w:rPr>
        <w:t>by an issuer</w:t>
      </w:r>
      <w:r>
        <w:rPr>
          <w:b w:val="0"/>
          <w:i w:val="0"/>
        </w:rPr>
        <w:t xml:space="preserve">. Hale is a selling stockholder. He is also an </w:t>
      </w:r>
      <w:r>
        <w:rPr>
          <w:b/>
          <w:i w:val="0"/>
        </w:rPr>
        <w:t>affiliate</w:t>
      </w:r>
      <w:r>
        <w:rPr>
          <w:b w:val="0"/>
          <w:i w:val="0"/>
        </w:rPr>
        <w:t xml:space="preserve"> of the Company (co-founder, CTO, director and 12.67% holder), so his resale cannot rely on the Section 4(a)(1) "not an underwriter" exemption without analysis. Rule 144 is not practically available for a non-reporting issuer's affiliate. The usual bases are </w:t>
      </w:r>
      <w:r>
        <w:rPr>
          <w:b/>
          <w:i w:val="0"/>
        </w:rPr>
        <w:t>Section 4(a)(7)</w:t>
      </w:r>
      <w:r>
        <w:rPr>
          <w:b w:val="0"/>
          <w:i w:val="0"/>
        </w:rPr>
        <w:t xml:space="preserve"> (accredited purchaser; no general solicitation; the issuer information required by §4(d)(3) for a non-reporting issuer, which is satisfied here through Verdana's information rights and board seat; and the securities are not unsold allotments) or the </w:t>
      </w:r>
      <w:r>
        <w:rPr>
          <w:b/>
          <w:i w:val="0"/>
        </w:rPr>
        <w:t>"Section 4(a)(1½)"</w:t>
      </w:r>
      <w:r>
        <w:rPr>
          <w:b w:val="0"/>
          <w:i w:val="0"/>
        </w:rPr>
        <w:t xml:space="preserve"> private-resale analysis. Note that under §4(a)(7) the shares remain "restricted securities".</w:t>
      </w:r>
    </w:p>
    <w:p>
      <w:pPr>
        <w:spacing w:after="80"/>
      </w:pPr>
      <w:r>
        <w:rPr>
          <w:b w:val="0"/>
          <w:i w:val="0"/>
        </w:rPr>
        <w:t>The Buyer's representations are limited to accredited-investor status and sophistication (§4.2). Missing: investment intent and no view to distribution; acknowledgment that the shares are restricted and legended; no general solicitation; no broker or finder fees (both sides); and state blue-sky analysis (Texas and California). Because both parties are insiders (a director-CTO seller and a director-designee buyer under §4.5), each may hold material non-public information. A mutual "big boy" non-reliance and 10b-5 release is advisable. The STA §10.1 entire-agreement clause and §8.3(d) exclusive remedy do not replace one.</w:t>
      </w:r>
    </w:p>
    <w:p>
      <w:pPr>
        <w:spacing w:after="80"/>
      </w:pPr>
      <w:r>
        <w:rPr>
          <w:b/>
          <w:i w:val="0"/>
        </w:rPr>
        <w:t>Recommendation:</w:t>
      </w:r>
      <w:r>
        <w:rPr>
          <w:b w:val="0"/>
          <w:i w:val="0"/>
        </w:rPr>
        <w:t xml:space="preserve"> Replace the 4(a)(2) recital with a reference to Section 4(a)(7) and/or Section 4(a)(1½), and correct the Transfer Notice. Add Buyer investment representations, mutual no-broker and no-general-solicitation representations, a mutual big-boy and non-reliance acknowledgment, and blue-sky compliance language.</w:t>
      </w:r>
    </w:p>
    <w:p>
      <w:pPr>
        <w:pStyle w:val="Heading3"/>
      </w:pPr>
      <w:r>
        <w:t>Issue 14. Governing law, dispute resolution, indemnity and confidentiality provisions are mismatched with the governing instruments</w:t>
      </w:r>
    </w:p>
    <w:p>
      <w:pPr>
        <w:spacing w:after="80"/>
      </w:pPr>
      <w:r>
        <w:rPr>
          <w:b/>
          <w:i w:val="0"/>
          <w:sz w:val="19"/>
        </w:rPr>
        <w:t>Severity:</w:t>
      </w:r>
      <w:r>
        <w:rPr>
          <w:b w:val="0"/>
          <w:i w:val="0"/>
          <w:sz w:val="19"/>
        </w:rPr>
        <w:t xml:space="preserve"> Medium    </w:t>
      </w:r>
      <w:r>
        <w:rPr>
          <w:b/>
          <w:i w:val="0"/>
          <w:sz w:val="19"/>
        </w:rPr>
        <w:t>Documents / provisions:</w:t>
      </w:r>
      <w:r>
        <w:rPr>
          <w:b w:val="0"/>
          <w:i w:val="0"/>
          <w:sz w:val="19"/>
        </w:rPr>
        <w:t xml:space="preserve"> STA §§7.3, 8.1–8.3, 10.4, 10.5, 10.10; ROFR §§2.1(a)(vii), 9.3, 9.9; Charter §13.3; Bylaws §14.1; Company waiver</w:t>
      </w:r>
    </w:p>
    <w:p>
      <w:pPr>
        <w:spacing w:after="80"/>
      </w:pPr>
      <w:r>
        <w:rPr>
          <w:b/>
          <w:i w:val="0"/>
        </w:rPr>
        <w:t>Governing law and forum:</w:t>
      </w:r>
      <w:r>
        <w:rPr>
          <w:b w:val="0"/>
          <w:i w:val="0"/>
        </w:rPr>
        <w:t xml:space="preserve"> the STA uses New York law and AAA arbitration in New York. Every related instrument (ROFR Agreement, Charter, Bylaws and the Company waiver) uses Delaware law, and ROFR §9.9 contemplates court-ordered specific performance. The parties and counsel are in Texas and California, and nothing ties the deal to New York. Questions about whether the transfer is valid are governed by Delaware law in any event (internal affairs; DGCL §202). Split law and forum invites inconsistent results, for example where an arbitrator decides a STA claim while a Delaware court decides voidness under the ROFR Agreement.</w:t>
      </w:r>
    </w:p>
    <w:p>
      <w:pPr>
        <w:spacing w:after="80"/>
      </w:pPr>
      <w:r>
        <w:rPr>
          <w:b/>
          <w:i w:val="0"/>
        </w:rPr>
        <w:t>Indemnity:</w:t>
      </w:r>
      <w:r>
        <w:rPr>
          <w:b w:val="0"/>
          <w:i w:val="0"/>
        </w:rPr>
        <w:t xml:space="preserve"> (i) the cap is wrongly stated (Issue 8). (ii) The title, authority and ROFR-compliance representations are "fundamental" but are subject to the de minimis, the $25,000 tipping basket and 24-month survival. For the Buyer, title failure should not be capped below price or limited in time. (iii) The §8.3(d) exclusive remedy does not expressly preserve specific performance or injunctive relief. (iv) There is no reciprocal Buyer indemnity, which the Seller should request. (v) §8.3(a) says de minimis Losses do not count toward the Basket, and §8.3(b) is a tipping basket. Confirm this is intended.</w:t>
      </w:r>
    </w:p>
    <w:p>
      <w:pPr>
        <w:spacing w:after="80"/>
      </w:pPr>
      <w:r>
        <w:rPr>
          <w:b/>
          <w:i w:val="0"/>
        </w:rPr>
        <w:t>Confidentiality (§7.3)</w:t>
      </w:r>
      <w:r>
        <w:rPr>
          <w:b w:val="0"/>
          <w:i w:val="0"/>
        </w:rPr>
        <w:t xml:space="preserve"> bars disclosing the STA to third parties without consent. That conflicts with ROFR §2.1(a)(vii), which requires a full copy to go to the Company and Investors, including Ridgeline, and with Bylaws §7.2, which requires submitting all material terms to the Board. Only a narrow Company carve-out exists.</w:t>
      </w:r>
    </w:p>
    <w:p>
      <w:pPr>
        <w:spacing w:after="80"/>
      </w:pPr>
      <w:r>
        <w:rPr>
          <w:b/>
          <w:i w:val="0"/>
        </w:rPr>
        <w:t>Notices (§10.3):</w:t>
      </w:r>
      <w:r>
        <w:rPr>
          <w:b w:val="0"/>
          <w:i w:val="0"/>
        </w:rPr>
        <w:t xml:space="preserve"> the Seller's notice email is his Company address (marcus.hale@meridianbolt.com), which the Company can access; use a personal address. The Company contact (julia.fong@) differs from the ROFR §9.2 address (jfong@). The Buyer's email differs from the address actually used (Issue 9).</w:t>
      </w:r>
    </w:p>
    <w:p>
      <w:pPr>
        <w:spacing w:after="80"/>
      </w:pPr>
      <w:r>
        <w:rPr>
          <w:b/>
          <w:i w:val="0"/>
        </w:rPr>
        <w:t>Recommendation:</w:t>
      </w:r>
      <w:r>
        <w:rPr>
          <w:b w:val="0"/>
          <w:i w:val="0"/>
        </w:rPr>
        <w:t xml:space="preserve"> Change the governing law to Delaware and either use Delaware courts or carve equitable relief and ROFR-related claims out of arbitration. Treat fundamental representations separately: no basket, cap at the Purchase Price or higher, and survival to the statute of limitations. Preserve equitable remedies. Add a ROFR and Board disclosure carve-out to §7.3. Conform the notice addresses.</w:t>
      </w:r>
    </w:p>
    <w:p>
      <w:pPr>
        <w:pStyle w:val="Heading2"/>
      </w:pPr>
      <w:r>
        <w:t>E. Tax and Section 409A</w:t>
      </w:r>
    </w:p>
    <w:p>
      <w:pPr>
        <w:pStyle w:val="Heading3"/>
      </w:pPr>
      <w:r>
        <w:t>Issue 15. The STA statement that $6.25 "represents the fair market value" conflicts with the $4.82 409A FMV and threatens the 409A safe harbor</w:t>
      </w:r>
    </w:p>
    <w:p>
      <w:pPr>
        <w:spacing w:after="80"/>
      </w:pPr>
      <w:r>
        <w:rPr>
          <w:b/>
          <w:i w:val="0"/>
          <w:sz w:val="19"/>
        </w:rPr>
        <w:t>Severity:</w:t>
      </w:r>
      <w:r>
        <w:rPr>
          <w:b w:val="0"/>
          <w:i w:val="0"/>
          <w:sz w:val="19"/>
        </w:rPr>
        <w:t xml:space="preserve"> High    </w:t>
      </w:r>
      <w:r>
        <w:rPr>
          <w:b/>
          <w:i w:val="0"/>
          <w:sz w:val="19"/>
        </w:rPr>
        <w:t>Documents / provisions:</w:t>
      </w:r>
      <w:r>
        <w:rPr>
          <w:b w:val="0"/>
          <w:i w:val="0"/>
          <w:sz w:val="19"/>
        </w:rPr>
        <w:t xml:space="preserve"> STA §2.1; 409A Summary §§2, 4, 5, 6(3), 7; Cap Table (Option Grants; grants at $4.82 in Q3/Q4 2024)</w:t>
      </w:r>
    </w:p>
    <w:p>
      <w:pPr>
        <w:spacing w:after="80"/>
      </w:pPr>
      <w:r>
        <w:rPr>
          <w:b w:val="0"/>
          <w:i w:val="0"/>
        </w:rPr>
        <w:t xml:space="preserve">STA §2.1 recites that the $6.25 Per Share Price "represents the fair market value of the Shares as mutually determined ... based upon ... the Company's most recent 409A valuation report and ... recent arm's-length secondary transactions". Both premises are wrong. The 409A FMV is </w:t>
      </w:r>
      <w:r>
        <w:rPr>
          <w:b/>
          <w:i w:val="0"/>
        </w:rPr>
        <w:t>$4.82</w:t>
      </w:r>
      <w:r>
        <w:rPr>
          <w:b w:val="0"/>
          <w:i w:val="0"/>
        </w:rPr>
        <w:t xml:space="preserve">, so $6.25 is a </w:t>
      </w:r>
      <w:r>
        <w:rPr>
          <w:b/>
          <w:i w:val="0"/>
        </w:rPr>
        <w:t>29.7% premium</w:t>
      </w:r>
      <w:r>
        <w:rPr>
          <w:b w:val="0"/>
          <w:i w:val="0"/>
        </w:rPr>
        <w:t>; it is close to the pre-DLOM $6.43 value. The 409A report states that no secondary transactions were known.</w:t>
      </w:r>
    </w:p>
    <w:p>
      <w:pPr>
        <w:spacing w:after="80"/>
      </w:pPr>
      <w:r>
        <w:rPr>
          <w:b w:val="0"/>
          <w:i w:val="0"/>
        </w:rPr>
        <w:t>The 409A report expressly lists "secondary transactions in the Company's securities at prices materially different from the concluded FMV" as a material event that may end its validity (§§2, 6(3)). The presumption of reasonableness applies only while the valuation "remains valid" (§7; Treas. Reg. §1.409A-1(b)(5)(iv)(B)). Grants made at $4.82 after the price was agreed (OPT-011 on Oct. 1, 2024 and OPT-012 on Oct. 15, 2024 may be close in time to the deal negotiations; any later grants are at greater risk) could be challenged as discounted options, exposing optionees to §409A income inclusion, a 20% additional tax and interest. A signed contractual admission that $6.25 is "fair market value" would be strong evidence for the IRS and for auditors.</w:t>
      </w:r>
    </w:p>
    <w:p>
      <w:pPr>
        <w:spacing w:after="80"/>
      </w:pPr>
      <w:r>
        <w:rPr>
          <w:b w:val="0"/>
          <w:i w:val="0"/>
        </w:rPr>
        <w:t>The report also relies on an OPM backsolve anchored to the August 2022 Series B round, almost two years old, and on a 25% DLOM premised on transfer restrictions that this transaction shows can be navigated. The report itself has inconsistencies (Issue 18).</w:t>
      </w:r>
    </w:p>
    <w:p>
      <w:pPr>
        <w:spacing w:after="80"/>
      </w:pPr>
      <w:r>
        <w:rPr>
          <w:b/>
          <w:i w:val="0"/>
        </w:rPr>
        <w:t>Recommendation:</w:t>
      </w:r>
      <w:r>
        <w:rPr>
          <w:b w:val="0"/>
          <w:i w:val="0"/>
        </w:rPr>
        <w:t xml:space="preserve"> Delete the FMV acknowledgment in §2.1 and replace it with a neutral statement that the price was negotiated between the parties and is not a determination of fair market value for any purpose. Have the Company obtain an updated 409A valuation that considers this secondary sale before making further option grants, and evaluate grants made after the deal terms were known.</w:t>
      </w:r>
    </w:p>
    <w:p>
      <w:pPr>
        <w:pStyle w:val="Heading3"/>
      </w:pPr>
      <w:r>
        <w:t>Issue 16. Risk that the premium is treated as compensation (Seller is an officer and director; Buyer is an existing investor)</w:t>
      </w:r>
    </w:p>
    <w:p>
      <w:pPr>
        <w:spacing w:after="80"/>
      </w:pPr>
      <w:r>
        <w:rPr>
          <w:b/>
          <w:i w:val="0"/>
          <w:sz w:val="19"/>
        </w:rPr>
        <w:t>Severity:</w:t>
      </w:r>
      <w:r>
        <w:rPr>
          <w:b w:val="0"/>
          <w:i w:val="0"/>
          <w:sz w:val="19"/>
        </w:rPr>
        <w:t xml:space="preserve"> Medium    </w:t>
      </w:r>
      <w:r>
        <w:rPr>
          <w:b/>
          <w:i w:val="0"/>
          <w:sz w:val="19"/>
        </w:rPr>
        <w:t>Documents / provisions:</w:t>
      </w:r>
      <w:r>
        <w:rPr>
          <w:b w:val="0"/>
          <w:i w:val="0"/>
          <w:sz w:val="19"/>
        </w:rPr>
        <w:t xml:space="preserve"> STA §§2.1, 3.7, 7.4; 409A Summary; Cap Table</w:t>
      </w:r>
    </w:p>
    <w:p>
      <w:pPr>
        <w:spacing w:after="80"/>
      </w:pPr>
      <w:r>
        <w:rPr>
          <w:b w:val="0"/>
          <w:i w:val="0"/>
        </w:rPr>
        <w:t xml:space="preserve">When an existing investor (an economic-interest holder) buys shares from an employee at a price above FMV, the excess may be treated as compensation for financial reporting (ASC 718), with the premium of about $1.43 × 425,000 ≈ </w:t>
      </w:r>
      <w:r>
        <w:rPr>
          <w:b/>
          <w:i w:val="0"/>
        </w:rPr>
        <w:t>$607,750</w:t>
      </w:r>
      <w:r>
        <w:rPr>
          <w:b w:val="0"/>
          <w:i w:val="0"/>
        </w:rPr>
        <w:t xml:space="preserve"> recorded as compensation expense. It may also be treated as compensation income to the employee (ordinary income and wage withholding), unless the price reflects a bona fide arm's-length transaction with no compensatory purpose. Here the Buyer is the Series B lead with a board seat, and the Seller is a co-founder, CTO and director. STA §7.4 allocates the Seller's taxes to him, but neither the Company's potential withholding and reporting obligations nor the accounting treatment is addressed.</w:t>
      </w:r>
    </w:p>
    <w:p>
      <w:pPr>
        <w:spacing w:after="80"/>
      </w:pPr>
      <w:r>
        <w:rPr>
          <w:b/>
          <w:i w:val="0"/>
        </w:rPr>
        <w:t>Recommendation:</w:t>
      </w:r>
      <w:r>
        <w:rPr>
          <w:b w:val="0"/>
          <w:i w:val="0"/>
        </w:rPr>
        <w:t xml:space="preserve"> Have the Company's auditors (Thornfield Accounting Group LLP) and tax advisors assess compensatory treatment. Document the arm's-length, non-compensatory nature of the price in Board materials. Add a cooperation and withholding provision covering the Company, or a Seller representation and indemnity for any withholding.</w:t>
      </w:r>
    </w:p>
    <w:p>
      <w:pPr>
        <w:pStyle w:val="Heading3"/>
      </w:pPr>
      <w:r>
        <w:t>Issue 17. Seller QSBS (IRC §1202) holding-period timing</w:t>
      </w:r>
    </w:p>
    <w:p>
      <w:pPr>
        <w:spacing w:after="80"/>
      </w:pPr>
      <w:r>
        <w:rPr>
          <w:b/>
          <w:i w:val="0"/>
          <w:sz w:val="19"/>
        </w:rPr>
        <w:t>Severity:</w:t>
      </w:r>
      <w:r>
        <w:rPr>
          <w:b w:val="0"/>
          <w:i w:val="0"/>
          <w:sz w:val="19"/>
        </w:rPr>
        <w:t xml:space="preserve"> Medium    </w:t>
      </w:r>
      <w:r>
        <w:rPr>
          <w:b/>
          <w:i w:val="0"/>
          <w:sz w:val="19"/>
        </w:rPr>
        <w:t>Documents / provisions:</w:t>
      </w:r>
      <w:r>
        <w:rPr>
          <w:b w:val="0"/>
          <w:i w:val="0"/>
          <w:sz w:val="19"/>
        </w:rPr>
        <w:t xml:space="preserve"> STA §§3.7, 6.1, 9.1(b); Cap Table; 409A §3</w:t>
      </w:r>
    </w:p>
    <w:p>
      <w:pPr>
        <w:spacing w:after="80"/>
      </w:pPr>
      <w:r>
        <w:rPr>
          <w:b w:val="0"/>
          <w:i w:val="0"/>
        </w:rPr>
        <w:t xml:space="preserve">Hale acquired the shares on April 1, 2020 and filed an 83(b) election, so the holding period runs from April 1, 2020. Total Preferred investment of $16.8M suggests the Company may be within the $50M gross-asset test at the issuance date, so the stock may be qualified small business stock. This must be confirmed: active-business requirement, C-corporation status and no disqualifying redemptions. The five-year holding period is met on </w:t>
      </w:r>
      <w:r>
        <w:rPr>
          <w:b/>
          <w:i w:val="0"/>
        </w:rPr>
        <w:t>April 1, 2025</w:t>
      </w:r>
      <w:r>
        <w:rPr>
          <w:b w:val="0"/>
          <w:i w:val="0"/>
        </w:rPr>
        <w:t>. Closing on January 24, 2025, about 67 days early, would forfeit the §1202 exclusion on roughly $2.6M of gain, leaving only a §1045 rollover option. Any change in law affecting stock acquired after July 2025 does not affect Hale's 2020 shares. Moving the Closing to on or after April 1, 2025 fits inside the ROFR §2.3 90-day window (Issue 6), but requires extending the February 28, 2025 Outside Date. This item benefits the Seller. Its relevance depends on which party we represent.</w:t>
      </w:r>
    </w:p>
    <w:p>
      <w:pPr>
        <w:spacing w:after="80"/>
      </w:pPr>
      <w:r>
        <w:rPr>
          <w:b/>
          <w:i w:val="0"/>
        </w:rPr>
        <w:t>Recommendation:</w:t>
      </w:r>
      <w:r>
        <w:rPr>
          <w:b w:val="0"/>
          <w:i w:val="0"/>
        </w:rPr>
        <w:t xml:space="preserve"> Confirm QSBS eligibility with tax counsel and consider moving the Closing to on or after April 2, 2025, with a matching Outside Date extension and an ROFR timing analysis. If timing cannot move, consider a §1045 rollover.</w:t>
      </w:r>
    </w:p>
    <w:p>
      <w:pPr>
        <w:pStyle w:val="Heading2"/>
      </w:pPr>
      <w:r>
        <w:t>F. Cross-Document Data Integrity (Cap Table, 409A, Charter)</w:t>
      </w:r>
    </w:p>
    <w:p>
      <w:pPr>
        <w:pStyle w:val="Heading3"/>
      </w:pPr>
      <w:r>
        <w:t>Issue 18. Inconsistencies in the cap table and 409A report undermine the information record</w:t>
      </w:r>
    </w:p>
    <w:p>
      <w:pPr>
        <w:spacing w:after="80"/>
      </w:pPr>
      <w:r>
        <w:rPr>
          <w:b/>
          <w:i w:val="0"/>
          <w:sz w:val="19"/>
        </w:rPr>
        <w:t>Severity:</w:t>
      </w:r>
      <w:r>
        <w:rPr>
          <w:b w:val="0"/>
          <w:i w:val="0"/>
          <w:sz w:val="19"/>
        </w:rPr>
        <w:t xml:space="preserve"> Medium    </w:t>
      </w:r>
      <w:r>
        <w:rPr>
          <w:b/>
          <w:i w:val="0"/>
          <w:sz w:val="19"/>
        </w:rPr>
        <w:t>Documents / provisions:</w:t>
      </w:r>
      <w:r>
        <w:rPr>
          <w:b w:val="0"/>
          <w:i w:val="0"/>
          <w:sz w:val="19"/>
        </w:rPr>
        <w:t xml:space="preserve"> Cap Table (Summary, Option Grants Detail, Pro Forma); 409A Summary §§1, 3, 7; Charter §§4.3.2(b), 4.4.2(b); ROFR §9.1(a)</w:t>
      </w:r>
    </w:p>
    <w:p>
      <w:pPr>
        <w:spacing w:after="80"/>
      </w:pPr>
      <w:r>
        <w:rPr>
          <w:b/>
          <w:i w:val="0"/>
        </w:rPr>
        <w:t>Option pool over-grant:</w:t>
      </w:r>
      <w:r>
        <w:rPr>
          <w:b w:val="0"/>
          <w:i w:val="0"/>
        </w:rPr>
        <w:t xml:space="preserve"> the Option Grants Detail lists 20 grants totaling </w:t>
      </w:r>
      <w:r>
        <w:rPr>
          <w:b/>
          <w:i w:val="0"/>
        </w:rPr>
        <w:t>2,025,000</w:t>
      </w:r>
      <w:r>
        <w:rPr>
          <w:b w:val="0"/>
          <w:i w:val="0"/>
        </w:rPr>
        <w:t xml:space="preserve"> options, not the 1,800,000 stated. With the 700,000 shown as available, the total is 2,725,000, against a </w:t>
      </w:r>
      <w:r>
        <w:rPr>
          <w:b/>
          <w:i w:val="0"/>
        </w:rPr>
        <w:t>2,500,000-share</w:t>
      </w:r>
      <w:r>
        <w:rPr>
          <w:b w:val="0"/>
          <w:i w:val="0"/>
        </w:rPr>
        <w:t xml:space="preserve"> plan reserve. Up to 225,000 options may exceed the reserve, which may require DGCL §204/§205 ratification and makes the fully diluted figures (17,100,000) unreliable.</w:t>
      </w:r>
    </w:p>
    <w:p>
      <w:pPr>
        <w:spacing w:after="80"/>
      </w:pPr>
      <w:r>
        <w:rPr>
          <w:b/>
          <w:i w:val="0"/>
        </w:rPr>
        <w:t>Vesting errors:</w:t>
      </w:r>
      <w:r>
        <w:rPr>
          <w:b w:val="0"/>
          <w:i w:val="0"/>
        </w:rPr>
        <w:t xml:space="preserve"> the vested column sums to 1,028,542; the "TOTALS" row shows 978,542 and the summary shows 1,200,000. Several grants marked "Fully Vested" cannot be on a 4-year monthly schedule as of October 1, 2024. For example, OPT-001 (June 2021) should be about 203,125 vested, not 250,000. OPT-002, -003, -013, -014, -015 and -017 are likewise overstated. OPT-019 shows 46,875 vested against about 31,250. OPT-012 (granted Oct. 15, 2024) post-dates the October 1, 2024 "as of" date. A "rounding adjustment" footnote cannot explain gaps of this size.</w:t>
      </w:r>
    </w:p>
    <w:p>
      <w:pPr>
        <w:spacing w:after="80"/>
      </w:pPr>
      <w:r>
        <w:rPr>
          <w:b/>
          <w:i w:val="0"/>
        </w:rPr>
        <w:t>409A inputs:</w:t>
      </w:r>
      <w:r>
        <w:rPr>
          <w:b w:val="0"/>
          <w:i w:val="0"/>
        </w:rPr>
        <w:t xml:space="preserve"> the 409A report (valuation date June 15, 2024) uses 1,800,000 options granted, 1,200,000 vested and 700,000 available. That includes 550,000 options at $4.82 that were granted only after the valuation date (July–October 2024, priced off this very report). The report's input data was therefore wrong or the cap table is wrong. The report also calls the firm "BCA" and is signed "BRACEWELL COLTON &amp; ASSOCIATES", while the letterhead and cap table identify Winterhaven Colton &amp; Associates. That inconsistency raises a question about the report's authenticity or its "independent appraiser" status. Its business description (industrial automation SaaS) also differs from the STA (EV charging).</w:t>
      </w:r>
    </w:p>
    <w:p>
      <w:pPr>
        <w:spacing w:after="80"/>
      </w:pPr>
      <w:r>
        <w:rPr>
          <w:b/>
          <w:i w:val="0"/>
        </w:rPr>
        <w:t>Pro forma:</w:t>
      </w:r>
      <w:r>
        <w:rPr>
          <w:b w:val="0"/>
          <w:i w:val="0"/>
        </w:rPr>
        <w:t xml:space="preserve"> the post-transfer "Subtotal — Common Stock" still shows 8,200,000 although the listed common holders total 7,775,000. Verdana's 425,000 common shares appear only within the Preferred section. The aggregate is correct, but the presentation should be fixed.</w:t>
      </w:r>
    </w:p>
    <w:p>
      <w:pPr>
        <w:spacing w:after="80"/>
      </w:pPr>
      <w:r>
        <w:rPr>
          <w:b/>
          <w:i w:val="0"/>
        </w:rPr>
        <w:t>Charter "Qualified IPO":</w:t>
      </w:r>
      <w:r>
        <w:rPr>
          <w:b w:val="0"/>
          <w:i w:val="0"/>
        </w:rPr>
        <w:t xml:space="preserve"> it is defined twice with different price thresholds ($7.50 for Series A, $11.25 for Series B). ROFR §§6.2 and 9.1(a) refer to "Qualified IPO (as such term is defined in the Restated Certificate)", which is ambiguous. This does not affect the current transfer, but it should be noted for the record.</w:t>
      </w:r>
    </w:p>
    <w:p>
      <w:pPr>
        <w:spacing w:after="80"/>
      </w:pPr>
      <w:r>
        <w:rPr>
          <w:b/>
          <w:i w:val="0"/>
        </w:rPr>
        <w:t>Recommendation:</w:t>
      </w:r>
      <w:r>
        <w:rPr>
          <w:b w:val="0"/>
          <w:i w:val="0"/>
        </w:rPr>
        <w:t xml:space="preserve"> Ask the Company for a reconciled, certified cap table and option ledger, and a confirmation of the plan reserve (with ratification if needed). Confirm the identity and independence of the 409A provider. The Buyer, as a director-affiliated investor relying on §4.5 information access, should condition Closing on receipt of a certified cap table.</w:t>
      </w:r>
    </w:p>
    <w:p>
      <w:pPr>
        <w:pStyle w:val="Heading3"/>
      </w:pPr>
      <w:r>
        <w:t>Issue 19. Effect on Board election mechanics and stockholder agreements after the transfer</w:t>
      </w:r>
    </w:p>
    <w:p>
      <w:pPr>
        <w:spacing w:after="80"/>
      </w:pPr>
      <w:r>
        <w:rPr>
          <w:b/>
          <w:i w:val="0"/>
          <w:sz w:val="19"/>
        </w:rPr>
        <w:t>Severity:</w:t>
      </w:r>
      <w:r>
        <w:rPr>
          <w:b w:val="0"/>
          <w:i w:val="0"/>
          <w:sz w:val="19"/>
        </w:rPr>
        <w:t xml:space="preserve"> Low    </w:t>
      </w:r>
      <w:r>
        <w:rPr>
          <w:b/>
          <w:i w:val="0"/>
          <w:sz w:val="19"/>
        </w:rPr>
        <w:t>Documents / provisions:</w:t>
      </w:r>
      <w:r>
        <w:rPr>
          <w:b w:val="0"/>
          <w:i w:val="0"/>
          <w:sz w:val="19"/>
        </w:rPr>
        <w:t xml:space="preserve"> Charter §§5.2(c), 9.2(b), 9.3; Cap Table Pro Forma; Voting Agreement (not provided)</w:t>
      </w:r>
    </w:p>
    <w:p>
      <w:pPr>
        <w:spacing w:after="80"/>
      </w:pPr>
      <w:r>
        <w:rPr>
          <w:b w:val="0"/>
          <w:i w:val="0"/>
        </w:rPr>
        <w:t>After Closing, Verdana will hold 425,000 Common shares (5.18% of Common) in addition to its Series B. Common Directors are elected by a majority of the Common Stock voting separately (Charter §5.2(c)). Verdana gains a vote in that class, and Hale's Common voting power falls from 22.6% to 17.4% of Common. Charter §9.3 refers to a Voting Agreement that has not been provided. The Buyer may need to sign a joinder to it, or to the IRA, as a holder of Common Stock. Whether Verdana's Common shares become "Transfer Stock" under the ROFR Agreement depends on Key Holder designation. As drafted they would not, because Verdana is not a Key Holder.</w:t>
      </w:r>
    </w:p>
    <w:p>
      <w:pPr>
        <w:spacing w:after="80"/>
      </w:pPr>
      <w:r>
        <w:rPr>
          <w:b/>
          <w:i w:val="0"/>
        </w:rPr>
        <w:t>Recommendation:</w:t>
      </w:r>
      <w:r>
        <w:rPr>
          <w:b w:val="0"/>
          <w:i w:val="0"/>
        </w:rPr>
        <w:t xml:space="preserve"> Review the Voting Agreement and IRA for joinder requirements and transferee obligations, and add any required joinder as a closing deliverable.</w:t>
      </w:r>
    </w:p>
    <w:p>
      <w:pPr>
        <w:pStyle w:val="Heading1"/>
      </w:pPr>
      <w:r>
        <w:t>V. Summary Issues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3A5F"/>
          </w:tcPr>
          <w:p>
            <w:r/>
            <w:r>
              <w:rPr>
                <w:b/>
                <w:color w:val="FFFFFF"/>
                <w:sz w:val="17"/>
              </w:rPr>
              <w:t>#</w:t>
            </w:r>
          </w:p>
        </w:tc>
        <w:tc>
          <w:tcPr>
            <w:tcW w:type="dxa" w:w="4032"/>
            <w:shd w:val="clear" w:color="auto" w:fill="1F3A5F"/>
          </w:tcPr>
          <w:p>
            <w:r/>
            <w:r>
              <w:rPr>
                <w:b/>
                <w:color w:val="FFFFFF"/>
                <w:sz w:val="17"/>
              </w:rPr>
              <w:t>Issue</w:t>
            </w:r>
          </w:p>
        </w:tc>
        <w:tc>
          <w:tcPr>
            <w:tcW w:type="dxa" w:w="1008"/>
            <w:shd w:val="clear" w:color="auto" w:fill="1F3A5F"/>
          </w:tcPr>
          <w:p>
            <w:r/>
            <w:r>
              <w:rPr>
                <w:b/>
                <w:color w:val="FFFFFF"/>
                <w:sz w:val="17"/>
              </w:rPr>
              <w:t>Severity</w:t>
            </w:r>
          </w:p>
        </w:tc>
        <w:tc>
          <w:tcPr>
            <w:tcW w:type="dxa" w:w="3888"/>
            <w:shd w:val="clear" w:color="auto" w:fill="1F3A5F"/>
          </w:tcPr>
          <w:p>
            <w:r/>
            <w:r>
              <w:rPr>
                <w:b/>
                <w:color w:val="FFFFFF"/>
                <w:sz w:val="17"/>
              </w:rPr>
              <w:t>Principal documents</w:t>
            </w:r>
          </w:p>
        </w:tc>
      </w:tr>
      <w:tr>
        <w:tc>
          <w:tcPr>
            <w:tcW w:type="dxa" w:w="432"/>
          </w:tcPr>
          <w:p>
            <w:r/>
            <w:r>
              <w:rPr>
                <w:b w:val="0"/>
                <w:sz w:val="17"/>
              </w:rPr>
              <w:t>1</w:t>
            </w:r>
          </w:p>
        </w:tc>
        <w:tc>
          <w:tcPr>
            <w:tcW w:type="dxa" w:w="4032"/>
          </w:tcPr>
          <w:p>
            <w:r/>
            <w:r>
              <w:rPr>
                <w:b w:val="0"/>
                <w:sz w:val="17"/>
              </w:rPr>
              <w:t>Board prior written consent is required (Charter Art. IX; Bylaws §7.2) but the STA treats it as an efforts covenant and a waivable "acknowledgment" condition</w:t>
            </w:r>
          </w:p>
        </w:tc>
        <w:tc>
          <w:tcPr>
            <w:tcW w:type="dxa" w:w="1008"/>
            <w:shd w:val="clear" w:color="auto" w:fill="F4CCCC"/>
          </w:tcPr>
          <w:p>
            <w:r/>
            <w:r>
              <w:rPr>
                <w:b w:val="0"/>
                <w:sz w:val="17"/>
              </w:rPr>
              <w:t>Critical</w:t>
            </w:r>
          </w:p>
        </w:tc>
        <w:tc>
          <w:tcPr>
            <w:tcW w:type="dxa" w:w="3888"/>
          </w:tcPr>
          <w:p>
            <w:r/>
            <w:r>
              <w:rPr>
                <w:b w:val="0"/>
                <w:sz w:val="17"/>
              </w:rPr>
              <w:t>Charter §§9.1, 9.3; Bylaws §§5.3, 7.1, 7.2; ROFR §§5.2, 8.2; STA §§3.1, 3.3, 5.1(e), 7.1; Company waiver letter</w:t>
            </w:r>
          </w:p>
        </w:tc>
      </w:tr>
      <w:tr>
        <w:tc>
          <w:tcPr>
            <w:tcW w:type="dxa" w:w="432"/>
          </w:tcPr>
          <w:p>
            <w:r/>
            <w:r>
              <w:rPr>
                <w:b w:val="0"/>
                <w:sz w:val="17"/>
              </w:rPr>
              <w:t>2</w:t>
            </w:r>
          </w:p>
        </w:tc>
        <w:tc>
          <w:tcPr>
            <w:tcW w:type="dxa" w:w="4032"/>
          </w:tcPr>
          <w:p>
            <w:r/>
            <w:r>
              <w:rPr>
                <w:b w:val="0"/>
                <w:sz w:val="17"/>
              </w:rPr>
              <w:t>Interested-director and affiliate-transaction approval; conflict of Buyer's Board designee</w:t>
            </w:r>
          </w:p>
        </w:tc>
        <w:tc>
          <w:tcPr>
            <w:tcW w:type="dxa" w:w="1008"/>
            <w:shd w:val="clear" w:color="auto" w:fill="FCE5CD"/>
          </w:tcPr>
          <w:p>
            <w:r/>
            <w:r>
              <w:rPr>
                <w:b w:val="0"/>
                <w:sz w:val="17"/>
              </w:rPr>
              <w:t>High</w:t>
            </w:r>
          </w:p>
        </w:tc>
        <w:tc>
          <w:tcPr>
            <w:tcW w:type="dxa" w:w="3888"/>
          </w:tcPr>
          <w:p>
            <w:r/>
            <w:r>
              <w:rPr>
                <w:b w:val="0"/>
                <w:sz w:val="17"/>
              </w:rPr>
              <w:t>Charter §§4.5(e), 5.2; Bylaws §3.13; DGCL §144; STA §§4.5, 7.1; Verdana email</w:t>
            </w:r>
          </w:p>
        </w:tc>
      </w:tr>
      <w:tr>
        <w:tc>
          <w:tcPr>
            <w:tcW w:type="dxa" w:w="432"/>
          </w:tcPr>
          <w:p>
            <w:r/>
            <w:r>
              <w:rPr>
                <w:b w:val="0"/>
                <w:sz w:val="17"/>
              </w:rPr>
              <w:t>3</w:t>
            </w:r>
          </w:p>
        </w:tc>
        <w:tc>
          <w:tcPr>
            <w:tcW w:type="dxa" w:w="4032"/>
          </w:tcPr>
          <w:p>
            <w:r/>
            <w:r>
              <w:rPr>
                <w:b w:val="0"/>
                <w:sz w:val="17"/>
              </w:rPr>
              <w:t>Preferred Stockholder majority consent under Bylaws §7.3 is required, and Verdana alone cannot provide it</w:t>
            </w:r>
          </w:p>
        </w:tc>
        <w:tc>
          <w:tcPr>
            <w:tcW w:type="dxa" w:w="1008"/>
            <w:shd w:val="clear" w:color="auto" w:fill="F4CCCC"/>
          </w:tcPr>
          <w:p>
            <w:r/>
            <w:r>
              <w:rPr>
                <w:b w:val="0"/>
                <w:sz w:val="17"/>
              </w:rPr>
              <w:t>Critical</w:t>
            </w:r>
          </w:p>
        </w:tc>
        <w:tc>
          <w:tcPr>
            <w:tcW w:type="dxa" w:w="3888"/>
          </w:tcPr>
          <w:p>
            <w:r/>
            <w:r>
              <w:rPr>
                <w:b w:val="0"/>
                <w:sz w:val="17"/>
              </w:rPr>
              <w:t>Bylaws §§7.3, 13.3; Cap Table (Header; Pro Forma note); STA §§3.3, 5.1</w:t>
            </w:r>
          </w:p>
        </w:tc>
      </w:tr>
      <w:tr>
        <w:tc>
          <w:tcPr>
            <w:tcW w:type="dxa" w:w="432"/>
          </w:tcPr>
          <w:p>
            <w:r/>
            <w:r>
              <w:rPr>
                <w:b w:val="0"/>
                <w:sz w:val="17"/>
              </w:rPr>
              <w:t>4</w:t>
            </w:r>
          </w:p>
        </w:tc>
        <w:tc>
          <w:tcPr>
            <w:tcW w:type="dxa" w:w="4032"/>
          </w:tcPr>
          <w:p>
            <w:r/>
            <w:r>
              <w:rPr>
                <w:b w:val="0"/>
                <w:sz w:val="17"/>
              </w:rPr>
              <w:t>The Transfer Notice is deficient: no STA copy, no summary of non-price terms, wrong cross-references, wrong addressee, and not shown as signed</w:t>
            </w:r>
          </w:p>
        </w:tc>
        <w:tc>
          <w:tcPr>
            <w:tcW w:type="dxa" w:w="1008"/>
            <w:shd w:val="clear" w:color="auto" w:fill="FCE5CD"/>
          </w:tcPr>
          <w:p>
            <w:r/>
            <w:r>
              <w:rPr>
                <w:b w:val="0"/>
                <w:sz w:val="17"/>
              </w:rPr>
              <w:t>High</w:t>
            </w:r>
          </w:p>
        </w:tc>
        <w:tc>
          <w:tcPr>
            <w:tcW w:type="dxa" w:w="3888"/>
          </w:tcPr>
          <w:p>
            <w:r/>
            <w:r>
              <w:rPr>
                <w:b w:val="0"/>
                <w:sz w:val="17"/>
              </w:rPr>
              <w:t>ROFR §§2.1(a)(vi)–(vii), 2.2, 2.3, 9.2; Transfer Notice ¶¶3–7; STA §3.5</w:t>
            </w:r>
          </w:p>
        </w:tc>
      </w:tr>
      <w:tr>
        <w:tc>
          <w:tcPr>
            <w:tcW w:type="dxa" w:w="432"/>
          </w:tcPr>
          <w:p>
            <w:r/>
            <w:r>
              <w:rPr>
                <w:b w:val="0"/>
                <w:sz w:val="17"/>
              </w:rPr>
              <w:t>5</w:t>
            </w:r>
          </w:p>
        </w:tc>
        <w:tc>
          <w:tcPr>
            <w:tcW w:type="dxa" w:w="4032"/>
          </w:tcPr>
          <w:p>
            <w:r/>
            <w:r>
              <w:rPr>
                <w:b w:val="0"/>
                <w:sz w:val="17"/>
              </w:rPr>
              <w:t>Ridgeline Ventures has not waived its Secondary ROFR, over-allotment or Co-Sale rights, and its exercise periods run past the Closing Date</w:t>
            </w:r>
          </w:p>
        </w:tc>
        <w:tc>
          <w:tcPr>
            <w:tcW w:type="dxa" w:w="1008"/>
            <w:shd w:val="clear" w:color="auto" w:fill="F4CCCC"/>
          </w:tcPr>
          <w:p>
            <w:r/>
            <w:r>
              <w:rPr>
                <w:b w:val="0"/>
                <w:sz w:val="17"/>
              </w:rPr>
              <w:t>Critical</w:t>
            </w:r>
          </w:p>
        </w:tc>
        <w:tc>
          <w:tcPr>
            <w:tcW w:type="dxa" w:w="3888"/>
          </w:tcPr>
          <w:p>
            <w:r/>
            <w:r>
              <w:rPr>
                <w:b w:val="0"/>
                <w:sz w:val="17"/>
              </w:rPr>
              <w:t>ROFR §§1.9, 2.1(b), 2.2(a)–(b), 2.3, 3.1–3.3, 5.1, Exhibit B; STA §§3.5, 5.1(c), 6.1, 6.2(c)–(d)</w:t>
            </w:r>
          </w:p>
        </w:tc>
      </w:tr>
      <w:tr>
        <w:tc>
          <w:tcPr>
            <w:tcW w:type="dxa" w:w="432"/>
          </w:tcPr>
          <w:p>
            <w:r/>
            <w:r>
              <w:rPr>
                <w:b w:val="0"/>
                <w:sz w:val="17"/>
              </w:rPr>
              <w:t>6</w:t>
            </w:r>
          </w:p>
        </w:tc>
        <w:tc>
          <w:tcPr>
            <w:tcW w:type="dxa" w:w="4032"/>
          </w:tcPr>
          <w:p>
            <w:r/>
            <w:r>
              <w:rPr>
                <w:b w:val="0"/>
                <w:sz w:val="17"/>
              </w:rPr>
              <w:t>Closing Date and timing mechanics do not match the ROFR timetable; risk under ROFR §2.3</w:t>
            </w:r>
          </w:p>
        </w:tc>
        <w:tc>
          <w:tcPr>
            <w:tcW w:type="dxa" w:w="1008"/>
            <w:shd w:val="clear" w:color="auto" w:fill="FCE5CD"/>
          </w:tcPr>
          <w:p>
            <w:r/>
            <w:r>
              <w:rPr>
                <w:b w:val="0"/>
                <w:sz w:val="17"/>
              </w:rPr>
              <w:t>High</w:t>
            </w:r>
          </w:p>
        </w:tc>
        <w:tc>
          <w:tcPr>
            <w:tcW w:type="dxa" w:w="3888"/>
          </w:tcPr>
          <w:p>
            <w:r/>
            <w:r>
              <w:rPr>
                <w:b w:val="0"/>
                <w:sz w:val="17"/>
              </w:rPr>
              <w:t>ROFR §§2.1(a), 2.2, 2.3; STA §§1 ("Closing Date"), 6.1, 9.1(b); Transfer Notice ¶4</w:t>
            </w:r>
          </w:p>
        </w:tc>
      </w:tr>
      <w:tr>
        <w:tc>
          <w:tcPr>
            <w:tcW w:type="dxa" w:w="432"/>
          </w:tcPr>
          <w:p>
            <w:r/>
            <w:r>
              <w:rPr>
                <w:b w:val="0"/>
                <w:sz w:val="17"/>
              </w:rPr>
              <w:t>7</w:t>
            </w:r>
          </w:p>
        </w:tc>
        <w:tc>
          <w:tcPr>
            <w:tcW w:type="dxa" w:w="4032"/>
          </w:tcPr>
          <w:p>
            <w:r/>
            <w:r>
              <w:rPr>
                <w:b w:val="0"/>
                <w:sz w:val="17"/>
              </w:rPr>
              <w:t>The STA is dated December 1, 2024 but recites and represents later events as past facts</w:t>
            </w:r>
          </w:p>
        </w:tc>
        <w:tc>
          <w:tcPr>
            <w:tcW w:type="dxa" w:w="1008"/>
            <w:shd w:val="clear" w:color="auto" w:fill="FCE5CD"/>
          </w:tcPr>
          <w:p>
            <w:r/>
            <w:r>
              <w:rPr>
                <w:b w:val="0"/>
                <w:sz w:val="17"/>
              </w:rPr>
              <w:t>High</w:t>
            </w:r>
          </w:p>
        </w:tc>
        <w:tc>
          <w:tcPr>
            <w:tcW w:type="dxa" w:w="3888"/>
          </w:tcPr>
          <w:p>
            <w:r/>
            <w:r>
              <w:rPr>
                <w:b w:val="0"/>
                <w:sz w:val="17"/>
              </w:rPr>
              <w:t>STA preamble, Recitals, §§1 ("Transfer Notice"), 3.5, 5.1(c), 6.2(b)–(d); Verdana email</w:t>
            </w:r>
          </w:p>
        </w:tc>
      </w:tr>
      <w:tr>
        <w:tc>
          <w:tcPr>
            <w:tcW w:type="dxa" w:w="432"/>
          </w:tcPr>
          <w:p>
            <w:r/>
            <w:r>
              <w:rPr>
                <w:b w:val="0"/>
                <w:sz w:val="17"/>
              </w:rPr>
              <w:t>8</w:t>
            </w:r>
          </w:p>
        </w:tc>
        <w:tc>
          <w:tcPr>
            <w:tcW w:type="dxa" w:w="4032"/>
          </w:tcPr>
          <w:p>
            <w:r/>
            <w:r>
              <w:rPr>
                <w:b w:val="0"/>
                <w:sz w:val="17"/>
              </w:rPr>
              <w:t>Purchase Price arithmetic error ($2,653,125 vs. $2,656,250) repeated in four places</w:t>
            </w:r>
          </w:p>
        </w:tc>
        <w:tc>
          <w:tcPr>
            <w:tcW w:type="dxa" w:w="1008"/>
            <w:shd w:val="clear" w:color="auto" w:fill="FCE5CD"/>
          </w:tcPr>
          <w:p>
            <w:r/>
            <w:r>
              <w:rPr>
                <w:b w:val="0"/>
                <w:sz w:val="17"/>
              </w:rPr>
              <w:t>High</w:t>
            </w:r>
          </w:p>
        </w:tc>
        <w:tc>
          <w:tcPr>
            <w:tcW w:type="dxa" w:w="3888"/>
          </w:tcPr>
          <w:p>
            <w:r/>
            <w:r>
              <w:rPr>
                <w:b w:val="0"/>
                <w:sz w:val="17"/>
              </w:rPr>
              <w:t>STA §§2.1, 6.3(a), 8.1, 8.3(c); Transfer Notice ¶3; Company waiver; Verdana email; Cap Table Pro Forma note 3</w:t>
            </w:r>
          </w:p>
        </w:tc>
      </w:tr>
      <w:tr>
        <w:tc>
          <w:tcPr>
            <w:tcW w:type="dxa" w:w="432"/>
          </w:tcPr>
          <w:p>
            <w:r/>
            <w:r>
              <w:rPr>
                <w:b w:val="0"/>
                <w:sz w:val="17"/>
              </w:rPr>
              <w:t>9</w:t>
            </w:r>
          </w:p>
        </w:tc>
        <w:tc>
          <w:tcPr>
            <w:tcW w:type="dxa" w:w="4032"/>
          </w:tcPr>
          <w:p>
            <w:r/>
            <w:r>
              <w:rPr>
                <w:b w:val="0"/>
                <w:sz w:val="17"/>
              </w:rPr>
              <w:t>The Verdana waiver email is defective and does not match the STA description</w:t>
            </w:r>
          </w:p>
        </w:tc>
        <w:tc>
          <w:tcPr>
            <w:tcW w:type="dxa" w:w="1008"/>
            <w:shd w:val="clear" w:color="auto" w:fill="FCE5CD"/>
          </w:tcPr>
          <w:p>
            <w:r/>
            <w:r>
              <w:rPr>
                <w:b w:val="0"/>
                <w:sz w:val="17"/>
              </w:rPr>
              <w:t>High</w:t>
            </w:r>
          </w:p>
        </w:tc>
        <w:tc>
          <w:tcPr>
            <w:tcW w:type="dxa" w:w="3888"/>
          </w:tcPr>
          <w:p>
            <w:r/>
            <w:r>
              <w:rPr>
                <w:b w:val="0"/>
                <w:sz w:val="17"/>
              </w:rPr>
              <w:t>Verdana email (Jan. 10, 2025); ROFR §§2.2, 3.1, 9.2, 9.5; STA §§3.5, 5.1(c), 6.2(d), 10.3</w:t>
            </w:r>
          </w:p>
        </w:tc>
      </w:tr>
      <w:tr>
        <w:tc>
          <w:tcPr>
            <w:tcW w:type="dxa" w:w="432"/>
          </w:tcPr>
          <w:p>
            <w:r/>
            <w:r>
              <w:rPr>
                <w:b w:val="0"/>
                <w:sz w:val="17"/>
              </w:rPr>
              <w:t>10</w:t>
            </w:r>
          </w:p>
        </w:tc>
        <w:tc>
          <w:tcPr>
            <w:tcW w:type="dxa" w:w="4032"/>
          </w:tcPr>
          <w:p>
            <w:r/>
            <w:r>
              <w:rPr>
                <w:b w:val="0"/>
                <w:sz w:val="17"/>
              </w:rPr>
              <w:t>Company waiver letter: timing, Board authority and scope</w:t>
            </w:r>
          </w:p>
        </w:tc>
        <w:tc>
          <w:tcPr>
            <w:tcW w:type="dxa" w:w="1008"/>
            <w:shd w:val="clear" w:color="auto" w:fill="FFF2CC"/>
          </w:tcPr>
          <w:p>
            <w:r/>
            <w:r>
              <w:rPr>
                <w:b w:val="0"/>
                <w:sz w:val="17"/>
              </w:rPr>
              <w:t>Medium</w:t>
            </w:r>
          </w:p>
        </w:tc>
        <w:tc>
          <w:tcPr>
            <w:tcW w:type="dxa" w:w="3888"/>
          </w:tcPr>
          <w:p>
            <w:r/>
            <w:r>
              <w:rPr>
                <w:b w:val="0"/>
                <w:sz w:val="17"/>
              </w:rPr>
              <w:t>Company waiver (Jan. 6, 2025); ROFR §§2.1(b), 2.2; STA §§3.5, 5.1(c), 6.2(c)</w:t>
            </w:r>
          </w:p>
        </w:tc>
      </w:tr>
      <w:tr>
        <w:tc>
          <w:tcPr>
            <w:tcW w:type="dxa" w:w="432"/>
          </w:tcPr>
          <w:p>
            <w:r/>
            <w:r>
              <w:rPr>
                <w:b w:val="0"/>
                <w:sz w:val="17"/>
              </w:rPr>
              <w:t>11</w:t>
            </w:r>
          </w:p>
        </w:tc>
        <w:tc>
          <w:tcPr>
            <w:tcW w:type="dxa" w:w="4032"/>
          </w:tcPr>
          <w:p>
            <w:r/>
            <w:r>
              <w:rPr>
                <w:b w:val="0"/>
                <w:sz w:val="17"/>
              </w:rPr>
              <w:t>Seller representations that are inaccurate or inconsistent with the record</w:t>
            </w:r>
          </w:p>
        </w:tc>
        <w:tc>
          <w:tcPr>
            <w:tcW w:type="dxa" w:w="1008"/>
            <w:shd w:val="clear" w:color="auto" w:fill="FCE5CD"/>
          </w:tcPr>
          <w:p>
            <w:r/>
            <w:r>
              <w:rPr>
                <w:b w:val="0"/>
                <w:sz w:val="17"/>
              </w:rPr>
              <w:t>High</w:t>
            </w:r>
          </w:p>
        </w:tc>
        <w:tc>
          <w:tcPr>
            <w:tcW w:type="dxa" w:w="3888"/>
          </w:tcPr>
          <w:p>
            <w:r/>
            <w:r>
              <w:rPr>
                <w:b w:val="0"/>
                <w:sz w:val="17"/>
              </w:rPr>
              <w:t>STA §§3.1, 3.3, 3.5, 3.6, Recitals; Cap Table; ROFR §6; 409A §5(c)</w:t>
            </w:r>
          </w:p>
        </w:tc>
      </w:tr>
      <w:tr>
        <w:tc>
          <w:tcPr>
            <w:tcW w:type="dxa" w:w="432"/>
          </w:tcPr>
          <w:p>
            <w:r/>
            <w:r>
              <w:rPr>
                <w:b w:val="0"/>
                <w:sz w:val="17"/>
              </w:rPr>
              <w:t>12</w:t>
            </w:r>
          </w:p>
        </w:tc>
        <w:tc>
          <w:tcPr>
            <w:tcW w:type="dxa" w:w="4032"/>
          </w:tcPr>
          <w:p>
            <w:r/>
            <w:r>
              <w:rPr>
                <w:b w:val="0"/>
                <w:sz w:val="17"/>
              </w:rPr>
              <w:t>Closing conditions, deliverables and Company role are incomplete</w:t>
            </w:r>
          </w:p>
        </w:tc>
        <w:tc>
          <w:tcPr>
            <w:tcW w:type="dxa" w:w="1008"/>
            <w:shd w:val="clear" w:color="auto" w:fill="FFF2CC"/>
          </w:tcPr>
          <w:p>
            <w:r/>
            <w:r>
              <w:rPr>
                <w:b w:val="0"/>
                <w:sz w:val="17"/>
              </w:rPr>
              <w:t>Medium</w:t>
            </w:r>
          </w:p>
        </w:tc>
        <w:tc>
          <w:tcPr>
            <w:tcW w:type="dxa" w:w="3888"/>
          </w:tcPr>
          <w:p>
            <w:r/>
            <w:r>
              <w:rPr>
                <w:b w:val="0"/>
                <w:sz w:val="17"/>
              </w:rPr>
              <w:t>STA §§2.3, 5.1, 5.2, 6.2, 6.3, 10.10, Exhibits A–B; Bylaws §§5.1, 5.3; ROFR §8.1; Charter §9.4</w:t>
            </w:r>
          </w:p>
        </w:tc>
      </w:tr>
      <w:tr>
        <w:tc>
          <w:tcPr>
            <w:tcW w:type="dxa" w:w="432"/>
          </w:tcPr>
          <w:p>
            <w:r/>
            <w:r>
              <w:rPr>
                <w:b w:val="0"/>
                <w:sz w:val="17"/>
              </w:rPr>
              <w:t>13</w:t>
            </w:r>
          </w:p>
        </w:tc>
        <w:tc>
          <w:tcPr>
            <w:tcW w:type="dxa" w:w="4032"/>
          </w:tcPr>
          <w:p>
            <w:r/>
            <w:r>
              <w:rPr>
                <w:b w:val="0"/>
                <w:sz w:val="17"/>
              </w:rPr>
              <w:t>Misidentified securities law exemption and thin Buyer investment representations</w:t>
            </w:r>
          </w:p>
        </w:tc>
        <w:tc>
          <w:tcPr>
            <w:tcW w:type="dxa" w:w="1008"/>
            <w:shd w:val="clear" w:color="auto" w:fill="FCE5CD"/>
          </w:tcPr>
          <w:p>
            <w:r/>
            <w:r>
              <w:rPr>
                <w:b w:val="0"/>
                <w:sz w:val="17"/>
              </w:rPr>
              <w:t>High</w:t>
            </w:r>
          </w:p>
        </w:tc>
        <w:tc>
          <w:tcPr>
            <w:tcW w:type="dxa" w:w="3888"/>
          </w:tcPr>
          <w:p>
            <w:r/>
            <w:r>
              <w:rPr>
                <w:b w:val="0"/>
                <w:sz w:val="17"/>
              </w:rPr>
              <w:t>STA Recitals, §§4.2, 4.5; Transfer Notice ¶6; Charter §9.4(a)</w:t>
            </w:r>
          </w:p>
        </w:tc>
      </w:tr>
      <w:tr>
        <w:tc>
          <w:tcPr>
            <w:tcW w:type="dxa" w:w="432"/>
          </w:tcPr>
          <w:p>
            <w:r/>
            <w:r>
              <w:rPr>
                <w:b w:val="0"/>
                <w:sz w:val="17"/>
              </w:rPr>
              <w:t>14</w:t>
            </w:r>
          </w:p>
        </w:tc>
        <w:tc>
          <w:tcPr>
            <w:tcW w:type="dxa" w:w="4032"/>
          </w:tcPr>
          <w:p>
            <w:r/>
            <w:r>
              <w:rPr>
                <w:b w:val="0"/>
                <w:sz w:val="17"/>
              </w:rPr>
              <w:t>Governing law, dispute resolution, indemnity and confidentiality provisions are mismatched with the governing instruments</w:t>
            </w:r>
          </w:p>
        </w:tc>
        <w:tc>
          <w:tcPr>
            <w:tcW w:type="dxa" w:w="1008"/>
            <w:shd w:val="clear" w:color="auto" w:fill="FFF2CC"/>
          </w:tcPr>
          <w:p>
            <w:r/>
            <w:r>
              <w:rPr>
                <w:b w:val="0"/>
                <w:sz w:val="17"/>
              </w:rPr>
              <w:t>Medium</w:t>
            </w:r>
          </w:p>
        </w:tc>
        <w:tc>
          <w:tcPr>
            <w:tcW w:type="dxa" w:w="3888"/>
          </w:tcPr>
          <w:p>
            <w:r/>
            <w:r>
              <w:rPr>
                <w:b w:val="0"/>
                <w:sz w:val="17"/>
              </w:rPr>
              <w:t>STA §§7.3, 8.1–8.3, 10.4, 10.5, 10.10; ROFR §§2.1(a)(vii), 9.3, 9.9; Charter §13.3; Bylaws §14.1; Company waiver</w:t>
            </w:r>
          </w:p>
        </w:tc>
      </w:tr>
      <w:tr>
        <w:tc>
          <w:tcPr>
            <w:tcW w:type="dxa" w:w="432"/>
          </w:tcPr>
          <w:p>
            <w:r/>
            <w:r>
              <w:rPr>
                <w:b w:val="0"/>
                <w:sz w:val="17"/>
              </w:rPr>
              <w:t>15</w:t>
            </w:r>
          </w:p>
        </w:tc>
        <w:tc>
          <w:tcPr>
            <w:tcW w:type="dxa" w:w="4032"/>
          </w:tcPr>
          <w:p>
            <w:r/>
            <w:r>
              <w:rPr>
                <w:b w:val="0"/>
                <w:sz w:val="17"/>
              </w:rPr>
              <w:t>The STA statement that $6.25 "represents the fair market value" conflicts with the $4.82 409A FMV and threatens the 409A safe harbor</w:t>
            </w:r>
          </w:p>
        </w:tc>
        <w:tc>
          <w:tcPr>
            <w:tcW w:type="dxa" w:w="1008"/>
            <w:shd w:val="clear" w:color="auto" w:fill="FCE5CD"/>
          </w:tcPr>
          <w:p>
            <w:r/>
            <w:r>
              <w:rPr>
                <w:b w:val="0"/>
                <w:sz w:val="17"/>
              </w:rPr>
              <w:t>High</w:t>
            </w:r>
          </w:p>
        </w:tc>
        <w:tc>
          <w:tcPr>
            <w:tcW w:type="dxa" w:w="3888"/>
          </w:tcPr>
          <w:p>
            <w:r/>
            <w:r>
              <w:rPr>
                <w:b w:val="0"/>
                <w:sz w:val="17"/>
              </w:rPr>
              <w:t>STA §2.1; 409A Summary §§2, 4, 5, 6(3), 7; Cap Table (Option Grants; grants at $4.82 in Q3/Q4 2024)</w:t>
            </w:r>
          </w:p>
        </w:tc>
      </w:tr>
      <w:tr>
        <w:tc>
          <w:tcPr>
            <w:tcW w:type="dxa" w:w="432"/>
          </w:tcPr>
          <w:p>
            <w:r/>
            <w:r>
              <w:rPr>
                <w:b w:val="0"/>
                <w:sz w:val="17"/>
              </w:rPr>
              <w:t>16</w:t>
            </w:r>
          </w:p>
        </w:tc>
        <w:tc>
          <w:tcPr>
            <w:tcW w:type="dxa" w:w="4032"/>
          </w:tcPr>
          <w:p>
            <w:r/>
            <w:r>
              <w:rPr>
                <w:b w:val="0"/>
                <w:sz w:val="17"/>
              </w:rPr>
              <w:t>Risk that the premium is treated as compensation (Seller is an officer and director; Buyer is an existing investor)</w:t>
            </w:r>
          </w:p>
        </w:tc>
        <w:tc>
          <w:tcPr>
            <w:tcW w:type="dxa" w:w="1008"/>
            <w:shd w:val="clear" w:color="auto" w:fill="FFF2CC"/>
          </w:tcPr>
          <w:p>
            <w:r/>
            <w:r>
              <w:rPr>
                <w:b w:val="0"/>
                <w:sz w:val="17"/>
              </w:rPr>
              <w:t>Medium</w:t>
            </w:r>
          </w:p>
        </w:tc>
        <w:tc>
          <w:tcPr>
            <w:tcW w:type="dxa" w:w="3888"/>
          </w:tcPr>
          <w:p>
            <w:r/>
            <w:r>
              <w:rPr>
                <w:b w:val="0"/>
                <w:sz w:val="17"/>
              </w:rPr>
              <w:t>STA §§2.1, 3.7, 7.4; 409A Summary; Cap Table</w:t>
            </w:r>
          </w:p>
        </w:tc>
      </w:tr>
      <w:tr>
        <w:tc>
          <w:tcPr>
            <w:tcW w:type="dxa" w:w="432"/>
          </w:tcPr>
          <w:p>
            <w:r/>
            <w:r>
              <w:rPr>
                <w:b w:val="0"/>
                <w:sz w:val="17"/>
              </w:rPr>
              <w:t>17</w:t>
            </w:r>
          </w:p>
        </w:tc>
        <w:tc>
          <w:tcPr>
            <w:tcW w:type="dxa" w:w="4032"/>
          </w:tcPr>
          <w:p>
            <w:r/>
            <w:r>
              <w:rPr>
                <w:b w:val="0"/>
                <w:sz w:val="17"/>
              </w:rPr>
              <w:t>Seller QSBS (IRC §1202) holding-period timing</w:t>
            </w:r>
          </w:p>
        </w:tc>
        <w:tc>
          <w:tcPr>
            <w:tcW w:type="dxa" w:w="1008"/>
            <w:shd w:val="clear" w:color="auto" w:fill="FFF2CC"/>
          </w:tcPr>
          <w:p>
            <w:r/>
            <w:r>
              <w:rPr>
                <w:b w:val="0"/>
                <w:sz w:val="17"/>
              </w:rPr>
              <w:t>Medium</w:t>
            </w:r>
          </w:p>
        </w:tc>
        <w:tc>
          <w:tcPr>
            <w:tcW w:type="dxa" w:w="3888"/>
          </w:tcPr>
          <w:p>
            <w:r/>
            <w:r>
              <w:rPr>
                <w:b w:val="0"/>
                <w:sz w:val="17"/>
              </w:rPr>
              <w:t>STA §§3.7, 6.1, 9.1(b); Cap Table; 409A §3</w:t>
            </w:r>
          </w:p>
        </w:tc>
      </w:tr>
      <w:tr>
        <w:tc>
          <w:tcPr>
            <w:tcW w:type="dxa" w:w="432"/>
          </w:tcPr>
          <w:p>
            <w:r/>
            <w:r>
              <w:rPr>
                <w:b w:val="0"/>
                <w:sz w:val="17"/>
              </w:rPr>
              <w:t>18</w:t>
            </w:r>
          </w:p>
        </w:tc>
        <w:tc>
          <w:tcPr>
            <w:tcW w:type="dxa" w:w="4032"/>
          </w:tcPr>
          <w:p>
            <w:r/>
            <w:r>
              <w:rPr>
                <w:b w:val="0"/>
                <w:sz w:val="17"/>
              </w:rPr>
              <w:t>Inconsistencies in the cap table and 409A report undermine the information record</w:t>
            </w:r>
          </w:p>
        </w:tc>
        <w:tc>
          <w:tcPr>
            <w:tcW w:type="dxa" w:w="1008"/>
            <w:shd w:val="clear" w:color="auto" w:fill="FFF2CC"/>
          </w:tcPr>
          <w:p>
            <w:r/>
            <w:r>
              <w:rPr>
                <w:b w:val="0"/>
                <w:sz w:val="17"/>
              </w:rPr>
              <w:t>Medium</w:t>
            </w:r>
          </w:p>
        </w:tc>
        <w:tc>
          <w:tcPr>
            <w:tcW w:type="dxa" w:w="3888"/>
          </w:tcPr>
          <w:p>
            <w:r/>
            <w:r>
              <w:rPr>
                <w:b w:val="0"/>
                <w:sz w:val="17"/>
              </w:rPr>
              <w:t>Cap Table (Summary, Option Grants Detail, Pro Forma); 409A Summary §§1, 3, 7; Charter §§4.3.2(b), 4.4.2(b); ROFR §9.1(a)</w:t>
            </w:r>
          </w:p>
        </w:tc>
      </w:tr>
      <w:tr>
        <w:tc>
          <w:tcPr>
            <w:tcW w:type="dxa" w:w="432"/>
          </w:tcPr>
          <w:p>
            <w:r/>
            <w:r>
              <w:rPr>
                <w:b w:val="0"/>
                <w:sz w:val="17"/>
              </w:rPr>
              <w:t>19</w:t>
            </w:r>
          </w:p>
        </w:tc>
        <w:tc>
          <w:tcPr>
            <w:tcW w:type="dxa" w:w="4032"/>
          </w:tcPr>
          <w:p>
            <w:r/>
            <w:r>
              <w:rPr>
                <w:b w:val="0"/>
                <w:sz w:val="17"/>
              </w:rPr>
              <w:t>Effect on Board election mechanics and stockholder agreements after the transfer</w:t>
            </w:r>
          </w:p>
        </w:tc>
        <w:tc>
          <w:tcPr>
            <w:tcW w:type="dxa" w:w="1008"/>
            <w:shd w:val="clear" w:color="auto" w:fill="D9EAD3"/>
          </w:tcPr>
          <w:p>
            <w:r/>
            <w:r>
              <w:rPr>
                <w:b w:val="0"/>
                <w:sz w:val="17"/>
              </w:rPr>
              <w:t>Low</w:t>
            </w:r>
          </w:p>
        </w:tc>
        <w:tc>
          <w:tcPr>
            <w:tcW w:type="dxa" w:w="3888"/>
          </w:tcPr>
          <w:p>
            <w:r/>
            <w:r>
              <w:rPr>
                <w:b w:val="0"/>
                <w:sz w:val="17"/>
              </w:rPr>
              <w:t>Charter §§5.2(c), 9.2(b), 9.3; Cap Table Pro Forma; Voting Agreement (not provided)</w:t>
            </w:r>
          </w:p>
        </w:tc>
      </w:tr>
    </w:tbl>
    <w:p>
      <w:pPr>
        <w:spacing w:after="40"/>
      </w:pPr>
    </w:p>
    <w:p>
      <w:pPr>
        <w:pStyle w:val="Heading1"/>
      </w:pPr>
      <w:r>
        <w:t>VI. Closing Action Plan / Required Deliverables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3A5F"/>
          </w:tcPr>
          <w:p>
            <w:r/>
            <w:r>
              <w:rPr>
                <w:b/>
                <w:color w:val="FFFFFF"/>
                <w:sz w:val="17"/>
              </w:rPr>
              <w:t>#</w:t>
            </w:r>
          </w:p>
        </w:tc>
        <w:tc>
          <w:tcPr>
            <w:tcW w:type="dxa" w:w="5040"/>
            <w:shd w:val="clear" w:color="auto" w:fill="1F3A5F"/>
          </w:tcPr>
          <w:p>
            <w:r/>
            <w:r>
              <w:rPr>
                <w:b/>
                <w:color w:val="FFFFFF"/>
                <w:sz w:val="17"/>
              </w:rPr>
              <w:t>Action</w:t>
            </w:r>
          </w:p>
        </w:tc>
        <w:tc>
          <w:tcPr>
            <w:tcW w:type="dxa" w:w="2160"/>
            <w:shd w:val="clear" w:color="auto" w:fill="1F3A5F"/>
          </w:tcPr>
          <w:p>
            <w:r/>
            <w:r>
              <w:rPr>
                <w:b/>
                <w:color w:val="FFFFFF"/>
                <w:sz w:val="17"/>
              </w:rPr>
              <w:t>Responsible</w:t>
            </w:r>
          </w:p>
        </w:tc>
        <w:tc>
          <w:tcPr>
            <w:tcW w:type="dxa" w:w="1728"/>
            <w:shd w:val="clear" w:color="auto" w:fill="1F3A5F"/>
          </w:tcPr>
          <w:p>
            <w:r/>
            <w:r>
              <w:rPr>
                <w:b/>
                <w:color w:val="FFFFFF"/>
                <w:sz w:val="17"/>
              </w:rPr>
              <w:t>Timing</w:t>
            </w:r>
          </w:p>
        </w:tc>
      </w:tr>
      <w:tr>
        <w:tc>
          <w:tcPr>
            <w:tcW w:type="dxa" w:w="432"/>
          </w:tcPr>
          <w:p>
            <w:r/>
            <w:r>
              <w:rPr>
                <w:b w:val="0"/>
                <w:sz w:val="17"/>
              </w:rPr>
              <w:t>1</w:t>
            </w:r>
          </w:p>
        </w:tc>
        <w:tc>
          <w:tcPr>
            <w:tcW w:type="dxa" w:w="5040"/>
          </w:tcPr>
          <w:p>
            <w:r/>
            <w:r>
              <w:rPr>
                <w:b w:val="0"/>
                <w:sz w:val="17"/>
              </w:rPr>
              <w:t>Correct STA Purchase Price to $2,656,250 throughout (§§2.1, 6.3(a), 8.1, 8.3(c)); delete FMV acknowledgment in §2.1</w:t>
            </w:r>
          </w:p>
        </w:tc>
        <w:tc>
          <w:tcPr>
            <w:tcW w:type="dxa" w:w="2160"/>
          </w:tcPr>
          <w:p>
            <w:r/>
            <w:r>
              <w:rPr>
                <w:b w:val="0"/>
                <w:sz w:val="17"/>
              </w:rPr>
              <w:t>Seller counsel (Linford Hayes)</w:t>
            </w:r>
          </w:p>
        </w:tc>
        <w:tc>
          <w:tcPr>
            <w:tcW w:type="dxa" w:w="1728"/>
          </w:tcPr>
          <w:p>
            <w:r/>
            <w:r>
              <w:rPr>
                <w:b w:val="0"/>
                <w:sz w:val="17"/>
              </w:rPr>
              <w:t>Before signing / amendment</w:t>
            </w:r>
          </w:p>
        </w:tc>
      </w:tr>
      <w:tr>
        <w:tc>
          <w:tcPr>
            <w:tcW w:type="dxa" w:w="432"/>
          </w:tcPr>
          <w:p>
            <w:r/>
            <w:r>
              <w:rPr>
                <w:b w:val="0"/>
                <w:sz w:val="17"/>
              </w:rPr>
              <w:t>2</w:t>
            </w:r>
          </w:p>
        </w:tc>
        <w:tc>
          <w:tcPr>
            <w:tcW w:type="dxa" w:w="5040"/>
          </w:tcPr>
          <w:p>
            <w:r/>
            <w:r>
              <w:rPr>
                <w:b w:val="0"/>
                <w:sz w:val="17"/>
              </w:rPr>
              <w:t>Fix STA date and recitals; written amendment if a December 1 version was signed; conform §3.5</w:t>
            </w:r>
          </w:p>
        </w:tc>
        <w:tc>
          <w:tcPr>
            <w:tcW w:type="dxa" w:w="2160"/>
          </w:tcPr>
          <w:p>
            <w:r/>
            <w:r>
              <w:rPr>
                <w:b w:val="0"/>
                <w:sz w:val="17"/>
              </w:rPr>
              <w:t>Both counsel</w:t>
            </w:r>
          </w:p>
        </w:tc>
        <w:tc>
          <w:tcPr>
            <w:tcW w:type="dxa" w:w="1728"/>
          </w:tcPr>
          <w:p>
            <w:r/>
            <w:r>
              <w:rPr>
                <w:b w:val="0"/>
                <w:sz w:val="17"/>
              </w:rPr>
              <w:t>Before signing</w:t>
            </w:r>
          </w:p>
        </w:tc>
      </w:tr>
      <w:tr>
        <w:tc>
          <w:tcPr>
            <w:tcW w:type="dxa" w:w="432"/>
          </w:tcPr>
          <w:p>
            <w:r/>
            <w:r>
              <w:rPr>
                <w:b w:val="0"/>
                <w:sz w:val="17"/>
              </w:rPr>
              <w:t>3</w:t>
            </w:r>
          </w:p>
        </w:tc>
        <w:tc>
          <w:tcPr>
            <w:tcW w:type="dxa" w:w="5040"/>
          </w:tcPr>
          <w:p>
            <w:r/>
            <w:r>
              <w:rPr>
                <w:b w:val="0"/>
                <w:sz w:val="17"/>
              </w:rPr>
              <w:t>Supplemental Transfer Notice attaching the STA and summarizing non-price terms, with corrected section references, signed and delivered per ROFR §9.2; or written waivers of notice defects from the Company and both Investors</w:t>
            </w:r>
          </w:p>
        </w:tc>
        <w:tc>
          <w:tcPr>
            <w:tcW w:type="dxa" w:w="2160"/>
          </w:tcPr>
          <w:p>
            <w:r/>
            <w:r>
              <w:rPr>
                <w:b w:val="0"/>
                <w:sz w:val="17"/>
              </w:rPr>
              <w:t>Seller</w:t>
            </w:r>
          </w:p>
        </w:tc>
        <w:tc>
          <w:tcPr>
            <w:tcW w:type="dxa" w:w="1728"/>
          </w:tcPr>
          <w:p>
            <w:r/>
            <w:r>
              <w:rPr>
                <w:b w:val="0"/>
                <w:sz w:val="17"/>
              </w:rPr>
              <w:t>Immediately</w:t>
            </w:r>
          </w:p>
        </w:tc>
      </w:tr>
      <w:tr>
        <w:tc>
          <w:tcPr>
            <w:tcW w:type="dxa" w:w="432"/>
          </w:tcPr>
          <w:p>
            <w:r/>
            <w:r>
              <w:rPr>
                <w:b w:val="0"/>
                <w:sz w:val="17"/>
              </w:rPr>
              <w:t>4</w:t>
            </w:r>
          </w:p>
        </w:tc>
        <w:tc>
          <w:tcPr>
            <w:tcW w:type="dxa" w:w="5040"/>
          </w:tcPr>
          <w:p>
            <w:r/>
            <w:r>
              <w:rPr>
                <w:b w:val="0"/>
                <w:sz w:val="17"/>
              </w:rPr>
              <w:t>Company written confirmation of the date the Transfer Notice was forwarded to each Investor (ROFR §2.1(b))</w:t>
            </w:r>
          </w:p>
        </w:tc>
        <w:tc>
          <w:tcPr>
            <w:tcW w:type="dxa" w:w="2160"/>
          </w:tcPr>
          <w:p>
            <w:r/>
            <w:r>
              <w:rPr>
                <w:b w:val="0"/>
                <w:sz w:val="17"/>
              </w:rPr>
              <w:t>Company (Darnell &amp; Whitaker)</w:t>
            </w:r>
          </w:p>
        </w:tc>
        <w:tc>
          <w:tcPr>
            <w:tcW w:type="dxa" w:w="1728"/>
          </w:tcPr>
          <w:p>
            <w:r/>
            <w:r>
              <w:rPr>
                <w:b w:val="0"/>
                <w:sz w:val="17"/>
              </w:rPr>
              <w:t>Immediately</w:t>
            </w:r>
          </w:p>
        </w:tc>
      </w:tr>
      <w:tr>
        <w:tc>
          <w:tcPr>
            <w:tcW w:type="dxa" w:w="432"/>
          </w:tcPr>
          <w:p>
            <w:r/>
            <w:r>
              <w:rPr>
                <w:b w:val="0"/>
                <w:sz w:val="17"/>
              </w:rPr>
              <w:t>5</w:t>
            </w:r>
          </w:p>
        </w:tc>
        <w:tc>
          <w:tcPr>
            <w:tcW w:type="dxa" w:w="5040"/>
          </w:tcPr>
          <w:p>
            <w:r/>
            <w:r>
              <w:rPr>
                <w:b w:val="0"/>
                <w:sz w:val="17"/>
              </w:rPr>
              <w:t>Ridgeline package: signed waiver of Secondary ROFR, over-allotment and Co-Sale; Bylaws §7.3 Preferred consent; Charter §4.5(e) consent if applicable</w:t>
            </w:r>
          </w:p>
        </w:tc>
        <w:tc>
          <w:tcPr>
            <w:tcW w:type="dxa" w:w="2160"/>
          </w:tcPr>
          <w:p>
            <w:r/>
            <w:r>
              <w:rPr>
                <w:b w:val="0"/>
                <w:sz w:val="17"/>
              </w:rPr>
              <w:t>Seller / Company</w:t>
            </w:r>
          </w:p>
        </w:tc>
        <w:tc>
          <w:tcPr>
            <w:tcW w:type="dxa" w:w="1728"/>
          </w:tcPr>
          <w:p>
            <w:r/>
            <w:r>
              <w:rPr>
                <w:b w:val="0"/>
                <w:sz w:val="17"/>
              </w:rPr>
              <w:t>Before Closing</w:t>
            </w:r>
          </w:p>
        </w:tc>
      </w:tr>
      <w:tr>
        <w:tc>
          <w:tcPr>
            <w:tcW w:type="dxa" w:w="432"/>
          </w:tcPr>
          <w:p>
            <w:r/>
            <w:r>
              <w:rPr>
                <w:b w:val="0"/>
                <w:sz w:val="17"/>
              </w:rPr>
              <w:t>6</w:t>
            </w:r>
          </w:p>
        </w:tc>
        <w:tc>
          <w:tcPr>
            <w:tcW w:type="dxa" w:w="5040"/>
          </w:tcPr>
          <w:p>
            <w:r/>
            <w:r>
              <w:rPr>
                <w:b w:val="0"/>
                <w:sz w:val="17"/>
              </w:rPr>
              <w:t>Formal signed Verdana waiver letter (ROFR §§2.2(a), 2.2(b), 3.1), executed by its GP</w:t>
            </w:r>
          </w:p>
        </w:tc>
        <w:tc>
          <w:tcPr>
            <w:tcW w:type="dxa" w:w="2160"/>
          </w:tcPr>
          <w:p>
            <w:r/>
            <w:r>
              <w:rPr>
                <w:b w:val="0"/>
                <w:sz w:val="17"/>
              </w:rPr>
              <w:t>Buyer</w:t>
            </w:r>
          </w:p>
        </w:tc>
        <w:tc>
          <w:tcPr>
            <w:tcW w:type="dxa" w:w="1728"/>
          </w:tcPr>
          <w:p>
            <w:r/>
            <w:r>
              <w:rPr>
                <w:b w:val="0"/>
                <w:sz w:val="17"/>
              </w:rPr>
              <w:t>Before Closing</w:t>
            </w:r>
          </w:p>
        </w:tc>
      </w:tr>
      <w:tr>
        <w:tc>
          <w:tcPr>
            <w:tcW w:type="dxa" w:w="432"/>
          </w:tcPr>
          <w:p>
            <w:r/>
            <w:r>
              <w:rPr>
                <w:b w:val="0"/>
                <w:sz w:val="17"/>
              </w:rPr>
              <w:t>7</w:t>
            </w:r>
          </w:p>
        </w:tc>
        <w:tc>
          <w:tcPr>
            <w:tcW w:type="dxa" w:w="5040"/>
          </w:tcPr>
          <w:p>
            <w:r/>
            <w:r>
              <w:rPr>
                <w:b w:val="0"/>
                <w:sz w:val="17"/>
              </w:rPr>
              <w:t>Board written consent under Charter §9.1 and Bylaws §7.2, approved by the disinterested directors with Hale and Chandrasekaran recused and disclosed (Bylaws §3.13; Charter §4.5(e))</w:t>
            </w:r>
          </w:p>
        </w:tc>
        <w:tc>
          <w:tcPr>
            <w:tcW w:type="dxa" w:w="2160"/>
          </w:tcPr>
          <w:p>
            <w:r/>
            <w:r>
              <w:rPr>
                <w:b w:val="0"/>
                <w:sz w:val="17"/>
              </w:rPr>
              <w:t>Company</w:t>
            </w:r>
          </w:p>
        </w:tc>
        <w:tc>
          <w:tcPr>
            <w:tcW w:type="dxa" w:w="1728"/>
          </w:tcPr>
          <w:p>
            <w:r/>
            <w:r>
              <w:rPr>
                <w:b w:val="0"/>
                <w:sz w:val="17"/>
              </w:rPr>
              <w:t>At or after the Jan. 17, 2025 meeting; before Closing</w:t>
            </w:r>
          </w:p>
        </w:tc>
      </w:tr>
      <w:tr>
        <w:tc>
          <w:tcPr>
            <w:tcW w:type="dxa" w:w="432"/>
          </w:tcPr>
          <w:p>
            <w:r/>
            <w:r>
              <w:rPr>
                <w:b w:val="0"/>
                <w:sz w:val="17"/>
              </w:rPr>
              <w:t>8</w:t>
            </w:r>
          </w:p>
        </w:tc>
        <w:tc>
          <w:tcPr>
            <w:tcW w:type="dxa" w:w="5040"/>
          </w:tcPr>
          <w:p>
            <w:r/>
            <w:r>
              <w:rPr>
                <w:b w:val="0"/>
                <w:sz w:val="17"/>
              </w:rPr>
              <w:t>Revise STA §§5.1/5.2/6.2 to make Board consent, Preferred consent and all ROFR/Co-Sale waivers mutual conditions and deliverables; add a share-reduction mechanic</w:t>
            </w:r>
          </w:p>
        </w:tc>
        <w:tc>
          <w:tcPr>
            <w:tcW w:type="dxa" w:w="2160"/>
          </w:tcPr>
          <w:p>
            <w:r/>
            <w:r>
              <w:rPr>
                <w:b w:val="0"/>
                <w:sz w:val="17"/>
              </w:rPr>
              <w:t>Both counsel</w:t>
            </w:r>
          </w:p>
        </w:tc>
        <w:tc>
          <w:tcPr>
            <w:tcW w:type="dxa" w:w="1728"/>
          </w:tcPr>
          <w:p>
            <w:r/>
            <w:r>
              <w:rPr>
                <w:b w:val="0"/>
                <w:sz w:val="17"/>
              </w:rPr>
              <w:t>Before signing</w:t>
            </w:r>
          </w:p>
        </w:tc>
      </w:tr>
      <w:tr>
        <w:tc>
          <w:tcPr>
            <w:tcW w:type="dxa" w:w="432"/>
          </w:tcPr>
          <w:p>
            <w:r/>
            <w:r>
              <w:rPr>
                <w:b w:val="0"/>
                <w:sz w:val="17"/>
              </w:rPr>
              <w:t>9</w:t>
            </w:r>
          </w:p>
        </w:tc>
        <w:tc>
          <w:tcPr>
            <w:tcW w:type="dxa" w:w="5040"/>
          </w:tcPr>
          <w:p>
            <w:r/>
            <w:r>
              <w:rPr>
                <w:b w:val="0"/>
                <w:sz w:val="17"/>
              </w:rPr>
              <w:t>Replace the 4(a)(2) recital with 4(a)(7)/4(a)(1½); add Buyer investment representations, no-broker and big-boy provisions</w:t>
            </w:r>
          </w:p>
        </w:tc>
        <w:tc>
          <w:tcPr>
            <w:tcW w:type="dxa" w:w="2160"/>
          </w:tcPr>
          <w:p>
            <w:r/>
            <w:r>
              <w:rPr>
                <w:b w:val="0"/>
                <w:sz w:val="17"/>
              </w:rPr>
              <w:t>Both counsel</w:t>
            </w:r>
          </w:p>
        </w:tc>
        <w:tc>
          <w:tcPr>
            <w:tcW w:type="dxa" w:w="1728"/>
          </w:tcPr>
          <w:p>
            <w:r/>
            <w:r>
              <w:rPr>
                <w:b w:val="0"/>
                <w:sz w:val="17"/>
              </w:rPr>
              <w:t>Before signing</w:t>
            </w:r>
          </w:p>
        </w:tc>
      </w:tr>
      <w:tr>
        <w:tc>
          <w:tcPr>
            <w:tcW w:type="dxa" w:w="432"/>
          </w:tcPr>
          <w:p>
            <w:r/>
            <w:r>
              <w:rPr>
                <w:b w:val="0"/>
                <w:sz w:val="17"/>
              </w:rPr>
              <w:t>10</w:t>
            </w:r>
          </w:p>
        </w:tc>
        <w:tc>
          <w:tcPr>
            <w:tcW w:type="dxa" w:w="5040"/>
          </w:tcPr>
          <w:p>
            <w:r/>
            <w:r>
              <w:rPr>
                <w:b w:val="0"/>
                <w:sz w:val="17"/>
              </w:rPr>
              <w:t>Delaware governing law and forum; fundamental-representation treatment; preserve equitable relief; §7.3 ROFR carve-out; correct notice emails</w:t>
            </w:r>
          </w:p>
        </w:tc>
        <w:tc>
          <w:tcPr>
            <w:tcW w:type="dxa" w:w="2160"/>
          </w:tcPr>
          <w:p>
            <w:r/>
            <w:r>
              <w:rPr>
                <w:b w:val="0"/>
                <w:sz w:val="17"/>
              </w:rPr>
              <w:t>Both counsel</w:t>
            </w:r>
          </w:p>
        </w:tc>
        <w:tc>
          <w:tcPr>
            <w:tcW w:type="dxa" w:w="1728"/>
          </w:tcPr>
          <w:p>
            <w:r/>
            <w:r>
              <w:rPr>
                <w:b w:val="0"/>
                <w:sz w:val="17"/>
              </w:rPr>
              <w:t>Before signing</w:t>
            </w:r>
          </w:p>
        </w:tc>
      </w:tr>
      <w:tr>
        <w:tc>
          <w:tcPr>
            <w:tcW w:type="dxa" w:w="432"/>
          </w:tcPr>
          <w:p>
            <w:r/>
            <w:r>
              <w:rPr>
                <w:b w:val="0"/>
                <w:sz w:val="17"/>
              </w:rPr>
              <w:t>11</w:t>
            </w:r>
          </w:p>
        </w:tc>
        <w:tc>
          <w:tcPr>
            <w:tcW w:type="dxa" w:w="5040"/>
          </w:tcPr>
          <w:p>
            <w:r/>
            <w:r>
              <w:rPr>
                <w:b w:val="0"/>
                <w:sz w:val="17"/>
              </w:rPr>
              <w:t>Review IRA and Voting Agreement (lock-up/market standoff, joinders); revise §3.6</w:t>
            </w:r>
          </w:p>
        </w:tc>
        <w:tc>
          <w:tcPr>
            <w:tcW w:type="dxa" w:w="2160"/>
          </w:tcPr>
          <w:p>
            <w:r/>
            <w:r>
              <w:rPr>
                <w:b w:val="0"/>
                <w:sz w:val="17"/>
              </w:rPr>
              <w:t>Both counsel</w:t>
            </w:r>
          </w:p>
        </w:tc>
        <w:tc>
          <w:tcPr>
            <w:tcW w:type="dxa" w:w="1728"/>
          </w:tcPr>
          <w:p>
            <w:r/>
            <w:r>
              <w:rPr>
                <w:b w:val="0"/>
                <w:sz w:val="17"/>
              </w:rPr>
              <w:t>Before signing</w:t>
            </w:r>
          </w:p>
        </w:tc>
      </w:tr>
      <w:tr>
        <w:tc>
          <w:tcPr>
            <w:tcW w:type="dxa" w:w="432"/>
          </w:tcPr>
          <w:p>
            <w:r/>
            <w:r>
              <w:rPr>
                <w:b w:val="0"/>
                <w:sz w:val="17"/>
              </w:rPr>
              <w:t>12</w:t>
            </w:r>
          </w:p>
        </w:tc>
        <w:tc>
          <w:tcPr>
            <w:tcW w:type="dxa" w:w="5040"/>
          </w:tcPr>
          <w:p>
            <w:r/>
            <w:r>
              <w:rPr>
                <w:b w:val="0"/>
                <w:sz w:val="17"/>
              </w:rPr>
              <w:t>Spousal consent (Texas community property), if applicable; confirm RSPA vesting date and lapse of repurchase rights</w:t>
            </w:r>
          </w:p>
        </w:tc>
        <w:tc>
          <w:tcPr>
            <w:tcW w:type="dxa" w:w="2160"/>
          </w:tcPr>
          <w:p>
            <w:r/>
            <w:r>
              <w:rPr>
                <w:b w:val="0"/>
                <w:sz w:val="17"/>
              </w:rPr>
              <w:t>Seller</w:t>
            </w:r>
          </w:p>
        </w:tc>
        <w:tc>
          <w:tcPr>
            <w:tcW w:type="dxa" w:w="1728"/>
          </w:tcPr>
          <w:p>
            <w:r/>
            <w:r>
              <w:rPr>
                <w:b w:val="0"/>
                <w:sz w:val="17"/>
              </w:rPr>
              <w:t>Before Closing</w:t>
            </w:r>
          </w:p>
        </w:tc>
      </w:tr>
      <w:tr>
        <w:tc>
          <w:tcPr>
            <w:tcW w:type="dxa" w:w="432"/>
          </w:tcPr>
          <w:p>
            <w:r/>
            <w:r>
              <w:rPr>
                <w:b w:val="0"/>
                <w:sz w:val="17"/>
              </w:rPr>
              <w:t>13</w:t>
            </w:r>
          </w:p>
        </w:tc>
        <w:tc>
          <w:tcPr>
            <w:tcW w:type="dxa" w:w="5040"/>
          </w:tcPr>
          <w:p>
            <w:r/>
            <w:r>
              <w:rPr>
                <w:b w:val="0"/>
                <w:sz w:val="17"/>
              </w:rPr>
              <w:t>Company joinder: register transfer, issue Buyer and Seller balance certificates with Charter §9.4 legends; completed Exhibits A and B with call-back wire verification</w:t>
            </w:r>
          </w:p>
        </w:tc>
        <w:tc>
          <w:tcPr>
            <w:tcW w:type="dxa" w:w="2160"/>
          </w:tcPr>
          <w:p>
            <w:r/>
            <w:r>
              <w:rPr>
                <w:b w:val="0"/>
                <w:sz w:val="17"/>
              </w:rPr>
              <w:t>Company / Seller</w:t>
            </w:r>
          </w:p>
        </w:tc>
        <w:tc>
          <w:tcPr>
            <w:tcW w:type="dxa" w:w="1728"/>
          </w:tcPr>
          <w:p>
            <w:r/>
            <w:r>
              <w:rPr>
                <w:b w:val="0"/>
                <w:sz w:val="17"/>
              </w:rPr>
              <w:t>At Closing</w:t>
            </w:r>
          </w:p>
        </w:tc>
      </w:tr>
      <w:tr>
        <w:tc>
          <w:tcPr>
            <w:tcW w:type="dxa" w:w="432"/>
          </w:tcPr>
          <w:p>
            <w:r/>
            <w:r>
              <w:rPr>
                <w:b w:val="0"/>
                <w:sz w:val="17"/>
              </w:rPr>
              <w:t>14</w:t>
            </w:r>
          </w:p>
        </w:tc>
        <w:tc>
          <w:tcPr>
            <w:tcW w:type="dxa" w:w="5040"/>
          </w:tcPr>
          <w:p>
            <w:r/>
            <w:r>
              <w:rPr>
                <w:b w:val="0"/>
                <w:sz w:val="17"/>
              </w:rPr>
              <w:t>Tax: QSBS analysis and possible Closing on or after April 2, 2025 (amend Outside Date); compensatory-premium analysis with auditors; updated 409A before further grants</w:t>
            </w:r>
          </w:p>
        </w:tc>
        <w:tc>
          <w:tcPr>
            <w:tcW w:type="dxa" w:w="2160"/>
          </w:tcPr>
          <w:p>
            <w:r/>
            <w:r>
              <w:rPr>
                <w:b w:val="0"/>
                <w:sz w:val="17"/>
              </w:rPr>
              <w:t>Seller tax counsel; Company</w:t>
            </w:r>
          </w:p>
        </w:tc>
        <w:tc>
          <w:tcPr>
            <w:tcW w:type="dxa" w:w="1728"/>
          </w:tcPr>
          <w:p>
            <w:r/>
            <w:r>
              <w:rPr>
                <w:b w:val="0"/>
                <w:sz w:val="17"/>
              </w:rPr>
              <w:t>Before fixing Closing Date</w:t>
            </w:r>
          </w:p>
        </w:tc>
      </w:tr>
      <w:tr>
        <w:tc>
          <w:tcPr>
            <w:tcW w:type="dxa" w:w="432"/>
          </w:tcPr>
          <w:p>
            <w:r/>
            <w:r>
              <w:rPr>
                <w:b w:val="0"/>
                <w:sz w:val="17"/>
              </w:rPr>
              <w:t>15</w:t>
            </w:r>
          </w:p>
        </w:tc>
        <w:tc>
          <w:tcPr>
            <w:tcW w:type="dxa" w:w="5040"/>
          </w:tcPr>
          <w:p>
            <w:r/>
            <w:r>
              <w:rPr>
                <w:b w:val="0"/>
                <w:sz w:val="17"/>
              </w:rPr>
              <w:t>Reconciled, certified cap table and option ledger; confirm option plan reserve and 409A provider identity</w:t>
            </w:r>
          </w:p>
        </w:tc>
        <w:tc>
          <w:tcPr>
            <w:tcW w:type="dxa" w:w="2160"/>
          </w:tcPr>
          <w:p>
            <w:r/>
            <w:r>
              <w:rPr>
                <w:b w:val="0"/>
                <w:sz w:val="17"/>
              </w:rPr>
              <w:t>Company</w:t>
            </w:r>
          </w:p>
        </w:tc>
        <w:tc>
          <w:tcPr>
            <w:tcW w:type="dxa" w:w="1728"/>
          </w:tcPr>
          <w:p>
            <w:r/>
            <w:r>
              <w:rPr>
                <w:b w:val="0"/>
                <w:sz w:val="17"/>
              </w:rPr>
              <w:t>Before Closing</w:t>
            </w:r>
          </w:p>
        </w:tc>
      </w:tr>
    </w:tbl>
    <w:p>
      <w:pPr>
        <w:spacing w:after="40"/>
      </w:pPr>
    </w:p>
    <w:p>
      <w:pPr>
        <w:pStyle w:val="Heading1"/>
      </w:pPr>
      <w:r>
        <w:t>VII. Assumptions, Limitations and Open Diligence Items</w:t>
      </w:r>
    </w:p>
    <w:p>
      <w:pPr>
        <w:pStyle w:val="ListBullet"/>
        <w:spacing w:after="40"/>
      </w:pPr>
      <w:r>
        <w:rPr>
          <w:b w:val="0"/>
          <w:i w:val="0"/>
        </w:rPr>
        <w:t>This review is limited to the nine documents in the file. We have not reviewed the Investors' Rights Agreement, Voting Agreement, Series A or Series B Stock Purchase Agreements, Hale's RSPA or 83(b) election, the 2021 Equity Incentive Plan, Board minutes or consents, the stock ledger or certificates, or any correspondence forwarding the Transfer Notice to Investors. Each may contain additional transfer restrictions (for example, IRA market standoff or ROFR provisions) or may cure issues identified above.</w:t>
      </w:r>
    </w:p>
    <w:p>
      <w:pPr>
        <w:pStyle w:val="ListBullet"/>
        <w:spacing w:after="40"/>
      </w:pPr>
      <w:r>
        <w:rPr>
          <w:b w:val="0"/>
          <w:i w:val="0"/>
        </w:rPr>
        <w:t>Day counts assume calendar days for the 15-day ROFR periods (the ROFR Agreement does not say "business days" for those periods) and business days where the agreement so specifies. They also assume the Transfer Notice was received on December 20, 2024 and forwarded to Investors on or about January 7, 2025. If forwarding occurred later or not at all, the Investor periods shift accordingly or have not begun.</w:t>
      </w:r>
    </w:p>
    <w:p>
      <w:pPr>
        <w:pStyle w:val="ListBullet"/>
        <w:spacing w:after="40"/>
      </w:pPr>
      <w:r>
        <w:rPr>
          <w:b w:val="0"/>
          <w:i w:val="0"/>
        </w:rPr>
        <w:t>Pro rata and Co-Sale calculations assume 1:1 conversion of all Preferred (no anti-dilution adjustment, per Charter §§4.3.2 and 4.4.2) and that Hale and Fong are the only Key Holders (ROFR Exhibit A).</w:t>
      </w:r>
    </w:p>
    <w:p>
      <w:pPr>
        <w:pStyle w:val="ListBullet"/>
        <w:spacing w:after="40"/>
      </w:pPr>
      <w:r>
        <w:rPr>
          <w:b w:val="0"/>
          <w:i w:val="0"/>
        </w:rPr>
        <w:t>Tax observations (QSBS, compensatory premium, 409A) are issue-spotting only and require confirmation by tax counsel and the Company's auditors.</w:t>
      </w:r>
    </w:p>
    <w:p>
      <w:pPr>
        <w:pStyle w:val="ListBullet"/>
        <w:spacing w:after="40"/>
      </w:pPr>
      <w:r>
        <w:rPr>
          <w:b w:val="0"/>
          <w:i w:val="0"/>
        </w:rPr>
        <w:t>This memorandum does not identify which party the firm represents. Recommendations are framed to produce a valid, enforceable transfer, which is in the interest of both parties. Items that favor one side (for example, the fundamental-representation treatment for the Buyer, and Buyer reciprocity and QSBS timing for the Seller) are flagged as such.</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