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3A5F"/>
          <w:sz w:val="26"/>
        </w:rPr>
        <w:t>BRIARSTONE &amp; LYLE LLP</w:t>
      </w:r>
    </w:p>
    <w:p>
      <w:pPr>
        <w:spacing w:after="200"/>
        <w:jc w:val="center"/>
      </w:pPr>
      <w:r>
        <w:rPr>
          <w:b w:val="0"/>
          <w:i w:val="0"/>
          <w:sz w:val="18"/>
        </w:rPr>
        <w:t>1700 Stout Street, Suite 1450 | Denver, Colorado 80202 | (303) 555-4200</w:t>
      </w:r>
    </w:p>
    <w:p>
      <w:pPr>
        <w:spacing w:after="40"/>
        <w:jc w:val="center"/>
      </w:pPr>
      <w:r>
        <w:rPr>
          <w:b/>
          <w:i w:val="0"/>
          <w:color w:val="1F3A5F"/>
          <w:sz w:val="30"/>
        </w:rPr>
        <w:t>MEMORANDUM — COMPLIANCE GAP ANALYSIS</w:t>
      </w:r>
    </w:p>
    <w:p>
      <w:pPr>
        <w:spacing w:after="200"/>
        <w:jc w:val="center"/>
      </w:pPr>
      <w:r>
        <w:rPr>
          <w:b w:val="0"/>
          <w:i/>
          <w:sz w:val="22"/>
        </w:rPr>
        <w:t>Oakridge Senior Living, Inc. Employee Handbook (Revised March 14, 2025) Measured Against Colorado Employment Law</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9"/>
              </w:rPr>
              <w:t>To</w:t>
            </w:r>
          </w:p>
        </w:tc>
        <w:tc>
          <w:tcPr>
            <w:tcW w:type="dxa" w:w="7056"/>
          </w:tcPr>
          <w:p>
            <w:pPr>
              <w:spacing w:after="20"/>
            </w:pPr>
            <w:r/>
            <w:r>
              <w:rPr>
                <w:b w:val="0"/>
                <w:i w:val="0"/>
                <w:sz w:val="19"/>
              </w:rPr>
              <w:t>Denise Kowalski, General Counsel (Part-Time), Oakridge Senior Living, Inc.</w:t>
            </w:r>
          </w:p>
          <w:p>
            <w:pPr>
              <w:spacing w:after="20"/>
            </w:pPr>
            <w:r>
              <w:rPr>
                <w:b w:val="0"/>
                <w:i w:val="0"/>
                <w:sz w:val="19"/>
              </w:rPr>
              <w:t>cc: Margaret “Meg” Tyburn, Chief Executive Officer (at Ms. Kowalski’s discretion)</w:t>
            </w:r>
          </w:p>
        </w:tc>
      </w:tr>
      <w:tr>
        <w:tc>
          <w:tcPr>
            <w:tcW w:type="dxa" w:w="2304"/>
            <w:shd w:val="clear" w:color="auto" w:fill="DCE6F1"/>
          </w:tcPr>
          <w:p>
            <w:r/>
            <w:r>
              <w:rPr>
                <w:b/>
                <w:i w:val="0"/>
                <w:sz w:val="19"/>
              </w:rPr>
              <w:t>From</w:t>
            </w:r>
          </w:p>
        </w:tc>
        <w:tc>
          <w:tcPr>
            <w:tcW w:type="dxa" w:w="7056"/>
          </w:tcPr>
          <w:p>
            <w:pPr>
              <w:spacing w:after="20"/>
            </w:pPr>
            <w:r/>
            <w:r>
              <w:rPr>
                <w:b w:val="0"/>
                <w:i w:val="0"/>
                <w:sz w:val="19"/>
              </w:rPr>
              <w:t>Briarstone &amp; Lyle LLP — Caitlin Reeves, Senior Associate; reviewed by Jonathan Briarstone, Lead Partner</w:t>
            </w:r>
          </w:p>
        </w:tc>
      </w:tr>
      <w:tr>
        <w:tc>
          <w:tcPr>
            <w:tcW w:type="dxa" w:w="2304"/>
            <w:shd w:val="clear" w:color="auto" w:fill="DCE6F1"/>
          </w:tcPr>
          <w:p>
            <w:r/>
            <w:r>
              <w:rPr>
                <w:b/>
                <w:i w:val="0"/>
                <w:sz w:val="19"/>
              </w:rPr>
              <w:t>Date</w:t>
            </w:r>
          </w:p>
        </w:tc>
        <w:tc>
          <w:tcPr>
            <w:tcW w:type="dxa" w:w="7056"/>
          </w:tcPr>
          <w:p>
            <w:pPr>
              <w:spacing w:after="20"/>
            </w:pPr>
            <w:r/>
            <w:r>
              <w:rPr>
                <w:b w:val="0"/>
                <w:i w:val="0"/>
                <w:sz w:val="19"/>
              </w:rPr>
              <w:t>June 27, 2025</w:t>
            </w:r>
          </w:p>
        </w:tc>
      </w:tr>
      <w:tr>
        <w:tc>
          <w:tcPr>
            <w:tcW w:type="dxa" w:w="2304"/>
            <w:shd w:val="clear" w:color="auto" w:fill="DCE6F1"/>
          </w:tcPr>
          <w:p>
            <w:r/>
            <w:r>
              <w:rPr>
                <w:b/>
                <w:i w:val="0"/>
                <w:sz w:val="19"/>
              </w:rPr>
              <w:t>Matter</w:t>
            </w:r>
          </w:p>
        </w:tc>
        <w:tc>
          <w:tcPr>
            <w:tcW w:type="dxa" w:w="7056"/>
          </w:tcPr>
          <w:p>
            <w:pPr>
              <w:spacing w:after="20"/>
            </w:pPr>
            <w:r/>
            <w:r>
              <w:rPr>
                <w:b w:val="0"/>
                <w:i w:val="0"/>
                <w:sz w:val="19"/>
              </w:rPr>
              <w:t>Employee Handbook Compliance Review — Matter No. 2025-OSL-0047 (engagement letter dated May 19, 2025)</w:t>
            </w:r>
          </w:p>
        </w:tc>
      </w:tr>
      <w:tr>
        <w:tc>
          <w:tcPr>
            <w:tcW w:type="dxa" w:w="2304"/>
            <w:shd w:val="clear" w:color="auto" w:fill="DCE6F1"/>
          </w:tcPr>
          <w:p>
            <w:r/>
            <w:r>
              <w:rPr>
                <w:b/>
                <w:i w:val="0"/>
                <w:sz w:val="19"/>
              </w:rPr>
              <w:t>Materials reviewed</w:t>
            </w:r>
          </w:p>
        </w:tc>
        <w:tc>
          <w:tcPr>
            <w:tcW w:type="dxa" w:w="7056"/>
          </w:tcPr>
          <w:p>
            <w:pPr>
              <w:spacing w:after="20"/>
            </w:pPr>
            <w:r/>
            <w:r>
              <w:rPr>
                <w:b w:val="0"/>
                <w:i w:val="0"/>
                <w:sz w:val="19"/>
              </w:rPr>
              <w:t>(1) Oakridge Employee Handbook, revised March 14, 2025 (Sections 1–14 and Appendix A); (2) Oakridge Employee Census as of April 30, 2025 (Pinnacle Payroll Services; reviewed by R. Chu) — all four tabs; (3) Briarstone &amp; Lyle Colorado Employment Law Requirements Checklist (May 2025; law current as of May 19, 2025); (4) D. Kowalski transmittal email dated June 2, 2025.</w:t>
            </w:r>
          </w:p>
        </w:tc>
      </w:tr>
      <w:tr>
        <w:tc>
          <w:tcPr>
            <w:tcW w:type="dxa" w:w="2304"/>
            <w:shd w:val="clear" w:color="auto" w:fill="DCE6F1"/>
          </w:tcPr>
          <w:p>
            <w:r/>
            <w:r>
              <w:rPr>
                <w:b/>
                <w:i w:val="0"/>
                <w:sz w:val="19"/>
              </w:rPr>
              <w:t>Bottom line</w:t>
            </w:r>
          </w:p>
        </w:tc>
        <w:tc>
          <w:tcPr>
            <w:tcW w:type="dxa" w:w="7056"/>
          </w:tcPr>
          <w:p>
            <w:pPr>
              <w:spacing w:after="20"/>
            </w:pPr>
            <w:r/>
            <w:r>
              <w:rPr>
                <w:b w:val="0"/>
                <w:i w:val="0"/>
                <w:sz w:val="19"/>
              </w:rPr>
              <w:t xml:space="preserve">The handbook is </w:t>
            </w:r>
            <w:r>
              <w:rPr>
                <w:b/>
                <w:i w:val="0"/>
                <w:sz w:val="19"/>
              </w:rPr>
              <w:t>not ready for August 1 distribution in its current form.</w:t>
            </w:r>
            <w:r>
              <w:rPr>
                <w:b w:val="0"/>
                <w:i w:val="0"/>
                <w:sz w:val="19"/>
              </w:rPr>
              <w:t xml:space="preserve"> We identified </w:t>
            </w:r>
            <w:r>
              <w:rPr>
                <w:b/>
                <w:i w:val="0"/>
                <w:sz w:val="19"/>
              </w:rPr>
              <w:t>35 gaps</w:t>
            </w:r>
            <w:r>
              <w:rPr>
                <w:b w:val="0"/>
                <w:i w:val="0"/>
                <w:sz w:val="19"/>
              </w:rPr>
              <w:t xml:space="preserve">: </w:t>
            </w:r>
            <w:r>
              <w:rPr>
                <w:b/>
                <w:i w:val="0"/>
                <w:sz w:val="19"/>
              </w:rPr>
              <w:t>10 Critical, 11 High, 9 Medium and 5 Low.</w:t>
            </w:r>
            <w:r>
              <w:rPr>
                <w:b w:val="0"/>
                <w:i w:val="0"/>
                <w:sz w:val="19"/>
              </w:rPr>
              <w:t xml:space="preserve"> Several Critical items are not merely drafting problems — they reflect pay practices that appear to be producing live wage-and-hour liability today (Denver local minimum wage, exempt salary threshold, daily overtime, rest breaks, PTO accrual and forfeiture, final pay) and a void, penalty-bearing non-compete imposed on all 612 employees. Those items require operational correction now, independent of the handbook re-issue.</w:t>
            </w:r>
          </w:p>
        </w:tc>
      </w:tr>
    </w:tbl>
    <w:p>
      <w:pPr>
        <w:spacing w:after="40"/>
      </w:pPr>
    </w:p>
    <w:p>
      <w:pPr>
        <w:pStyle w:val="Heading1"/>
      </w:pPr>
      <w:r>
        <w:t>1. Executive Summary</w:t>
      </w:r>
    </w:p>
    <w:p>
      <w:r>
        <w:rPr>
          <w:b w:val="0"/>
          <w:i w:val="0"/>
        </w:rPr>
        <w:t>We compared each provision of the March 14, 2025 handbook against the firm’s Colorado requirements checklist and against current Colorado statutes, the Colorado Overtime and Minimum Pay Standards Order (COMPS Order #39, 7 CCR 1103-1) and local wage ordinances, and we tested the handbook against the April 30, 2025 census to size the affected population for each gap. The handbook is built on a 2019 multi-state template that tracks federal (FLSA/FMLA/Title VII) baselines; in nearly every area where Colorado law diverges from federal law, the handbook follows the federal rule or is silent. The most significant themes are:</w:t>
      </w:r>
    </w:p>
    <w:p>
      <w:pPr>
        <w:pStyle w:val="ListBullet"/>
        <w:spacing w:after="40"/>
      </w:pPr>
      <w:r>
        <w:rPr>
          <w:b/>
          <w:i w:val="0"/>
        </w:rPr>
        <w:t>Wage and hour (464 non-exempt employees; potentially up to 490).</w:t>
      </w:r>
      <w:r>
        <w:rPr>
          <w:b w:val="0"/>
          <w:i w:val="0"/>
        </w:rPr>
        <w:t xml:space="preserve"> The handbook states a $14.00 minimum starting wage (below the $14.81 state minimum); the census shows Denver hourly staff starting at $16.50, below Denver’s 2025 local minimum wage of $18.81; overtime omits Colorado’s 12-hour daily and 12-consecutive-hour triggers; the meal break trigger is six hours rather than five; and rest breaks are described as “encouraged but not required.” Separately, every facility pays some salaried exempt employees below Colorado’s 2025 exempt salary floor of $56,485 (at least 8 and up to 26 employees), which means they are likely misclassified under Colorado law even though they satisfy the federal $35,568 floor.</w:t>
      </w:r>
    </w:p>
    <w:p>
      <w:pPr>
        <w:pStyle w:val="ListBullet"/>
        <w:spacing w:after="40"/>
      </w:pPr>
      <w:r>
        <w:rPr>
          <w:b/>
          <w:i w:val="0"/>
        </w:rPr>
        <w:t>Paid leave (all 612 employees).</w:t>
      </w:r>
      <w:r>
        <w:rPr>
          <w:b w:val="0"/>
          <w:i w:val="0"/>
        </w:rPr>
        <w:t xml:space="preserve"> The combined PTO bank accrues at 1 hour per 40 hours worked (HFWA minimum is 1:30), imposes a 90-day use waiting period, bars temporary employees from use, lets supervisors deny leave for operational reasons, and is paired with an attendance policy that disciplines “patterns” of absence. There is no Public Health Emergency Leave (PHEL) policy, no HFWA rights notice, and </w:t>
      </w:r>
      <w:r>
        <w:rPr>
          <w:b/>
          <w:i w:val="0"/>
        </w:rPr>
        <w:t>no reference at all to Colorado FAMLI</w:t>
      </w:r>
      <w:r>
        <w:rPr>
          <w:b w:val="0"/>
          <w:i w:val="0"/>
        </w:rPr>
        <w:t xml:space="preserve"> — the federal FMLA section does not satisfy Colorado’s paid family and medical leave notice obligations (answering Ms. Kowalski’s first question).</w:t>
      </w:r>
    </w:p>
    <w:p>
      <w:pPr>
        <w:pStyle w:val="ListBullet"/>
        <w:spacing w:after="40"/>
      </w:pPr>
      <w:r>
        <w:rPr>
          <w:b/>
          <w:i w:val="0"/>
        </w:rPr>
        <w:t>Separation pay (every departing employee).</w:t>
      </w:r>
      <w:r>
        <w:rPr>
          <w:b w:val="0"/>
          <w:i w:val="0"/>
        </w:rPr>
        <w:t xml:space="preserve"> The handbook pays all final wages on the next regular payday, which is unlawful for involuntary terminations (wages are due immediately), and forfeits accrued PTO on voluntary resignation, which the Colorado Supreme Court held unlawful in Nieto v. Clark’s Market, Inc., 2021 CO 48.</w:t>
      </w:r>
    </w:p>
    <w:p>
      <w:pPr>
        <w:pStyle w:val="ListBullet"/>
        <w:spacing w:after="40"/>
      </w:pPr>
      <w:r>
        <w:rPr>
          <w:b/>
          <w:i w:val="0"/>
        </w:rPr>
        <w:t>Restrictive covenants (all 612 employees).</w:t>
      </w:r>
      <w:r>
        <w:rPr>
          <w:b w:val="0"/>
          <w:i w:val="0"/>
        </w:rPr>
        <w:t xml:space="preserve"> Section 12 imposes a 50-mile, 12-month non-compete and a customer/resident non-solicit on every employee, accepted by signature on the handbook acknowledgment or “deemed accepted” by continued employment, with no statutory notice. Under C.R.S. § 8-2-113 the non-compete is void as to at least 589 employees (everyone below the 2025 $127,091 threshold) and procedurally void as to all; merely presenting it exposes Oakridge to actual damages, a $5,000 penalty per worker harmed, and attorneys’ fees (answering the third question).</w:t>
      </w:r>
    </w:p>
    <w:p>
      <w:pPr>
        <w:pStyle w:val="ListBullet"/>
        <w:spacing w:after="40"/>
      </w:pPr>
      <w:r>
        <w:rPr>
          <w:b/>
          <w:i w:val="0"/>
        </w:rPr>
        <w:t>Anti-discrimination, harassment and retaliation.</w:t>
      </w:r>
      <w:r>
        <w:rPr>
          <w:b w:val="0"/>
          <w:i w:val="0"/>
        </w:rPr>
        <w:t xml:space="preserve"> The EEO and harassment policies list only federal classes, omit seven-plus Colorado classes, still use the “severe or pervasive” hostile-environment standard that Colorado’s POWR Act abolished in 2023, identify only the EEOC (not the Colorado Civil Rights Division), and route complaints to a part-time General Counsel with no HR or hotline alternative. There is no standalone whistleblower policy — a significant gap for a licensed senior care operator — and no accommodation (pregnancy, disability, religion, lactation) policy.</w:t>
      </w:r>
    </w:p>
    <w:p>
      <w:pPr>
        <w:pStyle w:val="ListBullet"/>
        <w:spacing w:after="40"/>
      </w:pPr>
      <w:r>
        <w:rPr>
          <w:b/>
          <w:i w:val="0"/>
        </w:rPr>
        <w:t>Policies that undermine their own enforceability.</w:t>
      </w:r>
      <w:r>
        <w:rPr>
          <w:b w:val="0"/>
          <w:i w:val="0"/>
        </w:rPr>
        <w:t xml:space="preserve"> The social media policy bars any unapproved post referencing Oakridge, its staff or management (unlawful under NLRA Section 7 and in tension with C.R.S. § 24-34-402.5); the mandatory arbitration clause sits inside a handbook that disclaims contractual effect and reserves unilateral modification rights (a recognized ground for invalidity in the Tenth Circuit), lacks the federal sexual harassment/assault carve-out, and contains a confidentiality clause in conflict with Colorado’s POWR Act; and the progressive discipline section uses mandatory “will” language that erodes the at-will disclaimer (answering the at-will question raised in the transmittal).</w:t>
      </w:r>
    </w:p>
    <w:p>
      <w:r>
        <w:rPr>
          <w:b/>
          <w:i w:val="0"/>
        </w:rPr>
        <w:t>Checklist corrections.</w:t>
      </w:r>
      <w:r>
        <w:rPr>
          <w:b w:val="0"/>
          <w:i w:val="0"/>
        </w:rPr>
        <w:t xml:space="preserve"> In completing this analysis we identified several points in our own May 2025 checklist that should be corrected before it is relied on further, most importantly the 2025 restrictive covenant thresholds ($127,091 / $76,254.60, not the 2024 figures of $123,750 / $74,250), the final pay rules (C.R.S. § 8-4-109; there is no “three business days’ notice” tier and the penalty is not a ten-day daily-wage penalty), and the rest-break count for a six-hour shift. These are set out in Section 6. The census’s restrictive-covenant eligibility columns were built on the outdated thresholds and should be recomputed.</w:t>
      </w:r>
    </w:p>
    <w:p>
      <w:r>
        <w:rPr>
          <w:b/>
          <w:i w:val="0"/>
        </w:rPr>
        <w:t>Timing.</w:t>
      </w:r>
      <w:r>
        <w:rPr>
          <w:b w:val="0"/>
          <w:i w:val="0"/>
        </w:rPr>
        <w:t xml:space="preserve"> The August 1, 2025 distribution date is achievable for a corrected handbook if the redraft begins on receipt of this memorandum, but the restrictive covenant and arbitration provisions should be removed from the handbook and handled in separate, individually executed agreements on their own timeline. The wage-and-hour items flagged as “Act now” in Section 7 should not wait for August 1.</w:t>
      </w:r>
    </w:p>
    <w:p>
      <w:pPr>
        <w:pStyle w:val="Heading1"/>
      </w:pPr>
      <w:r>
        <w:t>2. Direct Answers to the Questions in the June 2 Transmittal</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9"/>
              </w:rPr>
              <w:t>Q1. Does the FMLA section (Section 9) cover our Colorado paid leave obligations?</w:t>
            </w:r>
          </w:p>
        </w:tc>
        <w:tc>
          <w:tcPr>
            <w:tcW w:type="dxa" w:w="7056"/>
          </w:tcPr>
          <w:p>
            <w:pPr>
              <w:spacing w:after="20"/>
            </w:pPr>
            <w:r/>
            <w:r>
              <w:rPr>
                <w:b/>
                <w:i w:val="0"/>
                <w:sz w:val="19"/>
              </w:rPr>
              <w:t>No.</w:t>
            </w:r>
            <w:r>
              <w:rPr>
                <w:b w:val="0"/>
                <w:i w:val="0"/>
                <w:sz w:val="19"/>
              </w:rPr>
              <w:t xml:space="preserve"> Colorado FAMLI (C.R.S. § 8-13.3-501 et seq.; benefits payable since January 1, 2024) is a separate program with a different eligibility test ($2,500 in base-period wages vs. FMLA’s 12 months/1,250 hours), paid benefits, additional qualifying reasons (safe leave; military exigency for a broader family definition), job protection after 180 days of employment, and its own written-notice and premium-deduction obligations. The handbook needs a standalone FAMLI section explaining eligibility, the 12-week (16 with pregnancy/childbirth complications) entitlement, the 0.9% premium split (0.45% employee deduction), how to file a claim with the FAMLI Division, job protection and benefits continuation, anti-retaliation, and concurrency with FMLA and with HFWA/PTO. HFWA Public Health Emergency Leave must also be added. See Findings H-1 and H-2.</w:t>
            </w:r>
          </w:p>
        </w:tc>
      </w:tr>
      <w:tr>
        <w:tc>
          <w:tcPr>
            <w:tcW w:type="dxa" w:w="2304"/>
            <w:shd w:val="clear" w:color="auto" w:fill="DCE6F1"/>
          </w:tcPr>
          <w:p>
            <w:r/>
            <w:r>
              <w:rPr>
                <w:b/>
                <w:i w:val="0"/>
                <w:sz w:val="19"/>
              </w:rPr>
              <w:t>Q2. Do Colorado wage-and-hour rules diverge from the FLSA framework?</w:t>
            </w:r>
          </w:p>
        </w:tc>
        <w:tc>
          <w:tcPr>
            <w:tcW w:type="dxa" w:w="7056"/>
          </w:tcPr>
          <w:p>
            <w:pPr>
              <w:spacing w:after="20"/>
            </w:pPr>
            <w:r/>
            <w:r>
              <w:rPr>
                <w:b/>
                <w:i w:val="0"/>
                <w:sz w:val="19"/>
              </w:rPr>
              <w:t>Yes, materially, and the handbook follows the federal framework in each instance.</w:t>
            </w:r>
            <w:r>
              <w:rPr>
                <w:b w:val="0"/>
                <w:i w:val="0"/>
                <w:sz w:val="19"/>
              </w:rPr>
              <w:t xml:space="preserve"> Colorado requires: a $14.81 state minimum wage (and $18.81 in Denver under the Denver ordinance); overtime after 12 hours in a workday or 12 consecutive hours, not only after 40 in a week; a 30-minute duty-free meal period for shifts exceeding five hours; mandatory paid 10-minute rest breaks; an exempt salary floor of $56,485 in 2025 (vs. $35,568 federally); immediate payment of final wages on involuntary termination; and payout of all earned vacation/PTO at separation. See Findings C-1 through C-8, C-10 and M-1 through M-3. We recommend a privileged pay-practice audit using Pinnacle Payroll data (Section 8).</w:t>
            </w:r>
          </w:p>
        </w:tc>
      </w:tr>
      <w:tr>
        <w:tc>
          <w:tcPr>
            <w:tcW w:type="dxa" w:w="2304"/>
            <w:shd w:val="clear" w:color="auto" w:fill="DCE6F1"/>
          </w:tcPr>
          <w:p>
            <w:r/>
            <w:r>
              <w:rPr>
                <w:b/>
                <w:i w:val="0"/>
                <w:sz w:val="19"/>
              </w:rPr>
              <w:t>Q3. Does the 2019 restrictive covenant language (Section 12) still hold up?</w:t>
            </w:r>
          </w:p>
        </w:tc>
        <w:tc>
          <w:tcPr>
            <w:tcW w:type="dxa" w:w="7056"/>
          </w:tcPr>
          <w:p>
            <w:pPr>
              <w:spacing w:after="20"/>
            </w:pPr>
            <w:r/>
            <w:r>
              <w:rPr>
                <w:b/>
                <w:i w:val="0"/>
                <w:sz w:val="19"/>
              </w:rPr>
              <w:t>No.</w:t>
            </w:r>
            <w:r>
              <w:rPr>
                <w:b w:val="0"/>
                <w:i w:val="0"/>
                <w:sz w:val="19"/>
              </w:rPr>
              <w:t xml:space="preserve"> The 2022 amendments to C.R.S. § 8-2-113 render the non-compete void for anyone below the highly compensated threshold ($127,091 in 2025) and the customer non-solicit void for anyone below 60% of that threshold ($76,254.60), and require a separate, signed, clear-and-conspicuous notice delivered before acceptance of an offer (new hires) or 14 days before effectiveness (current employees). On the census, all 389 hourly and all 75 salaried non-exempt employees, and at least 58 exempt employees, fall below both thresholds; at most 23 employees (3.8%) could ever be bound by a non-compete. Section 12.1–12.2 should be deleted from the handbook immediately and replaced, for the small eligible group only, with individually noticed agreements. See Finding C-9.</w:t>
            </w:r>
          </w:p>
        </w:tc>
      </w:tr>
      <w:tr>
        <w:tc>
          <w:tcPr>
            <w:tcW w:type="dxa" w:w="2304"/>
            <w:shd w:val="clear" w:color="auto" w:fill="DCE6F1"/>
          </w:tcPr>
          <w:p>
            <w:r/>
            <w:r>
              <w:rPr>
                <w:b/>
                <w:i w:val="0"/>
                <w:sz w:val="19"/>
              </w:rPr>
              <w:t>Q4. Do the progressive discipline section and at-will disclaimer work together?</w:t>
            </w:r>
          </w:p>
        </w:tc>
        <w:tc>
          <w:tcPr>
            <w:tcW w:type="dxa" w:w="7056"/>
          </w:tcPr>
          <w:p>
            <w:pPr>
              <w:spacing w:after="20"/>
            </w:pPr>
            <w:r/>
            <w:r>
              <w:rPr>
                <w:b/>
                <w:i w:val="0"/>
                <w:sz w:val="19"/>
              </w:rPr>
              <w:t>Not fully.</w:t>
            </w:r>
            <w:r>
              <w:rPr>
                <w:b w:val="0"/>
                <w:i w:val="0"/>
                <w:sz w:val="19"/>
              </w:rPr>
              <w:t xml:space="preserve"> Section 1.3 is a strong disclaimer, and Section 11.1 contains a reservation-of-rights paragraph, but Section 11.1 also states in mandatory terms that the Company “will” issue each warning in sequence and that “[e]mployees will be given the opportunity to improve performance before termination, except in cases of gross misconduct.” Under Continental Air Lines, Inc. v. Keenan, 731 P.2d 708 (Colo. 1987), that kind of promissory language can support an implied-contract or promissory estoppel claim notwithstanding a general disclaimer. The fix is drafting: convert the steps to permissive language, delete the quoted sentence, and cross-reference Section 1.3. See Finding M-6.</w:t>
            </w:r>
          </w:p>
        </w:tc>
      </w:tr>
    </w:tbl>
    <w:p>
      <w:pPr>
        <w:spacing w:after="40"/>
      </w:pPr>
    </w:p>
    <w:p>
      <w:pPr>
        <w:pStyle w:val="Heading1"/>
      </w:pPr>
      <w:r>
        <w:t>3. Scope, Method and Severity Scale</w:t>
      </w:r>
    </w:p>
    <w:p>
      <w:r>
        <w:rPr>
          <w:b w:val="0"/>
          <w:i w:val="0"/>
        </w:rPr>
        <w:t>We read the handbook in full (Sections 1–14 and the Appendix A acknowledgment), the census (Cover, Headcount by Facility, Compensation by Classification and Salary Band Summary tabs), the firm’s checklist and the transmittal. Each handbook provision was compared against the checklist requirement and independently against the governing Colorado statute, COMPS Order #39 and applicable local ordinances; where the checklist was incomplete or inaccurate we applied the governing law and noted the correction (Section 6). Census data was used to size each gap; counts assume the census is accurate except where noted in Section 9. Thresholds are 2025 figures.</w:t>
      </w:r>
    </w:p>
    <w:tbl>
      <w:tblPr>
        <w:tblStyle w:val="TableGrid"/>
        <w:tblW w:type="auto" w:w="0"/>
        <w:jc w:val="center"/>
        <w:tblLayout w:type="fixed"/>
        <w:tblLook w:firstColumn="1" w:firstRow="1" w:lastColumn="0" w:lastRow="0" w:noHBand="0" w:noVBand="1" w:val="04A0"/>
        <w:tblLayout w:type="fixed"/>
      </w:tblPr>
      <w:tblGrid>
        <w:gridCol w:w="1296"/>
        <w:gridCol w:w="4896"/>
        <w:gridCol w:w="3168"/>
      </w:tblGrid>
      <w:tr>
        <w:trPr>
          <w:tblHeader w:val="true"/>
        </w:trPr>
        <w:tc>
          <w:tcPr>
            <w:tcW w:type="dxa" w:w="1296"/>
            <w:shd w:val="clear" w:color="auto" w:fill="1F3A5F"/>
          </w:tcPr>
          <w:p>
            <w:r/>
            <w:r>
              <w:rPr>
                <w:b/>
                <w:color w:val="FFFFFF"/>
                <w:sz w:val="18"/>
              </w:rPr>
              <w:t>Rating</w:t>
            </w:r>
          </w:p>
        </w:tc>
        <w:tc>
          <w:tcPr>
            <w:tcW w:type="dxa" w:w="4896"/>
            <w:shd w:val="clear" w:color="auto" w:fill="1F3A5F"/>
          </w:tcPr>
          <w:p>
            <w:r/>
            <w:r>
              <w:rPr>
                <w:b/>
                <w:color w:val="FFFFFF"/>
                <w:sz w:val="18"/>
              </w:rPr>
              <w:t>Meaning</w:t>
            </w:r>
          </w:p>
        </w:tc>
        <w:tc>
          <w:tcPr>
            <w:tcW w:type="dxa" w:w="3168"/>
            <w:shd w:val="clear" w:color="auto" w:fill="1F3A5F"/>
          </w:tcPr>
          <w:p>
            <w:r/>
            <w:r>
              <w:rPr>
                <w:b/>
                <w:color w:val="FFFFFF"/>
                <w:sz w:val="18"/>
              </w:rPr>
              <w:t>Expected handling</w:t>
            </w:r>
          </w:p>
        </w:tc>
      </w:tr>
      <w:tr>
        <w:tc>
          <w:tcPr>
            <w:tcW w:type="dxa" w:w="1296"/>
            <w:shd w:val="clear" w:color="auto" w:fill="C00000"/>
          </w:tcPr>
          <w:p>
            <w:pPr>
              <w:spacing w:after="20"/>
            </w:pPr>
            <w:r>
              <w:rPr>
                <w:b/>
                <w:color w:val="FFFFFF"/>
              </w:rPr>
            </w:r>
            <w:r>
              <w:rPr>
                <w:b/>
                <w:i w:val="0"/>
                <w:color w:val="FFFFFF"/>
                <w:sz w:val="18"/>
              </w:rPr>
              <w:t>Critical</w:t>
            </w:r>
          </w:p>
        </w:tc>
        <w:tc>
          <w:tcPr>
            <w:tcW w:type="dxa" w:w="4896"/>
          </w:tcPr>
          <w:p>
            <w:pPr>
              <w:spacing w:after="20"/>
            </w:pPr>
            <w:r/>
            <w:r>
              <w:rPr>
                <w:b w:val="0"/>
                <w:i w:val="0"/>
                <w:sz w:val="18"/>
              </w:rPr>
              <w:t>Handbook text or a pay practice violates a mandatory Colorado requirement now, with accruing wage liability, statutory penalties or per-employee penalties across a large population.</w:t>
            </w:r>
          </w:p>
        </w:tc>
        <w:tc>
          <w:tcPr>
            <w:tcW w:type="dxa" w:w="3168"/>
          </w:tcPr>
          <w:p>
            <w:pPr>
              <w:spacing w:after="20"/>
            </w:pPr>
            <w:r/>
            <w:r>
              <w:rPr>
                <w:b w:val="0"/>
                <w:i w:val="0"/>
                <w:sz w:val="18"/>
              </w:rPr>
              <w:t>Correct operationally immediately (“Act now”); revise text before August 1; assess retroactive remediation.</w:t>
            </w:r>
          </w:p>
        </w:tc>
      </w:tr>
      <w:tr>
        <w:tc>
          <w:tcPr>
            <w:tcW w:type="dxa" w:w="1296"/>
            <w:shd w:val="clear" w:color="auto" w:fill="E36C09"/>
          </w:tcPr>
          <w:p>
            <w:pPr>
              <w:spacing w:after="20"/>
            </w:pPr>
            <w:r>
              <w:rPr>
                <w:b/>
                <w:color w:val="FFFFFF"/>
              </w:rPr>
            </w:r>
            <w:r>
              <w:rPr>
                <w:b/>
                <w:i w:val="0"/>
                <w:color w:val="FFFFFF"/>
                <w:sz w:val="18"/>
              </w:rPr>
              <w:t>High</w:t>
            </w:r>
          </w:p>
        </w:tc>
        <w:tc>
          <w:tcPr>
            <w:tcW w:type="dxa" w:w="4896"/>
          </w:tcPr>
          <w:p>
            <w:pPr>
              <w:spacing w:after="20"/>
            </w:pPr>
            <w:r/>
            <w:r>
              <w:rPr>
                <w:b w:val="0"/>
                <w:i w:val="0"/>
                <w:sz w:val="18"/>
              </w:rPr>
              <w:t>Required policy, notice or protection is missing or misstated, or a provision is likely unenforceable, creating material litigation or agency risk.</w:t>
            </w:r>
          </w:p>
        </w:tc>
        <w:tc>
          <w:tcPr>
            <w:tcW w:type="dxa" w:w="3168"/>
          </w:tcPr>
          <w:p>
            <w:pPr>
              <w:spacing w:after="20"/>
            </w:pPr>
            <w:r/>
            <w:r>
              <w:rPr>
                <w:b w:val="0"/>
                <w:i w:val="0"/>
                <w:sz w:val="18"/>
              </w:rPr>
              <w:t>Revise before August 1 distribution.</w:t>
            </w:r>
          </w:p>
        </w:tc>
      </w:tr>
      <w:tr>
        <w:tc>
          <w:tcPr>
            <w:tcW w:type="dxa" w:w="1296"/>
            <w:shd w:val="clear" w:color="auto" w:fill="BF8F00"/>
          </w:tcPr>
          <w:p>
            <w:pPr>
              <w:spacing w:after="20"/>
            </w:pPr>
            <w:r>
              <w:rPr>
                <w:b/>
                <w:color w:val="FFFFFF"/>
              </w:rPr>
            </w:r>
            <w:r>
              <w:rPr>
                <w:b/>
                <w:i w:val="0"/>
                <w:color w:val="FFFFFF"/>
                <w:sz w:val="18"/>
              </w:rPr>
              <w:t>Medium</w:t>
            </w:r>
          </w:p>
        </w:tc>
        <w:tc>
          <w:tcPr>
            <w:tcW w:type="dxa" w:w="4896"/>
          </w:tcPr>
          <w:p>
            <w:pPr>
              <w:spacing w:after="20"/>
            </w:pPr>
            <w:r/>
            <w:r>
              <w:rPr>
                <w:b w:val="0"/>
                <w:i w:val="0"/>
                <w:sz w:val="18"/>
              </w:rPr>
              <w:t>Incomplete or outdated content, or a provision that creates avoidable risk or undermines another policy.</w:t>
            </w:r>
          </w:p>
        </w:tc>
        <w:tc>
          <w:tcPr>
            <w:tcW w:type="dxa" w:w="3168"/>
          </w:tcPr>
          <w:p>
            <w:pPr>
              <w:spacing w:after="20"/>
            </w:pPr>
            <w:r/>
            <w:r>
              <w:rPr>
                <w:b w:val="0"/>
                <w:i w:val="0"/>
                <w:sz w:val="18"/>
              </w:rPr>
              <w:t>Revise before August 1 if feasible; otherwise in the next update.</w:t>
            </w:r>
          </w:p>
        </w:tc>
      </w:tr>
      <w:tr>
        <w:tc>
          <w:tcPr>
            <w:tcW w:type="dxa" w:w="1296"/>
            <w:shd w:val="clear" w:color="auto" w:fill="4F81BD"/>
          </w:tcPr>
          <w:p>
            <w:pPr>
              <w:spacing w:after="20"/>
            </w:pPr>
            <w:r>
              <w:rPr>
                <w:b/>
                <w:color w:val="FFFFFF"/>
              </w:rPr>
            </w:r>
            <w:r>
              <w:rPr>
                <w:b/>
                <w:i w:val="0"/>
                <w:color w:val="FFFFFF"/>
                <w:sz w:val="18"/>
              </w:rPr>
              <w:t>Low</w:t>
            </w:r>
          </w:p>
        </w:tc>
        <w:tc>
          <w:tcPr>
            <w:tcW w:type="dxa" w:w="4896"/>
          </w:tcPr>
          <w:p>
            <w:pPr>
              <w:spacing w:after="20"/>
            </w:pPr>
            <w:r/>
            <w:r>
              <w:rPr>
                <w:b w:val="0"/>
                <w:i w:val="0"/>
                <w:sz w:val="18"/>
              </w:rPr>
              <w:t>Clarity, accuracy and best-practice improvements.</w:t>
            </w:r>
          </w:p>
        </w:tc>
        <w:tc>
          <w:tcPr>
            <w:tcW w:type="dxa" w:w="3168"/>
          </w:tcPr>
          <w:p>
            <w:pPr>
              <w:spacing w:after="20"/>
            </w:pPr>
            <w:r/>
            <w:r>
              <w:rPr>
                <w:b w:val="0"/>
                <w:i w:val="0"/>
                <w:sz w:val="18"/>
              </w:rPr>
              <w:t>Address in the redraft.</w:t>
            </w:r>
          </w:p>
        </w:tc>
      </w:tr>
    </w:tbl>
    <w:p>
      <w:pPr>
        <w:spacing w:after="40"/>
      </w:pPr>
    </w:p>
    <w:p>
      <w:pPr>
        <w:pStyle w:val="Heading1"/>
      </w:pPr>
      <w:r>
        <w:t>4. Gap Summary Dashboard</w:t>
      </w:r>
    </w:p>
    <w:p>
      <w:r>
        <w:rPr>
          <w:b/>
          <w:i w:val="0"/>
        </w:rPr>
        <w:t>35 findings: 10 Critical, 11 High, 9 Medium, 5 Low.</w:t>
      </w:r>
      <w:r>
        <w:rPr>
          <w:b w:val="0"/>
          <w:i w:val="0"/>
        </w:rPr>
        <w:t xml:space="preserve"> “Act now” marks items that require a change in current pay or employment practice before the revised handbook is distributed.</w:t>
      </w:r>
    </w:p>
    <w:tbl>
      <w:tblPr>
        <w:tblStyle w:val="TableGrid"/>
        <w:tblW w:type="auto" w:w="0"/>
        <w:jc w:val="center"/>
        <w:tblLayout w:type="fixed"/>
        <w:tblLook w:firstColumn="1" w:firstRow="1" w:lastColumn="0" w:lastRow="0" w:noHBand="0" w:noVBand="1" w:val="04A0"/>
        <w:tblLayout w:type="fixed"/>
      </w:tblPr>
      <w:tblGrid>
        <w:gridCol w:w="720"/>
        <w:gridCol w:w="1152"/>
        <w:gridCol w:w="4896"/>
        <w:gridCol w:w="1872"/>
        <w:gridCol w:w="792"/>
      </w:tblGrid>
      <w:tr>
        <w:trPr>
          <w:tblHeader w:val="true"/>
        </w:trPr>
        <w:tc>
          <w:tcPr>
            <w:tcW w:type="dxa" w:w="720"/>
            <w:shd w:val="clear" w:color="auto" w:fill="1F3A5F"/>
          </w:tcPr>
          <w:p>
            <w:r/>
            <w:r>
              <w:rPr>
                <w:b/>
                <w:color w:val="FFFFFF"/>
                <w:sz w:val="17"/>
              </w:rPr>
              <w:t>ID</w:t>
            </w:r>
          </w:p>
        </w:tc>
        <w:tc>
          <w:tcPr>
            <w:tcW w:type="dxa" w:w="1152"/>
            <w:shd w:val="clear" w:color="auto" w:fill="1F3A5F"/>
          </w:tcPr>
          <w:p>
            <w:r/>
            <w:r>
              <w:rPr>
                <w:b/>
                <w:color w:val="FFFFFF"/>
                <w:sz w:val="17"/>
              </w:rPr>
              <w:t>Severity</w:t>
            </w:r>
          </w:p>
        </w:tc>
        <w:tc>
          <w:tcPr>
            <w:tcW w:type="dxa" w:w="4896"/>
            <w:shd w:val="clear" w:color="auto" w:fill="1F3A5F"/>
          </w:tcPr>
          <w:p>
            <w:r/>
            <w:r>
              <w:rPr>
                <w:b/>
                <w:color w:val="FFFFFF"/>
                <w:sz w:val="17"/>
              </w:rPr>
              <w:t>Gap</w:t>
            </w:r>
          </w:p>
        </w:tc>
        <w:tc>
          <w:tcPr>
            <w:tcW w:type="dxa" w:w="1872"/>
            <w:shd w:val="clear" w:color="auto" w:fill="1F3A5F"/>
          </w:tcPr>
          <w:p>
            <w:r/>
            <w:r>
              <w:rPr>
                <w:b/>
                <w:color w:val="FFFFFF"/>
                <w:sz w:val="17"/>
              </w:rPr>
              <w:t>Handbook §</w:t>
            </w:r>
          </w:p>
        </w:tc>
        <w:tc>
          <w:tcPr>
            <w:tcW w:type="dxa" w:w="792"/>
            <w:shd w:val="clear" w:color="auto" w:fill="1F3A5F"/>
          </w:tcPr>
          <w:p>
            <w:r/>
            <w:r>
              <w:rPr>
                <w:b/>
                <w:color w:val="FFFFFF"/>
                <w:sz w:val="17"/>
              </w:rPr>
              <w:t>Act now</w:t>
            </w:r>
          </w:p>
        </w:tc>
      </w:tr>
      <w:tr>
        <w:tc>
          <w:tcPr>
            <w:tcW w:type="dxa" w:w="720"/>
          </w:tcPr>
          <w:p>
            <w:pPr>
              <w:spacing w:after="20"/>
            </w:pPr>
            <w:r/>
            <w:r>
              <w:rPr>
                <w:b w:val="0"/>
                <w:i w:val="0"/>
                <w:sz w:val="17"/>
              </w:rPr>
              <w:t>C-1</w:t>
            </w:r>
          </w:p>
        </w:tc>
        <w:tc>
          <w:tcPr>
            <w:tcW w:type="dxa" w:w="1152"/>
            <w:shd w:val="clear" w:color="auto" w:fill="C00000"/>
          </w:tcPr>
          <w:p>
            <w:pPr>
              <w:spacing w:after="20"/>
            </w:pPr>
            <w:r>
              <w:rPr>
                <w:b/>
                <w:color w:val="FFFFFF"/>
              </w:rPr>
            </w:r>
            <w:r>
              <w:rPr>
                <w:b/>
                <w:i w:val="0"/>
                <w:color w:val="FFFFFF"/>
                <w:sz w:val="17"/>
              </w:rPr>
              <w:t>Critical</w:t>
            </w:r>
          </w:p>
        </w:tc>
        <w:tc>
          <w:tcPr>
            <w:tcW w:type="dxa" w:w="4896"/>
          </w:tcPr>
          <w:p>
            <w:pPr>
              <w:spacing w:after="20"/>
            </w:pPr>
            <w:r/>
            <w:r>
              <w:rPr>
                <w:b w:val="0"/>
                <w:i w:val="0"/>
                <w:sz w:val="17"/>
              </w:rPr>
              <w:t>Stated minimum wage is below the Colorado minimum; Denver pay practice appears to violate the Denver minimum wage</w:t>
            </w:r>
          </w:p>
        </w:tc>
        <w:tc>
          <w:tcPr>
            <w:tcW w:type="dxa" w:w="1872"/>
          </w:tcPr>
          <w:p>
            <w:pPr>
              <w:spacing w:after="20"/>
            </w:pPr>
            <w:r/>
            <w:r>
              <w:rPr>
                <w:b w:val="0"/>
                <w:i w:val="0"/>
                <w:sz w:val="17"/>
              </w:rPr>
              <w:t>§ 4.2</w:t>
            </w:r>
          </w:p>
        </w:tc>
        <w:tc>
          <w:tcPr>
            <w:tcW w:type="dxa" w:w="792"/>
          </w:tcPr>
          <w:p>
            <w:pPr>
              <w:spacing w:after="20"/>
            </w:pPr>
            <w:r/>
            <w:r>
              <w:rPr>
                <w:b w:val="0"/>
                <w:i w:val="0"/>
                <w:sz w:val="17"/>
              </w:rPr>
              <w:t>Yes</w:t>
            </w:r>
          </w:p>
        </w:tc>
      </w:tr>
      <w:tr>
        <w:tc>
          <w:tcPr>
            <w:tcW w:type="dxa" w:w="720"/>
          </w:tcPr>
          <w:p>
            <w:pPr>
              <w:spacing w:after="20"/>
            </w:pPr>
            <w:r/>
            <w:r>
              <w:rPr>
                <w:b w:val="0"/>
                <w:i w:val="0"/>
                <w:sz w:val="17"/>
              </w:rPr>
              <w:t>C-2</w:t>
            </w:r>
          </w:p>
        </w:tc>
        <w:tc>
          <w:tcPr>
            <w:tcW w:type="dxa" w:w="1152"/>
            <w:shd w:val="clear" w:color="auto" w:fill="C00000"/>
          </w:tcPr>
          <w:p>
            <w:pPr>
              <w:spacing w:after="20"/>
            </w:pPr>
            <w:r>
              <w:rPr>
                <w:b/>
                <w:color w:val="FFFFFF"/>
              </w:rPr>
            </w:r>
            <w:r>
              <w:rPr>
                <w:b/>
                <w:i w:val="0"/>
                <w:color w:val="FFFFFF"/>
                <w:sz w:val="17"/>
              </w:rPr>
              <w:t>Critical</w:t>
            </w:r>
          </w:p>
        </w:tc>
        <w:tc>
          <w:tcPr>
            <w:tcW w:type="dxa" w:w="4896"/>
          </w:tcPr>
          <w:p>
            <w:pPr>
              <w:spacing w:after="20"/>
            </w:pPr>
            <w:r/>
            <w:r>
              <w:rPr>
                <w:b w:val="0"/>
                <w:i w:val="0"/>
                <w:sz w:val="17"/>
              </w:rPr>
              <w:t>Salaried exempt employees paid below Colorado’s exempt salary threshold; handbook keys exemption to the FLSA</w:t>
            </w:r>
          </w:p>
        </w:tc>
        <w:tc>
          <w:tcPr>
            <w:tcW w:type="dxa" w:w="1872"/>
          </w:tcPr>
          <w:p>
            <w:pPr>
              <w:spacing w:after="20"/>
            </w:pPr>
            <w:r/>
            <w:r>
              <w:rPr>
                <w:b w:val="0"/>
                <w:i w:val="0"/>
                <w:sz w:val="17"/>
              </w:rPr>
              <w:t>§ 2.2</w:t>
            </w:r>
          </w:p>
        </w:tc>
        <w:tc>
          <w:tcPr>
            <w:tcW w:type="dxa" w:w="792"/>
          </w:tcPr>
          <w:p>
            <w:pPr>
              <w:spacing w:after="20"/>
            </w:pPr>
            <w:r/>
            <w:r>
              <w:rPr>
                <w:b w:val="0"/>
                <w:i w:val="0"/>
                <w:sz w:val="17"/>
              </w:rPr>
              <w:t>Yes</w:t>
            </w:r>
          </w:p>
        </w:tc>
      </w:tr>
      <w:tr>
        <w:tc>
          <w:tcPr>
            <w:tcW w:type="dxa" w:w="720"/>
          </w:tcPr>
          <w:p>
            <w:pPr>
              <w:spacing w:after="20"/>
            </w:pPr>
            <w:r/>
            <w:r>
              <w:rPr>
                <w:b w:val="0"/>
                <w:i w:val="0"/>
                <w:sz w:val="17"/>
              </w:rPr>
              <w:t>C-3</w:t>
            </w:r>
          </w:p>
        </w:tc>
        <w:tc>
          <w:tcPr>
            <w:tcW w:type="dxa" w:w="1152"/>
            <w:shd w:val="clear" w:color="auto" w:fill="C00000"/>
          </w:tcPr>
          <w:p>
            <w:pPr>
              <w:spacing w:after="20"/>
            </w:pPr>
            <w:r>
              <w:rPr>
                <w:b/>
                <w:color w:val="FFFFFF"/>
              </w:rPr>
            </w:r>
            <w:r>
              <w:rPr>
                <w:b/>
                <w:i w:val="0"/>
                <w:color w:val="FFFFFF"/>
                <w:sz w:val="17"/>
              </w:rPr>
              <w:t>Critical</w:t>
            </w:r>
          </w:p>
        </w:tc>
        <w:tc>
          <w:tcPr>
            <w:tcW w:type="dxa" w:w="4896"/>
          </w:tcPr>
          <w:p>
            <w:pPr>
              <w:spacing w:after="20"/>
            </w:pPr>
            <w:r/>
            <w:r>
              <w:rPr>
                <w:b w:val="0"/>
                <w:i w:val="0"/>
                <w:sz w:val="17"/>
              </w:rPr>
              <w:t>Overtime policy omits Colorado’s daily (12-hour) and 12-consecutive-hour triggers</w:t>
            </w:r>
          </w:p>
        </w:tc>
        <w:tc>
          <w:tcPr>
            <w:tcW w:type="dxa" w:w="1872"/>
          </w:tcPr>
          <w:p>
            <w:pPr>
              <w:spacing w:after="20"/>
            </w:pPr>
            <w:r/>
            <w:r>
              <w:rPr>
                <w:b w:val="0"/>
                <w:i w:val="0"/>
                <w:sz w:val="17"/>
              </w:rPr>
              <w:t>§ 4.3</w:t>
            </w:r>
          </w:p>
        </w:tc>
        <w:tc>
          <w:tcPr>
            <w:tcW w:type="dxa" w:w="792"/>
          </w:tcPr>
          <w:p>
            <w:pPr>
              <w:spacing w:after="20"/>
            </w:pPr>
            <w:r/>
            <w:r>
              <w:rPr>
                <w:b w:val="0"/>
                <w:i w:val="0"/>
                <w:sz w:val="17"/>
              </w:rPr>
              <w:t>Yes</w:t>
            </w:r>
          </w:p>
        </w:tc>
      </w:tr>
      <w:tr>
        <w:tc>
          <w:tcPr>
            <w:tcW w:type="dxa" w:w="720"/>
          </w:tcPr>
          <w:p>
            <w:pPr>
              <w:spacing w:after="20"/>
            </w:pPr>
            <w:r/>
            <w:r>
              <w:rPr>
                <w:b w:val="0"/>
                <w:i w:val="0"/>
                <w:sz w:val="17"/>
              </w:rPr>
              <w:t>C-4</w:t>
            </w:r>
          </w:p>
        </w:tc>
        <w:tc>
          <w:tcPr>
            <w:tcW w:type="dxa" w:w="1152"/>
            <w:shd w:val="clear" w:color="auto" w:fill="C00000"/>
          </w:tcPr>
          <w:p>
            <w:pPr>
              <w:spacing w:after="20"/>
            </w:pPr>
            <w:r>
              <w:rPr>
                <w:b/>
                <w:color w:val="FFFFFF"/>
              </w:rPr>
            </w:r>
            <w:r>
              <w:rPr>
                <w:b/>
                <w:i w:val="0"/>
                <w:color w:val="FFFFFF"/>
                <w:sz w:val="17"/>
              </w:rPr>
              <w:t>Critical</w:t>
            </w:r>
          </w:p>
        </w:tc>
        <w:tc>
          <w:tcPr>
            <w:tcW w:type="dxa" w:w="4896"/>
          </w:tcPr>
          <w:p>
            <w:pPr>
              <w:spacing w:after="20"/>
            </w:pPr>
            <w:r/>
            <w:r>
              <w:rPr>
                <w:b w:val="0"/>
                <w:i w:val="0"/>
                <w:sz w:val="17"/>
              </w:rPr>
              <w:t>Meal period triggered at six hours instead of five</w:t>
            </w:r>
          </w:p>
        </w:tc>
        <w:tc>
          <w:tcPr>
            <w:tcW w:type="dxa" w:w="1872"/>
          </w:tcPr>
          <w:p>
            <w:pPr>
              <w:spacing w:after="20"/>
            </w:pPr>
            <w:r/>
            <w:r>
              <w:rPr>
                <w:b w:val="0"/>
                <w:i w:val="0"/>
                <w:sz w:val="17"/>
              </w:rPr>
              <w:t>§ 4.4</w:t>
            </w:r>
          </w:p>
        </w:tc>
        <w:tc>
          <w:tcPr>
            <w:tcW w:type="dxa" w:w="792"/>
          </w:tcPr>
          <w:p>
            <w:pPr>
              <w:spacing w:after="20"/>
            </w:pPr>
            <w:r/>
            <w:r>
              <w:rPr>
                <w:b w:val="0"/>
                <w:i w:val="0"/>
                <w:sz w:val="17"/>
              </w:rPr>
              <w:t>Yes</w:t>
            </w:r>
          </w:p>
        </w:tc>
      </w:tr>
      <w:tr>
        <w:tc>
          <w:tcPr>
            <w:tcW w:type="dxa" w:w="720"/>
          </w:tcPr>
          <w:p>
            <w:pPr>
              <w:spacing w:after="20"/>
            </w:pPr>
            <w:r/>
            <w:r>
              <w:rPr>
                <w:b w:val="0"/>
                <w:i w:val="0"/>
                <w:sz w:val="17"/>
              </w:rPr>
              <w:t>C-5</w:t>
            </w:r>
          </w:p>
        </w:tc>
        <w:tc>
          <w:tcPr>
            <w:tcW w:type="dxa" w:w="1152"/>
            <w:shd w:val="clear" w:color="auto" w:fill="C00000"/>
          </w:tcPr>
          <w:p>
            <w:pPr>
              <w:spacing w:after="20"/>
            </w:pPr>
            <w:r>
              <w:rPr>
                <w:b/>
                <w:color w:val="FFFFFF"/>
              </w:rPr>
            </w:r>
            <w:r>
              <w:rPr>
                <w:b/>
                <w:i w:val="0"/>
                <w:color w:val="FFFFFF"/>
                <w:sz w:val="17"/>
              </w:rPr>
              <w:t>Critical</w:t>
            </w:r>
          </w:p>
        </w:tc>
        <w:tc>
          <w:tcPr>
            <w:tcW w:type="dxa" w:w="4896"/>
          </w:tcPr>
          <w:p>
            <w:pPr>
              <w:spacing w:after="20"/>
            </w:pPr>
            <w:r/>
            <w:r>
              <w:rPr>
                <w:b w:val="0"/>
                <w:i w:val="0"/>
                <w:sz w:val="17"/>
              </w:rPr>
              <w:t>Rest breaks described as optional (“encouraged but not required”)</w:t>
            </w:r>
          </w:p>
        </w:tc>
        <w:tc>
          <w:tcPr>
            <w:tcW w:type="dxa" w:w="1872"/>
          </w:tcPr>
          <w:p>
            <w:pPr>
              <w:spacing w:after="20"/>
            </w:pPr>
            <w:r/>
            <w:r>
              <w:rPr>
                <w:b w:val="0"/>
                <w:i w:val="0"/>
                <w:sz w:val="17"/>
              </w:rPr>
              <w:t>§ 4.4</w:t>
            </w:r>
          </w:p>
        </w:tc>
        <w:tc>
          <w:tcPr>
            <w:tcW w:type="dxa" w:w="792"/>
          </w:tcPr>
          <w:p>
            <w:pPr>
              <w:spacing w:after="20"/>
            </w:pPr>
            <w:r/>
            <w:r>
              <w:rPr>
                <w:b w:val="0"/>
                <w:i w:val="0"/>
                <w:sz w:val="17"/>
              </w:rPr>
              <w:t>Yes</w:t>
            </w:r>
          </w:p>
        </w:tc>
      </w:tr>
      <w:tr>
        <w:tc>
          <w:tcPr>
            <w:tcW w:type="dxa" w:w="720"/>
          </w:tcPr>
          <w:p>
            <w:pPr>
              <w:spacing w:after="20"/>
            </w:pPr>
            <w:r/>
            <w:r>
              <w:rPr>
                <w:b w:val="0"/>
                <w:i w:val="0"/>
                <w:sz w:val="17"/>
              </w:rPr>
              <w:t>C-6</w:t>
            </w:r>
          </w:p>
        </w:tc>
        <w:tc>
          <w:tcPr>
            <w:tcW w:type="dxa" w:w="1152"/>
            <w:shd w:val="clear" w:color="auto" w:fill="C00000"/>
          </w:tcPr>
          <w:p>
            <w:pPr>
              <w:spacing w:after="20"/>
            </w:pPr>
            <w:r>
              <w:rPr>
                <w:b/>
                <w:color w:val="FFFFFF"/>
              </w:rPr>
            </w:r>
            <w:r>
              <w:rPr>
                <w:b/>
                <w:i w:val="0"/>
                <w:color w:val="FFFFFF"/>
                <w:sz w:val="17"/>
              </w:rPr>
              <w:t>Critical</w:t>
            </w:r>
          </w:p>
        </w:tc>
        <w:tc>
          <w:tcPr>
            <w:tcW w:type="dxa" w:w="4896"/>
          </w:tcPr>
          <w:p>
            <w:pPr>
              <w:spacing w:after="20"/>
            </w:pPr>
            <w:r/>
            <w:r>
              <w:rPr>
                <w:b w:val="0"/>
                <w:i w:val="0"/>
                <w:sz w:val="17"/>
              </w:rPr>
              <w:t>Combined PTO bank accrues at 1:40, below the HFWA minimum of 1:30</w:t>
            </w:r>
          </w:p>
        </w:tc>
        <w:tc>
          <w:tcPr>
            <w:tcW w:type="dxa" w:w="1872"/>
          </w:tcPr>
          <w:p>
            <w:pPr>
              <w:spacing w:after="20"/>
            </w:pPr>
            <w:r/>
            <w:r>
              <w:rPr>
                <w:b w:val="0"/>
                <w:i w:val="0"/>
                <w:sz w:val="17"/>
              </w:rPr>
              <w:t>§ 5.1</w:t>
            </w:r>
          </w:p>
        </w:tc>
        <w:tc>
          <w:tcPr>
            <w:tcW w:type="dxa" w:w="792"/>
          </w:tcPr>
          <w:p>
            <w:pPr>
              <w:spacing w:after="20"/>
            </w:pPr>
            <w:r/>
            <w:r>
              <w:rPr>
                <w:b w:val="0"/>
                <w:i w:val="0"/>
                <w:sz w:val="17"/>
              </w:rPr>
              <w:t>Yes</w:t>
            </w:r>
          </w:p>
        </w:tc>
      </w:tr>
      <w:tr>
        <w:tc>
          <w:tcPr>
            <w:tcW w:type="dxa" w:w="720"/>
          </w:tcPr>
          <w:p>
            <w:pPr>
              <w:spacing w:after="20"/>
            </w:pPr>
            <w:r/>
            <w:r>
              <w:rPr>
                <w:b w:val="0"/>
                <w:i w:val="0"/>
                <w:sz w:val="17"/>
              </w:rPr>
              <w:t>C-7</w:t>
            </w:r>
          </w:p>
        </w:tc>
        <w:tc>
          <w:tcPr>
            <w:tcW w:type="dxa" w:w="1152"/>
            <w:shd w:val="clear" w:color="auto" w:fill="C00000"/>
          </w:tcPr>
          <w:p>
            <w:pPr>
              <w:spacing w:after="20"/>
            </w:pPr>
            <w:r>
              <w:rPr>
                <w:b/>
                <w:color w:val="FFFFFF"/>
              </w:rPr>
            </w:r>
            <w:r>
              <w:rPr>
                <w:b/>
                <w:i w:val="0"/>
                <w:color w:val="FFFFFF"/>
                <w:sz w:val="17"/>
              </w:rPr>
              <w:t>Critical</w:t>
            </w:r>
          </w:p>
        </w:tc>
        <w:tc>
          <w:tcPr>
            <w:tcW w:type="dxa" w:w="4896"/>
          </w:tcPr>
          <w:p>
            <w:pPr>
              <w:spacing w:after="20"/>
            </w:pPr>
            <w:r/>
            <w:r>
              <w:rPr>
                <w:b w:val="0"/>
                <w:i w:val="0"/>
                <w:sz w:val="17"/>
              </w:rPr>
              <w:t>PTO use restrictions conflict with HFWA (waiting period, temporary-employee bar, operational denials, documentation, increments)</w:t>
            </w:r>
          </w:p>
        </w:tc>
        <w:tc>
          <w:tcPr>
            <w:tcW w:type="dxa" w:w="1872"/>
          </w:tcPr>
          <w:p>
            <w:pPr>
              <w:spacing w:after="20"/>
            </w:pPr>
            <w:r/>
            <w:r>
              <w:rPr>
                <w:b w:val="0"/>
                <w:i w:val="0"/>
                <w:sz w:val="17"/>
              </w:rPr>
              <w:t>§ 5.1</w:t>
            </w:r>
          </w:p>
        </w:tc>
        <w:tc>
          <w:tcPr>
            <w:tcW w:type="dxa" w:w="792"/>
          </w:tcPr>
          <w:p>
            <w:pPr>
              <w:spacing w:after="20"/>
            </w:pPr>
            <w:r/>
            <w:r>
              <w:rPr>
                <w:b w:val="0"/>
                <w:i w:val="0"/>
                <w:sz w:val="17"/>
              </w:rPr>
              <w:t>Yes</w:t>
            </w:r>
          </w:p>
        </w:tc>
      </w:tr>
      <w:tr>
        <w:tc>
          <w:tcPr>
            <w:tcW w:type="dxa" w:w="720"/>
          </w:tcPr>
          <w:p>
            <w:pPr>
              <w:spacing w:after="20"/>
            </w:pPr>
            <w:r/>
            <w:r>
              <w:rPr>
                <w:b w:val="0"/>
                <w:i w:val="0"/>
                <w:sz w:val="17"/>
              </w:rPr>
              <w:t>C-8</w:t>
            </w:r>
          </w:p>
        </w:tc>
        <w:tc>
          <w:tcPr>
            <w:tcW w:type="dxa" w:w="1152"/>
            <w:shd w:val="clear" w:color="auto" w:fill="C00000"/>
          </w:tcPr>
          <w:p>
            <w:pPr>
              <w:spacing w:after="20"/>
            </w:pPr>
            <w:r>
              <w:rPr>
                <w:b/>
                <w:color w:val="FFFFFF"/>
              </w:rPr>
            </w:r>
            <w:r>
              <w:rPr>
                <w:b/>
                <w:i w:val="0"/>
                <w:color w:val="FFFFFF"/>
                <w:sz w:val="17"/>
              </w:rPr>
              <w:t>Critical</w:t>
            </w:r>
          </w:p>
        </w:tc>
        <w:tc>
          <w:tcPr>
            <w:tcW w:type="dxa" w:w="4896"/>
          </w:tcPr>
          <w:p>
            <w:pPr>
              <w:spacing w:after="20"/>
            </w:pPr>
            <w:r/>
            <w:r>
              <w:rPr>
                <w:b w:val="0"/>
                <w:i w:val="0"/>
                <w:sz w:val="17"/>
              </w:rPr>
              <w:t>Final pay paid on the next regular payday for all separations, including involuntary terminations</w:t>
            </w:r>
          </w:p>
        </w:tc>
        <w:tc>
          <w:tcPr>
            <w:tcW w:type="dxa" w:w="1872"/>
          </w:tcPr>
          <w:p>
            <w:pPr>
              <w:spacing w:after="20"/>
            </w:pPr>
            <w:r/>
            <w:r>
              <w:rPr>
                <w:b w:val="0"/>
                <w:i w:val="0"/>
                <w:sz w:val="17"/>
              </w:rPr>
              <w:t>§ 4.7</w:t>
            </w:r>
          </w:p>
        </w:tc>
        <w:tc>
          <w:tcPr>
            <w:tcW w:type="dxa" w:w="792"/>
          </w:tcPr>
          <w:p>
            <w:pPr>
              <w:spacing w:after="20"/>
            </w:pPr>
            <w:r/>
            <w:r>
              <w:rPr>
                <w:b w:val="0"/>
                <w:i w:val="0"/>
                <w:sz w:val="17"/>
              </w:rPr>
              <w:t>Yes</w:t>
            </w:r>
          </w:p>
        </w:tc>
      </w:tr>
      <w:tr>
        <w:tc>
          <w:tcPr>
            <w:tcW w:type="dxa" w:w="720"/>
          </w:tcPr>
          <w:p>
            <w:pPr>
              <w:spacing w:after="20"/>
            </w:pPr>
            <w:r/>
            <w:r>
              <w:rPr>
                <w:b w:val="0"/>
                <w:i w:val="0"/>
                <w:sz w:val="17"/>
              </w:rPr>
              <w:t>C-9</w:t>
            </w:r>
          </w:p>
        </w:tc>
        <w:tc>
          <w:tcPr>
            <w:tcW w:type="dxa" w:w="1152"/>
            <w:shd w:val="clear" w:color="auto" w:fill="C00000"/>
          </w:tcPr>
          <w:p>
            <w:pPr>
              <w:spacing w:after="20"/>
            </w:pPr>
            <w:r>
              <w:rPr>
                <w:b/>
                <w:color w:val="FFFFFF"/>
              </w:rPr>
            </w:r>
            <w:r>
              <w:rPr>
                <w:b/>
                <w:i w:val="0"/>
                <w:color w:val="FFFFFF"/>
                <w:sz w:val="17"/>
              </w:rPr>
              <w:t>Critical</w:t>
            </w:r>
          </w:p>
        </w:tc>
        <w:tc>
          <w:tcPr>
            <w:tcW w:type="dxa" w:w="4896"/>
          </w:tcPr>
          <w:p>
            <w:pPr>
              <w:spacing w:after="20"/>
            </w:pPr>
            <w:r/>
            <w:r>
              <w:rPr>
                <w:b w:val="0"/>
                <w:i w:val="0"/>
                <w:sz w:val="17"/>
              </w:rPr>
              <w:t>Blanket non-compete and customer non-solicit imposed on all employees without statutory notice</w:t>
            </w:r>
          </w:p>
        </w:tc>
        <w:tc>
          <w:tcPr>
            <w:tcW w:type="dxa" w:w="1872"/>
          </w:tcPr>
          <w:p>
            <w:pPr>
              <w:spacing w:after="20"/>
            </w:pPr>
            <w:r/>
            <w:r>
              <w:rPr>
                <w:b w:val="0"/>
                <w:i w:val="0"/>
                <w:sz w:val="17"/>
              </w:rPr>
              <w:t>§ 12.1</w:t>
            </w:r>
          </w:p>
        </w:tc>
        <w:tc>
          <w:tcPr>
            <w:tcW w:type="dxa" w:w="792"/>
          </w:tcPr>
          <w:p>
            <w:pPr>
              <w:spacing w:after="20"/>
            </w:pPr>
            <w:r/>
            <w:r>
              <w:rPr>
                <w:b w:val="0"/>
                <w:i w:val="0"/>
                <w:sz w:val="17"/>
              </w:rPr>
              <w:t>Yes</w:t>
            </w:r>
          </w:p>
        </w:tc>
      </w:tr>
      <w:tr>
        <w:tc>
          <w:tcPr>
            <w:tcW w:type="dxa" w:w="720"/>
          </w:tcPr>
          <w:p>
            <w:pPr>
              <w:spacing w:after="20"/>
            </w:pPr>
            <w:r/>
            <w:r>
              <w:rPr>
                <w:b w:val="0"/>
                <w:i w:val="0"/>
                <w:sz w:val="17"/>
              </w:rPr>
              <w:t>C-10</w:t>
            </w:r>
          </w:p>
        </w:tc>
        <w:tc>
          <w:tcPr>
            <w:tcW w:type="dxa" w:w="1152"/>
            <w:shd w:val="clear" w:color="auto" w:fill="C00000"/>
          </w:tcPr>
          <w:p>
            <w:pPr>
              <w:spacing w:after="20"/>
            </w:pPr>
            <w:r>
              <w:rPr>
                <w:b/>
                <w:color w:val="FFFFFF"/>
              </w:rPr>
            </w:r>
            <w:r>
              <w:rPr>
                <w:b/>
                <w:i w:val="0"/>
                <w:color w:val="FFFFFF"/>
                <w:sz w:val="17"/>
              </w:rPr>
              <w:t>Critical</w:t>
            </w:r>
          </w:p>
        </w:tc>
        <w:tc>
          <w:tcPr>
            <w:tcW w:type="dxa" w:w="4896"/>
          </w:tcPr>
          <w:p>
            <w:pPr>
              <w:spacing w:after="20"/>
            </w:pPr>
            <w:r/>
            <w:r>
              <w:rPr>
                <w:b w:val="0"/>
                <w:i w:val="0"/>
                <w:sz w:val="17"/>
              </w:rPr>
              <w:t>Accrued PTO forfeited on voluntary resignation</w:t>
            </w:r>
          </w:p>
        </w:tc>
        <w:tc>
          <w:tcPr>
            <w:tcW w:type="dxa" w:w="1872"/>
          </w:tcPr>
          <w:p>
            <w:pPr>
              <w:spacing w:after="20"/>
            </w:pPr>
            <w:r/>
            <w:r>
              <w:rPr>
                <w:b w:val="0"/>
                <w:i w:val="0"/>
                <w:sz w:val="17"/>
              </w:rPr>
              <w:t>§ 5.4</w:t>
            </w:r>
          </w:p>
        </w:tc>
        <w:tc>
          <w:tcPr>
            <w:tcW w:type="dxa" w:w="792"/>
          </w:tcPr>
          <w:p>
            <w:pPr>
              <w:spacing w:after="20"/>
            </w:pPr>
            <w:r/>
            <w:r>
              <w:rPr>
                <w:b w:val="0"/>
                <w:i w:val="0"/>
                <w:sz w:val="17"/>
              </w:rPr>
              <w:t>Yes</w:t>
            </w:r>
          </w:p>
        </w:tc>
      </w:tr>
      <w:tr>
        <w:tc>
          <w:tcPr>
            <w:tcW w:type="dxa" w:w="720"/>
          </w:tcPr>
          <w:p>
            <w:pPr>
              <w:spacing w:after="20"/>
            </w:pPr>
            <w:r/>
            <w:r>
              <w:rPr>
                <w:b w:val="0"/>
                <w:i w:val="0"/>
                <w:sz w:val="17"/>
              </w:rPr>
              <w:t>H-1</w:t>
            </w:r>
          </w:p>
        </w:tc>
        <w:tc>
          <w:tcPr>
            <w:tcW w:type="dxa" w:w="1152"/>
            <w:shd w:val="clear" w:color="auto" w:fill="E36C09"/>
          </w:tcPr>
          <w:p>
            <w:pPr>
              <w:spacing w:after="20"/>
            </w:pPr>
            <w:r>
              <w:rPr>
                <w:b/>
                <w:color w:val="FFFFFF"/>
              </w:rPr>
            </w:r>
            <w:r>
              <w:rPr>
                <w:b/>
                <w:i w:val="0"/>
                <w:color w:val="FFFFFF"/>
                <w:sz w:val="17"/>
              </w:rPr>
              <w:t>High</w:t>
            </w:r>
          </w:p>
        </w:tc>
        <w:tc>
          <w:tcPr>
            <w:tcW w:type="dxa" w:w="4896"/>
          </w:tcPr>
          <w:p>
            <w:pPr>
              <w:spacing w:after="20"/>
            </w:pPr>
            <w:r/>
            <w:r>
              <w:rPr>
                <w:b w:val="0"/>
                <w:i w:val="0"/>
                <w:sz w:val="17"/>
              </w:rPr>
              <w:t>No Colorado FAMLI policy or notice; FMLA treated as the exclusive family/medical leave program</w:t>
            </w:r>
          </w:p>
        </w:tc>
        <w:tc>
          <w:tcPr>
            <w:tcW w:type="dxa" w:w="1872"/>
          </w:tcPr>
          <w:p>
            <w:pPr>
              <w:spacing w:after="20"/>
            </w:pPr>
            <w:r/>
            <w:r>
              <w:rPr>
                <w:b w:val="0"/>
                <w:i w:val="0"/>
                <w:sz w:val="17"/>
              </w:rPr>
              <w:t>§ 9</w:t>
            </w:r>
          </w:p>
        </w:tc>
        <w:tc>
          <w:tcPr>
            <w:tcW w:type="dxa" w:w="792"/>
          </w:tcPr>
          <w:p>
            <w:pPr>
              <w:spacing w:after="20"/>
            </w:pPr>
            <w:r/>
          </w:p>
        </w:tc>
      </w:tr>
      <w:tr>
        <w:tc>
          <w:tcPr>
            <w:tcW w:type="dxa" w:w="720"/>
          </w:tcPr>
          <w:p>
            <w:pPr>
              <w:spacing w:after="20"/>
            </w:pPr>
            <w:r/>
            <w:r>
              <w:rPr>
                <w:b w:val="0"/>
                <w:i w:val="0"/>
                <w:sz w:val="17"/>
              </w:rPr>
              <w:t>H-2</w:t>
            </w:r>
          </w:p>
        </w:tc>
        <w:tc>
          <w:tcPr>
            <w:tcW w:type="dxa" w:w="1152"/>
            <w:shd w:val="clear" w:color="auto" w:fill="E36C09"/>
          </w:tcPr>
          <w:p>
            <w:pPr>
              <w:spacing w:after="20"/>
            </w:pPr>
            <w:r>
              <w:rPr>
                <w:b/>
                <w:color w:val="FFFFFF"/>
              </w:rPr>
            </w:r>
            <w:r>
              <w:rPr>
                <w:b/>
                <w:i w:val="0"/>
                <w:color w:val="FFFFFF"/>
                <w:sz w:val="17"/>
              </w:rPr>
              <w:t>High</w:t>
            </w:r>
          </w:p>
        </w:tc>
        <w:tc>
          <w:tcPr>
            <w:tcW w:type="dxa" w:w="4896"/>
          </w:tcPr>
          <w:p>
            <w:pPr>
              <w:spacing w:after="20"/>
            </w:pPr>
            <w:r/>
            <w:r>
              <w:rPr>
                <w:b w:val="0"/>
                <w:i w:val="0"/>
                <w:sz w:val="17"/>
              </w:rPr>
              <w:t>No HFWA Public Health Emergency Leave (PHEL) policy</w:t>
            </w:r>
          </w:p>
        </w:tc>
        <w:tc>
          <w:tcPr>
            <w:tcW w:type="dxa" w:w="1872"/>
          </w:tcPr>
          <w:p>
            <w:pPr>
              <w:spacing w:after="20"/>
            </w:pPr>
            <w:r/>
            <w:r>
              <w:rPr>
                <w:b w:val="0"/>
                <w:i w:val="0"/>
                <w:sz w:val="17"/>
              </w:rPr>
              <w:t>§ 5</w:t>
            </w:r>
          </w:p>
        </w:tc>
        <w:tc>
          <w:tcPr>
            <w:tcW w:type="dxa" w:w="792"/>
          </w:tcPr>
          <w:p>
            <w:pPr>
              <w:spacing w:after="20"/>
            </w:pPr>
            <w:r/>
          </w:p>
        </w:tc>
      </w:tr>
      <w:tr>
        <w:tc>
          <w:tcPr>
            <w:tcW w:type="dxa" w:w="720"/>
          </w:tcPr>
          <w:p>
            <w:pPr>
              <w:spacing w:after="20"/>
            </w:pPr>
            <w:r/>
            <w:r>
              <w:rPr>
                <w:b w:val="0"/>
                <w:i w:val="0"/>
                <w:sz w:val="17"/>
              </w:rPr>
              <w:t>H-3</w:t>
            </w:r>
          </w:p>
        </w:tc>
        <w:tc>
          <w:tcPr>
            <w:tcW w:type="dxa" w:w="1152"/>
            <w:shd w:val="clear" w:color="auto" w:fill="E36C09"/>
          </w:tcPr>
          <w:p>
            <w:pPr>
              <w:spacing w:after="20"/>
            </w:pPr>
            <w:r>
              <w:rPr>
                <w:b/>
                <w:color w:val="FFFFFF"/>
              </w:rPr>
            </w:r>
            <w:r>
              <w:rPr>
                <w:b/>
                <w:i w:val="0"/>
                <w:color w:val="FFFFFF"/>
                <w:sz w:val="17"/>
              </w:rPr>
              <w:t>High</w:t>
            </w:r>
          </w:p>
        </w:tc>
        <w:tc>
          <w:tcPr>
            <w:tcW w:type="dxa" w:w="4896"/>
          </w:tcPr>
          <w:p>
            <w:pPr>
              <w:spacing w:after="20"/>
            </w:pPr>
            <w:r/>
            <w:r>
              <w:rPr>
                <w:b w:val="0"/>
                <w:i w:val="0"/>
                <w:sz w:val="17"/>
              </w:rPr>
              <w:t>Missing HFWA rights notice and other required HFWA content</w:t>
            </w:r>
          </w:p>
        </w:tc>
        <w:tc>
          <w:tcPr>
            <w:tcW w:type="dxa" w:w="1872"/>
          </w:tcPr>
          <w:p>
            <w:pPr>
              <w:spacing w:after="20"/>
            </w:pPr>
            <w:r/>
            <w:r>
              <w:rPr>
                <w:b w:val="0"/>
                <w:i w:val="0"/>
                <w:sz w:val="17"/>
              </w:rPr>
              <w:t>§ 5 generally</w:t>
            </w:r>
          </w:p>
        </w:tc>
        <w:tc>
          <w:tcPr>
            <w:tcW w:type="dxa" w:w="792"/>
          </w:tcPr>
          <w:p>
            <w:pPr>
              <w:spacing w:after="20"/>
            </w:pPr>
            <w:r/>
          </w:p>
        </w:tc>
      </w:tr>
      <w:tr>
        <w:tc>
          <w:tcPr>
            <w:tcW w:type="dxa" w:w="720"/>
          </w:tcPr>
          <w:p>
            <w:pPr>
              <w:spacing w:after="20"/>
            </w:pPr>
            <w:r/>
            <w:r>
              <w:rPr>
                <w:b w:val="0"/>
                <w:i w:val="0"/>
                <w:sz w:val="17"/>
              </w:rPr>
              <w:t>H-4</w:t>
            </w:r>
          </w:p>
        </w:tc>
        <w:tc>
          <w:tcPr>
            <w:tcW w:type="dxa" w:w="1152"/>
            <w:shd w:val="clear" w:color="auto" w:fill="E36C09"/>
          </w:tcPr>
          <w:p>
            <w:pPr>
              <w:spacing w:after="20"/>
            </w:pPr>
            <w:r>
              <w:rPr>
                <w:b/>
                <w:color w:val="FFFFFF"/>
              </w:rPr>
            </w:r>
            <w:r>
              <w:rPr>
                <w:b/>
                <w:i w:val="0"/>
                <w:color w:val="FFFFFF"/>
                <w:sz w:val="17"/>
              </w:rPr>
              <w:t>High</w:t>
            </w:r>
          </w:p>
        </w:tc>
        <w:tc>
          <w:tcPr>
            <w:tcW w:type="dxa" w:w="4896"/>
          </w:tcPr>
          <w:p>
            <w:pPr>
              <w:spacing w:after="20"/>
            </w:pPr>
            <w:r/>
            <w:r>
              <w:rPr>
                <w:b w:val="0"/>
                <w:i w:val="0"/>
                <w:sz w:val="17"/>
              </w:rPr>
              <w:t>Attendance and PTO-scheduling rules penalize protected leave</w:t>
            </w:r>
          </w:p>
        </w:tc>
        <w:tc>
          <w:tcPr>
            <w:tcW w:type="dxa" w:w="1872"/>
          </w:tcPr>
          <w:p>
            <w:pPr>
              <w:spacing w:after="20"/>
            </w:pPr>
            <w:r/>
            <w:r>
              <w:rPr>
                <w:b w:val="0"/>
                <w:i w:val="0"/>
                <w:sz w:val="17"/>
              </w:rPr>
              <w:t>§ 10.3</w:t>
            </w:r>
          </w:p>
        </w:tc>
        <w:tc>
          <w:tcPr>
            <w:tcW w:type="dxa" w:w="792"/>
          </w:tcPr>
          <w:p>
            <w:pPr>
              <w:spacing w:after="20"/>
            </w:pPr>
            <w:r/>
          </w:p>
        </w:tc>
      </w:tr>
      <w:tr>
        <w:tc>
          <w:tcPr>
            <w:tcW w:type="dxa" w:w="720"/>
          </w:tcPr>
          <w:p>
            <w:pPr>
              <w:spacing w:after="20"/>
            </w:pPr>
            <w:r/>
            <w:r>
              <w:rPr>
                <w:b w:val="0"/>
                <w:i w:val="0"/>
                <w:sz w:val="17"/>
              </w:rPr>
              <w:t>H-5</w:t>
            </w:r>
          </w:p>
        </w:tc>
        <w:tc>
          <w:tcPr>
            <w:tcW w:type="dxa" w:w="1152"/>
            <w:shd w:val="clear" w:color="auto" w:fill="E36C09"/>
          </w:tcPr>
          <w:p>
            <w:pPr>
              <w:spacing w:after="20"/>
            </w:pPr>
            <w:r>
              <w:rPr>
                <w:b/>
                <w:color w:val="FFFFFF"/>
              </w:rPr>
            </w:r>
            <w:r>
              <w:rPr>
                <w:b/>
                <w:i w:val="0"/>
                <w:color w:val="FFFFFF"/>
                <w:sz w:val="17"/>
              </w:rPr>
              <w:t>High</w:t>
            </w:r>
          </w:p>
        </w:tc>
        <w:tc>
          <w:tcPr>
            <w:tcW w:type="dxa" w:w="4896"/>
          </w:tcPr>
          <w:p>
            <w:pPr>
              <w:spacing w:after="20"/>
            </w:pPr>
            <w:r/>
            <w:r>
              <w:rPr>
                <w:b w:val="0"/>
                <w:i w:val="0"/>
                <w:sz w:val="17"/>
              </w:rPr>
              <w:t>EEO and harassment policies omit Colorado-protected classes</w:t>
            </w:r>
          </w:p>
        </w:tc>
        <w:tc>
          <w:tcPr>
            <w:tcW w:type="dxa" w:w="1872"/>
          </w:tcPr>
          <w:p>
            <w:pPr>
              <w:spacing w:after="20"/>
            </w:pPr>
            <w:r/>
            <w:r>
              <w:rPr>
                <w:b w:val="0"/>
                <w:i w:val="0"/>
                <w:sz w:val="17"/>
              </w:rPr>
              <w:t>§ 3.1 and § 3.2</w:t>
            </w:r>
          </w:p>
        </w:tc>
        <w:tc>
          <w:tcPr>
            <w:tcW w:type="dxa" w:w="792"/>
          </w:tcPr>
          <w:p>
            <w:pPr>
              <w:spacing w:after="20"/>
            </w:pPr>
            <w:r/>
          </w:p>
        </w:tc>
      </w:tr>
      <w:tr>
        <w:tc>
          <w:tcPr>
            <w:tcW w:type="dxa" w:w="720"/>
          </w:tcPr>
          <w:p>
            <w:pPr>
              <w:spacing w:after="20"/>
            </w:pPr>
            <w:r/>
            <w:r>
              <w:rPr>
                <w:b w:val="0"/>
                <w:i w:val="0"/>
                <w:sz w:val="17"/>
              </w:rPr>
              <w:t>H-6</w:t>
            </w:r>
          </w:p>
        </w:tc>
        <w:tc>
          <w:tcPr>
            <w:tcW w:type="dxa" w:w="1152"/>
            <w:shd w:val="clear" w:color="auto" w:fill="E36C09"/>
          </w:tcPr>
          <w:p>
            <w:pPr>
              <w:spacing w:after="20"/>
            </w:pPr>
            <w:r>
              <w:rPr>
                <w:b/>
                <w:color w:val="FFFFFF"/>
              </w:rPr>
            </w:r>
            <w:r>
              <w:rPr>
                <w:b/>
                <w:i w:val="0"/>
                <w:color w:val="FFFFFF"/>
                <w:sz w:val="17"/>
              </w:rPr>
              <w:t>High</w:t>
            </w:r>
          </w:p>
        </w:tc>
        <w:tc>
          <w:tcPr>
            <w:tcW w:type="dxa" w:w="4896"/>
          </w:tcPr>
          <w:p>
            <w:pPr>
              <w:spacing w:after="20"/>
            </w:pPr>
            <w:r/>
            <w:r>
              <w:rPr>
                <w:b w:val="0"/>
                <w:i w:val="0"/>
                <w:sz w:val="17"/>
              </w:rPr>
              <w:t>Harassment definition uses the abolished “severe or pervasive” standard; complaint channels are thin</w:t>
            </w:r>
          </w:p>
        </w:tc>
        <w:tc>
          <w:tcPr>
            <w:tcW w:type="dxa" w:w="1872"/>
          </w:tcPr>
          <w:p>
            <w:pPr>
              <w:spacing w:after="20"/>
            </w:pPr>
            <w:r/>
            <w:r>
              <w:rPr>
                <w:b w:val="0"/>
                <w:i w:val="0"/>
                <w:sz w:val="17"/>
              </w:rPr>
              <w:t>§ 3.2</w:t>
            </w:r>
          </w:p>
        </w:tc>
        <w:tc>
          <w:tcPr>
            <w:tcW w:type="dxa" w:w="792"/>
          </w:tcPr>
          <w:p>
            <w:pPr>
              <w:spacing w:after="20"/>
            </w:pPr>
            <w:r/>
          </w:p>
        </w:tc>
      </w:tr>
      <w:tr>
        <w:tc>
          <w:tcPr>
            <w:tcW w:type="dxa" w:w="720"/>
          </w:tcPr>
          <w:p>
            <w:pPr>
              <w:spacing w:after="20"/>
            </w:pPr>
            <w:r/>
            <w:r>
              <w:rPr>
                <w:b w:val="0"/>
                <w:i w:val="0"/>
                <w:sz w:val="17"/>
              </w:rPr>
              <w:t>H-7</w:t>
            </w:r>
          </w:p>
        </w:tc>
        <w:tc>
          <w:tcPr>
            <w:tcW w:type="dxa" w:w="1152"/>
            <w:shd w:val="clear" w:color="auto" w:fill="E36C09"/>
          </w:tcPr>
          <w:p>
            <w:pPr>
              <w:spacing w:after="20"/>
            </w:pPr>
            <w:r>
              <w:rPr>
                <w:b/>
                <w:color w:val="FFFFFF"/>
              </w:rPr>
            </w:r>
            <w:r>
              <w:rPr>
                <w:b/>
                <w:i w:val="0"/>
                <w:color w:val="FFFFFF"/>
                <w:sz w:val="17"/>
              </w:rPr>
              <w:t>High</w:t>
            </w:r>
          </w:p>
        </w:tc>
        <w:tc>
          <w:tcPr>
            <w:tcW w:type="dxa" w:w="4896"/>
          </w:tcPr>
          <w:p>
            <w:pPr>
              <w:spacing w:after="20"/>
            </w:pPr>
            <w:r/>
            <w:r>
              <w:rPr>
                <w:b w:val="0"/>
                <w:i w:val="0"/>
                <w:sz w:val="17"/>
              </w:rPr>
              <w:t>No standalone whistleblower and anti-retaliation policy for a licensed health-care operator</w:t>
            </w:r>
          </w:p>
        </w:tc>
        <w:tc>
          <w:tcPr>
            <w:tcW w:type="dxa" w:w="1872"/>
          </w:tcPr>
          <w:p>
            <w:pPr>
              <w:spacing w:after="20"/>
            </w:pPr>
            <w:r/>
            <w:r>
              <w:rPr>
                <w:b w:val="0"/>
                <w:i w:val="0"/>
                <w:sz w:val="17"/>
              </w:rPr>
              <w:t>§ 6.2</w:t>
            </w:r>
          </w:p>
        </w:tc>
        <w:tc>
          <w:tcPr>
            <w:tcW w:type="dxa" w:w="792"/>
          </w:tcPr>
          <w:p>
            <w:pPr>
              <w:spacing w:after="20"/>
            </w:pPr>
            <w:r/>
          </w:p>
        </w:tc>
      </w:tr>
      <w:tr>
        <w:tc>
          <w:tcPr>
            <w:tcW w:type="dxa" w:w="720"/>
          </w:tcPr>
          <w:p>
            <w:pPr>
              <w:spacing w:after="20"/>
            </w:pPr>
            <w:r/>
            <w:r>
              <w:rPr>
                <w:b w:val="0"/>
                <w:i w:val="0"/>
                <w:sz w:val="17"/>
              </w:rPr>
              <w:t>H-8</w:t>
            </w:r>
          </w:p>
        </w:tc>
        <w:tc>
          <w:tcPr>
            <w:tcW w:type="dxa" w:w="1152"/>
            <w:shd w:val="clear" w:color="auto" w:fill="E36C09"/>
          </w:tcPr>
          <w:p>
            <w:pPr>
              <w:spacing w:after="20"/>
            </w:pPr>
            <w:r>
              <w:rPr>
                <w:b/>
                <w:color w:val="FFFFFF"/>
              </w:rPr>
            </w:r>
            <w:r>
              <w:rPr>
                <w:b/>
                <w:i w:val="0"/>
                <w:color w:val="FFFFFF"/>
                <w:sz w:val="17"/>
              </w:rPr>
              <w:t>High</w:t>
            </w:r>
          </w:p>
        </w:tc>
        <w:tc>
          <w:tcPr>
            <w:tcW w:type="dxa" w:w="4896"/>
          </w:tcPr>
          <w:p>
            <w:pPr>
              <w:spacing w:after="20"/>
            </w:pPr>
            <w:r/>
            <w:r>
              <w:rPr>
                <w:b w:val="0"/>
                <w:i w:val="0"/>
                <w:sz w:val="17"/>
              </w:rPr>
              <w:t>No accommodation policies (disability, pregnancy, religion, lactation)</w:t>
            </w:r>
          </w:p>
        </w:tc>
        <w:tc>
          <w:tcPr>
            <w:tcW w:type="dxa" w:w="1872"/>
          </w:tcPr>
          <w:p>
            <w:pPr>
              <w:spacing w:after="20"/>
            </w:pPr>
            <w:r/>
            <w:r>
              <w:rPr>
                <w:b w:val="0"/>
                <w:i w:val="0"/>
                <w:sz w:val="17"/>
              </w:rPr>
              <w:t>No provision</w:t>
            </w:r>
          </w:p>
        </w:tc>
        <w:tc>
          <w:tcPr>
            <w:tcW w:type="dxa" w:w="792"/>
          </w:tcPr>
          <w:p>
            <w:pPr>
              <w:spacing w:after="20"/>
            </w:pPr>
            <w:r/>
          </w:p>
        </w:tc>
      </w:tr>
      <w:tr>
        <w:tc>
          <w:tcPr>
            <w:tcW w:type="dxa" w:w="720"/>
          </w:tcPr>
          <w:p>
            <w:pPr>
              <w:spacing w:after="20"/>
            </w:pPr>
            <w:r/>
            <w:r>
              <w:rPr>
                <w:b w:val="0"/>
                <w:i w:val="0"/>
                <w:sz w:val="17"/>
              </w:rPr>
              <w:t>H-9</w:t>
            </w:r>
          </w:p>
        </w:tc>
        <w:tc>
          <w:tcPr>
            <w:tcW w:type="dxa" w:w="1152"/>
            <w:shd w:val="clear" w:color="auto" w:fill="E36C09"/>
          </w:tcPr>
          <w:p>
            <w:pPr>
              <w:spacing w:after="20"/>
            </w:pPr>
            <w:r>
              <w:rPr>
                <w:b/>
                <w:color w:val="FFFFFF"/>
              </w:rPr>
            </w:r>
            <w:r>
              <w:rPr>
                <w:b/>
                <w:i w:val="0"/>
                <w:color w:val="FFFFFF"/>
                <w:sz w:val="17"/>
              </w:rPr>
              <w:t>High</w:t>
            </w:r>
          </w:p>
        </w:tc>
        <w:tc>
          <w:tcPr>
            <w:tcW w:type="dxa" w:w="4896"/>
          </w:tcPr>
          <w:p>
            <w:pPr>
              <w:spacing w:after="20"/>
            </w:pPr>
            <w:r/>
            <w:r>
              <w:rPr>
                <w:b w:val="0"/>
                <w:i w:val="0"/>
                <w:sz w:val="17"/>
              </w:rPr>
              <w:t>Social media policy bars protected employee speech</w:t>
            </w:r>
          </w:p>
        </w:tc>
        <w:tc>
          <w:tcPr>
            <w:tcW w:type="dxa" w:w="1872"/>
          </w:tcPr>
          <w:p>
            <w:pPr>
              <w:spacing w:after="20"/>
            </w:pPr>
            <w:r/>
            <w:r>
              <w:rPr>
                <w:b w:val="0"/>
                <w:i w:val="0"/>
                <w:sz w:val="17"/>
              </w:rPr>
              <w:t>§ 13.2</w:t>
            </w:r>
          </w:p>
        </w:tc>
        <w:tc>
          <w:tcPr>
            <w:tcW w:type="dxa" w:w="792"/>
          </w:tcPr>
          <w:p>
            <w:pPr>
              <w:spacing w:after="20"/>
            </w:pPr>
            <w:r/>
          </w:p>
        </w:tc>
      </w:tr>
      <w:tr>
        <w:tc>
          <w:tcPr>
            <w:tcW w:type="dxa" w:w="720"/>
          </w:tcPr>
          <w:p>
            <w:pPr>
              <w:spacing w:after="20"/>
            </w:pPr>
            <w:r/>
            <w:r>
              <w:rPr>
                <w:b w:val="0"/>
                <w:i w:val="0"/>
                <w:sz w:val="17"/>
              </w:rPr>
              <w:t>H-10</w:t>
            </w:r>
          </w:p>
        </w:tc>
        <w:tc>
          <w:tcPr>
            <w:tcW w:type="dxa" w:w="1152"/>
            <w:shd w:val="clear" w:color="auto" w:fill="E36C09"/>
          </w:tcPr>
          <w:p>
            <w:pPr>
              <w:spacing w:after="20"/>
            </w:pPr>
            <w:r>
              <w:rPr>
                <w:b/>
                <w:color w:val="FFFFFF"/>
              </w:rPr>
            </w:r>
            <w:r>
              <w:rPr>
                <w:b/>
                <w:i w:val="0"/>
                <w:color w:val="FFFFFF"/>
                <w:sz w:val="17"/>
              </w:rPr>
              <w:t>High</w:t>
            </w:r>
          </w:p>
        </w:tc>
        <w:tc>
          <w:tcPr>
            <w:tcW w:type="dxa" w:w="4896"/>
          </w:tcPr>
          <w:p>
            <w:pPr>
              <w:spacing w:after="20"/>
            </w:pPr>
            <w:r/>
            <w:r>
              <w:rPr>
                <w:b w:val="0"/>
                <w:i w:val="0"/>
                <w:sz w:val="17"/>
              </w:rPr>
              <w:t>Mandatory arbitration clause is likely unenforceable as drafted and conflicts with federal and Colorado law</w:t>
            </w:r>
          </w:p>
        </w:tc>
        <w:tc>
          <w:tcPr>
            <w:tcW w:type="dxa" w:w="1872"/>
          </w:tcPr>
          <w:p>
            <w:pPr>
              <w:spacing w:after="20"/>
            </w:pPr>
            <w:r/>
            <w:r>
              <w:rPr>
                <w:b w:val="0"/>
                <w:i w:val="0"/>
                <w:sz w:val="17"/>
              </w:rPr>
              <w:t>§ 14.2</w:t>
            </w:r>
          </w:p>
        </w:tc>
        <w:tc>
          <w:tcPr>
            <w:tcW w:type="dxa" w:w="792"/>
          </w:tcPr>
          <w:p>
            <w:pPr>
              <w:spacing w:after="20"/>
            </w:pPr>
            <w:r/>
          </w:p>
        </w:tc>
      </w:tr>
      <w:tr>
        <w:tc>
          <w:tcPr>
            <w:tcW w:type="dxa" w:w="720"/>
          </w:tcPr>
          <w:p>
            <w:pPr>
              <w:spacing w:after="20"/>
            </w:pPr>
            <w:r/>
            <w:r>
              <w:rPr>
                <w:b w:val="0"/>
                <w:i w:val="0"/>
                <w:sz w:val="17"/>
              </w:rPr>
              <w:t>H-11</w:t>
            </w:r>
          </w:p>
        </w:tc>
        <w:tc>
          <w:tcPr>
            <w:tcW w:type="dxa" w:w="1152"/>
            <w:shd w:val="clear" w:color="auto" w:fill="E36C09"/>
          </w:tcPr>
          <w:p>
            <w:pPr>
              <w:spacing w:after="20"/>
            </w:pPr>
            <w:r>
              <w:rPr>
                <w:b/>
                <w:color w:val="FFFFFF"/>
              </w:rPr>
            </w:r>
            <w:r>
              <w:rPr>
                <w:b/>
                <w:i w:val="0"/>
                <w:color w:val="FFFFFF"/>
                <w:sz w:val="17"/>
              </w:rPr>
              <w:t>High</w:t>
            </w:r>
          </w:p>
        </w:tc>
        <w:tc>
          <w:tcPr>
            <w:tcW w:type="dxa" w:w="4896"/>
          </w:tcPr>
          <w:p>
            <w:pPr>
              <w:spacing w:after="20"/>
            </w:pPr>
            <w:r/>
            <w:r>
              <w:rPr>
                <w:b w:val="0"/>
                <w:i w:val="0"/>
                <w:sz w:val="17"/>
              </w:rPr>
              <w:t>Acquisition transition issues not addressed (Peak Vista and Western Slope employees)</w:t>
            </w:r>
          </w:p>
        </w:tc>
        <w:tc>
          <w:tcPr>
            <w:tcW w:type="dxa" w:w="1872"/>
          </w:tcPr>
          <w:p>
            <w:pPr>
              <w:spacing w:after="20"/>
            </w:pPr>
            <w:r/>
            <w:r>
              <w:rPr>
                <w:b w:val="0"/>
                <w:i w:val="0"/>
                <w:sz w:val="17"/>
              </w:rPr>
              <w:t>§ 1.1 and § 1.2</w:t>
            </w:r>
          </w:p>
        </w:tc>
        <w:tc>
          <w:tcPr>
            <w:tcW w:type="dxa" w:w="792"/>
          </w:tcPr>
          <w:p>
            <w:pPr>
              <w:spacing w:after="20"/>
            </w:pPr>
            <w:r/>
          </w:p>
        </w:tc>
      </w:tr>
      <w:tr>
        <w:tc>
          <w:tcPr>
            <w:tcW w:type="dxa" w:w="720"/>
          </w:tcPr>
          <w:p>
            <w:pPr>
              <w:spacing w:after="20"/>
            </w:pPr>
            <w:r/>
            <w:r>
              <w:rPr>
                <w:b w:val="0"/>
                <w:i w:val="0"/>
                <w:sz w:val="17"/>
              </w:rPr>
              <w:t>M-1</w:t>
            </w:r>
          </w:p>
        </w:tc>
        <w:tc>
          <w:tcPr>
            <w:tcW w:type="dxa" w:w="1152"/>
            <w:shd w:val="clear" w:color="auto" w:fill="BF8F00"/>
          </w:tcPr>
          <w:p>
            <w:pPr>
              <w:spacing w:after="20"/>
            </w:pPr>
            <w:r>
              <w:rPr>
                <w:b/>
                <w:color w:val="FFFFFF"/>
              </w:rPr>
            </w:r>
            <w:r>
              <w:rPr>
                <w:b/>
                <w:i w:val="0"/>
                <w:color w:val="FFFFFF"/>
                <w:sz w:val="17"/>
              </w:rPr>
              <w:t>Medium</w:t>
            </w:r>
          </w:p>
        </w:tc>
        <w:tc>
          <w:tcPr>
            <w:tcW w:type="dxa" w:w="4896"/>
          </w:tcPr>
          <w:p>
            <w:pPr>
              <w:spacing w:after="20"/>
            </w:pPr>
            <w:r/>
            <w:r>
              <w:rPr>
                <w:b w:val="0"/>
                <w:i w:val="0"/>
                <w:sz w:val="17"/>
              </w:rPr>
              <w:t>Salaried non-exempt pay and regular-rate rules not described</w:t>
            </w:r>
          </w:p>
        </w:tc>
        <w:tc>
          <w:tcPr>
            <w:tcW w:type="dxa" w:w="1872"/>
          </w:tcPr>
          <w:p>
            <w:pPr>
              <w:spacing w:after="20"/>
            </w:pPr>
            <w:r/>
            <w:r>
              <w:rPr>
                <w:b w:val="0"/>
                <w:i w:val="0"/>
                <w:sz w:val="17"/>
              </w:rPr>
              <w:t>§ 2.2</w:t>
            </w:r>
          </w:p>
        </w:tc>
        <w:tc>
          <w:tcPr>
            <w:tcW w:type="dxa" w:w="792"/>
          </w:tcPr>
          <w:p>
            <w:pPr>
              <w:spacing w:after="20"/>
            </w:pPr>
            <w:r/>
            <w:r>
              <w:rPr>
                <w:b w:val="0"/>
                <w:i w:val="0"/>
                <w:sz w:val="17"/>
              </w:rPr>
              <w:t>Yes</w:t>
            </w:r>
          </w:p>
        </w:tc>
      </w:tr>
      <w:tr>
        <w:tc>
          <w:tcPr>
            <w:tcW w:type="dxa" w:w="720"/>
          </w:tcPr>
          <w:p>
            <w:pPr>
              <w:spacing w:after="20"/>
            </w:pPr>
            <w:r/>
            <w:r>
              <w:rPr>
                <w:b w:val="0"/>
                <w:i w:val="0"/>
                <w:sz w:val="17"/>
              </w:rPr>
              <w:t>M-2</w:t>
            </w:r>
          </w:p>
        </w:tc>
        <w:tc>
          <w:tcPr>
            <w:tcW w:type="dxa" w:w="1152"/>
            <w:shd w:val="clear" w:color="auto" w:fill="BF8F00"/>
          </w:tcPr>
          <w:p>
            <w:pPr>
              <w:spacing w:after="20"/>
            </w:pPr>
            <w:r>
              <w:rPr>
                <w:b/>
                <w:color w:val="FFFFFF"/>
              </w:rPr>
            </w:r>
            <w:r>
              <w:rPr>
                <w:b/>
                <w:i w:val="0"/>
                <w:color w:val="FFFFFF"/>
                <w:sz w:val="17"/>
              </w:rPr>
              <w:t>Medium</w:t>
            </w:r>
          </w:p>
        </w:tc>
        <w:tc>
          <w:tcPr>
            <w:tcW w:type="dxa" w:w="4896"/>
          </w:tcPr>
          <w:p>
            <w:pPr>
              <w:spacing w:after="20"/>
            </w:pPr>
            <w:r/>
            <w:r>
              <w:rPr>
                <w:b w:val="0"/>
                <w:i w:val="0"/>
                <w:sz w:val="17"/>
              </w:rPr>
              <w:t>Pay-deduction section incomplete; property-return deduction not limited</w:t>
            </w:r>
          </w:p>
        </w:tc>
        <w:tc>
          <w:tcPr>
            <w:tcW w:type="dxa" w:w="1872"/>
          </w:tcPr>
          <w:p>
            <w:pPr>
              <w:spacing w:after="20"/>
            </w:pPr>
            <w:r/>
            <w:r>
              <w:rPr>
                <w:b w:val="0"/>
                <w:i w:val="0"/>
                <w:sz w:val="17"/>
              </w:rPr>
              <w:t>§ 4.6</w:t>
            </w:r>
          </w:p>
        </w:tc>
        <w:tc>
          <w:tcPr>
            <w:tcW w:type="dxa" w:w="792"/>
          </w:tcPr>
          <w:p>
            <w:pPr>
              <w:spacing w:after="20"/>
            </w:pPr>
            <w:r/>
          </w:p>
        </w:tc>
      </w:tr>
      <w:tr>
        <w:tc>
          <w:tcPr>
            <w:tcW w:type="dxa" w:w="720"/>
          </w:tcPr>
          <w:p>
            <w:pPr>
              <w:spacing w:after="20"/>
            </w:pPr>
            <w:r/>
            <w:r>
              <w:rPr>
                <w:b w:val="0"/>
                <w:i w:val="0"/>
                <w:sz w:val="17"/>
              </w:rPr>
              <w:t>M-3</w:t>
            </w:r>
          </w:p>
        </w:tc>
        <w:tc>
          <w:tcPr>
            <w:tcW w:type="dxa" w:w="1152"/>
            <w:shd w:val="clear" w:color="auto" w:fill="BF8F00"/>
          </w:tcPr>
          <w:p>
            <w:pPr>
              <w:spacing w:after="20"/>
            </w:pPr>
            <w:r>
              <w:rPr>
                <w:b/>
                <w:color w:val="FFFFFF"/>
              </w:rPr>
            </w:r>
            <w:r>
              <w:rPr>
                <w:b/>
                <w:i w:val="0"/>
                <w:color w:val="FFFFFF"/>
                <w:sz w:val="17"/>
              </w:rPr>
              <w:t>Medium</w:t>
            </w:r>
          </w:p>
        </w:tc>
        <w:tc>
          <w:tcPr>
            <w:tcW w:type="dxa" w:w="4896"/>
          </w:tcPr>
          <w:p>
            <w:pPr>
              <w:spacing w:after="20"/>
            </w:pPr>
            <w:r/>
            <w:r>
              <w:rPr>
                <w:b w:val="0"/>
                <w:i w:val="0"/>
                <w:sz w:val="17"/>
              </w:rPr>
              <w:t>Required notices not included in the handbook; pay statement and wage notice content not described</w:t>
            </w:r>
          </w:p>
        </w:tc>
        <w:tc>
          <w:tcPr>
            <w:tcW w:type="dxa" w:w="1872"/>
          </w:tcPr>
          <w:p>
            <w:pPr>
              <w:spacing w:after="20"/>
            </w:pPr>
            <w:r/>
            <w:r>
              <w:rPr>
                <w:b w:val="0"/>
                <w:i w:val="0"/>
                <w:sz w:val="17"/>
              </w:rPr>
              <w:t>§ 2.3</w:t>
            </w:r>
          </w:p>
        </w:tc>
        <w:tc>
          <w:tcPr>
            <w:tcW w:type="dxa" w:w="792"/>
          </w:tcPr>
          <w:p>
            <w:pPr>
              <w:spacing w:after="20"/>
            </w:pPr>
            <w:r/>
          </w:p>
        </w:tc>
      </w:tr>
      <w:tr>
        <w:tc>
          <w:tcPr>
            <w:tcW w:type="dxa" w:w="720"/>
          </w:tcPr>
          <w:p>
            <w:pPr>
              <w:spacing w:after="20"/>
            </w:pPr>
            <w:r/>
            <w:r>
              <w:rPr>
                <w:b w:val="0"/>
                <w:i w:val="0"/>
                <w:sz w:val="17"/>
              </w:rPr>
              <w:t>M-4</w:t>
            </w:r>
          </w:p>
        </w:tc>
        <w:tc>
          <w:tcPr>
            <w:tcW w:type="dxa" w:w="1152"/>
            <w:shd w:val="clear" w:color="auto" w:fill="BF8F00"/>
          </w:tcPr>
          <w:p>
            <w:pPr>
              <w:spacing w:after="20"/>
            </w:pPr>
            <w:r>
              <w:rPr>
                <w:b/>
                <w:color w:val="FFFFFF"/>
              </w:rPr>
            </w:r>
            <w:r>
              <w:rPr>
                <w:b/>
                <w:i w:val="0"/>
                <w:color w:val="FFFFFF"/>
                <w:sz w:val="17"/>
              </w:rPr>
              <w:t>Medium</w:t>
            </w:r>
          </w:p>
        </w:tc>
        <w:tc>
          <w:tcPr>
            <w:tcW w:type="dxa" w:w="4896"/>
          </w:tcPr>
          <w:p>
            <w:pPr>
              <w:spacing w:after="20"/>
            </w:pPr>
            <w:r/>
            <w:r>
              <w:rPr>
                <w:b w:val="0"/>
                <w:i w:val="0"/>
                <w:sz w:val="17"/>
              </w:rPr>
              <w:t>External complaint section names only the EEOC, not the Colorado Civil Rights Division</w:t>
            </w:r>
          </w:p>
        </w:tc>
        <w:tc>
          <w:tcPr>
            <w:tcW w:type="dxa" w:w="1872"/>
          </w:tcPr>
          <w:p>
            <w:pPr>
              <w:spacing w:after="20"/>
            </w:pPr>
            <w:r/>
            <w:r>
              <w:rPr>
                <w:b w:val="0"/>
                <w:i w:val="0"/>
                <w:sz w:val="17"/>
              </w:rPr>
              <w:t>§ 3.3</w:t>
            </w:r>
          </w:p>
        </w:tc>
        <w:tc>
          <w:tcPr>
            <w:tcW w:type="dxa" w:w="792"/>
          </w:tcPr>
          <w:p>
            <w:pPr>
              <w:spacing w:after="20"/>
            </w:pPr>
            <w:r/>
          </w:p>
        </w:tc>
      </w:tr>
      <w:tr>
        <w:tc>
          <w:tcPr>
            <w:tcW w:type="dxa" w:w="720"/>
          </w:tcPr>
          <w:p>
            <w:pPr>
              <w:spacing w:after="20"/>
            </w:pPr>
            <w:r/>
            <w:r>
              <w:rPr>
                <w:b w:val="0"/>
                <w:i w:val="0"/>
                <w:sz w:val="17"/>
              </w:rPr>
              <w:t>M-5</w:t>
            </w:r>
          </w:p>
        </w:tc>
        <w:tc>
          <w:tcPr>
            <w:tcW w:type="dxa" w:w="1152"/>
            <w:shd w:val="clear" w:color="auto" w:fill="BF8F00"/>
          </w:tcPr>
          <w:p>
            <w:pPr>
              <w:spacing w:after="20"/>
            </w:pPr>
            <w:r>
              <w:rPr>
                <w:b/>
                <w:color w:val="FFFFFF"/>
              </w:rPr>
            </w:r>
            <w:r>
              <w:rPr>
                <w:b/>
                <w:i w:val="0"/>
                <w:color w:val="FFFFFF"/>
                <w:sz w:val="17"/>
              </w:rPr>
              <w:t>Medium</w:t>
            </w:r>
          </w:p>
        </w:tc>
        <w:tc>
          <w:tcPr>
            <w:tcW w:type="dxa" w:w="4896"/>
          </w:tcPr>
          <w:p>
            <w:pPr>
              <w:spacing w:after="20"/>
            </w:pPr>
            <w:r/>
            <w:r>
              <w:rPr>
                <w:b w:val="0"/>
                <w:i w:val="0"/>
                <w:sz w:val="17"/>
              </w:rPr>
              <w:t>Pay transparency and wage-discussion protections absent; confidentiality language could be read to bar wage discussions</w:t>
            </w:r>
          </w:p>
        </w:tc>
        <w:tc>
          <w:tcPr>
            <w:tcW w:type="dxa" w:w="1872"/>
          </w:tcPr>
          <w:p>
            <w:pPr>
              <w:spacing w:after="20"/>
            </w:pPr>
            <w:r/>
            <w:r>
              <w:rPr>
                <w:b w:val="0"/>
                <w:i w:val="0"/>
                <w:sz w:val="17"/>
              </w:rPr>
              <w:t>§ 4.1</w:t>
            </w:r>
          </w:p>
        </w:tc>
        <w:tc>
          <w:tcPr>
            <w:tcW w:type="dxa" w:w="792"/>
          </w:tcPr>
          <w:p>
            <w:pPr>
              <w:spacing w:after="20"/>
            </w:pPr>
            <w:r/>
          </w:p>
        </w:tc>
      </w:tr>
      <w:tr>
        <w:tc>
          <w:tcPr>
            <w:tcW w:type="dxa" w:w="720"/>
          </w:tcPr>
          <w:p>
            <w:pPr>
              <w:spacing w:after="20"/>
            </w:pPr>
            <w:r/>
            <w:r>
              <w:rPr>
                <w:b w:val="0"/>
                <w:i w:val="0"/>
                <w:sz w:val="17"/>
              </w:rPr>
              <w:t>M-6</w:t>
            </w:r>
          </w:p>
        </w:tc>
        <w:tc>
          <w:tcPr>
            <w:tcW w:type="dxa" w:w="1152"/>
            <w:shd w:val="clear" w:color="auto" w:fill="BF8F00"/>
          </w:tcPr>
          <w:p>
            <w:pPr>
              <w:spacing w:after="20"/>
            </w:pPr>
            <w:r>
              <w:rPr>
                <w:b/>
                <w:color w:val="FFFFFF"/>
              </w:rPr>
            </w:r>
            <w:r>
              <w:rPr>
                <w:b/>
                <w:i w:val="0"/>
                <w:color w:val="FFFFFF"/>
                <w:sz w:val="17"/>
              </w:rPr>
              <w:t>Medium</w:t>
            </w:r>
          </w:p>
        </w:tc>
        <w:tc>
          <w:tcPr>
            <w:tcW w:type="dxa" w:w="4896"/>
          </w:tcPr>
          <w:p>
            <w:pPr>
              <w:spacing w:after="20"/>
            </w:pPr>
            <w:r/>
            <w:r>
              <w:rPr>
                <w:b w:val="0"/>
                <w:i w:val="0"/>
                <w:sz w:val="17"/>
              </w:rPr>
              <w:t>Progressive discipline language undercuts the at-will disclaimer</w:t>
            </w:r>
          </w:p>
        </w:tc>
        <w:tc>
          <w:tcPr>
            <w:tcW w:type="dxa" w:w="1872"/>
          </w:tcPr>
          <w:p>
            <w:pPr>
              <w:spacing w:after="20"/>
            </w:pPr>
            <w:r/>
            <w:r>
              <w:rPr>
                <w:b w:val="0"/>
                <w:i w:val="0"/>
                <w:sz w:val="17"/>
              </w:rPr>
              <w:t>§ 11.1</w:t>
            </w:r>
          </w:p>
        </w:tc>
        <w:tc>
          <w:tcPr>
            <w:tcW w:type="dxa" w:w="792"/>
          </w:tcPr>
          <w:p>
            <w:pPr>
              <w:spacing w:after="20"/>
            </w:pPr>
            <w:r/>
          </w:p>
        </w:tc>
      </w:tr>
      <w:tr>
        <w:tc>
          <w:tcPr>
            <w:tcW w:type="dxa" w:w="720"/>
          </w:tcPr>
          <w:p>
            <w:pPr>
              <w:spacing w:after="20"/>
            </w:pPr>
            <w:r/>
            <w:r>
              <w:rPr>
                <w:b w:val="0"/>
                <w:i w:val="0"/>
                <w:sz w:val="17"/>
              </w:rPr>
              <w:t>M-7</w:t>
            </w:r>
          </w:p>
        </w:tc>
        <w:tc>
          <w:tcPr>
            <w:tcW w:type="dxa" w:w="1152"/>
            <w:shd w:val="clear" w:color="auto" w:fill="BF8F00"/>
          </w:tcPr>
          <w:p>
            <w:pPr>
              <w:spacing w:after="20"/>
            </w:pPr>
            <w:r>
              <w:rPr>
                <w:b/>
                <w:color w:val="FFFFFF"/>
              </w:rPr>
            </w:r>
            <w:r>
              <w:rPr>
                <w:b/>
                <w:i w:val="0"/>
                <w:color w:val="FFFFFF"/>
                <w:sz w:val="17"/>
              </w:rPr>
              <w:t>Medium</w:t>
            </w:r>
          </w:p>
        </w:tc>
        <w:tc>
          <w:tcPr>
            <w:tcW w:type="dxa" w:w="4896"/>
          </w:tcPr>
          <w:p>
            <w:pPr>
              <w:spacing w:after="20"/>
            </w:pPr>
            <w:r/>
            <w:r>
              <w:rPr>
                <w:b w:val="0"/>
                <w:i w:val="0"/>
                <w:sz w:val="17"/>
              </w:rPr>
              <w:t>Employee non-solicit, one-sided remedies and tuition repayment need Colorado-specific limits</w:t>
            </w:r>
          </w:p>
        </w:tc>
        <w:tc>
          <w:tcPr>
            <w:tcW w:type="dxa" w:w="1872"/>
          </w:tcPr>
          <w:p>
            <w:pPr>
              <w:spacing w:after="20"/>
            </w:pPr>
            <w:r/>
            <w:r>
              <w:rPr>
                <w:b w:val="0"/>
                <w:i w:val="0"/>
                <w:sz w:val="17"/>
              </w:rPr>
              <w:t>§ 12.3</w:t>
            </w:r>
          </w:p>
        </w:tc>
        <w:tc>
          <w:tcPr>
            <w:tcW w:type="dxa" w:w="792"/>
          </w:tcPr>
          <w:p>
            <w:pPr>
              <w:spacing w:after="20"/>
            </w:pPr>
            <w:r/>
          </w:p>
        </w:tc>
      </w:tr>
      <w:tr>
        <w:tc>
          <w:tcPr>
            <w:tcW w:type="dxa" w:w="720"/>
          </w:tcPr>
          <w:p>
            <w:pPr>
              <w:spacing w:after="20"/>
            </w:pPr>
            <w:r/>
            <w:r>
              <w:rPr>
                <w:b w:val="0"/>
                <w:i w:val="0"/>
                <w:sz w:val="17"/>
              </w:rPr>
              <w:t>M-8</w:t>
            </w:r>
          </w:p>
        </w:tc>
        <w:tc>
          <w:tcPr>
            <w:tcW w:type="dxa" w:w="1152"/>
            <w:shd w:val="clear" w:color="auto" w:fill="BF8F00"/>
          </w:tcPr>
          <w:p>
            <w:pPr>
              <w:spacing w:after="20"/>
            </w:pPr>
            <w:r>
              <w:rPr>
                <w:b/>
                <w:color w:val="FFFFFF"/>
              </w:rPr>
            </w:r>
            <w:r>
              <w:rPr>
                <w:b/>
                <w:i w:val="0"/>
                <w:color w:val="FFFFFF"/>
                <w:sz w:val="17"/>
              </w:rPr>
              <w:t>Medium</w:t>
            </w:r>
          </w:p>
        </w:tc>
        <w:tc>
          <w:tcPr>
            <w:tcW w:type="dxa" w:w="4896"/>
          </w:tcPr>
          <w:p>
            <w:pPr>
              <w:spacing w:after="20"/>
            </w:pPr>
            <w:r/>
            <w:r>
              <w:rPr>
                <w:b w:val="0"/>
                <w:i w:val="0"/>
                <w:sz w:val="17"/>
              </w:rPr>
              <w:t>Colorado-specific leaves omitted (domestic violence leave; crime-victim leave)</w:t>
            </w:r>
          </w:p>
        </w:tc>
        <w:tc>
          <w:tcPr>
            <w:tcW w:type="dxa" w:w="1872"/>
          </w:tcPr>
          <w:p>
            <w:pPr>
              <w:spacing w:after="20"/>
            </w:pPr>
            <w:r/>
            <w:r>
              <w:rPr>
                <w:b w:val="0"/>
                <w:i w:val="0"/>
                <w:sz w:val="17"/>
              </w:rPr>
              <w:t>§ 7</w:t>
            </w:r>
          </w:p>
        </w:tc>
        <w:tc>
          <w:tcPr>
            <w:tcW w:type="dxa" w:w="792"/>
          </w:tcPr>
          <w:p>
            <w:pPr>
              <w:spacing w:after="20"/>
            </w:pPr>
            <w:r/>
          </w:p>
        </w:tc>
      </w:tr>
      <w:tr>
        <w:tc>
          <w:tcPr>
            <w:tcW w:type="dxa" w:w="720"/>
          </w:tcPr>
          <w:p>
            <w:pPr>
              <w:spacing w:after="20"/>
            </w:pPr>
            <w:r/>
            <w:r>
              <w:rPr>
                <w:b w:val="0"/>
                <w:i w:val="0"/>
                <w:sz w:val="17"/>
              </w:rPr>
              <w:t>M-9</w:t>
            </w:r>
          </w:p>
        </w:tc>
        <w:tc>
          <w:tcPr>
            <w:tcW w:type="dxa" w:w="1152"/>
            <w:shd w:val="clear" w:color="auto" w:fill="BF8F00"/>
          </w:tcPr>
          <w:p>
            <w:pPr>
              <w:spacing w:after="20"/>
            </w:pPr>
            <w:r>
              <w:rPr>
                <w:b/>
                <w:color w:val="FFFFFF"/>
              </w:rPr>
            </w:r>
            <w:r>
              <w:rPr>
                <w:b/>
                <w:i w:val="0"/>
                <w:color w:val="FFFFFF"/>
                <w:sz w:val="17"/>
              </w:rPr>
              <w:t>Medium</w:t>
            </w:r>
          </w:p>
        </w:tc>
        <w:tc>
          <w:tcPr>
            <w:tcW w:type="dxa" w:w="4896"/>
          </w:tcPr>
          <w:p>
            <w:pPr>
              <w:spacing w:after="20"/>
            </w:pPr>
            <w:r/>
            <w:r>
              <w:rPr>
                <w:b w:val="0"/>
                <w:i w:val="0"/>
                <w:sz w:val="17"/>
              </w:rPr>
              <w:t>Remote work guidelines described in transmittal are missing from the handbook provided</w:t>
            </w:r>
          </w:p>
        </w:tc>
        <w:tc>
          <w:tcPr>
            <w:tcW w:type="dxa" w:w="1872"/>
          </w:tcPr>
          <w:p>
            <w:pPr>
              <w:spacing w:after="20"/>
            </w:pPr>
            <w:r/>
            <w:r>
              <w:rPr>
                <w:b w:val="0"/>
                <w:i w:val="0"/>
                <w:sz w:val="17"/>
              </w:rPr>
              <w:t>Transmittal</w:t>
            </w:r>
          </w:p>
        </w:tc>
        <w:tc>
          <w:tcPr>
            <w:tcW w:type="dxa" w:w="792"/>
          </w:tcPr>
          <w:p>
            <w:pPr>
              <w:spacing w:after="20"/>
            </w:pPr>
            <w:r/>
          </w:p>
        </w:tc>
      </w:tr>
      <w:tr>
        <w:tc>
          <w:tcPr>
            <w:tcW w:type="dxa" w:w="720"/>
          </w:tcPr>
          <w:p>
            <w:pPr>
              <w:spacing w:after="20"/>
            </w:pPr>
            <w:r/>
            <w:r>
              <w:rPr>
                <w:b w:val="0"/>
                <w:i w:val="0"/>
                <w:sz w:val="17"/>
              </w:rPr>
              <w:t>L-1</w:t>
            </w:r>
          </w:p>
        </w:tc>
        <w:tc>
          <w:tcPr>
            <w:tcW w:type="dxa" w:w="1152"/>
            <w:shd w:val="clear" w:color="auto" w:fill="4F81BD"/>
          </w:tcPr>
          <w:p>
            <w:pPr>
              <w:spacing w:after="20"/>
            </w:pPr>
            <w:r>
              <w:rPr>
                <w:b/>
                <w:color w:val="FFFFFF"/>
              </w:rPr>
            </w:r>
            <w:r>
              <w:rPr>
                <w:b/>
                <w:i w:val="0"/>
                <w:color w:val="FFFFFF"/>
                <w:sz w:val="17"/>
              </w:rPr>
              <w:t>Low</w:t>
            </w:r>
          </w:p>
        </w:tc>
        <w:tc>
          <w:tcPr>
            <w:tcW w:type="dxa" w:w="4896"/>
          </w:tcPr>
          <w:p>
            <w:pPr>
              <w:spacing w:after="20"/>
            </w:pPr>
            <w:r/>
            <w:r>
              <w:rPr>
                <w:b w:val="0"/>
                <w:i w:val="0"/>
                <w:sz w:val="17"/>
              </w:rPr>
              <w:t>Personnel file access process not described</w:t>
            </w:r>
          </w:p>
        </w:tc>
        <w:tc>
          <w:tcPr>
            <w:tcW w:type="dxa" w:w="1872"/>
          </w:tcPr>
          <w:p>
            <w:pPr>
              <w:spacing w:after="20"/>
            </w:pPr>
            <w:r/>
            <w:r>
              <w:rPr>
                <w:b w:val="0"/>
                <w:i w:val="0"/>
                <w:sz w:val="17"/>
              </w:rPr>
              <w:t>§ 11.2</w:t>
            </w:r>
          </w:p>
        </w:tc>
        <w:tc>
          <w:tcPr>
            <w:tcW w:type="dxa" w:w="792"/>
          </w:tcPr>
          <w:p>
            <w:pPr>
              <w:spacing w:after="20"/>
            </w:pPr>
            <w:r/>
          </w:p>
        </w:tc>
      </w:tr>
      <w:tr>
        <w:tc>
          <w:tcPr>
            <w:tcW w:type="dxa" w:w="720"/>
          </w:tcPr>
          <w:p>
            <w:pPr>
              <w:spacing w:after="20"/>
            </w:pPr>
            <w:r/>
            <w:r>
              <w:rPr>
                <w:b w:val="0"/>
                <w:i w:val="0"/>
                <w:sz w:val="17"/>
              </w:rPr>
              <w:t>L-2</w:t>
            </w:r>
          </w:p>
        </w:tc>
        <w:tc>
          <w:tcPr>
            <w:tcW w:type="dxa" w:w="1152"/>
            <w:shd w:val="clear" w:color="auto" w:fill="4F81BD"/>
          </w:tcPr>
          <w:p>
            <w:pPr>
              <w:spacing w:after="20"/>
            </w:pPr>
            <w:r>
              <w:rPr>
                <w:b/>
                <w:color w:val="FFFFFF"/>
              </w:rPr>
            </w:r>
            <w:r>
              <w:rPr>
                <w:b/>
                <w:i w:val="0"/>
                <w:color w:val="FFFFFF"/>
                <w:sz w:val="17"/>
              </w:rPr>
              <w:t>Low</w:t>
            </w:r>
          </w:p>
        </w:tc>
        <w:tc>
          <w:tcPr>
            <w:tcW w:type="dxa" w:w="4896"/>
          </w:tcPr>
          <w:p>
            <w:pPr>
              <w:spacing w:after="20"/>
            </w:pPr>
            <w:r/>
            <w:r>
              <w:rPr>
                <w:b w:val="0"/>
                <w:i w:val="0"/>
                <w:sz w:val="17"/>
              </w:rPr>
              <w:t>Factual inaccuracies and stale details in the handbook</w:t>
            </w:r>
          </w:p>
        </w:tc>
        <w:tc>
          <w:tcPr>
            <w:tcW w:type="dxa" w:w="1872"/>
          </w:tcPr>
          <w:p>
            <w:pPr>
              <w:spacing w:after="20"/>
            </w:pPr>
            <w:r/>
            <w:r>
              <w:rPr>
                <w:b w:val="0"/>
                <w:i w:val="0"/>
                <w:sz w:val="17"/>
              </w:rPr>
              <w:t>§ 1.1</w:t>
            </w:r>
          </w:p>
        </w:tc>
        <w:tc>
          <w:tcPr>
            <w:tcW w:type="dxa" w:w="792"/>
          </w:tcPr>
          <w:p>
            <w:pPr>
              <w:spacing w:after="20"/>
            </w:pPr>
            <w:r/>
          </w:p>
        </w:tc>
      </w:tr>
      <w:tr>
        <w:tc>
          <w:tcPr>
            <w:tcW w:type="dxa" w:w="720"/>
          </w:tcPr>
          <w:p>
            <w:pPr>
              <w:spacing w:after="20"/>
            </w:pPr>
            <w:r/>
            <w:r>
              <w:rPr>
                <w:b w:val="0"/>
                <w:i w:val="0"/>
                <w:sz w:val="17"/>
              </w:rPr>
              <w:t>L-3</w:t>
            </w:r>
          </w:p>
        </w:tc>
        <w:tc>
          <w:tcPr>
            <w:tcW w:type="dxa" w:w="1152"/>
            <w:shd w:val="clear" w:color="auto" w:fill="4F81BD"/>
          </w:tcPr>
          <w:p>
            <w:pPr>
              <w:spacing w:after="20"/>
            </w:pPr>
            <w:r>
              <w:rPr>
                <w:b/>
                <w:color w:val="FFFFFF"/>
              </w:rPr>
            </w:r>
            <w:r>
              <w:rPr>
                <w:b/>
                <w:i w:val="0"/>
                <w:color w:val="FFFFFF"/>
                <w:sz w:val="17"/>
              </w:rPr>
              <w:t>Low</w:t>
            </w:r>
          </w:p>
        </w:tc>
        <w:tc>
          <w:tcPr>
            <w:tcW w:type="dxa" w:w="4896"/>
          </w:tcPr>
          <w:p>
            <w:pPr>
              <w:spacing w:after="20"/>
            </w:pPr>
            <w:r/>
            <w:r>
              <w:rPr>
                <w:b w:val="0"/>
                <w:i w:val="0"/>
                <w:sz w:val="17"/>
              </w:rPr>
              <w:t>Jury duty, voting and military leave details</w:t>
            </w:r>
          </w:p>
        </w:tc>
        <w:tc>
          <w:tcPr>
            <w:tcW w:type="dxa" w:w="1872"/>
          </w:tcPr>
          <w:p>
            <w:pPr>
              <w:spacing w:after="20"/>
            </w:pPr>
            <w:r/>
            <w:r>
              <w:rPr>
                <w:b w:val="0"/>
                <w:i w:val="0"/>
                <w:sz w:val="17"/>
              </w:rPr>
              <w:t>§ 7.1</w:t>
            </w:r>
          </w:p>
        </w:tc>
        <w:tc>
          <w:tcPr>
            <w:tcW w:type="dxa" w:w="792"/>
          </w:tcPr>
          <w:p>
            <w:pPr>
              <w:spacing w:after="20"/>
            </w:pPr>
            <w:r/>
          </w:p>
        </w:tc>
      </w:tr>
      <w:tr>
        <w:tc>
          <w:tcPr>
            <w:tcW w:type="dxa" w:w="720"/>
          </w:tcPr>
          <w:p>
            <w:pPr>
              <w:spacing w:after="20"/>
            </w:pPr>
            <w:r/>
            <w:r>
              <w:rPr>
                <w:b w:val="0"/>
                <w:i w:val="0"/>
                <w:sz w:val="17"/>
              </w:rPr>
              <w:t>L-4</w:t>
            </w:r>
          </w:p>
        </w:tc>
        <w:tc>
          <w:tcPr>
            <w:tcW w:type="dxa" w:w="1152"/>
            <w:shd w:val="clear" w:color="auto" w:fill="4F81BD"/>
          </w:tcPr>
          <w:p>
            <w:pPr>
              <w:spacing w:after="20"/>
            </w:pPr>
            <w:r>
              <w:rPr>
                <w:b/>
                <w:color w:val="FFFFFF"/>
              </w:rPr>
            </w:r>
            <w:r>
              <w:rPr>
                <w:b/>
                <w:i w:val="0"/>
                <w:color w:val="FFFFFF"/>
                <w:sz w:val="17"/>
              </w:rPr>
              <w:t>Low</w:t>
            </w:r>
          </w:p>
        </w:tc>
        <w:tc>
          <w:tcPr>
            <w:tcW w:type="dxa" w:w="4896"/>
          </w:tcPr>
          <w:p>
            <w:pPr>
              <w:spacing w:after="20"/>
            </w:pPr>
            <w:r/>
            <w:r>
              <w:rPr>
                <w:b w:val="0"/>
                <w:i w:val="0"/>
                <w:sz w:val="17"/>
              </w:rPr>
              <w:t>Drug and alcohol policy clarifications</w:t>
            </w:r>
          </w:p>
        </w:tc>
        <w:tc>
          <w:tcPr>
            <w:tcW w:type="dxa" w:w="1872"/>
          </w:tcPr>
          <w:p>
            <w:pPr>
              <w:spacing w:after="20"/>
            </w:pPr>
            <w:r/>
            <w:r>
              <w:rPr>
                <w:b w:val="0"/>
                <w:i w:val="0"/>
                <w:sz w:val="17"/>
              </w:rPr>
              <w:t>§ 6.4</w:t>
            </w:r>
          </w:p>
        </w:tc>
        <w:tc>
          <w:tcPr>
            <w:tcW w:type="dxa" w:w="792"/>
          </w:tcPr>
          <w:p>
            <w:pPr>
              <w:spacing w:after="20"/>
            </w:pPr>
            <w:r/>
          </w:p>
        </w:tc>
      </w:tr>
      <w:tr>
        <w:tc>
          <w:tcPr>
            <w:tcW w:type="dxa" w:w="720"/>
          </w:tcPr>
          <w:p>
            <w:pPr>
              <w:spacing w:after="20"/>
            </w:pPr>
            <w:r/>
            <w:r>
              <w:rPr>
                <w:b w:val="0"/>
                <w:i w:val="0"/>
                <w:sz w:val="17"/>
              </w:rPr>
              <w:t>L-5</w:t>
            </w:r>
          </w:p>
        </w:tc>
        <w:tc>
          <w:tcPr>
            <w:tcW w:type="dxa" w:w="1152"/>
            <w:shd w:val="clear" w:color="auto" w:fill="4F81BD"/>
          </w:tcPr>
          <w:p>
            <w:pPr>
              <w:spacing w:after="20"/>
            </w:pPr>
            <w:r>
              <w:rPr>
                <w:b/>
                <w:color w:val="FFFFFF"/>
              </w:rPr>
            </w:r>
            <w:r>
              <w:rPr>
                <w:b/>
                <w:i w:val="0"/>
                <w:color w:val="FFFFFF"/>
                <w:sz w:val="17"/>
              </w:rPr>
              <w:t>Low</w:t>
            </w:r>
          </w:p>
        </w:tc>
        <w:tc>
          <w:tcPr>
            <w:tcW w:type="dxa" w:w="4896"/>
          </w:tcPr>
          <w:p>
            <w:pPr>
              <w:spacing w:after="20"/>
            </w:pPr>
            <w:r/>
            <w:r>
              <w:rPr>
                <w:b w:val="0"/>
                <w:i w:val="0"/>
                <w:sz w:val="17"/>
              </w:rPr>
              <w:t>FMLA section technical updates</w:t>
            </w:r>
          </w:p>
        </w:tc>
        <w:tc>
          <w:tcPr>
            <w:tcW w:type="dxa" w:w="1872"/>
          </w:tcPr>
          <w:p>
            <w:pPr>
              <w:spacing w:after="20"/>
            </w:pPr>
            <w:r/>
            <w:r>
              <w:rPr>
                <w:b w:val="0"/>
                <w:i w:val="0"/>
                <w:sz w:val="17"/>
              </w:rPr>
              <w:t>§ 9.1–9.3</w:t>
            </w:r>
          </w:p>
        </w:tc>
        <w:tc>
          <w:tcPr>
            <w:tcW w:type="dxa" w:w="792"/>
          </w:tcPr>
          <w:p>
            <w:pPr>
              <w:spacing w:after="20"/>
            </w:pPr>
            <w:r/>
          </w:p>
        </w:tc>
      </w:tr>
    </w:tbl>
    <w:p>
      <w:pPr>
        <w:spacing w:after="40"/>
      </w:pPr>
    </w:p>
    <w:p>
      <w:pPr>
        <w:pStyle w:val="Heading1"/>
      </w:pPr>
      <w:r>
        <w:t>5. Detailed Findings and Recommended Fixes</w:t>
      </w:r>
    </w:p>
    <w:p>
      <w:r>
        <w:rPr>
          <w:b w:val="0"/>
          <w:i/>
        </w:rPr>
        <w:t>Each finding states the handbook provision, the governing requirement, the gap, the affected population drawn from the census, and the recommended fix. Model language is offered where a direct drafting fix is available; it should be conformed to Oakridge’s final style.</w:t>
      </w:r>
    </w:p>
    <w:p>
      <w:pPr>
        <w:pStyle w:val="Heading2"/>
      </w:pPr>
      <w:r>
        <w:t>5.1 Critical Findings</w:t>
      </w:r>
    </w:p>
    <w:p>
      <w:pPr>
        <w:pStyle w:val="Heading3"/>
      </w:pPr>
      <w:r>
        <w:t>C-1 — Stated minimum wage is below the Colorado minimum; Denver pay practice appears to violate the Denver minimum wage</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2DCDB"/>
          </w:tcPr>
          <w:p>
            <w:pPr>
              <w:spacing w:after="20"/>
            </w:pPr>
            <w:r/>
            <w:r>
              <w:rPr>
                <w:b w:val="0"/>
                <w:i w:val="0"/>
                <w:sz w:val="18"/>
              </w:rPr>
              <w:t>Critical  |  ACT NOW — operational correction required</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4.2 (Minimum Starting Wage: “$14.00 per hour for all hourly positions”); § 2.3</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Colorado minimum wage for 2025 is $14.81/hour (C.R.S. § 8-6-109; COMPS Order #39). Since HB 19-1210 (C.R.S. § 8-6-101(3)) local governments may set higher minimums. For 2025: City and County of Denver $18.81/hour (Denver Rev. Mun. Code ch. 58, Art. VIII); City of Boulder $15.57/hour; unincorporated Boulder County $15.69/hour. All adjust each January 1.</w:t>
            </w:r>
          </w:p>
        </w:tc>
      </w:tr>
      <w:tr>
        <w:tc>
          <w:tcPr>
            <w:tcW w:type="dxa" w:w="2304"/>
            <w:shd w:val="clear" w:color="auto" w:fill="DCE6F1"/>
          </w:tcPr>
          <w:p>
            <w:r/>
            <w:r>
              <w:rPr>
                <w:b/>
                <w:i w:val="0"/>
                <w:sz w:val="18"/>
              </w:rPr>
              <w:t>Gap</w:t>
            </w:r>
          </w:p>
        </w:tc>
        <w:tc>
          <w:tcPr>
            <w:tcW w:type="dxa" w:w="7056"/>
          </w:tcPr>
          <w:p>
            <w:pPr>
              <w:spacing w:after="20"/>
            </w:pPr>
            <w:r/>
            <w:r>
              <w:rPr>
                <w:b w:val="0"/>
                <w:i w:val="0"/>
                <w:sz w:val="18"/>
              </w:rPr>
              <w:t>The handbook states a wage floor $0.81 below the state minimum — non-compliant on its face (Checklist § 1.1). More seriously, the census shows the lowest hourly rate at the Denver facility is $16.50, which is $2.31/hour below Denver’s 2025 minimum. The bottom of the Denver salaried non-exempt band ($39,000/yr ≈ $18.75/hour at 40 hours) is also below $18.81. Neither the handbook nor the checklist addresses local minimum wages.</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Statement: all 389 hourly employees. Pay practice: up to 76 Denver hourly employees plus any Denver salaried non-exempt employees (19 in band) paid below $18.81/hour. Boulder hourly rates ($16.50 minimum) clear the Boulder city and county minimums, subject to confirming the facility’s jurisdiction.</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Replace § 4.2 with a jurisdiction-neutral floor (model language below); never hard-code a dollar figure.</w:t>
            </w:r>
          </w:p>
          <w:p>
            <w:pPr>
              <w:spacing w:after="20"/>
            </w:pPr>
            <w:r>
              <w:rPr>
                <w:b w:val="0"/>
                <w:i w:val="0"/>
                <w:sz w:val="18"/>
              </w:rPr>
              <w:t>• Act now: have Pinnacle pull every Denver employee whose effective hourly rate fell below $18.81 at any point since January 1, 2025; adjust rates prospectively and pay back wages (plus any shift where overtime was computed on the lower rate). Confirm the Denver facility address is within the City and County of Denver and that the Boulder facility is within the City of Boulder or unincorporated county.</w:t>
            </w:r>
          </w:p>
          <w:p>
            <w:pPr>
              <w:spacing w:after="20"/>
            </w:pPr>
            <w:r>
              <w:rPr>
                <w:b w:val="0"/>
                <w:i w:val="0"/>
                <w:sz w:val="18"/>
              </w:rPr>
              <w:t>• Calendar an annual December review of state and local minimums (Denver and the state each publish the next year’s rate in the fall).</w:t>
            </w:r>
          </w:p>
        </w:tc>
      </w:tr>
      <w:tr>
        <w:tc>
          <w:tcPr>
            <w:tcW w:type="dxa" w:w="2304"/>
            <w:shd w:val="clear" w:color="auto" w:fill="DCE6F1"/>
          </w:tcPr>
          <w:p>
            <w:r/>
            <w:r>
              <w:rPr>
                <w:b/>
                <w:i w:val="0"/>
                <w:sz w:val="18"/>
              </w:rPr>
              <w:t>Model language</w:t>
            </w:r>
          </w:p>
        </w:tc>
        <w:tc>
          <w:tcPr>
            <w:tcW w:type="dxa" w:w="7056"/>
          </w:tcPr>
          <w:p>
            <w:pPr>
              <w:spacing w:after="20"/>
            </w:pPr>
            <w:r/>
            <w:r>
              <w:rPr>
                <w:b w:val="0"/>
                <w:i w:val="0"/>
                <w:sz w:val="18"/>
              </w:rPr>
              <w:t>“Oakridge pays every employee at least the minimum wage required for the location where the work is performed — the Colorado minimum wage or, where higher, the applicable local minimum wage (for example, in the City and County of Denver or the City of Boulder). Minimum wage rates change each January 1, and current rates are posted at every facility.”</w:t>
            </w:r>
          </w:p>
        </w:tc>
      </w:tr>
    </w:tbl>
    <w:p>
      <w:pPr>
        <w:spacing w:after="40"/>
      </w:pPr>
    </w:p>
    <w:p>
      <w:pPr>
        <w:pStyle w:val="Heading3"/>
      </w:pPr>
      <w:r>
        <w:t>C-2 — Salaried exempt employees paid below Colorado’s exempt salary threshold; handbook keys exemption to the FLSA</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2DCDB"/>
          </w:tcPr>
          <w:p>
            <w:pPr>
              <w:spacing w:after="20"/>
            </w:pPr>
            <w:r/>
            <w:r>
              <w:rPr>
                <w:b w:val="0"/>
                <w:i w:val="0"/>
                <w:sz w:val="18"/>
              </w:rPr>
              <w:t>Critical  |  ACT NOW — operational correction required</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2.2 (Exempt and Non-Exempt Classifications); census “Compensation by Classification” and “Salary Band Summary” tabs</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COMPS Order #39, Rule 2.5 requires executive, administrative and professional employees to be paid a salary of at least $56,485 in 2025 (the federal FLSA floor is $684/week = $35,568 following the November 15, 2024 vacatur of the 2024 DOL rule in Texas v. U.S. Dep’t of Labor). Colorado’s duties tests (COMPS Rule 2.2) must also be met. A misclassified employee is owed Colorado overtime (weekly and daily), meal/rest compliance, and penalties; limitations period is two years, three if willful (C.R.S. § 8-4-122).</w:t>
            </w:r>
          </w:p>
        </w:tc>
      </w:tr>
      <w:tr>
        <w:tc>
          <w:tcPr>
            <w:tcW w:type="dxa" w:w="2304"/>
            <w:shd w:val="clear" w:color="auto" w:fill="DCE6F1"/>
          </w:tcPr>
          <w:p>
            <w:r/>
            <w:r>
              <w:rPr>
                <w:b/>
                <w:i w:val="0"/>
                <w:sz w:val="18"/>
              </w:rPr>
              <w:t>Gap</w:t>
            </w:r>
          </w:p>
        </w:tc>
        <w:tc>
          <w:tcPr>
            <w:tcW w:type="dxa" w:w="7056"/>
          </w:tcPr>
          <w:p>
            <w:pPr>
              <w:spacing w:after="20"/>
            </w:pPr>
            <w:r/>
            <w:r>
              <w:rPr>
                <w:b w:val="0"/>
                <w:i w:val="0"/>
                <w:sz w:val="18"/>
              </w:rPr>
              <w:t>§ 2.2 describes exemption “in accordance with the Fair Labor Standards Act” and says exempt employees are exempt from “the FLSA.” The census shows the minimum exempt salary at every facility is below $56,485 (Colorado Springs $52,000; Denver $54,000; Boulder $51,500; Fort Collins $50,000; Pueblo $48,500; Grand Junction $49,000; Durango $48,000). The checklist does not address the Colorado salary threshold.</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At least 8 salaried exempt employees (the $45,000–$54,999 band) are below the threshold, and up to 18 more in the $55,000–$64,999 band may be — i.e., 8 to 26 employees (5%–18% of the 148 exempt group). Every facility is affected; the acquired facilities have the lowest floors.</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Act now: obtain an employee-level list (title, duties, salary) of all exempt employees below $56,485. For each, either raise salary to at least $56,485 (and confirm the Colorado duties test is met) or reclassify as non-exempt prospectively.</w:t>
            </w:r>
          </w:p>
          <w:p>
            <w:pPr>
              <w:spacing w:after="20"/>
            </w:pPr>
            <w:r>
              <w:rPr>
                <w:b w:val="0"/>
                <w:i w:val="0"/>
                <w:sz w:val="18"/>
              </w:rPr>
              <w:t>• Quantify back overtime under counsel’s direction for the two-year (three if willful) look-back; consider a structured remediation payment.</w:t>
            </w:r>
          </w:p>
          <w:p>
            <w:pPr>
              <w:spacing w:after="20"/>
            </w:pPr>
            <w:r>
              <w:rPr>
                <w:b w:val="0"/>
                <w:i w:val="0"/>
                <w:sz w:val="18"/>
              </w:rPr>
              <w:t>• Revise § 2.2 to reference both FLSA and Colorado COMPS Order duties and salary tests and to note that the Colorado threshold is adjusted annually. Remove the statement that RNs in “supervisory roles” are exempt unless their duties and salary qualify.</w:t>
            </w:r>
          </w:p>
        </w:tc>
      </w:tr>
    </w:tbl>
    <w:p>
      <w:pPr>
        <w:spacing w:after="40"/>
      </w:pPr>
    </w:p>
    <w:p>
      <w:pPr>
        <w:pStyle w:val="Heading3"/>
      </w:pPr>
      <w:r>
        <w:t>C-3 — Overtime policy omits Colorado’s daily (12-hour) and 12-consecutive-hour triggers</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2DCDB"/>
          </w:tcPr>
          <w:p>
            <w:pPr>
              <w:spacing w:after="20"/>
            </w:pPr>
            <w:r/>
            <w:r>
              <w:rPr>
                <w:b w:val="0"/>
                <w:i w:val="0"/>
                <w:sz w:val="18"/>
              </w:rPr>
              <w:t>Critical  |  ACT NOW — operational correction required</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4.3 (Overtime Pay: overtime only for hours “in excess of forty (40) hours in a single workweek”)</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COMPS Order #39, Rule 4.1.1: overtime at 1.5× the regular rate for hours worked over (a) 40 per workweek, (b) 12 per workday, or (c) 12 consecutive hours regardless of when the workday starts. The regular rate must include shift differentials and non-discretionary bonuses (COMPS Rule 1.8).</w:t>
            </w:r>
          </w:p>
        </w:tc>
      </w:tr>
      <w:tr>
        <w:tc>
          <w:tcPr>
            <w:tcW w:type="dxa" w:w="2304"/>
            <w:shd w:val="clear" w:color="auto" w:fill="DCE6F1"/>
          </w:tcPr>
          <w:p>
            <w:r/>
            <w:r>
              <w:rPr>
                <w:b/>
                <w:i w:val="0"/>
                <w:sz w:val="18"/>
              </w:rPr>
              <w:t>Gap</w:t>
            </w:r>
          </w:p>
        </w:tc>
        <w:tc>
          <w:tcPr>
            <w:tcW w:type="dxa" w:w="7056"/>
          </w:tcPr>
          <w:p>
            <w:pPr>
              <w:spacing w:after="20"/>
            </w:pPr>
            <w:r/>
            <w:r>
              <w:rPr>
                <w:b w:val="0"/>
                <w:i w:val="0"/>
                <w:sz w:val="18"/>
              </w:rPr>
              <w:t>Only the federal weekly trigger is stated (Checklist § 1.2). For a 24/7 care operator using 12-hour CNA/LPN/RN shifts, any shift overrun (handover, resident emergencies, mandatory holdover) beyond 12 hours triggers daily overtime even in a sub-40-hour week. The handbook’s reference to LPN “shift differential” (§ 4.2) also flags a regular-rate issue.</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464 non-exempt employees (389 hourly; 75 salaried non-exempt), plus any exempt employees reclassified under C-2.</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Replace § 4.3’s trigger sentence with the model language below and add a regular-rate sentence.</w:t>
            </w:r>
          </w:p>
          <w:p>
            <w:pPr>
              <w:spacing w:after="20"/>
            </w:pPr>
            <w:r>
              <w:rPr>
                <w:b w:val="0"/>
                <w:i w:val="0"/>
                <w:sz w:val="18"/>
              </w:rPr>
              <w:t>• Act now: confirm with Pinnacle that daily (&gt;12) and consecutive-hour (&gt;12) overtime is being calculated; run a look-back of shifts over 12 hours for at least the past two years and pay any shortfall.</w:t>
            </w:r>
          </w:p>
          <w:p>
            <w:pPr>
              <w:spacing w:after="20"/>
            </w:pPr>
            <w:r>
              <w:rPr>
                <w:b w:val="0"/>
                <w:i w:val="0"/>
                <w:sz w:val="18"/>
              </w:rPr>
              <w:t>• Keep the prior-authorization rule but state expressly that all overtime worked will be paid.</w:t>
            </w:r>
          </w:p>
        </w:tc>
      </w:tr>
      <w:tr>
        <w:tc>
          <w:tcPr>
            <w:tcW w:type="dxa" w:w="2304"/>
            <w:shd w:val="clear" w:color="auto" w:fill="DCE6F1"/>
          </w:tcPr>
          <w:p>
            <w:r/>
            <w:r>
              <w:rPr>
                <w:b/>
                <w:i w:val="0"/>
                <w:sz w:val="18"/>
              </w:rPr>
              <w:t>Model language</w:t>
            </w:r>
          </w:p>
        </w:tc>
        <w:tc>
          <w:tcPr>
            <w:tcW w:type="dxa" w:w="7056"/>
          </w:tcPr>
          <w:p>
            <w:pPr>
              <w:spacing w:after="20"/>
            </w:pPr>
            <w:r/>
            <w:r>
              <w:rPr>
                <w:b w:val="0"/>
                <w:i w:val="0"/>
                <w:sz w:val="18"/>
              </w:rPr>
              <w:t>“Non-exempt employees are paid one and one-half times their regular rate of pay for all hours worked (1) over 40 in a workweek, (2) over 12 in a workday, or (3) over 12 consecutive hours, regardless of whether those hours span two workdays. Hours are not double-counted. The regular rate includes shift differentials and non-discretionary bonuses.”</w:t>
            </w:r>
          </w:p>
        </w:tc>
      </w:tr>
    </w:tbl>
    <w:p>
      <w:pPr>
        <w:spacing w:after="40"/>
      </w:pPr>
    </w:p>
    <w:p>
      <w:pPr>
        <w:pStyle w:val="Heading3"/>
      </w:pPr>
      <w:r>
        <w:t>C-4 — Meal period triggered at six hours instead of five</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2DCDB"/>
          </w:tcPr>
          <w:p>
            <w:pPr>
              <w:spacing w:after="20"/>
            </w:pPr>
            <w:r/>
            <w:r>
              <w:rPr>
                <w:b w:val="0"/>
                <w:i w:val="0"/>
                <w:sz w:val="18"/>
              </w:rPr>
              <w:t>Critical  |  ACT NOW — operational correction required</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4.4 (Meal Breaks: “shifts of more than six (6) hours”)</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COMPS Order #39, Rule 5.1: an uninterrupted, duty-free meal period of at least 30 minutes is required when a shift exceeds five consecutive hours; where the nature of the work makes an uninterrupted meal period impractical, the employee must be permitted an on-duty meal period that is fully paid. To the extent practical, the meal period should be scheduled at least one hour after the shift starts and one hour before it ends.</w:t>
            </w:r>
          </w:p>
        </w:tc>
      </w:tr>
      <w:tr>
        <w:tc>
          <w:tcPr>
            <w:tcW w:type="dxa" w:w="2304"/>
            <w:shd w:val="clear" w:color="auto" w:fill="DCE6F1"/>
          </w:tcPr>
          <w:p>
            <w:r/>
            <w:r>
              <w:rPr>
                <w:b/>
                <w:i w:val="0"/>
                <w:sz w:val="18"/>
              </w:rPr>
              <w:t>Gap</w:t>
            </w:r>
          </w:p>
        </w:tc>
        <w:tc>
          <w:tcPr>
            <w:tcW w:type="dxa" w:w="7056"/>
          </w:tcPr>
          <w:p>
            <w:pPr>
              <w:spacing w:after="20"/>
            </w:pPr>
            <w:r/>
            <w:r>
              <w:rPr>
                <w:b w:val="0"/>
                <w:i w:val="0"/>
                <w:sz w:val="18"/>
              </w:rPr>
              <w:t>The trigger is one hour too late (Checklist § 1.3). Shifts of more than 5 and up to 6 hours currently receive no meal period. The policy otherwise correctly pays on-duty meals, but it relies on the employee to “notify their supervisor” to be paid; the employer bears the obligation to record and pay interrupted meals.</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464 non-exempt employees; most acute for part-time and short-shift staff (dietary, housekeeping, activities).</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Change the trigger to “a shift that exceeds five consecutive hours.”</w:t>
            </w:r>
          </w:p>
          <w:p>
            <w:pPr>
              <w:spacing w:after="20"/>
            </w:pPr>
            <w:r>
              <w:rPr>
                <w:b w:val="0"/>
                <w:i w:val="0"/>
                <w:sz w:val="18"/>
              </w:rPr>
              <w:t>• State that an interrupted or on-duty meal is paid in full and that supervisors (not only employees) must record missed or interrupted meals.</w:t>
            </w:r>
          </w:p>
          <w:p>
            <w:pPr>
              <w:spacing w:after="20"/>
            </w:pPr>
            <w:r>
              <w:rPr>
                <w:b w:val="0"/>
                <w:i w:val="0"/>
                <w:sz w:val="18"/>
              </w:rPr>
              <w:t>• Delete the checklist’s “mutual written waiver” concept from any revised policy — COMPS provides for a paid on-duty meal, not an unpaid waiver (see Section 6).</w:t>
            </w:r>
          </w:p>
        </w:tc>
      </w:tr>
    </w:tbl>
    <w:p>
      <w:pPr>
        <w:spacing w:after="40"/>
      </w:pPr>
    </w:p>
    <w:p>
      <w:pPr>
        <w:pStyle w:val="Heading3"/>
      </w:pPr>
      <w:r>
        <w:t>C-5 — Rest breaks described as optional (“encouraged but not required”)</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2DCDB"/>
          </w:tcPr>
          <w:p>
            <w:pPr>
              <w:spacing w:after="20"/>
            </w:pPr>
            <w:r/>
            <w:r>
              <w:rPr>
                <w:b w:val="0"/>
                <w:i w:val="0"/>
                <w:sz w:val="18"/>
              </w:rPr>
              <w:t>Critical  |  ACT NOW — operational correction required</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4.4 (Rest Breaks)</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COMPS Order #39, Rule 5.2: employers must authorize and permit a paid 10-minute rest period for each four hours worked or major fraction thereof. Per the Rule 5.2.1 table: more than 2 and up to 6 hours = 1 break; more than 6 and up to 10 = 2; more than 10 and up to 14 = 3. A rest period that is not authorized and permitted must be paid as additional time worked (COMPS Rule 5.2.4; see Brunson v. Colo. Cab Co., 2018 COA 17).</w:t>
            </w:r>
          </w:p>
        </w:tc>
      </w:tr>
      <w:tr>
        <w:tc>
          <w:tcPr>
            <w:tcW w:type="dxa" w:w="2304"/>
            <w:shd w:val="clear" w:color="auto" w:fill="DCE6F1"/>
          </w:tcPr>
          <w:p>
            <w:r/>
            <w:r>
              <w:rPr>
                <w:b/>
                <w:i w:val="0"/>
                <w:sz w:val="18"/>
              </w:rPr>
              <w:t>Gap</w:t>
            </w:r>
          </w:p>
        </w:tc>
        <w:tc>
          <w:tcPr>
            <w:tcW w:type="dxa" w:w="7056"/>
          </w:tcPr>
          <w:p>
            <w:pPr>
              <w:spacing w:after="20"/>
            </w:pPr>
            <w:r/>
            <w:r>
              <w:rPr>
                <w:b w:val="0"/>
                <w:i w:val="0"/>
                <w:sz w:val="18"/>
              </w:rPr>
              <w:t>The policy is affirmatively non-compliant (Checklist § 1.4): it calls breaks optional, conditions them on supervisor coordination, and requires employees to remain “available to respond to emergencies,” which converts the break into on-duty time. Each 12-hour shift without three compliant breaks creates 30 minutes of additional wages owed.</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464 non-exempt employees. Illustration only: if 389 hourly employees each missed one compliant break per shift across 200 shifts/year, unpaid rest-period wages alone would be roughly 13,000 hours per year, before penalties.</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Replace the rest-break paragraph with the model language below.</w:t>
            </w:r>
          </w:p>
          <w:p>
            <w:pPr>
              <w:spacing w:after="20"/>
            </w:pPr>
            <w:r>
              <w:rPr>
                <w:b w:val="0"/>
                <w:i w:val="0"/>
                <w:sz w:val="18"/>
              </w:rPr>
              <w:t>• Act now: issue a written instruction to facility directors and charge nurses that rest breaks are mandatory, establish relief coverage, and add a rest-break attestation or missed-break code to the timekeeping system so missed breaks are paid.</w:t>
            </w:r>
          </w:p>
          <w:p>
            <w:pPr>
              <w:spacing w:after="20"/>
            </w:pPr>
            <w:r>
              <w:rPr>
                <w:b w:val="0"/>
                <w:i w:val="0"/>
                <w:sz w:val="18"/>
              </w:rPr>
              <w:t>• Retain the smoking-area rule; delete “encouraged” language throughout.</w:t>
            </w:r>
          </w:p>
        </w:tc>
      </w:tr>
      <w:tr>
        <w:tc>
          <w:tcPr>
            <w:tcW w:type="dxa" w:w="2304"/>
            <w:shd w:val="clear" w:color="auto" w:fill="DCE6F1"/>
          </w:tcPr>
          <w:p>
            <w:r/>
            <w:r>
              <w:rPr>
                <w:b/>
                <w:i w:val="0"/>
                <w:sz w:val="18"/>
              </w:rPr>
              <w:t>Model language</w:t>
            </w:r>
          </w:p>
        </w:tc>
        <w:tc>
          <w:tcPr>
            <w:tcW w:type="dxa" w:w="7056"/>
          </w:tcPr>
          <w:p>
            <w:pPr>
              <w:spacing w:after="20"/>
            </w:pPr>
            <w:r/>
            <w:r>
              <w:rPr>
                <w:b w:val="0"/>
                <w:i w:val="0"/>
                <w:sz w:val="18"/>
              </w:rPr>
              <w:t>“Non-exempt employees are entitled to a paid, uninterrupted 10-minute rest break for every four hours worked or major fraction of four hours (for example, one break for a shift of more than 2 and up to 6 hours, two breaks for more than 6 and up to 10 hours, and three breaks for more than 10 and up to 14 hours). Rest breaks are required by Colorado law; supervisors will schedule them and arrange coverage. If you are unable to take a full rest break, report it so you can be paid an additional 10 minutes.”</w:t>
            </w:r>
          </w:p>
        </w:tc>
      </w:tr>
    </w:tbl>
    <w:p>
      <w:pPr>
        <w:spacing w:after="40"/>
      </w:pPr>
    </w:p>
    <w:p>
      <w:pPr>
        <w:pStyle w:val="Heading3"/>
      </w:pPr>
      <w:r>
        <w:t>C-6 — Combined PTO bank accrues at 1:40, below the HFWA minimum of 1:30</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2DCDB"/>
          </w:tcPr>
          <w:p>
            <w:pPr>
              <w:spacing w:after="20"/>
            </w:pPr>
            <w:r/>
            <w:r>
              <w:rPr>
                <w:b w:val="0"/>
                <w:i w:val="0"/>
                <w:sz w:val="18"/>
              </w:rPr>
              <w:t>Critical  |  ACT NOW — operational correction required</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5.1 (PTO Accrual: “one (1) hour of PTO for every forty (40) hours worked” for full- and part-time employees)</w:t>
            </w:r>
          </w:p>
        </w:tc>
      </w:tr>
      <w:tr>
        <w:tc>
          <w:tcPr>
            <w:tcW w:type="dxa" w:w="2304"/>
            <w:shd w:val="clear" w:color="auto" w:fill="DCE6F1"/>
          </w:tcPr>
          <w:p>
            <w:r/>
            <w:r>
              <w:rPr>
                <w:b/>
                <w:i w:val="0"/>
                <w:sz w:val="18"/>
              </w:rPr>
              <w:t>Requirement</w:t>
            </w:r>
          </w:p>
        </w:tc>
        <w:tc>
          <w:tcPr>
            <w:tcW w:type="dxa" w:w="7056"/>
          </w:tcPr>
          <w:p>
            <w:pPr>
              <w:spacing w:after="20"/>
            </w:pPr>
            <w:r/>
            <w:r>
              <w:rPr>
                <w:b w:val="0"/>
                <w:i w:val="0"/>
                <w:sz w:val="18"/>
              </w:rPr>
              <w:t>Healthy Families and Workplaces Act, C.R.S. § 8-13.3-403: at least 1 hour of paid sick leave per 30 hours worked, up to 48 hours per year, from the first day of employment; exempt employees are presumed to work 40 hours/week for accrual unless their normal week is shorter. A combined PTO bank satisfies HFWA only if it meets HFWA’s accrual, use and protection rules (Checklist § 2.1).</w:t>
            </w:r>
          </w:p>
        </w:tc>
      </w:tr>
      <w:tr>
        <w:tc>
          <w:tcPr>
            <w:tcW w:type="dxa" w:w="2304"/>
            <w:shd w:val="clear" w:color="auto" w:fill="DCE6F1"/>
          </w:tcPr>
          <w:p>
            <w:r/>
            <w:r>
              <w:rPr>
                <w:b/>
                <w:i w:val="0"/>
                <w:sz w:val="18"/>
              </w:rPr>
              <w:t>Gap</w:t>
            </w:r>
          </w:p>
        </w:tc>
        <w:tc>
          <w:tcPr>
            <w:tcW w:type="dxa" w:w="7056"/>
          </w:tcPr>
          <w:p>
            <w:pPr>
              <w:spacing w:after="20"/>
            </w:pPr>
            <w:r/>
            <w:r>
              <w:rPr>
                <w:b w:val="0"/>
                <w:i w:val="0"/>
                <w:sz w:val="18"/>
              </w:rPr>
              <w:t>The accrual rate is 25% below the statutory minimum. The real-dollar shortfall is concentrated among part-time and lower-hour employees: a full-time employee working 2,080 hours reaches the 48-hour cap under either rate (at 1,920 hours at 1:40 vs. 1,440 hours at 1:30), but an employee working 1,040 hours accrues only 26 hours instead of 34.7. Every employee also accrues later in the year than the law requires.</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 (statement); measurable shortfall for part-time and variable-hour staff, who are not separately identified in the census.</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Change accrual to “one hour for every 30 hours worked” (or front-load 48 hours at the start of each benefit year).</w:t>
            </w:r>
          </w:p>
          <w:p>
            <w:pPr>
              <w:spacing w:after="20"/>
            </w:pPr>
            <w:r>
              <w:rPr>
                <w:b w:val="0"/>
                <w:i w:val="0"/>
                <w:sz w:val="18"/>
              </w:rPr>
              <w:t>• Act now: instruct Pinnacle to change the accrual rate effective the next pay period and to compute a retroactive true-up of accrual for current employees.</w:t>
            </w:r>
          </w:p>
          <w:p>
            <w:pPr>
              <w:spacing w:after="20"/>
            </w:pPr>
            <w:r>
              <w:rPr>
                <w:b w:val="0"/>
                <w:i w:val="0"/>
                <w:sz w:val="18"/>
              </w:rPr>
              <w:t>• Retain the 48-hour annual accrual and balance caps, which HFWA permits for HFWA purposes.</w:t>
            </w:r>
          </w:p>
        </w:tc>
      </w:tr>
    </w:tbl>
    <w:p>
      <w:pPr>
        <w:spacing w:after="40"/>
      </w:pPr>
    </w:p>
    <w:p>
      <w:pPr>
        <w:pStyle w:val="Heading3"/>
      </w:pPr>
      <w:r>
        <w:t>C-7 — PTO use restrictions conflict with HFWA (waiting period, temporary-employee bar, operational denials, documentation, increments)</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2DCDB"/>
          </w:tcPr>
          <w:p>
            <w:pPr>
              <w:spacing w:after="20"/>
            </w:pPr>
            <w:r/>
            <w:r>
              <w:rPr>
                <w:b w:val="0"/>
                <w:i w:val="0"/>
                <w:sz w:val="18"/>
              </w:rPr>
              <w:t>Critical  |  ACT NOW — operational correction required</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5.1 (no use during 90-day introductory period; temporary employees barred unless assignment exceeds 90 days); § 5.2 (denial “based on operational needs”; “PTO usage history” as a factor; 2-week notice for medical appointments; one-hour minimum); § 7.2 (documentation for bereavement; part-time bereavement unpaid)</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C.R.S. §§ 8-13.3-403 and -404: paid sick leave may be used as it is accrued, with no waiting period; employers may require advance notice only for foreseeable leave and only as soon as practicable; documentation may be required only for absences of four or more consecutive workdays; leave may be used in hourly increments or the smallest increment the payroll system uses for other absences; qualifying uses include the employee’s or a family member’s illness, care or preventive care, domestic violence/sexual assault/harassment needs, public-health closures, bereavement, inclement-weather or similar closures of a child’s school or care, and evacuation (as expanded by SB 23-017). § 8-13.3-407 prohibits counting protected leave against an employee.</w:t>
            </w:r>
          </w:p>
        </w:tc>
      </w:tr>
      <w:tr>
        <w:tc>
          <w:tcPr>
            <w:tcW w:type="dxa" w:w="2304"/>
            <w:shd w:val="clear" w:color="auto" w:fill="DCE6F1"/>
          </w:tcPr>
          <w:p>
            <w:r/>
            <w:r>
              <w:rPr>
                <w:b/>
                <w:i w:val="0"/>
                <w:sz w:val="18"/>
              </w:rPr>
              <w:t>Gap</w:t>
            </w:r>
          </w:p>
        </w:tc>
        <w:tc>
          <w:tcPr>
            <w:tcW w:type="dxa" w:w="7056"/>
          </w:tcPr>
          <w:p>
            <w:pPr>
              <w:spacing w:after="20"/>
            </w:pPr>
            <w:r/>
            <w:r>
              <w:rPr>
                <w:b w:val="0"/>
                <w:i w:val="0"/>
                <w:sz w:val="18"/>
              </w:rPr>
              <w:t>The 90-day waiting period and the temporary-employee bar each deny HFWA leave outright. Operational-need denials, consideration of “PTO usage history,” documentation demands for short bereavement absences, and the requirement that part-time employees take bereavement unpaid are unlawful to the extent the leave is for an HFWA purpose.</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new hires in their first 90 days, all temporary employees, all part-time employees (bereavement), and any employee whose PTO request has an HFWA purpose.</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Add an “HFWA-protected leave” subsection: the first 48 hours of PTO used in a benefit year for an HFWA purpose are available as accrued from day one, may not be denied for operational reasons, and are subject only to HFWA notice and documentation rules.</w:t>
            </w:r>
          </w:p>
          <w:p>
            <w:pPr>
              <w:spacing w:after="20"/>
            </w:pPr>
            <w:r>
              <w:rPr>
                <w:b w:val="0"/>
                <w:i w:val="0"/>
                <w:sz w:val="18"/>
              </w:rPr>
              <w:t>• Delete the introductory-period and temporary-employee use bars and the “PTO usage history” factor; limit documentation to absences of four or more consecutive workdays.</w:t>
            </w:r>
          </w:p>
          <w:p>
            <w:pPr>
              <w:spacing w:after="20"/>
            </w:pPr>
            <w:r>
              <w:rPr>
                <w:b w:val="0"/>
                <w:i w:val="0"/>
                <w:sz w:val="18"/>
              </w:rPr>
              <w:t>• Amend § 7.2 to allow part-time employees (and all employees for non-immediate family) to use HFWA-eligible PTO for bereavement.</w:t>
            </w:r>
          </w:p>
        </w:tc>
      </w:tr>
    </w:tbl>
    <w:p>
      <w:pPr>
        <w:spacing w:after="40"/>
      </w:pPr>
    </w:p>
    <w:p>
      <w:pPr>
        <w:pStyle w:val="Heading3"/>
      </w:pPr>
      <w:r>
        <w:t>C-8 — Final pay paid on the next regular payday for all separations, including involuntary terminations</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2DCDB"/>
          </w:tcPr>
          <w:p>
            <w:pPr>
              <w:spacing w:after="20"/>
            </w:pPr>
            <w:r/>
            <w:r>
              <w:rPr>
                <w:b w:val="0"/>
                <w:i w:val="0"/>
                <w:sz w:val="18"/>
              </w:rPr>
              <w:t>Critical  |  ACT NOW — operational correction required</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4.7 (Final Pay: “whether voluntary or involuntary … issued on the next regular payday”)</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C.R.S. § 8-4-109(1)(a): when the employer terminates the employment, all earned wages are due immediately; if the employer’s accounting unit is not regularly scheduled to be operational, no later than six hours after the start of its next regular workday (24 hours if the accounting unit is off-site). § 8-4-109(1)(b): when the employee quits, wages are due on the next regular payday. If wages are not paid within 14 days after a written demand, the employer is liable for the greater of 2× the unpaid amount or $1,000, rising to 3× or $3,000 if willful, plus attorneys’ fees (C.R.S. §§ 8-4-109(3), 8-4-110, as amended by SB 22-161).</w:t>
            </w:r>
          </w:p>
        </w:tc>
      </w:tr>
      <w:tr>
        <w:tc>
          <w:tcPr>
            <w:tcW w:type="dxa" w:w="2304"/>
            <w:shd w:val="clear" w:color="auto" w:fill="DCE6F1"/>
          </w:tcPr>
          <w:p>
            <w:r/>
            <w:r>
              <w:rPr>
                <w:b/>
                <w:i w:val="0"/>
                <w:sz w:val="18"/>
              </w:rPr>
              <w:t>Gap</w:t>
            </w:r>
          </w:p>
        </w:tc>
        <w:tc>
          <w:tcPr>
            <w:tcW w:type="dxa" w:w="7056"/>
          </w:tcPr>
          <w:p>
            <w:pPr>
              <w:spacing w:after="20"/>
            </w:pPr>
            <w:r/>
            <w:r>
              <w:rPr>
                <w:b w:val="0"/>
                <w:i w:val="0"/>
                <w:sz w:val="18"/>
              </w:rPr>
              <w:t>The handbook’s single “next regular payday” rule is lawful for resignations but unlawful for every involuntary termination. Because payroll is processed by an outside vendor (Pinnacle), Oakridge needs a same-day or next-day final-check process at all seven facilities. The property-return deduction sentence must not delay final pay. Note: our May checklist (§ 5.1) states a three-tier rule (including a “three business days’ notice” tier) and a ten-day daily-wage penalty; those points are incorrect and are corrected in Section 6.</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Every involuntary separation across all seven facilities. Each late final check after a written demand carries a minimum $1,000 penalty.</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Replace § 4.7 with the model language below.</w:t>
            </w:r>
          </w:p>
          <w:p>
            <w:pPr>
              <w:spacing w:after="20"/>
            </w:pPr>
            <w:r>
              <w:rPr>
                <w:b w:val="0"/>
                <w:i w:val="0"/>
                <w:sz w:val="18"/>
              </w:rPr>
              <w:t>• Act now: implement an off-cycle final-pay protocol with Pinnacle (manual check or same-day direct deposit; accrued PTO included) and train facility directors not to conduct terminations without the final check prepared.</w:t>
            </w:r>
          </w:p>
          <w:p>
            <w:pPr>
              <w:spacing w:after="20"/>
            </w:pPr>
            <w:r>
              <w:rPr>
                <w:b w:val="0"/>
                <w:i w:val="0"/>
                <w:sz w:val="18"/>
              </w:rPr>
              <w:t>• Have the property-return clause reference only deductions permitted by C.R.S. § 8-4-105 and confirm in writing that such deductions never delay final pay.</w:t>
            </w:r>
          </w:p>
        </w:tc>
      </w:tr>
      <w:tr>
        <w:tc>
          <w:tcPr>
            <w:tcW w:type="dxa" w:w="2304"/>
            <w:shd w:val="clear" w:color="auto" w:fill="DCE6F1"/>
          </w:tcPr>
          <w:p>
            <w:r/>
            <w:r>
              <w:rPr>
                <w:b/>
                <w:i w:val="0"/>
                <w:sz w:val="18"/>
              </w:rPr>
              <w:t>Model language</w:t>
            </w:r>
          </w:p>
        </w:tc>
        <w:tc>
          <w:tcPr>
            <w:tcW w:type="dxa" w:w="7056"/>
          </w:tcPr>
          <w:p>
            <w:pPr>
              <w:spacing w:after="20"/>
            </w:pPr>
            <w:r/>
            <w:r>
              <w:rPr>
                <w:b w:val="0"/>
                <w:i w:val="0"/>
                <w:sz w:val="18"/>
              </w:rPr>
              <w:t>“If Oakridge ends your employment, all wages you have earned — including accrued, unused PTO — will be paid at the time of separation, or, if payroll is not operating at that time, within the time required by Colorado law (no later than six hours after the start of payroll’s next regular workday, or 24 hours if payroll is processed off-site). If you resign, your final wages, including accrued, unused PTO, will be paid on the next regular payday.”</w:t>
            </w:r>
          </w:p>
        </w:tc>
      </w:tr>
    </w:tbl>
    <w:p>
      <w:pPr>
        <w:spacing w:after="40"/>
      </w:pPr>
    </w:p>
    <w:p>
      <w:pPr>
        <w:pStyle w:val="Heading3"/>
      </w:pPr>
      <w:r>
        <w:t>C-9 — Blanket non-compete and customer non-solicit imposed on all employees without statutory notice</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2DCDB"/>
          </w:tcPr>
          <w:p>
            <w:pPr>
              <w:spacing w:after="20"/>
            </w:pPr>
            <w:r/>
            <w:r>
              <w:rPr>
                <w:b w:val="0"/>
                <w:i w:val="0"/>
                <w:sz w:val="18"/>
              </w:rPr>
              <w:t>Critical  |  ACT NOW — operational correction required</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12.1 (12-month, 50-mile non-compete for “all employees, regardless of position”; current employees “deemed to have accepted”); § 12.2 (12-month resident/family non-solicit); Appendix A acknowledgment (“agree to … the restrictive covenant provisions”)</w:t>
            </w:r>
          </w:p>
        </w:tc>
      </w:tr>
      <w:tr>
        <w:tc>
          <w:tcPr>
            <w:tcW w:type="dxa" w:w="2304"/>
            <w:shd w:val="clear" w:color="auto" w:fill="DCE6F1"/>
          </w:tcPr>
          <w:p>
            <w:r/>
            <w:r>
              <w:rPr>
                <w:b/>
                <w:i w:val="0"/>
                <w:sz w:val="18"/>
              </w:rPr>
              <w:t>Requirement</w:t>
            </w:r>
          </w:p>
        </w:tc>
        <w:tc>
          <w:tcPr>
            <w:tcW w:type="dxa" w:w="7056"/>
          </w:tcPr>
          <w:p>
            <w:pPr>
              <w:spacing w:after="20"/>
            </w:pPr>
            <w:r/>
            <w:r>
              <w:rPr>
                <w:b w:val="0"/>
                <w:i w:val="0"/>
                <w:sz w:val="18"/>
              </w:rPr>
              <w:t xml:space="preserve">C.R.S. § 8-2-113 (as amended eff. Aug. 10, 2022): non-competes are void unless the worker earns at least the highly compensated threshold — </w:t>
            </w:r>
            <w:r>
              <w:rPr>
                <w:b/>
                <w:i w:val="0"/>
                <w:sz w:val="18"/>
              </w:rPr>
              <w:t>$127,091 for 2025</w:t>
            </w:r>
            <w:r>
              <w:rPr>
                <w:b w:val="0"/>
                <w:i w:val="0"/>
                <w:sz w:val="18"/>
              </w:rPr>
              <w:t xml:space="preserve"> — and the covenant is for the protection of trade secrets and no broader than reasonably necessary; customer non-solicits require at least 60% of that threshold — </w:t>
            </w:r>
            <w:r>
              <w:rPr>
                <w:b/>
                <w:i w:val="0"/>
                <w:sz w:val="18"/>
              </w:rPr>
              <w:t>$76,254.60 for 2025</w:t>
            </w:r>
            <w:r>
              <w:rPr>
                <w:b w:val="0"/>
                <w:i w:val="0"/>
                <w:sz w:val="18"/>
              </w:rPr>
              <w:t xml:space="preserve"> (§ 8-2-113(2)(b), (2)(d)). Notice must be provided in a separate document, in clear and conspicuous terms, signed by the worker, before acceptance of an offer (prospective workers) or at least 14 days before the covenant takes effect or before a change in conditions providing consideration (current workers) (§ 8-2-113(4)). An employer that enters into, presents as a term of employment, or attempts to enforce a void covenant is liable for actual damages, a penalty of $5,000 per worker or prospective worker harmed, and attorneys’ fees (§ 8-2-113(8)). Separately, 2025 legislation (SB 25-083, effective August 6, 2025) further restricts covenants for certain health-care providers; confirm application to any physicians or advanced practice nurses on staff.</w:t>
            </w:r>
          </w:p>
        </w:tc>
      </w:tr>
      <w:tr>
        <w:tc>
          <w:tcPr>
            <w:tcW w:type="dxa" w:w="2304"/>
            <w:shd w:val="clear" w:color="auto" w:fill="DCE6F1"/>
          </w:tcPr>
          <w:p>
            <w:r/>
            <w:r>
              <w:rPr>
                <w:b/>
                <w:i w:val="0"/>
                <w:sz w:val="18"/>
              </w:rPr>
              <w:t>Gap</w:t>
            </w:r>
          </w:p>
        </w:tc>
        <w:tc>
          <w:tcPr>
            <w:tcW w:type="dxa" w:w="7056"/>
          </w:tcPr>
          <w:p>
            <w:pPr>
              <w:spacing w:after="20"/>
            </w:pPr>
            <w:r/>
            <w:r>
              <w:rPr>
                <w:b w:val="0"/>
                <w:i w:val="0"/>
                <w:sz w:val="18"/>
              </w:rPr>
              <w:t>Section 12.1–12.2 is a 2019 template provision that predates the 2022 amendments and is void as applied to nearly the entire workforce. It is also procedurally void as to everyone: there is no separate notice, the “deemed acceptance” mechanism for existing employees is inconsistent with the 14-day signed-notice rule, and bundling covenant assent into a handbook acknowledgment is not “separate.” A 50-mile radius around any of seven facilities covers most of Colorado’s population and would be overbroad even for eligible executives. Re-issuing the handbook with § 12 intact on August 1 would itself be a fresh “presentation” to all 612 employees.</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Using the 2025 thresholds: non-compete eligible at most 23 employees (the census counts 23 at ≥$123,750; an unknown number of the 12 in the $123,750–$149,999 band are below $127,091), so at least 589 employees (96%) cannot be bound. Customer non-solicit eligible: 65 employees confirmed above $90,000, plus some of the 25 in the $74,250–$89,999 band — at most 90; at least 522 employees (85%), including every hourly and salaried non-exempt employee, cannot be bound. Theoretical penalty ceiling for presentation to all 612: about $3.06 million plus damages and fees.</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Delete §§ 12.1 and 12.2 from the handbook and remove covenant assent from the Appendix A acknowledgment.</w:t>
            </w:r>
          </w:p>
          <w:p>
            <w:pPr>
              <w:spacing w:after="20"/>
            </w:pPr>
            <w:r>
              <w:rPr>
                <w:b w:val="0"/>
                <w:i w:val="0"/>
                <w:sz w:val="18"/>
              </w:rPr>
              <w:t>• Act now: stop presenting the covenant to new hires; send all current employees a short written notice that Oakridge will not enforce the non-compete or customer non-solicit in the prior handbook (or any predecessor Peak Vista/Western Slope covenant) against them. This narrows exposure and supports a good-faith defense.</w:t>
            </w:r>
          </w:p>
          <w:p>
            <w:pPr>
              <w:spacing w:after="20"/>
            </w:pPr>
            <w:r>
              <w:rPr>
                <w:b w:val="0"/>
                <w:i w:val="0"/>
                <w:sz w:val="18"/>
              </w:rPr>
              <w:t>• For the eligible group only (verify each person’s annualized cash compensation against $127,091 / $76,254.60), use standalone agreements with the statutory notice, a signature line, the 14-day timing, a reasonable scope tied to trade secrets, and Colorado choice of law and forum (§ 8-2-113(6)).</w:t>
            </w:r>
          </w:p>
          <w:p>
            <w:pPr>
              <w:spacing w:after="20"/>
            </w:pPr>
            <w:r>
              <w:rPr>
                <w:b w:val="0"/>
                <w:i w:val="0"/>
                <w:sz w:val="18"/>
              </w:rPr>
              <w:t>• Move confidentiality and trade-secret protection to a separate section (see the § 10.4 discussion), limited to genuine trade secrets and confidential information and including the Defend Trade Secrets Act immunity notice (18 U.S.C. § 1833(b)).</w:t>
            </w:r>
          </w:p>
        </w:tc>
      </w:tr>
    </w:tbl>
    <w:p>
      <w:pPr>
        <w:spacing w:after="40"/>
      </w:pPr>
    </w:p>
    <w:p>
      <w:pPr>
        <w:pStyle w:val="Heading3"/>
      </w:pPr>
      <w:r>
        <w:t>C-10 — Accrued PTO forfeited on voluntary resignation</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2DCDB"/>
          </w:tcPr>
          <w:p>
            <w:pPr>
              <w:spacing w:after="20"/>
            </w:pPr>
            <w:r/>
            <w:r>
              <w:rPr>
                <w:b w:val="0"/>
                <w:i w:val="0"/>
                <w:sz w:val="18"/>
              </w:rPr>
              <w:t>Critical  |  ACT NOW — operational correction required</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5.4 (PTO Payout at Separation: “Unused PTO is forfeited upon voluntary resignation”)</w:t>
            </w:r>
          </w:p>
        </w:tc>
      </w:tr>
      <w:tr>
        <w:tc>
          <w:tcPr>
            <w:tcW w:type="dxa" w:w="2304"/>
            <w:shd w:val="clear" w:color="auto" w:fill="DCE6F1"/>
          </w:tcPr>
          <w:p>
            <w:r/>
            <w:r>
              <w:rPr>
                <w:b/>
                <w:i w:val="0"/>
                <w:sz w:val="18"/>
              </w:rPr>
              <w:t>Requirement</w:t>
            </w:r>
          </w:p>
        </w:tc>
        <w:tc>
          <w:tcPr>
            <w:tcW w:type="dxa" w:w="7056"/>
          </w:tcPr>
          <w:p>
            <w:pPr>
              <w:spacing w:after="20"/>
            </w:pPr>
            <w:r/>
            <w:r>
              <w:rPr>
                <w:b w:val="0"/>
                <w:i w:val="0"/>
                <w:sz w:val="18"/>
              </w:rPr>
              <w:t>Earned vacation pay is “wages” (C.R.S. § 8-4-101(14)(a)(III)) and must be paid at separation; the Colorado Supreme Court held that an employer may not forfeit earned vacation, regardless of the reason for separation (Nieto v. Clark’s Market, Inc., 2021 CO 48). Agreements purporting to waive wage rights are void (C.R.S. § 8-4-125). CDLE guidance treats a combined PTO bank that may be used for vacation as vacation pay payable at separation.</w:t>
            </w:r>
          </w:p>
        </w:tc>
      </w:tr>
      <w:tr>
        <w:tc>
          <w:tcPr>
            <w:tcW w:type="dxa" w:w="2304"/>
            <w:shd w:val="clear" w:color="auto" w:fill="DCE6F1"/>
          </w:tcPr>
          <w:p>
            <w:r/>
            <w:r>
              <w:rPr>
                <w:b/>
                <w:i w:val="0"/>
                <w:sz w:val="18"/>
              </w:rPr>
              <w:t>Gap</w:t>
            </w:r>
          </w:p>
        </w:tc>
        <w:tc>
          <w:tcPr>
            <w:tcW w:type="dxa" w:w="7056"/>
          </w:tcPr>
          <w:p>
            <w:pPr>
              <w:spacing w:after="20"/>
            </w:pPr>
            <w:r/>
            <w:r>
              <w:rPr>
                <w:b w:val="0"/>
                <w:i w:val="0"/>
                <w:sz w:val="18"/>
              </w:rPr>
              <w:t>The forfeiture clause is unlawful, and the handbook encourages employees to “use their accrued PTO prior to submitting a resignation,” confirming the practice. Every voluntary resignation since at least 2021 is a potential wage claim with § 8-4-109 penalties. The checklist (§ 5.2) left this question open; the law is settled.</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Every voluntary resignation (likely the majority of separations in a high-turnover care workforce) across all seven facilities, plus acquired-facility employees under any predecessor forfeiture policy.</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Replace § 5.4 with: “Accrued, unused PTO is paid at your final rate of pay upon any separation from employment, voluntary or involuntary.”</w:t>
            </w:r>
          </w:p>
          <w:p>
            <w:pPr>
              <w:spacing w:after="20"/>
            </w:pPr>
            <w:r>
              <w:rPr>
                <w:b w:val="0"/>
                <w:i w:val="0"/>
                <w:sz w:val="18"/>
              </w:rPr>
              <w:t>• Act now: suspend forfeitures immediately; have Pinnacle identify voluntary resignations within the limitations period (two years, three if willful; C.R.S. § 8-4-122) where PTO was forfeited, and pay the balances (we recommend counsel-directed remediation with a release-free payment and cover letter).</w:t>
            </w:r>
          </w:p>
          <w:p>
            <w:pPr>
              <w:spacing w:after="20"/>
            </w:pPr>
            <w:r>
              <w:rPr>
                <w:b w:val="0"/>
                <w:i w:val="0"/>
                <w:sz w:val="18"/>
              </w:rPr>
              <w:t>• Accrual caps (§ 5.3) may remain — a cap prevents further accrual and is not a forfeiture.</w:t>
            </w:r>
          </w:p>
        </w:tc>
      </w:tr>
    </w:tbl>
    <w:p>
      <w:pPr>
        <w:spacing w:after="40"/>
      </w:pPr>
    </w:p>
    <w:p>
      <w:pPr>
        <w:pStyle w:val="Heading2"/>
      </w:pPr>
      <w:r>
        <w:t>5.2 High Findings</w:t>
      </w:r>
    </w:p>
    <w:p>
      <w:pPr>
        <w:pStyle w:val="Heading3"/>
      </w:pPr>
      <w:r>
        <w:t>H-1 — No Colorado FAMLI policy or notice; FMLA treated as the exclusive family/medical leave program</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DE9D9"/>
          </w:tcPr>
          <w:p>
            <w:pPr>
              <w:spacing w:after="20"/>
            </w:pPr>
            <w:r/>
            <w:r>
              <w:rPr>
                <w:b w:val="0"/>
                <w:i w:val="0"/>
                <w:sz w:val="18"/>
              </w:rPr>
              <w:t>High</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9 (FMLA only); § 4.6 (required deductions list omits the FAMLI premium); § 7 (no FAMLI cross-reference)</w:t>
            </w:r>
          </w:p>
        </w:tc>
      </w:tr>
      <w:tr>
        <w:tc>
          <w:tcPr>
            <w:tcW w:type="dxa" w:w="2304"/>
            <w:shd w:val="clear" w:color="auto" w:fill="DCE6F1"/>
          </w:tcPr>
          <w:p>
            <w:r/>
            <w:r>
              <w:rPr>
                <w:b/>
                <w:i w:val="0"/>
                <w:sz w:val="18"/>
              </w:rPr>
              <w:t>Requirement</w:t>
            </w:r>
          </w:p>
        </w:tc>
        <w:tc>
          <w:tcPr>
            <w:tcW w:type="dxa" w:w="7056"/>
          </w:tcPr>
          <w:p>
            <w:pPr>
              <w:spacing w:after="20"/>
            </w:pPr>
            <w:r/>
            <w:r>
              <w:rPr>
                <w:b w:val="0"/>
                <w:i w:val="0"/>
                <w:sz w:val="18"/>
              </w:rPr>
              <w:t>Paid Family and Medical Leave Insurance Act, C.R.S. § 8-13.3-501 et seq. (benefits since Jan. 1, 2024): up to 12 weeks of paid leave per benefit year (16 with pregnancy/childbirth complications); eligibility on $2,500 of base-period wages; qualifying reasons include own or family member’s serious health condition, bonding, military exigency, and safe leave; job protection and health-benefit continuation for employees employed at least 180 days (C.R.S. § 8-13.3-509); anti-retaliation; written notice of rights, claims process and premium deductions; 2025 premium 0.9% of wages, split 0.45%/0.45% for employers of 10+ (Checklist § 2.3). Up to 12 additional weeks for neonatal intensive care stays begin in 2026 (SB 24-235).</w:t>
            </w:r>
          </w:p>
        </w:tc>
      </w:tr>
      <w:tr>
        <w:tc>
          <w:tcPr>
            <w:tcW w:type="dxa" w:w="2304"/>
            <w:shd w:val="clear" w:color="auto" w:fill="DCE6F1"/>
          </w:tcPr>
          <w:p>
            <w:r/>
            <w:r>
              <w:rPr>
                <w:b/>
                <w:i w:val="0"/>
                <w:sz w:val="18"/>
              </w:rPr>
              <w:t>Gap</w:t>
            </w:r>
          </w:p>
        </w:tc>
        <w:tc>
          <w:tcPr>
            <w:tcW w:type="dxa" w:w="7056"/>
          </w:tcPr>
          <w:p>
            <w:pPr>
              <w:spacing w:after="20"/>
            </w:pPr>
            <w:r/>
            <w:r>
              <w:rPr>
                <w:b w:val="0"/>
                <w:i w:val="0"/>
                <w:sz w:val="18"/>
              </w:rPr>
              <w:t>The handbook never mentions FAMLI. This answers Ms. Kowalski’s first question: FMLA language does not satisfy FAMLI. Because FAMLI eligibility is far broader than FMLA’s 12-month/1,250-hour test, a large share of the workforce (including recent hires at the acquired facilities and part-time staff) has FAMLI rights but no FMLA rights.</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 Premium deduction applies to all wages; job protection applies after 180 days.</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Add a standalone “Colorado Paid Family and Medical Leave (FAMLI)” section covering eligibility, reasons, duration, how to apply to the FAMLI Division, notice to Oakridge, premium deductions, job protection and benefits continuation, intermittent leave, and anti-retaliation.</w:t>
            </w:r>
          </w:p>
          <w:p>
            <w:pPr>
              <w:spacing w:after="20"/>
            </w:pPr>
            <w:r>
              <w:rPr>
                <w:b w:val="0"/>
                <w:i w:val="0"/>
                <w:sz w:val="18"/>
              </w:rPr>
              <w:t>• Add a concurrency paragraph: FAMLI runs concurrently with FMLA where both apply; employees may (but cannot be required to) use PTO to supplement FAMLI benefits; HFWA-protected leave cannot be required to be exhausted first.</w:t>
            </w:r>
          </w:p>
          <w:p>
            <w:pPr>
              <w:spacing w:after="20"/>
            </w:pPr>
            <w:r>
              <w:rPr>
                <w:b w:val="0"/>
                <w:i w:val="0"/>
                <w:sz w:val="18"/>
              </w:rPr>
              <w:t>• Add the FAMLI employee premium to § 4.6 and include the FAMLI notice in a handbook appendix. Refer to “the current premium rate” rather than hard-coding 0.9%; the rate is reset annually.</w:t>
            </w:r>
          </w:p>
        </w:tc>
      </w:tr>
    </w:tbl>
    <w:p>
      <w:pPr>
        <w:spacing w:after="40"/>
      </w:pPr>
    </w:p>
    <w:p>
      <w:pPr>
        <w:pStyle w:val="Heading3"/>
      </w:pPr>
      <w:r>
        <w:t>H-2 — No HFWA Public Health Emergency Leave (PHEL) policy</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DE9D9"/>
          </w:tcPr>
          <w:p>
            <w:pPr>
              <w:spacing w:after="20"/>
            </w:pPr>
            <w:r/>
            <w:r>
              <w:rPr>
                <w:b w:val="0"/>
                <w:i w:val="0"/>
                <w:sz w:val="18"/>
              </w:rPr>
              <w:t>High</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5 (PTO) and § 7 (Leaves) — no PHEL reference</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C.R.S. § 8-13.3-405: upon a federal, state or local public health emergency declaration, employers must provide supplemental paid leave — 80 hours for employees who normally work 40 or more hours per week; for others, the greater of their scheduled hours or actual hours worked in a 14-day period — in addition to accrued sick leave, available through four weeks after the emergency ends, for isolation, diagnosis/care, caring for a family member, school/childcare closures, and heightened-risk conditions (Checklist § 2.2).</w:t>
            </w:r>
          </w:p>
        </w:tc>
      </w:tr>
      <w:tr>
        <w:tc>
          <w:tcPr>
            <w:tcW w:type="dxa" w:w="2304"/>
            <w:shd w:val="clear" w:color="auto" w:fill="DCE6F1"/>
          </w:tcPr>
          <w:p>
            <w:r/>
            <w:r>
              <w:rPr>
                <w:b/>
                <w:i w:val="0"/>
                <w:sz w:val="18"/>
              </w:rPr>
              <w:t>Gap</w:t>
            </w:r>
          </w:p>
        </w:tc>
        <w:tc>
          <w:tcPr>
            <w:tcW w:type="dxa" w:w="7056"/>
          </w:tcPr>
          <w:p>
            <w:pPr>
              <w:spacing w:after="20"/>
            </w:pPr>
            <w:r/>
            <w:r>
              <w:rPr>
                <w:b w:val="0"/>
                <w:i w:val="0"/>
                <w:sz w:val="18"/>
              </w:rPr>
              <w:t>PHEL is completely omitted. For a senior care operator — the population most exposed during a respiratory-disease emergency — this is both a compliance gap and an operational planning gap.</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 (contingent benefit).</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Add a PHEL subsection describing the trigger, amount, uses, relationship to PTO (separate and additional; no exhaustion requirement), and documentation limits.</w:t>
            </w:r>
          </w:p>
          <w:p>
            <w:pPr>
              <w:spacing w:after="20"/>
            </w:pPr>
            <w:r>
              <w:rPr>
                <w:b w:val="0"/>
                <w:i w:val="0"/>
                <w:sz w:val="18"/>
              </w:rPr>
              <w:t>• Coordinate with infection-control and staffing policies so PHEL use is not penalized under the attendance policy.</w:t>
            </w:r>
          </w:p>
        </w:tc>
      </w:tr>
    </w:tbl>
    <w:p>
      <w:pPr>
        <w:spacing w:after="40"/>
      </w:pPr>
    </w:p>
    <w:p>
      <w:pPr>
        <w:pStyle w:val="Heading3"/>
      </w:pPr>
      <w:r>
        <w:t>H-3 — Missing HFWA rights notice and other required HFWA content</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DE9D9"/>
          </w:tcPr>
          <w:p>
            <w:pPr>
              <w:spacing w:after="20"/>
            </w:pPr>
            <w:r/>
            <w:r>
              <w:rPr>
                <w:b w:val="0"/>
                <w:i w:val="0"/>
                <w:sz w:val="18"/>
              </w:rPr>
              <w:t>High</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5 generally; § 7.2; Appendix (no notices)</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C.R.S. § 8-13.3-408 requires employers to notify employees of their HFWA rights (including in the employee handbook where one exists) and to post the HFWA notice. HFWA also requires: broad “family member” coverage; confidentiality of health and domestic-violence information; no requirement that the employee find a replacement worker; reinstatement of accrued sick leave on rehire within six months; and that employees of a predecessor employer retain accrued sick leave when a successor takes over (C.R.S. § 8-13.3-403).</w:t>
            </w:r>
          </w:p>
        </w:tc>
      </w:tr>
      <w:tr>
        <w:tc>
          <w:tcPr>
            <w:tcW w:type="dxa" w:w="2304"/>
            <w:shd w:val="clear" w:color="auto" w:fill="DCE6F1"/>
          </w:tcPr>
          <w:p>
            <w:r/>
            <w:r>
              <w:rPr>
                <w:b/>
                <w:i w:val="0"/>
                <w:sz w:val="18"/>
              </w:rPr>
              <w:t>Gap</w:t>
            </w:r>
          </w:p>
        </w:tc>
        <w:tc>
          <w:tcPr>
            <w:tcW w:type="dxa" w:w="7056"/>
          </w:tcPr>
          <w:p>
            <w:pPr>
              <w:spacing w:after="20"/>
            </w:pPr>
            <w:r/>
            <w:r>
              <w:rPr>
                <w:b w:val="0"/>
                <w:i w:val="0"/>
                <w:sz w:val="18"/>
              </w:rPr>
              <w:t>The handbook contains none of the required HFWA disclosures. The successor rule is directly relevant to the 2024 acquisitions (see H-11).</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Add an HFWA notice paragraph (the CDLE template language may be adapted) and include the HFWA poster text in a notices appendix.</w:t>
            </w:r>
          </w:p>
          <w:p>
            <w:pPr>
              <w:spacing w:after="20"/>
            </w:pPr>
            <w:r>
              <w:rPr>
                <w:b w:val="0"/>
                <w:i w:val="0"/>
                <w:sz w:val="18"/>
              </w:rPr>
              <w:t>• Add rehire-reinstatement and confidentiality language; define “family member” consistently with HFWA.</w:t>
            </w:r>
          </w:p>
        </w:tc>
      </w:tr>
    </w:tbl>
    <w:p>
      <w:pPr>
        <w:spacing w:after="40"/>
      </w:pPr>
    </w:p>
    <w:p>
      <w:pPr>
        <w:pStyle w:val="Heading3"/>
      </w:pPr>
      <w:r>
        <w:t>H-4 — Attendance and PTO-scheduling rules penalize protected leave</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DE9D9"/>
          </w:tcPr>
          <w:p>
            <w:pPr>
              <w:spacing w:after="20"/>
            </w:pPr>
            <w:r/>
            <w:r>
              <w:rPr>
                <w:b w:val="0"/>
                <w:i w:val="0"/>
                <w:sz w:val="18"/>
              </w:rPr>
              <w:t>High</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10.3 (absence call-in “in no event later than two (2) hours before” the shift; discipline for “patterns” such as Monday/Friday absences, “even when reported”); § 5.2 (supervisors weigh “PTO usage history”); § 7.4 (job abandonment)</w:t>
            </w:r>
          </w:p>
        </w:tc>
      </w:tr>
      <w:tr>
        <w:tc>
          <w:tcPr>
            <w:tcW w:type="dxa" w:w="2304"/>
            <w:shd w:val="clear" w:color="auto" w:fill="DCE6F1"/>
          </w:tcPr>
          <w:p>
            <w:r/>
            <w:r>
              <w:rPr>
                <w:b/>
                <w:i w:val="0"/>
                <w:sz w:val="18"/>
              </w:rPr>
              <w:t>Requirement</w:t>
            </w:r>
          </w:p>
        </w:tc>
        <w:tc>
          <w:tcPr>
            <w:tcW w:type="dxa" w:w="7056"/>
          </w:tcPr>
          <w:p>
            <w:pPr>
              <w:spacing w:after="20"/>
            </w:pPr>
            <w:r/>
            <w:r>
              <w:rPr>
                <w:b w:val="0"/>
                <w:i w:val="0"/>
                <w:sz w:val="18"/>
              </w:rPr>
              <w:t>HFWA (C.R.S. § 8-13.3-407) prohibits counting protected sick leave as an absence that may lead to discipline; FAMLI (C.R.S. § 8-13.3-509) and FMLA (29 C.F.R. § 825.220(c)) bar using protected leave as a negative factor; for unforeseeable HFWA leave the employee need only give notice as soon as practicable.</w:t>
            </w:r>
          </w:p>
        </w:tc>
      </w:tr>
      <w:tr>
        <w:tc>
          <w:tcPr>
            <w:tcW w:type="dxa" w:w="2304"/>
            <w:shd w:val="clear" w:color="auto" w:fill="DCE6F1"/>
          </w:tcPr>
          <w:p>
            <w:r/>
            <w:r>
              <w:rPr>
                <w:b/>
                <w:i w:val="0"/>
                <w:sz w:val="18"/>
              </w:rPr>
              <w:t>Gap</w:t>
            </w:r>
          </w:p>
        </w:tc>
        <w:tc>
          <w:tcPr>
            <w:tcW w:type="dxa" w:w="7056"/>
          </w:tcPr>
          <w:p>
            <w:pPr>
              <w:spacing w:after="20"/>
            </w:pPr>
            <w:r/>
            <w:r>
              <w:rPr>
                <w:b w:val="0"/>
                <w:i w:val="0"/>
                <w:sz w:val="18"/>
              </w:rPr>
              <w:t>As written, an employee who calls in sick 90 minutes before a shift, or whose sick days fall on Mondays, can be disciplined. The language “taking into account … any applicable legal protections” is too vague to cure the problem.</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 supervisors at all seven facilities apply the policy.</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Add an express carve-out: absences protected by HFWA, PHEL, FAMLI, FMLA, ADA/CADA accommodation, workers’ compensation, jury, voting, military or domestic-violence leave are not counted as occurrences and are not considered in discipline or PTO scheduling.</w:t>
            </w:r>
          </w:p>
          <w:p>
            <w:pPr>
              <w:spacing w:after="20"/>
            </w:pPr>
            <w:r>
              <w:rPr>
                <w:b w:val="0"/>
                <w:i w:val="0"/>
                <w:sz w:val="18"/>
              </w:rPr>
              <w:t>• Change the call-in rule to “as soon as practicable, and where possible at least two hours before your shift.”</w:t>
            </w:r>
          </w:p>
          <w:p>
            <w:pPr>
              <w:spacing w:after="20"/>
            </w:pPr>
            <w:r>
              <w:rPr>
                <w:b w:val="0"/>
                <w:i w:val="0"/>
                <w:sz w:val="18"/>
              </w:rPr>
              <w:t>• Delete “PTO usage history” as a scheduling factor.</w:t>
            </w:r>
          </w:p>
        </w:tc>
      </w:tr>
    </w:tbl>
    <w:p>
      <w:pPr>
        <w:spacing w:after="40"/>
      </w:pPr>
    </w:p>
    <w:p>
      <w:pPr>
        <w:pStyle w:val="Heading3"/>
      </w:pPr>
      <w:r>
        <w:t>H-5 — EEO and harassment policies omit Colorado-protected classes</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DE9D9"/>
          </w:tcPr>
          <w:p>
            <w:pPr>
              <w:spacing w:after="20"/>
            </w:pPr>
            <w:r/>
            <w:r>
              <w:rPr>
                <w:b w:val="0"/>
                <w:i w:val="0"/>
                <w:sz w:val="18"/>
              </w:rPr>
              <w:t>High</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3.1 and § 3.2 (list only race, color, religion, sex, national origin, age, disability and veteran status)</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Colorado Anti-Discrimination Act, C.R.S. § 24-34-402, also protects creed, sexual orientation, gender identity, gender expression, ancestry, marital status, genetic information, pregnancy/childbirth and related conditions (§ 24-34-402.3), and — through the CROWN Act (HB 20-1048) — hair texture, hair type and protective hairstyles as part of race; military status is protected under C.R.S. § 28-3-506; lawful off-duty conduct under § 24-34-402.5 (Checklist § 3.1, App. B).</w:t>
            </w:r>
          </w:p>
        </w:tc>
      </w:tr>
      <w:tr>
        <w:tc>
          <w:tcPr>
            <w:tcW w:type="dxa" w:w="2304"/>
            <w:shd w:val="clear" w:color="auto" w:fill="DCE6F1"/>
          </w:tcPr>
          <w:p>
            <w:r/>
            <w:r>
              <w:rPr>
                <w:b/>
                <w:i w:val="0"/>
                <w:sz w:val="18"/>
              </w:rPr>
              <w:t>Gap</w:t>
            </w:r>
          </w:p>
        </w:tc>
        <w:tc>
          <w:tcPr>
            <w:tcW w:type="dxa" w:w="7056"/>
          </w:tcPr>
          <w:p>
            <w:pPr>
              <w:spacing w:after="20"/>
            </w:pPr>
            <w:r/>
            <w:r>
              <w:rPr>
                <w:b w:val="0"/>
                <w:i w:val="0"/>
                <w:sz w:val="18"/>
              </w:rPr>
              <w:t>At least seven Colorado classes are missing (creed, sexual orientation, gender identity, gender expression, ancestry, marital status, genetic information), pregnancy is not called out, and hairstyle is absent from both the handbook and our checklist. Genetic information is also federally protected (GINA).</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 and all applicants.</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Replace the class list in §§ 3.1 and 3.2 with the model language below.</w:t>
            </w:r>
          </w:p>
        </w:tc>
      </w:tr>
      <w:tr>
        <w:tc>
          <w:tcPr>
            <w:tcW w:type="dxa" w:w="2304"/>
            <w:shd w:val="clear" w:color="auto" w:fill="DCE6F1"/>
          </w:tcPr>
          <w:p>
            <w:r/>
            <w:r>
              <w:rPr>
                <w:b/>
                <w:i w:val="0"/>
                <w:sz w:val="18"/>
              </w:rPr>
              <w:t>Model language</w:t>
            </w:r>
          </w:p>
        </w:tc>
        <w:tc>
          <w:tcPr>
            <w:tcW w:type="dxa" w:w="7056"/>
          </w:tcPr>
          <w:p>
            <w:pPr>
              <w:spacing w:after="20"/>
            </w:pPr>
            <w:r/>
            <w:r>
              <w:rPr>
                <w:b w:val="0"/>
                <w:i w:val="0"/>
                <w:sz w:val="18"/>
              </w:rPr>
              <w:t>“Oakridge prohibits discrimination and harassment based on race (including hair texture, hair type and protective hairstyles), color, religion, creed, sex, pregnancy, childbirth and related conditions, sexual orientation, gender identity, gender expression, national origin, ancestry, age (40 and over), physical or mental disability, marital status, genetic information, veteran or military status, lawful off-duty conduct as protected by Colorado law, or any other status protected by federal, state or local law.”</w:t>
            </w:r>
          </w:p>
        </w:tc>
      </w:tr>
    </w:tbl>
    <w:p>
      <w:pPr>
        <w:spacing w:after="40"/>
      </w:pPr>
    </w:p>
    <w:p>
      <w:pPr>
        <w:pStyle w:val="Heading3"/>
      </w:pPr>
      <w:r>
        <w:t>H-6 — Harassment definition uses the abolished “severe or pervasive” standard; complaint channels are thin</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DE9D9"/>
          </w:tcPr>
          <w:p>
            <w:pPr>
              <w:spacing w:after="20"/>
            </w:pPr>
            <w:r/>
            <w:r>
              <w:rPr>
                <w:b w:val="0"/>
                <w:i w:val="0"/>
                <w:sz w:val="18"/>
              </w:rPr>
              <w:t>High</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3.2 (hostile environment requires conduct “so severe or pervasive”); § 3.3 (report to supervisor, facility director, or the part-time General Counsel only)</w:t>
            </w:r>
          </w:p>
        </w:tc>
      </w:tr>
      <w:tr>
        <w:tc>
          <w:tcPr>
            <w:tcW w:type="dxa" w:w="2304"/>
            <w:shd w:val="clear" w:color="auto" w:fill="DCE6F1"/>
          </w:tcPr>
          <w:p>
            <w:r/>
            <w:r>
              <w:rPr>
                <w:b/>
                <w:i w:val="0"/>
                <w:sz w:val="18"/>
              </w:rPr>
              <w:t>Requirement</w:t>
            </w:r>
          </w:p>
        </w:tc>
        <w:tc>
          <w:tcPr>
            <w:tcW w:type="dxa" w:w="7056"/>
          </w:tcPr>
          <w:p>
            <w:pPr>
              <w:spacing w:after="20"/>
            </w:pPr>
            <w:r/>
            <w:r>
              <w:rPr>
                <w:b w:val="0"/>
                <w:i w:val="0"/>
                <w:sz w:val="18"/>
              </w:rPr>
              <w:t>Protecting Opportunities and Workers’ Rights (POWR) Act, SB 23-172 (eff. Aug. 7, 2023): harassment under CADA need not be severe or pervasive (C.R.S. § 24-34-402(1.3)); an employer’s affirmative defense depends on maintaining a program reasonably designed to prevent harassment, deter harassers and protect employees, including a distributed policy, a complaint process with multiple avenues, training, and prompt, reasonable remedial action (C.R.S. § 24-34-402(1.5)). Checklist § 3.3 recommends multiple channels including a hotline.</w:t>
            </w:r>
          </w:p>
        </w:tc>
      </w:tr>
      <w:tr>
        <w:tc>
          <w:tcPr>
            <w:tcW w:type="dxa" w:w="2304"/>
            <w:shd w:val="clear" w:color="auto" w:fill="DCE6F1"/>
          </w:tcPr>
          <w:p>
            <w:r/>
            <w:r>
              <w:rPr>
                <w:b/>
                <w:i w:val="0"/>
                <w:sz w:val="18"/>
              </w:rPr>
              <w:t>Gap</w:t>
            </w:r>
          </w:p>
        </w:tc>
        <w:tc>
          <w:tcPr>
            <w:tcW w:type="dxa" w:w="7056"/>
          </w:tcPr>
          <w:p>
            <w:pPr>
              <w:spacing w:after="20"/>
            </w:pPr>
            <w:r/>
            <w:r>
              <w:rPr>
                <w:b w:val="0"/>
                <w:i w:val="0"/>
                <w:sz w:val="18"/>
              </w:rPr>
              <w:t>The “severe or pervasive” language misstates Colorado law and invites employees (and supervisors) to under-report. The only escalation path above a facility director is a part-time General Counsel available in the office Tuesday through Thursday; there is no HR function, no hotline, and no alternative when the facility director is the subject. The General Counsel’s phone number in §§ 3.3 and 14.1 ((719) 555-0134) differs from Ms. Kowalski’s signature block ((719) 555-0148).</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 heightened for direct-care staff exposed to resident and family-member conduct.</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Redefine harassment per the POWR Act (unwelcome conduct directed at an employee because of a protected characteristic that is subjectively offensive and objectively offensive to a reasonable person in the same protected class), deleting “severe or pervasive.”</w:t>
            </w:r>
          </w:p>
          <w:p>
            <w:pPr>
              <w:spacing w:after="20"/>
            </w:pPr>
            <w:r>
              <w:rPr>
                <w:b w:val="0"/>
                <w:i w:val="0"/>
                <w:sz w:val="18"/>
              </w:rPr>
              <w:t>• Add at least two additional channels: a corporate HR designee and a 24/7 anonymous hotline or web portal; allow reports to any manager; state that employees need not report to anyone involved in the conduct.</w:t>
            </w:r>
          </w:p>
          <w:p>
            <w:pPr>
              <w:spacing w:after="20"/>
            </w:pPr>
            <w:r>
              <w:rPr>
                <w:b w:val="0"/>
                <w:i w:val="0"/>
                <w:sz w:val="18"/>
              </w:rPr>
              <w:t>• Add a resident-behavior protocol (dementia-related conduct) alongside the existing third-party harassment paragraph, and document annual training for all staff and supervisors.</w:t>
            </w:r>
          </w:p>
        </w:tc>
      </w:tr>
    </w:tbl>
    <w:p>
      <w:pPr>
        <w:spacing w:after="40"/>
      </w:pPr>
    </w:p>
    <w:p>
      <w:pPr>
        <w:pStyle w:val="Heading3"/>
      </w:pPr>
      <w:r>
        <w:t>H-7 — No standalone whistleblower and anti-retaliation policy for a licensed health-care operator</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DE9D9"/>
          </w:tcPr>
          <w:p>
            <w:pPr>
              <w:spacing w:after="20"/>
            </w:pPr>
            <w:r/>
            <w:r>
              <w:rPr>
                <w:b w:val="0"/>
                <w:i w:val="0"/>
                <w:sz w:val="18"/>
              </w:rPr>
              <w:t>High</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6.2 (safety concerns to supervisor, director or Safety Committee only); § 3.3 and § 6.3 (non-retaliation limited to discrimination and workers’ compensation); § 10.2 (failure to report abuse is misconduct)</w:t>
            </w:r>
          </w:p>
        </w:tc>
      </w:tr>
      <w:tr>
        <w:tc>
          <w:tcPr>
            <w:tcW w:type="dxa" w:w="2304"/>
            <w:shd w:val="clear" w:color="auto" w:fill="DCE6F1"/>
          </w:tcPr>
          <w:p>
            <w:r/>
            <w:r>
              <w:rPr>
                <w:b/>
                <w:i w:val="0"/>
                <w:sz w:val="18"/>
              </w:rPr>
              <w:t>Requirement</w:t>
            </w:r>
          </w:p>
        </w:tc>
        <w:tc>
          <w:tcPr>
            <w:tcW w:type="dxa" w:w="7056"/>
          </w:tcPr>
          <w:p>
            <w:pPr>
              <w:spacing w:after="20"/>
            </w:pPr>
            <w:r/>
            <w:r>
              <w:rPr>
                <w:b w:val="0"/>
                <w:i w:val="0"/>
                <w:sz w:val="18"/>
              </w:rPr>
              <w:t>Relevant protections include: C.R.S. § 8-2-123 (health-care workers reporting patient-safety information); C.R.S. § 8-14.4-101 et seq. (Public Health Emergency Whistleblower law); C.R.S. § 8-4-120 (wage complaints); C.R.S. §§ 8-13.3-407 and -509 (HFWA and FAMLI); C.R.S. § 24-34-402(1)(e) (CADA); OSHA § 11(c); the federal False Claims Act, 31 U.S.C. § 3730(h), and Colorado’s Medicaid False Claims Act; and mandatory elder-abuse reporting under C.R.S. § 18-6.5-108. Checklist § 6.1 requires a standalone policy with internal and external channels (CDPHE, HCPF, CDLE, EEOC/CCRD, law enforcement).</w:t>
            </w:r>
          </w:p>
        </w:tc>
      </w:tr>
      <w:tr>
        <w:tc>
          <w:tcPr>
            <w:tcW w:type="dxa" w:w="2304"/>
            <w:shd w:val="clear" w:color="auto" w:fill="DCE6F1"/>
          </w:tcPr>
          <w:p>
            <w:r/>
            <w:r>
              <w:rPr>
                <w:b/>
                <w:i w:val="0"/>
                <w:sz w:val="18"/>
              </w:rPr>
              <w:t>Gap</w:t>
            </w:r>
          </w:p>
        </w:tc>
        <w:tc>
          <w:tcPr>
            <w:tcW w:type="dxa" w:w="7056"/>
          </w:tcPr>
          <w:p>
            <w:pPr>
              <w:spacing w:after="20"/>
            </w:pPr>
            <w:r/>
            <w:r>
              <w:rPr>
                <w:b w:val="0"/>
                <w:i w:val="0"/>
                <w:sz w:val="18"/>
              </w:rPr>
              <w:t>The handbook has only a general “report safety concerns” statement — exactly the configuration the checklist identifies as insufficient. Several of the checklist’s statutory citations for this section are inaccurate and should not be copied into the handbook (see Section 6).</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 particularly the 389 hourly direct-care staff.</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Add a standalone “Reporting Concerns and Non-Retaliation” section covering protected activities (patient/resident safety, abuse/neglect, infection control, staffing, licensing, billing/Medicaid, wage-hour, discrimination, public-health), internal channels including a hotline, external agencies (CDPHE, HCPF, CDLE, CCRD, EEOC, OSHA, law enforcement, the long-term care ombudsman), investigation steps, and discipline for retaliators.</w:t>
            </w:r>
          </w:p>
          <w:p>
            <w:pPr>
              <w:spacing w:after="20"/>
            </w:pPr>
            <w:r>
              <w:rPr>
                <w:b w:val="0"/>
                <w:i w:val="0"/>
                <w:sz w:val="18"/>
              </w:rPr>
              <w:t>• State that nothing in the handbook (including confidentiality and social media rules) restricts reports to government agencies.</w:t>
            </w:r>
          </w:p>
        </w:tc>
      </w:tr>
    </w:tbl>
    <w:p>
      <w:pPr>
        <w:spacing w:after="40"/>
      </w:pPr>
    </w:p>
    <w:p>
      <w:pPr>
        <w:pStyle w:val="Heading3"/>
      </w:pPr>
      <w:r>
        <w:t>H-8 — No accommodation policies (disability, pregnancy, religion, lactation)</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DE9D9"/>
          </w:tcPr>
          <w:p>
            <w:pPr>
              <w:spacing w:after="20"/>
            </w:pPr>
            <w:r/>
            <w:r>
              <w:rPr>
                <w:b w:val="0"/>
                <w:i w:val="0"/>
                <w:sz w:val="18"/>
              </w:rPr>
              <w:t>High</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No provision; § 6.3 and § 6.4 mention accommodations only in passing</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CADA and ADA (disability accommodation and interactive process); C.R.S. § 24-34-402.3 (pregnancy, childbirth and related-condition accommodations, with a written notice-of-rights obligation to new and existing employees); federal Pregnant Workers Fairness Act (eff. June 27, 2023); religious accommodation under Title VII and CADA (Groff v. DeJoy, 600 U.S. 447 (2023), “substantial increased costs” standard); Workplace Accommodations for Nursing Mothers Act, C.R.S. § 8-13.5-101 et seq. (reasonable break time and a private, non-restroom space for up to two years after birth) and the federal PUMP Act.</w:t>
            </w:r>
          </w:p>
        </w:tc>
      </w:tr>
      <w:tr>
        <w:tc>
          <w:tcPr>
            <w:tcW w:type="dxa" w:w="2304"/>
            <w:shd w:val="clear" w:color="auto" w:fill="DCE6F1"/>
          </w:tcPr>
          <w:p>
            <w:r/>
            <w:r>
              <w:rPr>
                <w:b/>
                <w:i w:val="0"/>
                <w:sz w:val="18"/>
              </w:rPr>
              <w:t>Gap</w:t>
            </w:r>
          </w:p>
        </w:tc>
        <w:tc>
          <w:tcPr>
            <w:tcW w:type="dxa" w:w="7056"/>
          </w:tcPr>
          <w:p>
            <w:pPr>
              <w:spacing w:after="20"/>
            </w:pPr>
            <w:r/>
            <w:r>
              <w:rPr>
                <w:b w:val="0"/>
                <w:i w:val="0"/>
                <w:sz w:val="18"/>
              </w:rPr>
              <w:t>The handbook has no accommodation request process or pregnancy notice. For a physically demanding, predominantly female caregiving workforce, pregnancy and lifting-restriction accommodations are a frequent source of claims.</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Add a consolidated “Reasonable Accommodations” section with an interactive-process description and a single request channel, plus a lactation subsection.</w:t>
            </w:r>
          </w:p>
          <w:p>
            <w:pPr>
              <w:spacing w:after="20"/>
            </w:pPr>
            <w:r>
              <w:rPr>
                <w:b w:val="0"/>
                <w:i w:val="0"/>
                <w:sz w:val="18"/>
              </w:rPr>
              <w:t>• Include the C.R.S. § 24-34-402.3 pregnancy-rights notice in the notices appendix and distribute it with the August 1 handbook.</w:t>
            </w:r>
          </w:p>
        </w:tc>
      </w:tr>
    </w:tbl>
    <w:p>
      <w:pPr>
        <w:spacing w:after="40"/>
      </w:pPr>
    </w:p>
    <w:p>
      <w:pPr>
        <w:pStyle w:val="Heading3"/>
      </w:pPr>
      <w:r>
        <w:t>H-9 — Social media policy bars protected employee speech</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DE9D9"/>
          </w:tcPr>
          <w:p>
            <w:pPr>
              <w:spacing w:after="20"/>
            </w:pPr>
            <w:r/>
            <w:r>
              <w:rPr>
                <w:b w:val="0"/>
                <w:i w:val="0"/>
                <w:sz w:val="18"/>
              </w:rPr>
              <w:t>High</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13.2 (no post referencing Oakridge, “its residents, staff, services, or operations” or “management” without prior written approval; bar on content “defamatory … toward the Company”); § 13.3</w:t>
            </w:r>
          </w:p>
        </w:tc>
      </w:tr>
      <w:tr>
        <w:tc>
          <w:tcPr>
            <w:tcW w:type="dxa" w:w="2304"/>
            <w:shd w:val="clear" w:color="auto" w:fill="DCE6F1"/>
          </w:tcPr>
          <w:p>
            <w:r/>
            <w:r>
              <w:rPr>
                <w:b/>
                <w:i w:val="0"/>
                <w:sz w:val="18"/>
              </w:rPr>
              <w:t>Requirement</w:t>
            </w:r>
          </w:p>
        </w:tc>
        <w:tc>
          <w:tcPr>
            <w:tcW w:type="dxa" w:w="7056"/>
          </w:tcPr>
          <w:p>
            <w:pPr>
              <w:spacing w:after="20"/>
            </w:pPr>
            <w:r/>
            <w:r>
              <w:rPr>
                <w:b w:val="0"/>
                <w:i w:val="0"/>
                <w:sz w:val="18"/>
              </w:rPr>
              <w:t>NLRA § 7 protects non-supervisory employees’ concerted discussion of wages, staffing, safety and working conditions, including online, whether or not unionized; overbroad rules are evaluated under Stericycle, Inc., 372 NLRB No. 113 (2023). C.R.S. § 24-34-402.5 limits discipline for lawful off-duty conduct; C.R.S. § 8-2-127 bars requiring access to personal social media accounts; Colorado law protects wage discussions (C.R.S. § 8-5-102).</w:t>
            </w:r>
          </w:p>
        </w:tc>
      </w:tr>
      <w:tr>
        <w:tc>
          <w:tcPr>
            <w:tcW w:type="dxa" w:w="2304"/>
            <w:shd w:val="clear" w:color="auto" w:fill="DCE6F1"/>
          </w:tcPr>
          <w:p>
            <w:r/>
            <w:r>
              <w:rPr>
                <w:b/>
                <w:i w:val="0"/>
                <w:sz w:val="18"/>
              </w:rPr>
              <w:t>Gap</w:t>
            </w:r>
          </w:p>
        </w:tc>
        <w:tc>
          <w:tcPr>
            <w:tcW w:type="dxa" w:w="7056"/>
          </w:tcPr>
          <w:p>
            <w:pPr>
              <w:spacing w:after="20"/>
            </w:pPr>
            <w:r/>
            <w:r>
              <w:rPr>
                <w:b w:val="0"/>
                <w:i w:val="0"/>
                <w:sz w:val="18"/>
              </w:rPr>
              <w:t>A prior-approval requirement for any post mentioning co-workers or management would chill core protected activity (for example, CNAs posting about short staffing) and could not lawfully be enforced. The “Communications Department” referenced as the approval body may not exist at Oakridge.</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non-supervisory employees (the large majority of 612).</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Narrow § 13.2 to: (i) resident privacy/PHI and resident images; (ii) genuinely confidential business information and trade secrets; (iii) harassment, threats and discrimination; (iv) speaking on behalf of the Company without authorization; and (v) use of logos to imply endorsement.</w:t>
            </w:r>
          </w:p>
          <w:p>
            <w:pPr>
              <w:spacing w:after="20"/>
            </w:pPr>
            <w:r>
              <w:rPr>
                <w:b w:val="0"/>
                <w:i w:val="0"/>
                <w:sz w:val="18"/>
              </w:rPr>
              <w:t>• Add a savings clause: “Nothing in this policy restricts employees’ rights to discuss wages, hours, staffing or other terms and conditions of employment, to engage in protected concerted activity, or to report concerns to government agencies.”</w:t>
            </w:r>
          </w:p>
          <w:p>
            <w:pPr>
              <w:spacing w:after="20"/>
            </w:pPr>
            <w:r>
              <w:rPr>
                <w:b w:val="0"/>
                <w:i w:val="0"/>
                <w:sz w:val="18"/>
              </w:rPr>
              <w:t>• Confirm who approves official Company posts, and add the § 8-2-127 assurance that Oakridge will not request personal account credentials.</w:t>
            </w:r>
          </w:p>
        </w:tc>
      </w:tr>
    </w:tbl>
    <w:p>
      <w:pPr>
        <w:spacing w:after="40"/>
      </w:pPr>
    </w:p>
    <w:p>
      <w:pPr>
        <w:pStyle w:val="Heading3"/>
      </w:pPr>
      <w:r>
        <w:t>H-10 — Mandatory arbitration clause is likely unenforceable as drafted and conflicts with federal and Colorado law</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DE9D9"/>
          </w:tcPr>
          <w:p>
            <w:pPr>
              <w:spacing w:after="20"/>
            </w:pPr>
            <w:r/>
            <w:r>
              <w:rPr>
                <w:b w:val="0"/>
                <w:i w:val="0"/>
                <w:sz w:val="18"/>
              </w:rPr>
              <w:t>High</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14.2 (mandatory arbitration, class waiver, confidentiality); § 14.3 (delegation); Appendix A (assent by signing handbook acknowledgment); §§ 1.2 and Appendix A (handbook “not a contract”; Company may modify “at any time … with or without notice”)</w:t>
            </w:r>
          </w:p>
        </w:tc>
      </w:tr>
      <w:tr>
        <w:tc>
          <w:tcPr>
            <w:tcW w:type="dxa" w:w="2304"/>
            <w:shd w:val="clear" w:color="auto" w:fill="DCE6F1"/>
          </w:tcPr>
          <w:p>
            <w:r/>
            <w:r>
              <w:rPr>
                <w:b/>
                <w:i w:val="0"/>
                <w:sz w:val="18"/>
              </w:rPr>
              <w:t>Requirement</w:t>
            </w:r>
          </w:p>
        </w:tc>
        <w:tc>
          <w:tcPr>
            <w:tcW w:type="dxa" w:w="7056"/>
          </w:tcPr>
          <w:p>
            <w:pPr>
              <w:spacing w:after="20"/>
            </w:pPr>
            <w:r/>
            <w:r>
              <w:rPr>
                <w:b w:val="0"/>
                <w:i w:val="0"/>
                <w:sz w:val="18"/>
              </w:rPr>
              <w:t>An arbitration promise in a handbook that disclaims contractual intent and reserves unilateral modification is illusory (Dumais v. American Golf Corp., 299 F.3d 1216 (10th Cir. 2002)). The Ending Forced Arbitration of Sexual Assault and Sexual Harassment Act, 9 U.S.C. §§ 401–402, lets an employee void pre-dispute arbitration of sexual-harassment and sexual-assault disputes. The POWR Act (C.R.S. § 24-34-407) voids non-disclosure provisions limiting disclosure of alleged discriminatory or unfair employment practices unless statutory conditions are met, with penalties for non-compliant provisions. Arbitration cannot bar agency charges (EEOC v. Waffle House, Inc., 534 U.S. 279 (2002)); class waivers are enforceable under Epic Systems Corp. v. Lewis, 584 U.S. 497 (2018).</w:t>
            </w:r>
          </w:p>
        </w:tc>
      </w:tr>
      <w:tr>
        <w:tc>
          <w:tcPr>
            <w:tcW w:type="dxa" w:w="2304"/>
            <w:shd w:val="clear" w:color="auto" w:fill="DCE6F1"/>
          </w:tcPr>
          <w:p>
            <w:r/>
            <w:r>
              <w:rPr>
                <w:b/>
                <w:i w:val="0"/>
                <w:sz w:val="18"/>
              </w:rPr>
              <w:t>Gap</w:t>
            </w:r>
          </w:p>
        </w:tc>
        <w:tc>
          <w:tcPr>
            <w:tcW w:type="dxa" w:w="7056"/>
          </w:tcPr>
          <w:p>
            <w:pPr>
              <w:spacing w:after="20"/>
            </w:pPr>
            <w:r/>
            <w:r>
              <w:rPr>
                <w:b w:val="0"/>
                <w:i w:val="0"/>
                <w:sz w:val="18"/>
              </w:rPr>
              <w:t>The clause sits in a document that says it is not a contract and can be changed at will, so a court in the Tenth Circuit is likely to refuse enforcement. It expressly covers “harassment” claims without the EFAA carve-out; its blanket confidentiality term conflicts with § 24-34-407; it lacks carve-outs for administrative charges, workers’ compensation, unemployment and FAMLI benefit determinations; and the acknowledgment form conflates receipt of a handbook with contract assent.</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 any class or collective wage claim arising from C-1 through C-10 would test the clause.</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Remove §§ 14.2–14.3 from the handbook and, if Oakridge wishes to arbitrate, use a standalone, mutually signed arbitration agreement supported by consideration, with: no unilateral modification (or only prospective modification on notice, not applicable to known claims); EFAA carve-out; agency-charge, workers’ compensation, unemployment and FAMLI carve-outs; a POWR-compliant confidentiality term; and a clear delegation clause.</w:t>
            </w:r>
          </w:p>
          <w:p>
            <w:pPr>
              <w:spacing w:after="20"/>
            </w:pPr>
            <w:r>
              <w:rPr>
                <w:b w:val="0"/>
                <w:i w:val="0"/>
                <w:sz w:val="18"/>
              </w:rPr>
              <w:t>• Keep § 14.1 (internal complaint procedure) in the handbook and replace the Appendix A acknowledgment with a receipt-only form (no covenant or arbitration assent; no witness line needed).</w:t>
            </w:r>
          </w:p>
          <w:p>
            <w:pPr>
              <w:spacing w:after="20"/>
            </w:pPr>
            <w:r>
              <w:rPr>
                <w:b w:val="0"/>
                <w:i w:val="0"/>
                <w:sz w:val="18"/>
              </w:rPr>
              <w:t>• Decide strategy before rollout: an arbitration program rolled out while wage-hour remediation is under way should be coordinated with counsel to avoid claims that it was adopted to defeat known claims.</w:t>
            </w:r>
          </w:p>
        </w:tc>
      </w:tr>
    </w:tbl>
    <w:p>
      <w:pPr>
        <w:spacing w:after="40"/>
      </w:pPr>
    </w:p>
    <w:p>
      <w:pPr>
        <w:pStyle w:val="Heading3"/>
      </w:pPr>
      <w:r>
        <w:t>H-11 — Acquisition transition issues not addressed (Peak Vista and Western Slope employees)</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DE9D9"/>
          </w:tcPr>
          <w:p>
            <w:pPr>
              <w:spacing w:after="20"/>
            </w:pPr>
            <w:r/>
            <w:r>
              <w:rPr>
                <w:b w:val="0"/>
                <w:i w:val="0"/>
                <w:sz w:val="18"/>
              </w:rPr>
              <w:t>High</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1.1 and § 1.2 (handbook supersedes prior policies); § 12.1 (“deemed to have accepted”); transmittal email (predecessor handbooks “sunsetted”; all employees moved onto the Oakridge handbook)</w:t>
            </w:r>
          </w:p>
        </w:tc>
      </w:tr>
      <w:tr>
        <w:tc>
          <w:tcPr>
            <w:tcW w:type="dxa" w:w="2304"/>
            <w:shd w:val="clear" w:color="auto" w:fill="DCE6F1"/>
          </w:tcPr>
          <w:p>
            <w:r/>
            <w:r>
              <w:rPr>
                <w:b/>
                <w:i w:val="0"/>
                <w:sz w:val="18"/>
              </w:rPr>
              <w:t>Requirement</w:t>
            </w:r>
          </w:p>
        </w:tc>
        <w:tc>
          <w:tcPr>
            <w:tcW w:type="dxa" w:w="7056"/>
          </w:tcPr>
          <w:p>
            <w:pPr>
              <w:spacing w:after="20"/>
            </w:pPr>
            <w:r/>
            <w:r>
              <w:rPr>
                <w:b w:val="0"/>
                <w:i w:val="0"/>
                <w:sz w:val="18"/>
              </w:rPr>
              <w:t>HFWA successor rule (C.R.S. § 8-13.3-403): employees of a predecessor retain and may use accrued sick leave. Earned vacation under predecessor policies is “wages” that cannot be forfeited (Nieto). FMLA counts predecessor service for a successor in interest (29 C.F.R. § 825.107). Restrictive covenants require individual statutory notice (§ 8-2-113(4)).</w:t>
            </w:r>
          </w:p>
        </w:tc>
      </w:tr>
      <w:tr>
        <w:tc>
          <w:tcPr>
            <w:tcW w:type="dxa" w:w="2304"/>
            <w:shd w:val="clear" w:color="auto" w:fill="DCE6F1"/>
          </w:tcPr>
          <w:p>
            <w:r/>
            <w:r>
              <w:rPr>
                <w:b/>
                <w:i w:val="0"/>
                <w:sz w:val="18"/>
              </w:rPr>
              <w:t>Gap</w:t>
            </w:r>
          </w:p>
        </w:tc>
        <w:tc>
          <w:tcPr>
            <w:tcW w:type="dxa" w:w="7056"/>
          </w:tcPr>
          <w:p>
            <w:pPr>
              <w:spacing w:after="20"/>
            </w:pPr>
            <w:r/>
            <w:r>
              <w:rPr>
                <w:b w:val="0"/>
                <w:i w:val="0"/>
                <w:sz w:val="18"/>
              </w:rPr>
              <w:t>The handbook does not say how predecessor PTO/vacation and sick balances were treated, whether predecessor service counts toward eligibility (benefits waiting periods, FMLA, tuition reimbursement, 401(k)), or whether predecessor covenants or arbitration agreements remain in force. If balances were zeroed when the Oakridge handbook was applied (January 15, 2024 and June 3, 2024), the affected employees may have wage claims.</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253 employees at the four acquired facilities (Fort Collins 78, Pueblo 62, Grand Junction 58, Durango 55, as reported).</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Obtain the predecessor handbooks and transition records Ms. Kowalski offered, and confirm that every predecessor PTO, vacation and sick balance was either carried over or paid out.</w:t>
            </w:r>
          </w:p>
          <w:p>
            <w:pPr>
              <w:spacing w:after="20"/>
            </w:pPr>
            <w:r>
              <w:rPr>
                <w:b w:val="0"/>
                <w:i w:val="0"/>
                <w:sz w:val="18"/>
              </w:rPr>
              <w:t>• Add a short “Service credit for acquired employees” statement (predecessor service counts for leave eligibility and, as plan documents allow, benefits).</w:t>
            </w:r>
          </w:p>
          <w:p>
            <w:pPr>
              <w:spacing w:after="20"/>
            </w:pPr>
            <w:r>
              <w:rPr>
                <w:b w:val="0"/>
                <w:i w:val="0"/>
                <w:sz w:val="18"/>
              </w:rPr>
              <w:t>• Include predecessor covenants in the non-enforcement notice recommended under C-9.</w:t>
            </w:r>
          </w:p>
        </w:tc>
      </w:tr>
    </w:tbl>
    <w:p>
      <w:pPr>
        <w:spacing w:after="40"/>
      </w:pPr>
    </w:p>
    <w:p>
      <w:pPr>
        <w:pStyle w:val="Heading2"/>
      </w:pPr>
      <w:r>
        <w:t>5.3 Medium Findings</w:t>
      </w:r>
    </w:p>
    <w:p>
      <w:pPr>
        <w:pStyle w:val="Heading3"/>
      </w:pPr>
      <w:r>
        <w:t>M-1 — Salaried non-exempt pay and regular-rate rules not described</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FF2CC"/>
          </w:tcPr>
          <w:p>
            <w:pPr>
              <w:spacing w:after="20"/>
            </w:pPr>
            <w:r/>
            <w:r>
              <w:rPr>
                <w:b w:val="0"/>
                <w:i w:val="0"/>
                <w:sz w:val="18"/>
              </w:rPr>
              <w:t>Medium  |  ACT NOW — operational correction required</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2.2 (salaried non-exempt employees “remain eligible for overtime”); § 4.3; § 4.5 (timekeeping)</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COMPS Order #39, Rule 1.8: a non-exempt employee’s salary is presumed to compensate no more than 40 hours per week; Colorado does not permit the federal “fluctuating workweek” half-time method; the regular rate includes shift differentials and non-discretionary bonuses. Records must capture daily hours to support daily overtime (Checklist § 1.2).</w:t>
            </w:r>
          </w:p>
        </w:tc>
      </w:tr>
      <w:tr>
        <w:tc>
          <w:tcPr>
            <w:tcW w:type="dxa" w:w="2304"/>
            <w:shd w:val="clear" w:color="auto" w:fill="DCE6F1"/>
          </w:tcPr>
          <w:p>
            <w:r/>
            <w:r>
              <w:rPr>
                <w:b/>
                <w:i w:val="0"/>
                <w:sz w:val="18"/>
              </w:rPr>
              <w:t>Gap</w:t>
            </w:r>
          </w:p>
        </w:tc>
        <w:tc>
          <w:tcPr>
            <w:tcW w:type="dxa" w:w="7056"/>
          </w:tcPr>
          <w:p>
            <w:pPr>
              <w:spacing w:after="20"/>
            </w:pPr>
            <w:r/>
            <w:r>
              <w:rPr>
                <w:b w:val="0"/>
                <w:i w:val="0"/>
                <w:sz w:val="18"/>
              </w:rPr>
              <w:t>With 75 salaried non-exempt employees, a payroll method that pays half-time for overtime or divides salary by all hours worked would under-pay overtime under Colorado law. The handbook does not commit to recording daily hours, meal and rest periods.</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75 salaried non-exempt employees; all 464 non-exempt for regular-rate and timekeeping.</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Confirm with Pinnacle how salaried non-exempt overtime is calculated; add a sentence that salary covers 40 hours and overtime is paid at 1.5× the hourly equivalent of salary.</w:t>
            </w:r>
          </w:p>
          <w:p>
            <w:pPr>
              <w:spacing w:after="20"/>
            </w:pPr>
            <w:r>
              <w:rPr>
                <w:b w:val="0"/>
                <w:i w:val="0"/>
                <w:sz w:val="18"/>
              </w:rPr>
              <w:t>• Amend § 4.5 to require recording of daily start/stop times, meal periods and missed rest breaks.</w:t>
            </w:r>
          </w:p>
        </w:tc>
      </w:tr>
    </w:tbl>
    <w:p>
      <w:pPr>
        <w:spacing w:after="40"/>
      </w:pPr>
    </w:p>
    <w:p>
      <w:pPr>
        <w:pStyle w:val="Heading3"/>
      </w:pPr>
      <w:r>
        <w:t>M-2 — Pay-deduction section incomplete; property-return deduction not limited</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FF2CC"/>
          </w:tcPr>
          <w:p>
            <w:pPr>
              <w:spacing w:after="20"/>
            </w:pPr>
            <w:r/>
            <w:r>
              <w:rPr>
                <w:b w:val="0"/>
                <w:i w:val="0"/>
                <w:sz w:val="18"/>
              </w:rPr>
              <w:t>Medium</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4.6 (deductions); § 4.7 (deduction for unreturned property)</w:t>
            </w:r>
          </w:p>
        </w:tc>
      </w:tr>
      <w:tr>
        <w:tc>
          <w:tcPr>
            <w:tcW w:type="dxa" w:w="2304"/>
            <w:shd w:val="clear" w:color="auto" w:fill="DCE6F1"/>
          </w:tcPr>
          <w:p>
            <w:r/>
            <w:r>
              <w:rPr>
                <w:b/>
                <w:i w:val="0"/>
                <w:sz w:val="18"/>
              </w:rPr>
              <w:t>Requirement</w:t>
            </w:r>
          </w:p>
        </w:tc>
        <w:tc>
          <w:tcPr>
            <w:tcW w:type="dxa" w:w="7056"/>
          </w:tcPr>
          <w:p>
            <w:pPr>
              <w:spacing w:after="20"/>
            </w:pPr>
            <w:r/>
            <w:r>
              <w:rPr>
                <w:b w:val="0"/>
                <w:i w:val="0"/>
                <w:sz w:val="18"/>
              </w:rPr>
              <w:t>FAMLI requires the employee premium deduction (C.R.S. § 8-13.3-507). Wage deductions are permitted only as listed in C.R.S. § 8-4-105 (including written authorization requirements) and cannot reduce a non-exempt employee’s pay below the applicable minimum wage or delay final pay.</w:t>
            </w:r>
          </w:p>
        </w:tc>
      </w:tr>
      <w:tr>
        <w:tc>
          <w:tcPr>
            <w:tcW w:type="dxa" w:w="2304"/>
            <w:shd w:val="clear" w:color="auto" w:fill="DCE6F1"/>
          </w:tcPr>
          <w:p>
            <w:r/>
            <w:r>
              <w:rPr>
                <w:b/>
                <w:i w:val="0"/>
                <w:sz w:val="18"/>
              </w:rPr>
              <w:t>Gap</w:t>
            </w:r>
          </w:p>
        </w:tc>
        <w:tc>
          <w:tcPr>
            <w:tcW w:type="dxa" w:w="7056"/>
          </w:tcPr>
          <w:p>
            <w:pPr>
              <w:spacing w:after="20"/>
            </w:pPr>
            <w:r/>
            <w:r>
              <w:rPr>
                <w:b w:val="0"/>
                <w:i w:val="0"/>
                <w:sz w:val="18"/>
              </w:rPr>
              <w:t>The required-deduction list omits FAMLI. The property-return clause is open-ended (“to the extent permitted”) without describing the conditions, which encourages facility-level practices that violate § 8-4-105.</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 (FAMLI); separating employees (property).</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Add FAMLI to required deductions; add HSA/FSA or other voluntary deductions as applicable.</w:t>
            </w:r>
          </w:p>
          <w:p>
            <w:pPr>
              <w:spacing w:after="20"/>
            </w:pPr>
            <w:r>
              <w:rPr>
                <w:b w:val="0"/>
                <w:i w:val="0"/>
                <w:sz w:val="18"/>
              </w:rPr>
              <w:t>• Limit property deductions to items covered by a signed written authorization and the conditions of § 8-4-105, and state they will not delay final pay or reduce wages below minimum wage.</w:t>
            </w:r>
          </w:p>
        </w:tc>
      </w:tr>
    </w:tbl>
    <w:p>
      <w:pPr>
        <w:spacing w:after="40"/>
      </w:pPr>
    </w:p>
    <w:p>
      <w:pPr>
        <w:pStyle w:val="Heading3"/>
      </w:pPr>
      <w:r>
        <w:t>M-3 — Required notices not included in the handbook; pay statement and wage notice content not described</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FF2CC"/>
          </w:tcPr>
          <w:p>
            <w:pPr>
              <w:spacing w:after="20"/>
            </w:pPr>
            <w:r/>
            <w:r>
              <w:rPr>
                <w:b w:val="0"/>
                <w:i w:val="0"/>
                <w:sz w:val="18"/>
              </w:rPr>
              <w:t>Medium</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2.3 (payroll); handbook has no notices appendix</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COMPS Order #39, Rule 7: employers must post the COMPS poster and, where an employee handbook is provided, include the COMPS Order or poster in the handbook. Pay statements must itemize gross wages, deductions, net pay, hours worked (non-exempt), the pay period and employer identification (C.R.S. § 8-4-103(4)). Colorado also requires written notice of pay rate, payday and deductions at hire (Checklist § 7.1) and the posting of HFWA, FAMLI, CADA, pregnancy-accommodation and “Notice of Paydays” information (Checklist § 7.2).</w:t>
            </w:r>
          </w:p>
        </w:tc>
      </w:tr>
      <w:tr>
        <w:tc>
          <w:tcPr>
            <w:tcW w:type="dxa" w:w="2304"/>
            <w:shd w:val="clear" w:color="auto" w:fill="DCE6F1"/>
          </w:tcPr>
          <w:p>
            <w:r/>
            <w:r>
              <w:rPr>
                <w:b/>
                <w:i w:val="0"/>
                <w:sz w:val="18"/>
              </w:rPr>
              <w:t>Gap</w:t>
            </w:r>
          </w:p>
        </w:tc>
        <w:tc>
          <w:tcPr>
            <w:tcW w:type="dxa" w:w="7056"/>
          </w:tcPr>
          <w:p>
            <w:pPr>
              <w:spacing w:after="20"/>
            </w:pPr>
            <w:r/>
            <w:r>
              <w:rPr>
                <w:b w:val="0"/>
                <w:i w:val="0"/>
                <w:sz w:val="18"/>
              </w:rPr>
              <w:t>There is no notices appendix and no description of the itemized pay statement. The biweekly Friday payday (six days after the Saturday period close) is permissible and correctly stated.</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Add an appendix reproducing the current COMPS poster and the HFWA, FAMLI and pregnancy-accommodation notices (Spanish versions available from CDLE should be distributed where employees are more comfortable reading Spanish).</w:t>
            </w:r>
          </w:p>
          <w:p>
            <w:pPr>
              <w:spacing w:after="20"/>
            </w:pPr>
            <w:r>
              <w:rPr>
                <w:b w:val="0"/>
                <w:i w:val="0"/>
                <w:sz w:val="18"/>
              </w:rPr>
              <w:t>• Add a sentence to § 2.3 describing the itemized pay statement and the hire-date wage notice.</w:t>
            </w:r>
          </w:p>
        </w:tc>
      </w:tr>
    </w:tbl>
    <w:p>
      <w:pPr>
        <w:spacing w:after="40"/>
      </w:pPr>
    </w:p>
    <w:p>
      <w:pPr>
        <w:pStyle w:val="Heading3"/>
      </w:pPr>
      <w:r>
        <w:t>M-4 — External complaint section names only the EEOC, not the Colorado Civil Rights Division</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FF2CC"/>
          </w:tcPr>
          <w:p>
            <w:pPr>
              <w:spacing w:after="20"/>
            </w:pPr>
            <w:r/>
            <w:r>
              <w:rPr>
                <w:b w:val="0"/>
                <w:i w:val="0"/>
                <w:sz w:val="18"/>
              </w:rPr>
              <w:t>Medium</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3.3 (External Reporting)</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Charges under CADA are filed with the Colorado Civil Rights Division within 300 days (C.R.S. § 24-34-403, as amended by HB 22-1367); the EEOC and CCRD cross-file under a worksharing agreement (Checklist § 3.2).</w:t>
            </w:r>
          </w:p>
        </w:tc>
      </w:tr>
      <w:tr>
        <w:tc>
          <w:tcPr>
            <w:tcW w:type="dxa" w:w="2304"/>
            <w:shd w:val="clear" w:color="auto" w:fill="DCE6F1"/>
          </w:tcPr>
          <w:p>
            <w:r/>
            <w:r>
              <w:rPr>
                <w:b/>
                <w:i w:val="0"/>
                <w:sz w:val="18"/>
              </w:rPr>
              <w:t>Gap</w:t>
            </w:r>
          </w:p>
        </w:tc>
        <w:tc>
          <w:tcPr>
            <w:tcW w:type="dxa" w:w="7056"/>
          </w:tcPr>
          <w:p>
            <w:pPr>
              <w:spacing w:after="20"/>
            </w:pPr>
            <w:r/>
            <w:r>
              <w:rPr>
                <w:b w:val="0"/>
                <w:i w:val="0"/>
                <w:sz w:val="18"/>
              </w:rPr>
              <w:t>Employees are told only of the EEOC. This is incomplete and suggests unfamiliarity with state law.</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Add the CCRD (Colorado Civil Rights Division, 1560 Broadway, Suite 825, Denver, CO 80202; ccrd.colorado.gov — verify current contact information before publication) and the 300-day filing period for both agencies.</w:t>
            </w:r>
          </w:p>
        </w:tc>
      </w:tr>
    </w:tbl>
    <w:p>
      <w:pPr>
        <w:spacing w:after="40"/>
      </w:pPr>
    </w:p>
    <w:p>
      <w:pPr>
        <w:pStyle w:val="Heading3"/>
      </w:pPr>
      <w:r>
        <w:t>M-5 — Pay transparency and wage-discussion protections absent; confidentiality language could be read to bar wage discussions</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FF2CC"/>
          </w:tcPr>
          <w:p>
            <w:pPr>
              <w:spacing w:after="20"/>
            </w:pPr>
            <w:r/>
            <w:r>
              <w:rPr>
                <w:b w:val="0"/>
                <w:i w:val="0"/>
                <w:sz w:val="18"/>
              </w:rPr>
              <w:t>Medium</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4.1 (wage administration); § 10.4 (confidentiality of “employee personnel information” and “financial data”)</w:t>
            </w:r>
          </w:p>
        </w:tc>
      </w:tr>
      <w:tr>
        <w:tc>
          <w:tcPr>
            <w:tcW w:type="dxa" w:w="2304"/>
            <w:shd w:val="clear" w:color="auto" w:fill="DCE6F1"/>
          </w:tcPr>
          <w:p>
            <w:r/>
            <w:r>
              <w:rPr>
                <w:b/>
                <w:i w:val="0"/>
                <w:sz w:val="18"/>
              </w:rPr>
              <w:t>Requirement</w:t>
            </w:r>
          </w:p>
        </w:tc>
        <w:tc>
          <w:tcPr>
            <w:tcW w:type="dxa" w:w="7056"/>
          </w:tcPr>
          <w:p>
            <w:pPr>
              <w:spacing w:after="20"/>
            </w:pPr>
            <w:r/>
            <w:r>
              <w:rPr>
                <w:b w:val="0"/>
                <w:i w:val="0"/>
                <w:sz w:val="18"/>
              </w:rPr>
              <w:t>Equal Pay for Equal Work Act, C.R.S. § 8-5-101 et seq.: no pay differentials based on sex (or sex plus another protected status) for substantially similar work; no wage-history inquiries; employees may not be prohibited from discussing or disclosing their wages; job postings must include a good-faith pay range and a general description of benefits; employers must announce promotional and job opportunities and, since 2024, provide post-selection and career-progression information (SB 23-105).</w:t>
            </w:r>
          </w:p>
        </w:tc>
      </w:tr>
      <w:tr>
        <w:tc>
          <w:tcPr>
            <w:tcW w:type="dxa" w:w="2304"/>
            <w:shd w:val="clear" w:color="auto" w:fill="DCE6F1"/>
          </w:tcPr>
          <w:p>
            <w:r/>
            <w:r>
              <w:rPr>
                <w:b/>
                <w:i w:val="0"/>
                <w:sz w:val="18"/>
              </w:rPr>
              <w:t>Gap</w:t>
            </w:r>
          </w:p>
        </w:tc>
        <w:tc>
          <w:tcPr>
            <w:tcW w:type="dxa" w:w="7056"/>
          </w:tcPr>
          <w:p>
            <w:pPr>
              <w:spacing w:after="20"/>
            </w:pPr>
            <w:r/>
            <w:r>
              <w:rPr>
                <w:b w:val="0"/>
                <w:i w:val="0"/>
                <w:sz w:val="18"/>
              </w:rPr>
              <w:t>The handbook is silent on these obligations and its confidentiality clause is broad enough to chill wage discussions (also an NLRA issue).</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 applicants.</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Add a brief “Pay Equity and Transparency” paragraph to § 4.1 and a carve-out in § 10.4 clarifying that employees may discuss their own wages and working conditions.</w:t>
            </w:r>
          </w:p>
        </w:tc>
      </w:tr>
    </w:tbl>
    <w:p>
      <w:pPr>
        <w:spacing w:after="40"/>
      </w:pPr>
    </w:p>
    <w:p>
      <w:pPr>
        <w:pStyle w:val="Heading3"/>
      </w:pPr>
      <w:r>
        <w:t>M-6 — Progressive discipline language undercuts the at-will disclaimer</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FF2CC"/>
          </w:tcPr>
          <w:p>
            <w:pPr>
              <w:spacing w:after="20"/>
            </w:pPr>
            <w:r/>
            <w:r>
              <w:rPr>
                <w:b w:val="0"/>
                <w:i w:val="0"/>
                <w:sz w:val="18"/>
              </w:rPr>
              <w:t>Medium</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11.1 (mandatory “will” sequence; “Employees will be given the opportunity to improve performance before termination, except in cases of gross misconduct”); § 1.3; § 2.1 (introductory period)</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Colorado enforces at-will employment, but handbook procedures phrased as mandatory can create an implied contract or support promissory estoppel (Continental Air Lines, Inc. v. Keenan, 731 P.2d 708 (Colo. 1987)); a clear and conspicuous disclaimer generally defeats such claims only if the handbook does not contradict it (Checklist § 7.5).</w:t>
            </w:r>
          </w:p>
        </w:tc>
      </w:tr>
      <w:tr>
        <w:tc>
          <w:tcPr>
            <w:tcW w:type="dxa" w:w="2304"/>
            <w:shd w:val="clear" w:color="auto" w:fill="DCE6F1"/>
          </w:tcPr>
          <w:p>
            <w:r/>
            <w:r>
              <w:rPr>
                <w:b/>
                <w:i w:val="0"/>
                <w:sz w:val="18"/>
              </w:rPr>
              <w:t>Gap</w:t>
            </w:r>
          </w:p>
        </w:tc>
        <w:tc>
          <w:tcPr>
            <w:tcW w:type="dxa" w:w="7056"/>
          </w:tcPr>
          <w:p>
            <w:pPr>
              <w:spacing w:after="20"/>
            </w:pPr>
            <w:r/>
            <w:r>
              <w:rPr>
                <w:b w:val="0"/>
                <w:i w:val="0"/>
                <w:sz w:val="18"/>
              </w:rPr>
              <w:t>The reservation paragraph is helpful, but the sentence promising an opportunity to improve except for “gross misconduct” is a specific promise that a plaintiff will cite, and the steps are stated as obligations (“will issue,” “will be terminated”). Section 11.1 also requires General Counsel approval of every termination, which may delay final pay (C-8).</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Delete the “Employees will be given the opportunity to improve” sentence.</w:t>
            </w:r>
          </w:p>
          <w:p>
            <w:pPr>
              <w:spacing w:after="20"/>
            </w:pPr>
            <w:r>
              <w:rPr>
                <w:b w:val="0"/>
                <w:i w:val="0"/>
                <w:sz w:val="18"/>
              </w:rPr>
              <w:t>• Recast the steps as permissive (“may include”), add an express cross-reference to § 1.3, and add that the introductory period and progressive discipline do not create a right to any particular process.</w:t>
            </w:r>
          </w:p>
          <w:p>
            <w:pPr>
              <w:spacing w:after="20"/>
            </w:pPr>
            <w:r>
              <w:rPr>
                <w:b w:val="0"/>
                <w:i w:val="0"/>
                <w:sz w:val="18"/>
              </w:rPr>
              <w:t>• Allow a designated HR or operations leader to approve terminations when the General Counsel is unavailable.</w:t>
            </w:r>
          </w:p>
        </w:tc>
      </w:tr>
    </w:tbl>
    <w:p>
      <w:pPr>
        <w:spacing w:after="40"/>
      </w:pPr>
    </w:p>
    <w:p>
      <w:pPr>
        <w:pStyle w:val="Heading3"/>
      </w:pPr>
      <w:r>
        <w:t>M-7 — Employee non-solicit, one-sided remedies and tuition repayment need Colorado-specific limits</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FF2CC"/>
          </w:tcPr>
          <w:p>
            <w:pPr>
              <w:spacing w:after="20"/>
            </w:pPr>
            <w:r/>
            <w:r>
              <w:rPr>
                <w:b w:val="0"/>
                <w:i w:val="0"/>
                <w:sz w:val="18"/>
              </w:rPr>
              <w:t>Medium</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12.3 (12-month non-solicit of employees, all employees); § 12.4 (Company recovers fees; employee “acknowledges” irreparable harm; judicial reformation); § 8.5 (tuition reimbursement repayment “for a specified period”)</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C.R.S. § 8-2-113(2)(a) voids covenants restricting a worker’s right to receive compensation for labor; employee non-solicits are not an enumerated exception and their enforceability against low-wage workers is uncertain. § 8-2-113(8) awards fees to workers harmed by void covenants. Training-cost repayment is permitted only within § 8-2-113(3) (education distinct from normal on-the-job training; workers employed less than two years), and any repayment by deduction must comply with § 8-4-105.</w:t>
            </w:r>
          </w:p>
        </w:tc>
      </w:tr>
      <w:tr>
        <w:tc>
          <w:tcPr>
            <w:tcW w:type="dxa" w:w="2304"/>
            <w:shd w:val="clear" w:color="auto" w:fill="DCE6F1"/>
          </w:tcPr>
          <w:p>
            <w:r/>
            <w:r>
              <w:rPr>
                <w:b/>
                <w:i w:val="0"/>
                <w:sz w:val="18"/>
              </w:rPr>
              <w:t>Gap</w:t>
            </w:r>
          </w:p>
        </w:tc>
        <w:tc>
          <w:tcPr>
            <w:tcW w:type="dxa" w:w="7056"/>
          </w:tcPr>
          <w:p>
            <w:pPr>
              <w:spacing w:after="20"/>
            </w:pPr>
            <w:r/>
            <w:r>
              <w:rPr>
                <w:b w:val="0"/>
                <w:i w:val="0"/>
                <w:sz w:val="18"/>
              </w:rPr>
              <w:t>Applying a no-poach covenant to caregivers is of doubtful enforceability and, if characterized as a restraint on labor, carries the same § 8-2-113(8) penalty exposure. The tuition provision leaves the repayment period unspecified.</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 (§ 12.3); full-time employees using tuition reimbursement (§ 8.5).</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Remove § 12.3 from the handbook; if desired, include a narrowly drawn employee non-solicit only in the standalone agreements for eligible management employees.</w:t>
            </w:r>
          </w:p>
          <w:p>
            <w:pPr>
              <w:spacing w:after="20"/>
            </w:pPr>
            <w:r>
              <w:rPr>
                <w:b w:val="0"/>
                <w:i w:val="0"/>
                <w:sz w:val="18"/>
              </w:rPr>
              <w:t>• Delete the one-sided fee and irreparable-harm language from the handbook.</w:t>
            </w:r>
          </w:p>
          <w:p>
            <w:pPr>
              <w:spacing w:after="20"/>
            </w:pPr>
            <w:r>
              <w:rPr>
                <w:b w:val="0"/>
                <w:i w:val="0"/>
                <w:sz w:val="18"/>
              </w:rPr>
              <w:t>• Replace the open-ended tuition clause with a signed repayment agreement that fixes a period of not more than two years, prorates repayment, and limits it to education distinct from normal job training.</w:t>
            </w:r>
          </w:p>
        </w:tc>
      </w:tr>
    </w:tbl>
    <w:p>
      <w:pPr>
        <w:spacing w:after="40"/>
      </w:pPr>
    </w:p>
    <w:p>
      <w:pPr>
        <w:pStyle w:val="Heading3"/>
      </w:pPr>
      <w:r>
        <w:t>M-8 — Colorado-specific leaves omitted (domestic violence leave; crime-victim leave)</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FF2CC"/>
          </w:tcPr>
          <w:p>
            <w:pPr>
              <w:spacing w:after="20"/>
            </w:pPr>
            <w:r/>
            <w:r>
              <w:rPr>
                <w:b w:val="0"/>
                <w:i w:val="0"/>
                <w:sz w:val="18"/>
              </w:rPr>
              <w:t>Medium</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7 (Leaves of Absence)</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C.R.S. § 24-34-402.7: employers with 50 or more employees must permit eligible employees up to three working days of leave (paid or unpaid) in any 12-month period to address domestic abuse, stalking, sexual assault or other crimes related to domestic violence. C.R.S. § 24-4.1-303(8): employers may not penalize crime victims for attending criminal proceedings.</w:t>
            </w:r>
          </w:p>
        </w:tc>
      </w:tr>
      <w:tr>
        <w:tc>
          <w:tcPr>
            <w:tcW w:type="dxa" w:w="2304"/>
            <w:shd w:val="clear" w:color="auto" w:fill="DCE6F1"/>
          </w:tcPr>
          <w:p>
            <w:r/>
            <w:r>
              <w:rPr>
                <w:b/>
                <w:i w:val="0"/>
                <w:sz w:val="18"/>
              </w:rPr>
              <w:t>Gap</w:t>
            </w:r>
          </w:p>
        </w:tc>
        <w:tc>
          <w:tcPr>
            <w:tcW w:type="dxa" w:w="7056"/>
          </w:tcPr>
          <w:p>
            <w:pPr>
              <w:spacing w:after="20"/>
            </w:pPr>
            <w:r/>
            <w:r>
              <w:rPr>
                <w:b w:val="0"/>
                <w:i w:val="0"/>
                <w:sz w:val="18"/>
              </w:rPr>
              <w:t>Neither leave is mentioned; HFWA also covers safe-leave reasons (C-7).</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Add a “Domestic Violence and Crime Victim Leave” subsection describing the three-day entitlement, notice and confidentiality, and its interaction with HFWA and FAMLI safe leave.</w:t>
            </w:r>
          </w:p>
        </w:tc>
      </w:tr>
    </w:tbl>
    <w:p>
      <w:pPr>
        <w:spacing w:after="40"/>
      </w:pPr>
    </w:p>
    <w:p>
      <w:pPr>
        <w:pStyle w:val="Heading3"/>
      </w:pPr>
      <w:r>
        <w:t>M-9 — Remote work guidelines described in transmittal are missing from the handbook provided</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FFF2CC"/>
          </w:tcPr>
          <w:p>
            <w:pPr>
              <w:spacing w:after="20"/>
            </w:pPr>
            <w:r/>
            <w:r>
              <w:rPr>
                <w:b w:val="0"/>
                <w:i w:val="0"/>
                <w:sz w:val="18"/>
              </w:rPr>
              <w:t>Medium</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Transmittal (March 14, 2025 update “added … remote work guidelines”); handbook Sections 1–14 contain no remote work policy</w:t>
            </w:r>
          </w:p>
        </w:tc>
      </w:tr>
      <w:tr>
        <w:tc>
          <w:tcPr>
            <w:tcW w:type="dxa" w:w="2304"/>
            <w:shd w:val="clear" w:color="auto" w:fill="DCE6F1"/>
          </w:tcPr>
          <w:p>
            <w:r/>
            <w:r>
              <w:rPr>
                <w:b/>
                <w:i w:val="0"/>
                <w:sz w:val="18"/>
              </w:rPr>
              <w:t>Requirement</w:t>
            </w:r>
          </w:p>
        </w:tc>
        <w:tc>
          <w:tcPr>
            <w:tcW w:type="dxa" w:w="7056"/>
          </w:tcPr>
          <w:p>
            <w:pPr>
              <w:spacing w:after="20"/>
            </w:pPr>
            <w:r/>
            <w:r>
              <w:rPr>
                <w:b w:val="0"/>
                <w:i w:val="0"/>
                <w:sz w:val="18"/>
              </w:rPr>
              <w:t>Any remote or hybrid arrangement for non-exempt staff must preserve COMPS timekeeping, meal/rest and overtime compliance; HIPAA security rules apply to remote access to PHI.</w:t>
            </w:r>
          </w:p>
        </w:tc>
      </w:tr>
      <w:tr>
        <w:tc>
          <w:tcPr>
            <w:tcW w:type="dxa" w:w="2304"/>
            <w:shd w:val="clear" w:color="auto" w:fill="DCE6F1"/>
          </w:tcPr>
          <w:p>
            <w:r/>
            <w:r>
              <w:rPr>
                <w:b/>
                <w:i w:val="0"/>
                <w:sz w:val="18"/>
              </w:rPr>
              <w:t>Gap</w:t>
            </w:r>
          </w:p>
        </w:tc>
        <w:tc>
          <w:tcPr>
            <w:tcW w:type="dxa" w:w="7056"/>
          </w:tcPr>
          <w:p>
            <w:pPr>
              <w:spacing w:after="20"/>
            </w:pPr>
            <w:r/>
            <w:r>
              <w:rPr>
                <w:b w:val="0"/>
                <w:i w:val="0"/>
                <w:sz w:val="18"/>
              </w:rPr>
              <w:t>Either the remote work section was omitted from the copy we received or it was never inserted. The version distributed on August 1 must be the version reviewed.</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Administrative and corporate staff (number unknown).</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Send us the remote work section (or confirm none exists) so it can be reviewed before distribution; implement version control for the August 1 release.</w:t>
            </w:r>
          </w:p>
        </w:tc>
      </w:tr>
    </w:tbl>
    <w:p>
      <w:pPr>
        <w:spacing w:after="40"/>
      </w:pPr>
    </w:p>
    <w:p>
      <w:pPr>
        <w:pStyle w:val="Heading2"/>
      </w:pPr>
      <w:r>
        <w:t>5.4 Low Findings</w:t>
      </w:r>
    </w:p>
    <w:p>
      <w:pPr>
        <w:pStyle w:val="Heading3"/>
      </w:pPr>
      <w:r>
        <w:t>L-1 — Personnel file access process not described</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DBE5F1"/>
          </w:tcPr>
          <w:p>
            <w:pPr>
              <w:spacing w:after="20"/>
            </w:pPr>
            <w:r/>
            <w:r>
              <w:rPr>
                <w:b w:val="0"/>
                <w:i w:val="0"/>
                <w:sz w:val="18"/>
              </w:rPr>
              <w:t>Low</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11.2 (“in accordance with applicable Colorado law”)</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C.R.S. § 8-2-129: current employees may inspect and obtain a copy of their personnel file at least annually, and former employees once after termination; the employer may require inspection at its office in the presence of an employer representative (Checklist § 7.3).</w:t>
            </w:r>
          </w:p>
        </w:tc>
      </w:tr>
      <w:tr>
        <w:tc>
          <w:tcPr>
            <w:tcW w:type="dxa" w:w="2304"/>
            <w:shd w:val="clear" w:color="auto" w:fill="DCE6F1"/>
          </w:tcPr>
          <w:p>
            <w:r/>
            <w:r>
              <w:rPr>
                <w:b/>
                <w:i w:val="0"/>
                <w:sz w:val="18"/>
              </w:rPr>
              <w:t>Gap</w:t>
            </w:r>
          </w:p>
        </w:tc>
        <w:tc>
          <w:tcPr>
            <w:tcW w:type="dxa" w:w="7056"/>
          </w:tcPr>
          <w:p>
            <w:pPr>
              <w:spacing w:after="20"/>
            </w:pPr>
            <w:r/>
            <w:r>
              <w:rPr>
                <w:b w:val="0"/>
                <w:i w:val="0"/>
                <w:sz w:val="18"/>
              </w:rPr>
              <w:t>The right is referenced but not explained (process and timing).</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 former employees.</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State the request process (written request to facility HR), the response timeframe, and the annual/one-time post-termination inspection rights.</w:t>
            </w:r>
          </w:p>
        </w:tc>
      </w:tr>
    </w:tbl>
    <w:p>
      <w:pPr>
        <w:spacing w:after="40"/>
      </w:pPr>
    </w:p>
    <w:p>
      <w:pPr>
        <w:pStyle w:val="Heading3"/>
      </w:pPr>
      <w:r>
        <w:t>L-2 — Factual inaccuracies and stale details in the handbook</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DBE5F1"/>
          </w:tcPr>
          <w:p>
            <w:pPr>
              <w:spacing w:after="20"/>
            </w:pPr>
            <w:r/>
            <w:r>
              <w:rPr>
                <w:b w:val="0"/>
                <w:i w:val="0"/>
                <w:sz w:val="18"/>
              </w:rPr>
              <w:t>Low</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1.1 (welcome letter); §§ 3.3, 14.1 (contact details); § 13 (“Communications Department”); § 10.4 (“Privacy Officer”)</w:t>
            </w:r>
          </w:p>
        </w:tc>
      </w:tr>
      <w:tr>
        <w:tc>
          <w:tcPr>
            <w:tcW w:type="dxa" w:w="2304"/>
            <w:shd w:val="clear" w:color="auto" w:fill="DCE6F1"/>
          </w:tcPr>
          <w:p>
            <w:r/>
            <w:r>
              <w:rPr>
                <w:b/>
                <w:i w:val="0"/>
                <w:sz w:val="18"/>
              </w:rPr>
              <w:t>Requirement</w:t>
            </w:r>
          </w:p>
        </w:tc>
        <w:tc>
          <w:tcPr>
            <w:tcW w:type="dxa" w:w="7056"/>
          </w:tcPr>
          <w:p>
            <w:pPr>
              <w:spacing w:after="20"/>
            </w:pPr>
            <w:r/>
            <w:r>
              <w:rPr>
                <w:b w:val="0"/>
                <w:i w:val="0"/>
                <w:sz w:val="18"/>
              </w:rPr>
              <w:t>Accuracy and internal consistency (no specific statute).</w:t>
            </w:r>
          </w:p>
        </w:tc>
      </w:tr>
      <w:tr>
        <w:tc>
          <w:tcPr>
            <w:tcW w:type="dxa" w:w="2304"/>
            <w:shd w:val="clear" w:color="auto" w:fill="DCE6F1"/>
          </w:tcPr>
          <w:p>
            <w:r/>
            <w:r>
              <w:rPr>
                <w:b/>
                <w:i w:val="0"/>
                <w:sz w:val="18"/>
              </w:rPr>
              <w:t>Gap</w:t>
            </w:r>
          </w:p>
        </w:tc>
        <w:tc>
          <w:tcPr>
            <w:tcW w:type="dxa" w:w="7056"/>
          </w:tcPr>
          <w:p>
            <w:pPr>
              <w:spacing w:after="20"/>
            </w:pPr>
            <w:r/>
            <w:r>
              <w:rPr>
                <w:b w:val="0"/>
                <w:i w:val="0"/>
                <w:sz w:val="18"/>
              </w:rPr>
              <w:t>The welcome letter states that Peak Vista brought the “Pueblo and Denver” facilities; per the census and transmittal, Peak Vista added Fort Collins and Pueblo, and Denver is an original facility. It also describes Oakridge as beginning with “a single community,” whereas the transmittal describes three original facilities. The General Counsel phone number appears to be wrong (see H-6). The Communications Department and Privacy Officer are referenced but not identified.</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All 612 employees.</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Correct the acquisition history, replace named individuals with titles and a shared HR mailbox, and identify the Privacy Officer and the social media approver by title.</w:t>
            </w:r>
          </w:p>
        </w:tc>
      </w:tr>
    </w:tbl>
    <w:p>
      <w:pPr>
        <w:spacing w:after="40"/>
      </w:pPr>
    </w:p>
    <w:p>
      <w:pPr>
        <w:pStyle w:val="Heading3"/>
      </w:pPr>
      <w:r>
        <w:t>L-3 — Jury duty, voting and military leave details</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DBE5F1"/>
          </w:tcPr>
          <w:p>
            <w:pPr>
              <w:spacing w:after="20"/>
            </w:pPr>
            <w:r/>
            <w:r>
              <w:rPr>
                <w:b w:val="0"/>
                <w:i w:val="0"/>
                <w:sz w:val="18"/>
              </w:rPr>
              <w:t>Low</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7.1 (jury: regular pay up to three days “per calendar year,” based on scheduled hours); § 7.5 (voting); § 7.3 (military)</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C.R.S. § 13-71-126 requires regular wages (up to $50/day unless otherwise agreed) for the first three days of juror service for regular, part-time, temporary and casual employees, and § 13-71-134 bars penalizing jurors. C.R.S. § 1-7-102 (voting leave) — handbook is compliant. C.R.S. § 28-3-609 provides up to 15 days per year of leave for Colorado-resident National Guard and reserve training with reinstatement.</w:t>
            </w:r>
          </w:p>
        </w:tc>
      </w:tr>
      <w:tr>
        <w:tc>
          <w:tcPr>
            <w:tcW w:type="dxa" w:w="2304"/>
            <w:shd w:val="clear" w:color="auto" w:fill="DCE6F1"/>
          </w:tcPr>
          <w:p>
            <w:r/>
            <w:r>
              <w:rPr>
                <w:b/>
                <w:i w:val="0"/>
                <w:sz w:val="18"/>
              </w:rPr>
              <w:t>Gap</w:t>
            </w:r>
          </w:p>
        </w:tc>
        <w:tc>
          <w:tcPr>
            <w:tcW w:type="dxa" w:w="7056"/>
          </w:tcPr>
          <w:p>
            <w:pPr>
              <w:spacing w:after="20"/>
            </w:pPr>
            <w:r/>
            <w:r>
              <w:rPr>
                <w:b w:val="0"/>
                <w:i w:val="0"/>
                <w:sz w:val="18"/>
              </w:rPr>
              <w:t>Jury pay should be tied to each period of service rather than a calendar-year cap, and should state that temporary and part-time employees are covered. Military leave should mention the state 15-day training leave.</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Employees summoned for jury service or in the Guard/reserves.</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Clarify § 7.1 and add a sentence on Colorado military training leave to § 7.3; § 7.5 may remain, adding that the employer will grant leave at the beginning or end of the shift if the employee so requests.</w:t>
            </w:r>
          </w:p>
        </w:tc>
      </w:tr>
    </w:tbl>
    <w:p>
      <w:pPr>
        <w:spacing w:after="40"/>
      </w:pPr>
    </w:p>
    <w:p>
      <w:pPr>
        <w:pStyle w:val="Heading3"/>
      </w:pPr>
      <w:r>
        <w:t>L-4 — Drug and alcohol policy clarifications</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DBE5F1"/>
          </w:tcPr>
          <w:p>
            <w:pPr>
              <w:spacing w:after="20"/>
            </w:pPr>
            <w:r/>
            <w:r>
              <w:rPr>
                <w:b w:val="0"/>
                <w:i w:val="0"/>
                <w:sz w:val="18"/>
              </w:rPr>
              <w:t>Low</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6.4 (Drug-Free Workplace)</w:t>
            </w:r>
          </w:p>
        </w:tc>
      </w:tr>
      <w:tr>
        <w:tc>
          <w:tcPr>
            <w:tcW w:type="dxa" w:w="2304"/>
            <w:shd w:val="clear" w:color="auto" w:fill="DCE6F1"/>
          </w:tcPr>
          <w:p>
            <w:r/>
            <w:r>
              <w:rPr>
                <w:b/>
                <w:i w:val="0"/>
                <w:sz w:val="18"/>
              </w:rPr>
              <w:t>Requirement</w:t>
            </w:r>
          </w:p>
        </w:tc>
        <w:tc>
          <w:tcPr>
            <w:tcW w:type="dxa" w:w="7056"/>
          </w:tcPr>
          <w:p>
            <w:pPr>
              <w:spacing w:after="20"/>
            </w:pPr>
            <w:r/>
            <w:r>
              <w:rPr>
                <w:b w:val="0"/>
                <w:i w:val="0"/>
                <w:sz w:val="18"/>
              </w:rPr>
              <w:t>Colorado’s lawful off-duty statute does not protect marijuana use (Coats v. Dish Network, LLC, 2015 CO 44); Colorado’s Natural Medicine Health Act likewise permits employers to maintain drug-free workplace policies. The federal Drug-Free Workplace Act applies only to federal contractors and grantees. Prescription disclosures are subject to ADA/CADA confidentiality.</w:t>
            </w:r>
          </w:p>
        </w:tc>
      </w:tr>
      <w:tr>
        <w:tc>
          <w:tcPr>
            <w:tcW w:type="dxa" w:w="2304"/>
            <w:shd w:val="clear" w:color="auto" w:fill="DCE6F1"/>
          </w:tcPr>
          <w:p>
            <w:r/>
            <w:r>
              <w:rPr>
                <w:b/>
                <w:i w:val="0"/>
                <w:sz w:val="18"/>
              </w:rPr>
              <w:t>Gap</w:t>
            </w:r>
          </w:p>
        </w:tc>
        <w:tc>
          <w:tcPr>
            <w:tcW w:type="dxa" w:w="7056"/>
          </w:tcPr>
          <w:p>
            <w:pPr>
              <w:spacing w:after="20"/>
            </w:pPr>
            <w:r/>
            <w:r>
              <w:rPr>
                <w:b w:val="0"/>
                <w:i w:val="0"/>
                <w:sz w:val="18"/>
              </w:rPr>
              <w:t>The policy is substantively sound but should state expressly that lawful-under-state-law marijuana and natural medicine are prohibited on duty and may be tested for, and that medication disclosures are kept confidential and handled through the accommodation process.</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Direct-care and safety-sensitive staff.</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Add marijuana/natural-medicine and confidentiality sentences; confirm whether Oakridge is a covered federal contractor or grantee before citing the Drug-Free Workplace Act.</w:t>
            </w:r>
          </w:p>
        </w:tc>
      </w:tr>
    </w:tbl>
    <w:p>
      <w:pPr>
        <w:spacing w:after="40"/>
      </w:pPr>
    </w:p>
    <w:p>
      <w:pPr>
        <w:pStyle w:val="Heading3"/>
      </w:pPr>
      <w:r>
        <w:t>L-5 — FMLA section technical updates</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color="auto" w:fill="DCE6F1"/>
          </w:tcPr>
          <w:p>
            <w:r/>
            <w:r>
              <w:rPr>
                <w:b/>
                <w:i w:val="0"/>
                <w:sz w:val="18"/>
              </w:rPr>
              <w:t>Severity</w:t>
            </w:r>
          </w:p>
        </w:tc>
        <w:tc>
          <w:tcPr>
            <w:tcW w:type="dxa" w:w="7056"/>
            <w:shd w:val="clear" w:color="auto" w:fill="DBE5F1"/>
          </w:tcPr>
          <w:p>
            <w:pPr>
              <w:spacing w:after="20"/>
            </w:pPr>
            <w:r/>
            <w:r>
              <w:rPr>
                <w:b w:val="0"/>
                <w:i w:val="0"/>
                <w:sz w:val="18"/>
              </w:rPr>
              <w:t>Low</w:t>
            </w:r>
          </w:p>
        </w:tc>
      </w:tr>
      <w:tr>
        <w:tc>
          <w:tcPr>
            <w:tcW w:type="dxa" w:w="2304"/>
            <w:shd w:val="clear" w:color="auto" w:fill="DCE6F1"/>
          </w:tcPr>
          <w:p>
            <w:r/>
            <w:r>
              <w:rPr>
                <w:b/>
                <w:i w:val="0"/>
                <w:sz w:val="18"/>
              </w:rPr>
              <w:t>Handbook provision</w:t>
            </w:r>
          </w:p>
        </w:tc>
        <w:tc>
          <w:tcPr>
            <w:tcW w:type="dxa" w:w="7056"/>
          </w:tcPr>
          <w:p>
            <w:pPr>
              <w:spacing w:after="20"/>
            </w:pPr>
            <w:r/>
            <w:r>
              <w:rPr>
                <w:b w:val="0"/>
                <w:i w:val="0"/>
                <w:sz w:val="18"/>
              </w:rPr>
              <w:t>§ 9.1–9.3</w:t>
            </w:r>
          </w:p>
        </w:tc>
      </w:tr>
      <w:tr>
        <w:tc>
          <w:tcPr>
            <w:tcW w:type="dxa" w:w="2304"/>
            <w:shd w:val="clear" w:color="auto" w:fill="DCE6F1"/>
          </w:tcPr>
          <w:p>
            <w:r/>
            <w:r>
              <w:rPr>
                <w:b/>
                <w:i w:val="0"/>
                <w:sz w:val="18"/>
              </w:rPr>
              <w:t>Requirement</w:t>
            </w:r>
          </w:p>
        </w:tc>
        <w:tc>
          <w:tcPr>
            <w:tcW w:type="dxa" w:w="7056"/>
          </w:tcPr>
          <w:p>
            <w:pPr>
              <w:spacing w:after="20"/>
            </w:pPr>
            <w:r/>
            <w:r>
              <w:rPr>
                <w:b w:val="0"/>
                <w:i w:val="0"/>
                <w:sz w:val="18"/>
              </w:rPr>
              <w:t>29 C.F.R. § 825.300(a)(3): where an employer has a handbook, the FMLA general notice content must be included. Successor-in-interest service counts toward eligibility (29 C.F.R. § 825.107). Substitution of paid leave and concurrency should be explained.</w:t>
            </w:r>
          </w:p>
        </w:tc>
      </w:tr>
      <w:tr>
        <w:tc>
          <w:tcPr>
            <w:tcW w:type="dxa" w:w="2304"/>
            <w:shd w:val="clear" w:color="auto" w:fill="DCE6F1"/>
          </w:tcPr>
          <w:p>
            <w:r/>
            <w:r>
              <w:rPr>
                <w:b/>
                <w:i w:val="0"/>
                <w:sz w:val="18"/>
              </w:rPr>
              <w:t>Gap</w:t>
            </w:r>
          </w:p>
        </w:tc>
        <w:tc>
          <w:tcPr>
            <w:tcW w:type="dxa" w:w="7056"/>
          </w:tcPr>
          <w:p>
            <w:pPr>
              <w:spacing w:after="20"/>
            </w:pPr>
            <w:r/>
            <w:r>
              <w:rPr>
                <w:b w:val="0"/>
                <w:i w:val="0"/>
                <w:sz w:val="18"/>
              </w:rPr>
              <w:t>The section is generally accurate but omits the general-notice items on prohibited acts and enforcement (DOL complaint rights), paid-leave substitution, and concurrency with FAMLI, HFWA/PTO and workers’ compensation.</w:t>
            </w:r>
          </w:p>
        </w:tc>
      </w:tr>
      <w:tr>
        <w:tc>
          <w:tcPr>
            <w:tcW w:type="dxa" w:w="2304"/>
            <w:shd w:val="clear" w:color="auto" w:fill="DCE6F1"/>
          </w:tcPr>
          <w:p>
            <w:r/>
            <w:r>
              <w:rPr>
                <w:b/>
                <w:i w:val="0"/>
                <w:sz w:val="18"/>
              </w:rPr>
              <w:t>Affected population (census)</w:t>
            </w:r>
          </w:p>
        </w:tc>
        <w:tc>
          <w:tcPr>
            <w:tcW w:type="dxa" w:w="7056"/>
          </w:tcPr>
          <w:p>
            <w:pPr>
              <w:spacing w:after="20"/>
            </w:pPr>
            <w:r/>
            <w:r>
              <w:rPr>
                <w:b w:val="0"/>
                <w:i w:val="0"/>
                <w:sz w:val="18"/>
              </w:rPr>
              <w:t>Employees eligible for FMLA.</w:t>
            </w:r>
          </w:p>
        </w:tc>
      </w:tr>
      <w:tr>
        <w:tc>
          <w:tcPr>
            <w:tcW w:type="dxa" w:w="2304"/>
            <w:shd w:val="clear" w:color="auto" w:fill="DCE6F1"/>
          </w:tcPr>
          <w:p>
            <w:r/>
            <w:r>
              <w:rPr>
                <w:b/>
                <w:i w:val="0"/>
                <w:sz w:val="18"/>
              </w:rPr>
              <w:t>Recommended fix</w:t>
            </w:r>
          </w:p>
        </w:tc>
        <w:tc>
          <w:tcPr>
            <w:tcW w:type="dxa" w:w="7056"/>
          </w:tcPr>
          <w:p>
            <w:pPr>
              <w:spacing w:after="20"/>
            </w:pPr>
            <w:r/>
            <w:r>
              <w:rPr>
                <w:b w:val="0"/>
                <w:i w:val="0"/>
                <w:sz w:val="18"/>
              </w:rPr>
              <w:t>• Add the missing general-notice content and a concurrency paragraph cross-referencing the new FAMLI section.</w:t>
            </w:r>
          </w:p>
        </w:tc>
      </w:tr>
    </w:tbl>
    <w:p>
      <w:pPr>
        <w:spacing w:after="40"/>
      </w:pPr>
    </w:p>
    <w:p>
      <w:pPr>
        <w:pStyle w:val="Heading1"/>
      </w:pPr>
      <w:r>
        <w:t>6. Corrections to the Firm’s May 2025 Requirements Checklist</w:t>
      </w:r>
    </w:p>
    <w:p>
      <w:r>
        <w:rPr>
          <w:b w:val="0"/>
          <w:i w:val="0"/>
        </w:rPr>
        <w:t>The checklist was the benchmark for this review, but several entries are outdated or inaccurate. We applied the governing law in the findings above and recommend the checklist be corrected before it is shared further or reused. None of these corrections reduces Oakridge’s exposure; several increase it.</w:t>
      </w:r>
    </w:p>
    <w:tbl>
      <w:tblPr>
        <w:tblStyle w:val="TableGrid"/>
        <w:tblW w:type="auto" w:w="0"/>
        <w:jc w:val="center"/>
        <w:tblLayout w:type="fixed"/>
        <w:tblLook w:firstColumn="1" w:firstRow="1" w:lastColumn="0" w:lastRow="0" w:noHBand="0" w:noVBand="1" w:val="04A0"/>
        <w:tblLayout w:type="fixed"/>
      </w:tblPr>
      <w:tblGrid>
        <w:gridCol w:w="1152"/>
        <w:gridCol w:w="2448"/>
        <w:gridCol w:w="3456"/>
        <w:gridCol w:w="2304"/>
      </w:tblGrid>
      <w:tr>
        <w:trPr>
          <w:tblHeader w:val="true"/>
        </w:trPr>
        <w:tc>
          <w:tcPr>
            <w:tcW w:type="dxa" w:w="1152"/>
            <w:shd w:val="clear" w:color="auto" w:fill="1F3A5F"/>
          </w:tcPr>
          <w:p>
            <w:r/>
            <w:r>
              <w:rPr>
                <w:b/>
                <w:color w:val="FFFFFF"/>
                <w:sz w:val="16"/>
              </w:rPr>
              <w:t>Checklist §</w:t>
            </w:r>
          </w:p>
        </w:tc>
        <w:tc>
          <w:tcPr>
            <w:tcW w:type="dxa" w:w="2448"/>
            <w:shd w:val="clear" w:color="auto" w:fill="1F3A5F"/>
          </w:tcPr>
          <w:p>
            <w:r/>
            <w:r>
              <w:rPr>
                <w:b/>
                <w:color w:val="FFFFFF"/>
                <w:sz w:val="16"/>
              </w:rPr>
              <w:t>Checklist statement</w:t>
            </w:r>
          </w:p>
        </w:tc>
        <w:tc>
          <w:tcPr>
            <w:tcW w:type="dxa" w:w="3456"/>
            <w:shd w:val="clear" w:color="auto" w:fill="1F3A5F"/>
          </w:tcPr>
          <w:p>
            <w:r/>
            <w:r>
              <w:rPr>
                <w:b/>
                <w:color w:val="FFFFFF"/>
                <w:sz w:val="16"/>
              </w:rPr>
              <w:t>Correct position</w:t>
            </w:r>
          </w:p>
        </w:tc>
        <w:tc>
          <w:tcPr>
            <w:tcW w:type="dxa" w:w="2304"/>
            <w:shd w:val="clear" w:color="auto" w:fill="1F3A5F"/>
          </w:tcPr>
          <w:p>
            <w:r/>
            <w:r>
              <w:rPr>
                <w:b/>
                <w:color w:val="FFFFFF"/>
                <w:sz w:val="16"/>
              </w:rPr>
              <w:t>Effect on this analysis</w:t>
            </w:r>
          </w:p>
        </w:tc>
      </w:tr>
      <w:tr>
        <w:tc>
          <w:tcPr>
            <w:tcW w:type="dxa" w:w="1152"/>
          </w:tcPr>
          <w:p>
            <w:pPr>
              <w:spacing w:after="20"/>
            </w:pPr>
            <w:r/>
            <w:r>
              <w:rPr>
                <w:b w:val="0"/>
                <w:i w:val="0"/>
                <w:sz w:val="16"/>
              </w:rPr>
              <w:t>4.1, 4.2, App. A</w:t>
            </w:r>
          </w:p>
        </w:tc>
        <w:tc>
          <w:tcPr>
            <w:tcW w:type="dxa" w:w="2448"/>
          </w:tcPr>
          <w:p>
            <w:pPr>
              <w:spacing w:after="20"/>
            </w:pPr>
            <w:r/>
            <w:r>
              <w:rPr>
                <w:b w:val="0"/>
                <w:i w:val="0"/>
                <w:sz w:val="16"/>
              </w:rPr>
              <w:t>2025 non-compete threshold $123,750; non-solicit $74,250.</w:t>
            </w:r>
          </w:p>
        </w:tc>
        <w:tc>
          <w:tcPr>
            <w:tcW w:type="dxa" w:w="3456"/>
          </w:tcPr>
          <w:p>
            <w:pPr>
              <w:spacing w:after="20"/>
            </w:pPr>
            <w:r/>
            <w:r>
              <w:rPr>
                <w:b w:val="0"/>
                <w:i w:val="0"/>
                <w:sz w:val="16"/>
              </w:rPr>
              <w:t>Those are the 2024 figures. CDLE’s 2025 thresholds are $127,091 (non-compete) and $76,254.60 (customer non-solicit, 60%).</w:t>
            </w:r>
          </w:p>
        </w:tc>
        <w:tc>
          <w:tcPr>
            <w:tcW w:type="dxa" w:w="2304"/>
          </w:tcPr>
          <w:p>
            <w:pPr>
              <w:spacing w:after="20"/>
            </w:pPr>
            <w:r/>
            <w:r>
              <w:rPr>
                <w:b w:val="0"/>
                <w:i w:val="0"/>
                <w:sz w:val="16"/>
              </w:rPr>
              <w:t>Fewer employees are eligible; the census’s “Restrictive Covenant Eligibility” and “≥ $123,750” columns overstate eligibility (C-9).</w:t>
            </w:r>
          </w:p>
        </w:tc>
      </w:tr>
      <w:tr>
        <w:tc>
          <w:tcPr>
            <w:tcW w:type="dxa" w:w="1152"/>
          </w:tcPr>
          <w:p>
            <w:pPr>
              <w:spacing w:after="20"/>
            </w:pPr>
            <w:r/>
            <w:r>
              <w:rPr>
                <w:b w:val="0"/>
                <w:i w:val="0"/>
                <w:sz w:val="16"/>
              </w:rPr>
              <w:t>5.1, App. A</w:t>
            </w:r>
          </w:p>
        </w:tc>
        <w:tc>
          <w:tcPr>
            <w:tcW w:type="dxa" w:w="2448"/>
          </w:tcPr>
          <w:p>
            <w:pPr>
              <w:spacing w:after="20"/>
            </w:pPr>
            <w:r/>
            <w:r>
              <w:rPr>
                <w:b w:val="0"/>
                <w:i w:val="0"/>
                <w:sz w:val="16"/>
              </w:rPr>
              <w:t>Final pay statute is § 8-4-104; three tiers including resignation with 3+ business days’ notice (pay on last day) and without notice (earlier of next payday or 10 business days); penalty of a daily wage for up to 10 days.</w:t>
            </w:r>
          </w:p>
        </w:tc>
        <w:tc>
          <w:tcPr>
            <w:tcW w:type="dxa" w:w="3456"/>
          </w:tcPr>
          <w:p>
            <w:pPr>
              <w:spacing w:after="20"/>
            </w:pPr>
            <w:r/>
            <w:r>
              <w:rPr>
                <w:b w:val="0"/>
                <w:i w:val="0"/>
                <w:sz w:val="16"/>
              </w:rPr>
              <w:t>The statute is C.R.S. § 8-4-109. Involuntary: immediately (6 hours after start of next workday if the accounting unit is closed; 24 hours if off-site). Any resignation: next regular payday. Penalty after a 14-day written demand: greater of 2× unpaid wages or $1,000 (3× / $3,000 if willful), plus fees.</w:t>
            </w:r>
          </w:p>
        </w:tc>
        <w:tc>
          <w:tcPr>
            <w:tcW w:type="dxa" w:w="2304"/>
          </w:tcPr>
          <w:p>
            <w:pPr>
              <w:spacing w:after="20"/>
            </w:pPr>
            <w:r/>
            <w:r>
              <w:rPr>
                <w:b w:val="0"/>
                <w:i w:val="0"/>
                <w:sz w:val="16"/>
              </w:rPr>
              <w:t>Handbook § 4.7 is compliant for resignations but non-compliant for terminations (C-8). Penalty exposure per claim is higher than the checklist suggests.</w:t>
            </w:r>
          </w:p>
        </w:tc>
      </w:tr>
      <w:tr>
        <w:tc>
          <w:tcPr>
            <w:tcW w:type="dxa" w:w="1152"/>
          </w:tcPr>
          <w:p>
            <w:pPr>
              <w:spacing w:after="20"/>
            </w:pPr>
            <w:r/>
            <w:r>
              <w:rPr>
                <w:b w:val="0"/>
                <w:i w:val="0"/>
                <w:sz w:val="16"/>
              </w:rPr>
              <w:t>1.4</w:t>
            </w:r>
          </w:p>
        </w:tc>
        <w:tc>
          <w:tcPr>
            <w:tcW w:type="dxa" w:w="2448"/>
          </w:tcPr>
          <w:p>
            <w:pPr>
              <w:spacing w:after="20"/>
            </w:pPr>
            <w:r/>
            <w:r>
              <w:rPr>
                <w:b w:val="0"/>
                <w:i w:val="0"/>
                <w:sz w:val="16"/>
              </w:rPr>
              <w:t>A six-hour shift earns two rest breaks.</w:t>
            </w:r>
          </w:p>
        </w:tc>
        <w:tc>
          <w:tcPr>
            <w:tcW w:type="dxa" w:w="3456"/>
          </w:tcPr>
          <w:p>
            <w:pPr>
              <w:spacing w:after="20"/>
            </w:pPr>
            <w:r/>
            <w:r>
              <w:rPr>
                <w:b w:val="0"/>
                <w:i w:val="0"/>
                <w:sz w:val="16"/>
              </w:rPr>
              <w:t>Under the COMPS Rule 5.2.1 table, a shift of more than 2 and up to 6 hours earns one break; more than 6 up to 10, two; more than 10 up to 14, three. Missed breaks are owed as additional wages.</w:t>
            </w:r>
          </w:p>
        </w:tc>
        <w:tc>
          <w:tcPr>
            <w:tcW w:type="dxa" w:w="2304"/>
          </w:tcPr>
          <w:p>
            <w:pPr>
              <w:spacing w:after="20"/>
            </w:pPr>
            <w:r/>
            <w:r>
              <w:rPr>
                <w:b w:val="0"/>
                <w:i w:val="0"/>
                <w:sz w:val="16"/>
              </w:rPr>
              <w:t>Model language in C-5 follows the COMPS table.</w:t>
            </w:r>
          </w:p>
        </w:tc>
      </w:tr>
      <w:tr>
        <w:tc>
          <w:tcPr>
            <w:tcW w:type="dxa" w:w="1152"/>
          </w:tcPr>
          <w:p>
            <w:pPr>
              <w:spacing w:after="20"/>
            </w:pPr>
            <w:r/>
            <w:r>
              <w:rPr>
                <w:b w:val="0"/>
                <w:i w:val="0"/>
                <w:sz w:val="16"/>
              </w:rPr>
              <w:t>1.3</w:t>
            </w:r>
          </w:p>
        </w:tc>
        <w:tc>
          <w:tcPr>
            <w:tcW w:type="dxa" w:w="2448"/>
          </w:tcPr>
          <w:p>
            <w:pPr>
              <w:spacing w:after="20"/>
            </w:pPr>
            <w:r/>
            <w:r>
              <w:rPr>
                <w:b w:val="0"/>
                <w:i w:val="0"/>
                <w:sz w:val="16"/>
              </w:rPr>
              <w:t>Meal trigger is a shift of “five or more” hours; meal periods may be waived by mutual written agreement.</w:t>
            </w:r>
          </w:p>
        </w:tc>
        <w:tc>
          <w:tcPr>
            <w:tcW w:type="dxa" w:w="3456"/>
          </w:tcPr>
          <w:p>
            <w:pPr>
              <w:spacing w:after="20"/>
            </w:pPr>
            <w:r/>
            <w:r>
              <w:rPr>
                <w:b w:val="0"/>
                <w:i w:val="0"/>
                <w:sz w:val="16"/>
              </w:rPr>
              <w:t>COMPS Rule 5.1 applies when the shift exceeds five consecutive hours; when an uninterrupted meal is impractical the remedy is a paid on-duty meal, not an unpaid waiver.</w:t>
            </w:r>
          </w:p>
        </w:tc>
        <w:tc>
          <w:tcPr>
            <w:tcW w:type="dxa" w:w="2304"/>
          </w:tcPr>
          <w:p>
            <w:pPr>
              <w:spacing w:after="20"/>
            </w:pPr>
            <w:r/>
            <w:r>
              <w:rPr>
                <w:b w:val="0"/>
                <w:i w:val="0"/>
                <w:sz w:val="16"/>
              </w:rPr>
              <w:t>C-4 recommendation reflects COMPS text.</w:t>
            </w:r>
          </w:p>
        </w:tc>
      </w:tr>
      <w:tr>
        <w:tc>
          <w:tcPr>
            <w:tcW w:type="dxa" w:w="1152"/>
          </w:tcPr>
          <w:p>
            <w:pPr>
              <w:spacing w:after="20"/>
            </w:pPr>
            <w:r/>
            <w:r>
              <w:rPr>
                <w:b w:val="0"/>
                <w:i w:val="0"/>
                <w:sz w:val="16"/>
              </w:rPr>
              <w:t>1.2</w:t>
            </w:r>
          </w:p>
        </w:tc>
        <w:tc>
          <w:tcPr>
            <w:tcW w:type="dxa" w:w="2448"/>
          </w:tcPr>
          <w:p>
            <w:pPr>
              <w:spacing w:after="20"/>
            </w:pPr>
            <w:r/>
            <w:r>
              <w:rPr>
                <w:b w:val="0"/>
                <w:i w:val="0"/>
                <w:sz w:val="16"/>
              </w:rPr>
              <w:t>Overtime triggers: 40/week or 12/workday.</w:t>
            </w:r>
          </w:p>
        </w:tc>
        <w:tc>
          <w:tcPr>
            <w:tcW w:type="dxa" w:w="3456"/>
          </w:tcPr>
          <w:p>
            <w:pPr>
              <w:spacing w:after="20"/>
            </w:pPr>
            <w:r/>
            <w:r>
              <w:rPr>
                <w:b w:val="0"/>
                <w:i w:val="0"/>
                <w:sz w:val="16"/>
              </w:rPr>
              <w:t>COMPS Rule 4.1.1 adds a third trigger: more than 12 consecutive hours regardless of workday boundaries.</w:t>
            </w:r>
          </w:p>
        </w:tc>
        <w:tc>
          <w:tcPr>
            <w:tcW w:type="dxa" w:w="2304"/>
          </w:tcPr>
          <w:p>
            <w:pPr>
              <w:spacing w:after="20"/>
            </w:pPr>
            <w:r/>
            <w:r>
              <w:rPr>
                <w:b w:val="0"/>
                <w:i w:val="0"/>
                <w:sz w:val="16"/>
              </w:rPr>
              <w:t>Included in C-3.</w:t>
            </w:r>
          </w:p>
        </w:tc>
      </w:tr>
      <w:tr>
        <w:tc>
          <w:tcPr>
            <w:tcW w:type="dxa" w:w="1152"/>
          </w:tcPr>
          <w:p>
            <w:pPr>
              <w:spacing w:after="20"/>
            </w:pPr>
            <w:r/>
            <w:r>
              <w:rPr>
                <w:b w:val="0"/>
                <w:i w:val="0"/>
                <w:sz w:val="16"/>
              </w:rPr>
              <w:t>1.1 (omission)</w:t>
            </w:r>
          </w:p>
        </w:tc>
        <w:tc>
          <w:tcPr>
            <w:tcW w:type="dxa" w:w="2448"/>
          </w:tcPr>
          <w:p>
            <w:pPr>
              <w:spacing w:after="20"/>
            </w:pPr>
            <w:r/>
            <w:r>
              <w:rPr>
                <w:b w:val="0"/>
                <w:i w:val="0"/>
                <w:sz w:val="16"/>
              </w:rPr>
              <w:t>State minimum wage controls for the entire workforce.</w:t>
            </w:r>
          </w:p>
        </w:tc>
        <w:tc>
          <w:tcPr>
            <w:tcW w:type="dxa" w:w="3456"/>
          </w:tcPr>
          <w:p>
            <w:pPr>
              <w:spacing w:after="20"/>
            </w:pPr>
            <w:r/>
            <w:r>
              <w:rPr>
                <w:b w:val="0"/>
                <w:i w:val="0"/>
                <w:sz w:val="16"/>
              </w:rPr>
              <w:t>Local minimum wages apply (Denver $18.81; City of Boulder $15.57 in 2025).</w:t>
            </w:r>
          </w:p>
        </w:tc>
        <w:tc>
          <w:tcPr>
            <w:tcW w:type="dxa" w:w="2304"/>
          </w:tcPr>
          <w:p>
            <w:pPr>
              <w:spacing w:after="20"/>
            </w:pPr>
            <w:r/>
            <w:r>
              <w:rPr>
                <w:b w:val="0"/>
                <w:i w:val="0"/>
                <w:sz w:val="16"/>
              </w:rPr>
              <w:t>New Critical finding for the Denver facility (C-1).</w:t>
            </w:r>
          </w:p>
        </w:tc>
      </w:tr>
      <w:tr>
        <w:tc>
          <w:tcPr>
            <w:tcW w:type="dxa" w:w="1152"/>
          </w:tcPr>
          <w:p>
            <w:pPr>
              <w:spacing w:after="20"/>
            </w:pPr>
            <w:r/>
            <w:r>
              <w:rPr>
                <w:b w:val="0"/>
                <w:i w:val="0"/>
                <w:sz w:val="16"/>
              </w:rPr>
              <w:t>Section 1 (omission)</w:t>
            </w:r>
          </w:p>
        </w:tc>
        <w:tc>
          <w:tcPr>
            <w:tcW w:type="dxa" w:w="2448"/>
          </w:tcPr>
          <w:p>
            <w:pPr>
              <w:spacing w:after="20"/>
            </w:pPr>
            <w:r/>
            <w:r>
              <w:rPr>
                <w:b w:val="0"/>
                <w:i w:val="0"/>
                <w:sz w:val="16"/>
              </w:rPr>
              <w:t>No discussion of the exempt salary threshold.</w:t>
            </w:r>
          </w:p>
        </w:tc>
        <w:tc>
          <w:tcPr>
            <w:tcW w:type="dxa" w:w="3456"/>
          </w:tcPr>
          <w:p>
            <w:pPr>
              <w:spacing w:after="20"/>
            </w:pPr>
            <w:r/>
            <w:r>
              <w:rPr>
                <w:b w:val="0"/>
                <w:i w:val="0"/>
                <w:sz w:val="16"/>
              </w:rPr>
              <w:t>COMPS Rule 2.5 sets a $56,485 salary floor for 2025.</w:t>
            </w:r>
          </w:p>
        </w:tc>
        <w:tc>
          <w:tcPr>
            <w:tcW w:type="dxa" w:w="2304"/>
          </w:tcPr>
          <w:p>
            <w:pPr>
              <w:spacing w:after="20"/>
            </w:pPr>
            <w:r/>
            <w:r>
              <w:rPr>
                <w:b w:val="0"/>
                <w:i w:val="0"/>
                <w:sz w:val="16"/>
              </w:rPr>
              <w:t>New Critical finding (C-2).</w:t>
            </w:r>
          </w:p>
        </w:tc>
      </w:tr>
      <w:tr>
        <w:tc>
          <w:tcPr>
            <w:tcW w:type="dxa" w:w="1152"/>
          </w:tcPr>
          <w:p>
            <w:pPr>
              <w:spacing w:after="20"/>
            </w:pPr>
            <w:r/>
            <w:r>
              <w:rPr>
                <w:b w:val="0"/>
                <w:i w:val="0"/>
                <w:sz w:val="16"/>
              </w:rPr>
              <w:t>2.1</w:t>
            </w:r>
          </w:p>
        </w:tc>
        <w:tc>
          <w:tcPr>
            <w:tcW w:type="dxa" w:w="2448"/>
          </w:tcPr>
          <w:p>
            <w:pPr>
              <w:spacing w:after="20"/>
            </w:pPr>
            <w:r/>
            <w:r>
              <w:rPr>
                <w:b w:val="0"/>
                <w:i w:val="0"/>
                <w:sz w:val="16"/>
              </w:rPr>
              <w:t>HFWA applied to all employers from January 1, 2021; uses listed.</w:t>
            </w:r>
          </w:p>
        </w:tc>
        <w:tc>
          <w:tcPr>
            <w:tcW w:type="dxa" w:w="3456"/>
          </w:tcPr>
          <w:p>
            <w:pPr>
              <w:spacing w:after="20"/>
            </w:pPr>
            <w:r/>
            <w:r>
              <w:rPr>
                <w:b w:val="0"/>
                <w:i w:val="0"/>
                <w:sz w:val="16"/>
              </w:rPr>
              <w:t>HFWA phased in (16+ employees in 2021; all employers 2022) — immaterial for Oakridge. Uses were expanded by SB 23-017 (inclement-weather closures, evacuation, bereavement). The checklist omits the handbook-notice, successor and rehire rules.</w:t>
            </w:r>
          </w:p>
        </w:tc>
        <w:tc>
          <w:tcPr>
            <w:tcW w:type="dxa" w:w="2304"/>
          </w:tcPr>
          <w:p>
            <w:pPr>
              <w:spacing w:after="20"/>
            </w:pPr>
            <w:r/>
            <w:r>
              <w:rPr>
                <w:b w:val="0"/>
                <w:i w:val="0"/>
                <w:sz w:val="16"/>
              </w:rPr>
              <w:t>Added to C-7, H-3 and H-11.</w:t>
            </w:r>
          </w:p>
        </w:tc>
      </w:tr>
      <w:tr>
        <w:tc>
          <w:tcPr>
            <w:tcW w:type="dxa" w:w="1152"/>
          </w:tcPr>
          <w:p>
            <w:pPr>
              <w:spacing w:after="20"/>
            </w:pPr>
            <w:r/>
            <w:r>
              <w:rPr>
                <w:b w:val="0"/>
                <w:i w:val="0"/>
                <w:sz w:val="16"/>
              </w:rPr>
              <w:t>3.1, App. B</w:t>
            </w:r>
          </w:p>
        </w:tc>
        <w:tc>
          <w:tcPr>
            <w:tcW w:type="dxa" w:w="2448"/>
          </w:tcPr>
          <w:p>
            <w:pPr>
              <w:spacing w:after="20"/>
            </w:pPr>
            <w:r/>
            <w:r>
              <w:rPr>
                <w:b w:val="0"/>
                <w:i w:val="0"/>
                <w:sz w:val="16"/>
              </w:rPr>
              <w:t>Fourteen CADA classes.</w:t>
            </w:r>
          </w:p>
        </w:tc>
        <w:tc>
          <w:tcPr>
            <w:tcW w:type="dxa" w:w="3456"/>
          </w:tcPr>
          <w:p>
            <w:pPr>
              <w:spacing w:after="20"/>
            </w:pPr>
            <w:r/>
            <w:r>
              <w:rPr>
                <w:b w:val="0"/>
                <w:i w:val="0"/>
                <w:sz w:val="16"/>
              </w:rPr>
              <w:t>Also hair texture, hair type and protective hairstyles (CROWN Act, HB 20-1048).</w:t>
            </w:r>
          </w:p>
        </w:tc>
        <w:tc>
          <w:tcPr>
            <w:tcW w:type="dxa" w:w="2304"/>
          </w:tcPr>
          <w:p>
            <w:pPr>
              <w:spacing w:after="20"/>
            </w:pPr>
            <w:r/>
            <w:r>
              <w:rPr>
                <w:b w:val="0"/>
                <w:i w:val="0"/>
                <w:sz w:val="16"/>
              </w:rPr>
              <w:t>Included in H-5 model language.</w:t>
            </w:r>
          </w:p>
        </w:tc>
      </w:tr>
      <w:tr>
        <w:tc>
          <w:tcPr>
            <w:tcW w:type="dxa" w:w="1152"/>
          </w:tcPr>
          <w:p>
            <w:pPr>
              <w:spacing w:after="20"/>
            </w:pPr>
            <w:r/>
            <w:r>
              <w:rPr>
                <w:b w:val="0"/>
                <w:i w:val="0"/>
                <w:sz w:val="16"/>
              </w:rPr>
              <w:t>3.3</w:t>
            </w:r>
          </w:p>
        </w:tc>
        <w:tc>
          <w:tcPr>
            <w:tcW w:type="dxa" w:w="2448"/>
          </w:tcPr>
          <w:p>
            <w:pPr>
              <w:spacing w:after="20"/>
            </w:pPr>
            <w:r/>
            <w:r>
              <w:rPr>
                <w:b w:val="0"/>
                <w:i w:val="0"/>
                <w:sz w:val="16"/>
              </w:rPr>
              <w:t>No Colorado statute governs harassment prevention.</w:t>
            </w:r>
          </w:p>
        </w:tc>
        <w:tc>
          <w:tcPr>
            <w:tcW w:type="dxa" w:w="3456"/>
          </w:tcPr>
          <w:p>
            <w:pPr>
              <w:spacing w:after="20"/>
            </w:pPr>
            <w:r/>
            <w:r>
              <w:rPr>
                <w:b w:val="0"/>
                <w:i w:val="0"/>
                <w:sz w:val="16"/>
              </w:rPr>
              <w:t>The POWR Act (SB 23-172) redefined harassment (no “severe or pervasive” requirement) and conditions the employer’s affirmative defense on a prevention program; it also restricts non-disclosure provisions (C.R.S. § 24-34-407).</w:t>
            </w:r>
          </w:p>
        </w:tc>
        <w:tc>
          <w:tcPr>
            <w:tcW w:type="dxa" w:w="2304"/>
          </w:tcPr>
          <w:p>
            <w:pPr>
              <w:spacing w:after="20"/>
            </w:pPr>
            <w:r/>
            <w:r>
              <w:rPr>
                <w:b w:val="0"/>
                <w:i w:val="0"/>
                <w:sz w:val="16"/>
              </w:rPr>
              <w:t>Basis for H-6 and part of H-10.</w:t>
            </w:r>
          </w:p>
        </w:tc>
      </w:tr>
      <w:tr>
        <w:tc>
          <w:tcPr>
            <w:tcW w:type="dxa" w:w="1152"/>
          </w:tcPr>
          <w:p>
            <w:pPr>
              <w:spacing w:after="20"/>
            </w:pPr>
            <w:r/>
            <w:r>
              <w:rPr>
                <w:b w:val="0"/>
                <w:i w:val="0"/>
                <w:sz w:val="16"/>
              </w:rPr>
              <w:t>3.2, App. A</w:t>
            </w:r>
          </w:p>
        </w:tc>
        <w:tc>
          <w:tcPr>
            <w:tcW w:type="dxa" w:w="2448"/>
          </w:tcPr>
          <w:p>
            <w:pPr>
              <w:spacing w:after="20"/>
            </w:pPr>
            <w:r/>
            <w:r>
              <w:rPr>
                <w:b w:val="0"/>
                <w:i w:val="0"/>
                <w:sz w:val="16"/>
              </w:rPr>
              <w:t>CADA charge deadline cited to § 24-34-402.</w:t>
            </w:r>
          </w:p>
        </w:tc>
        <w:tc>
          <w:tcPr>
            <w:tcW w:type="dxa" w:w="3456"/>
          </w:tcPr>
          <w:p>
            <w:pPr>
              <w:spacing w:after="20"/>
            </w:pPr>
            <w:r/>
            <w:r>
              <w:rPr>
                <w:b w:val="0"/>
                <w:i w:val="0"/>
                <w:sz w:val="16"/>
              </w:rPr>
              <w:t>The 300-day filing period is in C.R.S. § 24-34-403.</w:t>
            </w:r>
          </w:p>
        </w:tc>
        <w:tc>
          <w:tcPr>
            <w:tcW w:type="dxa" w:w="2304"/>
          </w:tcPr>
          <w:p>
            <w:pPr>
              <w:spacing w:after="20"/>
            </w:pPr>
            <w:r/>
            <w:r>
              <w:rPr>
                <w:b w:val="0"/>
                <w:i w:val="0"/>
                <w:sz w:val="16"/>
              </w:rPr>
              <w:t>Citation only (M-4).</w:t>
            </w:r>
          </w:p>
        </w:tc>
      </w:tr>
      <w:tr>
        <w:tc>
          <w:tcPr>
            <w:tcW w:type="dxa" w:w="1152"/>
          </w:tcPr>
          <w:p>
            <w:pPr>
              <w:spacing w:after="20"/>
            </w:pPr>
            <w:r/>
            <w:r>
              <w:rPr>
                <w:b w:val="0"/>
                <w:i w:val="0"/>
                <w:sz w:val="16"/>
              </w:rPr>
              <w:t>6.1</w:t>
            </w:r>
          </w:p>
        </w:tc>
        <w:tc>
          <w:tcPr>
            <w:tcW w:type="dxa" w:w="2448"/>
          </w:tcPr>
          <w:p>
            <w:pPr>
              <w:spacing w:after="20"/>
            </w:pPr>
            <w:r/>
            <w:r>
              <w:rPr>
                <w:b w:val="0"/>
                <w:i w:val="0"/>
                <w:sz w:val="16"/>
              </w:rPr>
              <w:t>§ 24-114-102 is a state-employee whistleblower statute; § 24-34-402.5 protects health and safety reporters; § 8-14.4-101 protects wage complaints.</w:t>
            </w:r>
          </w:p>
        </w:tc>
        <w:tc>
          <w:tcPr>
            <w:tcW w:type="dxa" w:w="3456"/>
          </w:tcPr>
          <w:p>
            <w:pPr>
              <w:spacing w:after="20"/>
            </w:pPr>
            <w:r/>
            <w:r>
              <w:rPr>
                <w:b w:val="0"/>
                <w:i w:val="0"/>
                <w:sz w:val="16"/>
              </w:rPr>
              <w:t>Colorado’s state-employee whistleblower act is C.R.S. § 24-50.5-101 et seq.; § 24-34-402.5 is the lawful off-duty activities statute (correctly used in checklist § 7.4); § 8-14.4-101 et seq. is the Public Health Emergency Whistleblower law; wage-complaint retaliation is § 8-4-120; health-care worker patient-safety reporting is § 8-2-123.</w:t>
            </w:r>
          </w:p>
        </w:tc>
        <w:tc>
          <w:tcPr>
            <w:tcW w:type="dxa" w:w="2304"/>
          </w:tcPr>
          <w:p>
            <w:pPr>
              <w:spacing w:after="20"/>
            </w:pPr>
            <w:r/>
            <w:r>
              <w:rPr>
                <w:b w:val="0"/>
                <w:i w:val="0"/>
                <w:sz w:val="16"/>
              </w:rPr>
              <w:t>H-7 uses the corrected citations; the incorrect citations should not appear in the handbook.</w:t>
            </w:r>
          </w:p>
        </w:tc>
      </w:tr>
      <w:tr>
        <w:tc>
          <w:tcPr>
            <w:tcW w:type="dxa" w:w="1152"/>
          </w:tcPr>
          <w:p>
            <w:pPr>
              <w:spacing w:after="20"/>
            </w:pPr>
            <w:r/>
            <w:r>
              <w:rPr>
                <w:b w:val="0"/>
                <w:i w:val="0"/>
                <w:sz w:val="16"/>
              </w:rPr>
              <w:t>4.1</w:t>
            </w:r>
          </w:p>
        </w:tc>
        <w:tc>
          <w:tcPr>
            <w:tcW w:type="dxa" w:w="2448"/>
          </w:tcPr>
          <w:p>
            <w:pPr>
              <w:spacing w:after="20"/>
            </w:pPr>
            <w:r/>
            <w:r>
              <w:rPr>
                <w:b w:val="0"/>
                <w:i w:val="0"/>
                <w:sz w:val="16"/>
              </w:rPr>
              <w:t>Penalties: damages, injunctive relief and fees.</w:t>
            </w:r>
          </w:p>
        </w:tc>
        <w:tc>
          <w:tcPr>
            <w:tcW w:type="dxa" w:w="3456"/>
          </w:tcPr>
          <w:p>
            <w:pPr>
              <w:spacing w:after="20"/>
            </w:pPr>
            <w:r/>
            <w:r>
              <w:rPr>
                <w:b w:val="0"/>
                <w:i w:val="0"/>
                <w:sz w:val="16"/>
              </w:rPr>
              <w:t>§ 8-2-113(8) also imposes a $5,000 penalty per worker or prospective worker harmed.</w:t>
            </w:r>
          </w:p>
        </w:tc>
        <w:tc>
          <w:tcPr>
            <w:tcW w:type="dxa" w:w="2304"/>
          </w:tcPr>
          <w:p>
            <w:pPr>
              <w:spacing w:after="20"/>
            </w:pPr>
            <w:r/>
            <w:r>
              <w:rPr>
                <w:b w:val="0"/>
                <w:i w:val="0"/>
                <w:sz w:val="16"/>
              </w:rPr>
              <w:t>Quantified in C-9.</w:t>
            </w:r>
          </w:p>
        </w:tc>
      </w:tr>
      <w:tr>
        <w:tc>
          <w:tcPr>
            <w:tcW w:type="dxa" w:w="1152"/>
          </w:tcPr>
          <w:p>
            <w:pPr>
              <w:spacing w:after="20"/>
            </w:pPr>
            <w:r/>
            <w:r>
              <w:rPr>
                <w:b w:val="0"/>
                <w:i w:val="0"/>
                <w:sz w:val="16"/>
              </w:rPr>
              <w:t>2.3</w:t>
            </w:r>
          </w:p>
        </w:tc>
        <w:tc>
          <w:tcPr>
            <w:tcW w:type="dxa" w:w="2448"/>
          </w:tcPr>
          <w:p>
            <w:pPr>
              <w:spacing w:after="20"/>
            </w:pPr>
            <w:r/>
            <w:r>
              <w:rPr>
                <w:b w:val="0"/>
                <w:i w:val="0"/>
                <w:sz w:val="16"/>
              </w:rPr>
              <w:t>FAMLI notice obligations.</w:t>
            </w:r>
          </w:p>
        </w:tc>
        <w:tc>
          <w:tcPr>
            <w:tcW w:type="dxa" w:w="3456"/>
          </w:tcPr>
          <w:p>
            <w:pPr>
              <w:spacing w:after="20"/>
            </w:pPr>
            <w:r/>
            <w:r>
              <w:rPr>
                <w:b w:val="0"/>
                <w:i w:val="0"/>
                <w:sz w:val="16"/>
              </w:rPr>
              <w:t>Also note job protection after 180 days of employment and 2026 neonatal-care expansion (SB 24-235).</w:t>
            </w:r>
          </w:p>
        </w:tc>
        <w:tc>
          <w:tcPr>
            <w:tcW w:type="dxa" w:w="2304"/>
          </w:tcPr>
          <w:p>
            <w:pPr>
              <w:spacing w:after="20"/>
            </w:pPr>
            <w:r/>
            <w:r>
              <w:rPr>
                <w:b w:val="0"/>
                <w:i w:val="0"/>
                <w:sz w:val="16"/>
              </w:rPr>
              <w:t>Included in H-1.</w:t>
            </w:r>
          </w:p>
        </w:tc>
      </w:tr>
    </w:tbl>
    <w:p>
      <w:pPr>
        <w:spacing w:after="40"/>
      </w:pPr>
    </w:p>
    <w:p>
      <w:pPr>
        <w:pStyle w:val="Heading1"/>
      </w:pPr>
      <w:r>
        <w:t>7. Implementation Roadmap to August 1, 2025</w:t>
      </w:r>
    </w:p>
    <w:p>
      <w:r>
        <w:rPr>
          <w:b w:val="0"/>
          <w:i w:val="0"/>
        </w:rPr>
        <w:t>Ms. Kowalski has indicated she needs two to three weeks after receipt of this analysis to redraft and obtain sign-off from Ms. Tyburn and Mr. Chu. The sequence below protects that window while separating items that cannot wait.</w:t>
      </w:r>
    </w:p>
    <w:tbl>
      <w:tblPr>
        <w:tblStyle w:val="TableGrid"/>
        <w:tblW w:type="auto" w:w="0"/>
        <w:jc w:val="center"/>
        <w:tblLayout w:type="fixed"/>
        <w:tblLook w:firstColumn="1" w:firstRow="1" w:lastColumn="0" w:lastRow="0" w:noHBand="0" w:noVBand="1" w:val="04A0"/>
        <w:tblLayout w:type="fixed"/>
      </w:tblPr>
      <w:tblGrid>
        <w:gridCol w:w="1584"/>
        <w:gridCol w:w="4752"/>
        <w:gridCol w:w="1440"/>
        <w:gridCol w:w="1584"/>
      </w:tblGrid>
      <w:tr>
        <w:trPr>
          <w:tblHeader w:val="true"/>
        </w:trPr>
        <w:tc>
          <w:tcPr>
            <w:tcW w:type="dxa" w:w="1584"/>
            <w:shd w:val="clear" w:color="auto" w:fill="1F3A5F"/>
          </w:tcPr>
          <w:p>
            <w:r/>
            <w:r>
              <w:rPr>
                <w:b/>
                <w:color w:val="FFFFFF"/>
                <w:sz w:val="17"/>
              </w:rPr>
              <w:t>When</w:t>
            </w:r>
          </w:p>
        </w:tc>
        <w:tc>
          <w:tcPr>
            <w:tcW w:type="dxa" w:w="4752"/>
            <w:shd w:val="clear" w:color="auto" w:fill="1F3A5F"/>
          </w:tcPr>
          <w:p>
            <w:r/>
            <w:r>
              <w:rPr>
                <w:b/>
                <w:color w:val="FFFFFF"/>
                <w:sz w:val="17"/>
              </w:rPr>
              <w:t>Action</w:t>
            </w:r>
          </w:p>
        </w:tc>
        <w:tc>
          <w:tcPr>
            <w:tcW w:type="dxa" w:w="1440"/>
            <w:shd w:val="clear" w:color="auto" w:fill="1F3A5F"/>
          </w:tcPr>
          <w:p>
            <w:r/>
            <w:r>
              <w:rPr>
                <w:b/>
                <w:color w:val="FFFFFF"/>
                <w:sz w:val="17"/>
              </w:rPr>
              <w:t>Findings</w:t>
            </w:r>
          </w:p>
        </w:tc>
        <w:tc>
          <w:tcPr>
            <w:tcW w:type="dxa" w:w="1584"/>
            <w:shd w:val="clear" w:color="auto" w:fill="1F3A5F"/>
          </w:tcPr>
          <w:p>
            <w:r/>
            <w:r>
              <w:rPr>
                <w:b/>
                <w:color w:val="FFFFFF"/>
                <w:sz w:val="17"/>
              </w:rPr>
              <w:t>Owner</w:t>
            </w:r>
          </w:p>
        </w:tc>
      </w:tr>
      <w:tr>
        <w:tc>
          <w:tcPr>
            <w:tcW w:type="dxa" w:w="1584"/>
          </w:tcPr>
          <w:p>
            <w:pPr>
              <w:spacing w:after="20"/>
            </w:pPr>
            <w:r/>
            <w:r>
              <w:rPr>
                <w:b w:val="0"/>
                <w:i w:val="0"/>
                <w:sz w:val="17"/>
              </w:rPr>
              <w:t>Immediately (week of June 30)</w:t>
            </w:r>
          </w:p>
        </w:tc>
        <w:tc>
          <w:tcPr>
            <w:tcW w:type="dxa" w:w="4752"/>
          </w:tcPr>
          <w:p>
            <w:pPr>
              <w:spacing w:after="20"/>
            </w:pPr>
            <w:r/>
            <w:r>
              <w:rPr>
                <w:b w:val="0"/>
                <w:i w:val="0"/>
                <w:sz w:val="17"/>
              </w:rPr>
              <w:t>Suspend presentation of § 12 covenants to new hires; suspend PTO forfeitures; implement off-cycle final-pay protocol for terminations; issue written rest-break and meal-period instruction to facility directors; change PTO accrual to 1:30 effective next pay period; raise Denver rates to at least $18.81; freeze exempt classification for employees below $56,485 pending review.</w:t>
            </w:r>
          </w:p>
        </w:tc>
        <w:tc>
          <w:tcPr>
            <w:tcW w:type="dxa" w:w="1440"/>
          </w:tcPr>
          <w:p>
            <w:pPr>
              <w:spacing w:after="20"/>
            </w:pPr>
            <w:r/>
            <w:r>
              <w:rPr>
                <w:b w:val="0"/>
                <w:i w:val="0"/>
                <w:sz w:val="17"/>
              </w:rPr>
              <w:t>C-1 to C-10</w:t>
            </w:r>
          </w:p>
        </w:tc>
        <w:tc>
          <w:tcPr>
            <w:tcW w:type="dxa" w:w="1584"/>
          </w:tcPr>
          <w:p>
            <w:pPr>
              <w:spacing w:after="20"/>
            </w:pPr>
            <w:r/>
            <w:r>
              <w:rPr>
                <w:b w:val="0"/>
                <w:i w:val="0"/>
                <w:sz w:val="17"/>
              </w:rPr>
              <w:t>Oakridge (Kowalski / Chu) with Pinnacle; B&amp;L to advise</w:t>
            </w:r>
          </w:p>
        </w:tc>
      </w:tr>
      <w:tr>
        <w:tc>
          <w:tcPr>
            <w:tcW w:type="dxa" w:w="1584"/>
          </w:tcPr>
          <w:p>
            <w:pPr>
              <w:spacing w:after="20"/>
            </w:pPr>
            <w:r/>
            <w:r>
              <w:rPr>
                <w:b w:val="0"/>
                <w:i w:val="0"/>
                <w:sz w:val="17"/>
              </w:rPr>
              <w:t>By July 7</w:t>
            </w:r>
          </w:p>
        </w:tc>
        <w:tc>
          <w:tcPr>
            <w:tcW w:type="dxa" w:w="4752"/>
          </w:tcPr>
          <w:p>
            <w:pPr>
              <w:spacing w:after="20"/>
            </w:pPr>
            <w:r/>
            <w:r>
              <w:rPr>
                <w:b w:val="0"/>
                <w:i w:val="0"/>
                <w:sz w:val="17"/>
              </w:rPr>
              <w:t>Provide data and documents listed in Section 8; B&amp;L begins privileged pay-practice audit.</w:t>
            </w:r>
          </w:p>
        </w:tc>
        <w:tc>
          <w:tcPr>
            <w:tcW w:type="dxa" w:w="1440"/>
          </w:tcPr>
          <w:p>
            <w:pPr>
              <w:spacing w:after="20"/>
            </w:pPr>
            <w:r/>
            <w:r>
              <w:rPr>
                <w:b w:val="0"/>
                <w:i w:val="0"/>
                <w:sz w:val="17"/>
              </w:rPr>
              <w:t>C-1 to C-10, H-11, M-1</w:t>
            </w:r>
          </w:p>
        </w:tc>
        <w:tc>
          <w:tcPr>
            <w:tcW w:type="dxa" w:w="1584"/>
          </w:tcPr>
          <w:p>
            <w:pPr>
              <w:spacing w:after="20"/>
            </w:pPr>
            <w:r/>
            <w:r>
              <w:rPr>
                <w:b w:val="0"/>
                <w:i w:val="0"/>
                <w:sz w:val="17"/>
              </w:rPr>
              <w:t>Oakridge / Pinnacle / Ridgeline</w:t>
            </w:r>
          </w:p>
        </w:tc>
      </w:tr>
      <w:tr>
        <w:tc>
          <w:tcPr>
            <w:tcW w:type="dxa" w:w="1584"/>
          </w:tcPr>
          <w:p>
            <w:pPr>
              <w:spacing w:after="20"/>
            </w:pPr>
            <w:r/>
            <w:r>
              <w:rPr>
                <w:b w:val="0"/>
                <w:i w:val="0"/>
                <w:sz w:val="17"/>
              </w:rPr>
              <w:t>By July 11</w:t>
            </w:r>
          </w:p>
        </w:tc>
        <w:tc>
          <w:tcPr>
            <w:tcW w:type="dxa" w:w="4752"/>
          </w:tcPr>
          <w:p>
            <w:pPr>
              <w:spacing w:after="20"/>
            </w:pPr>
            <w:r/>
            <w:r>
              <w:rPr>
                <w:b w:val="0"/>
                <w:i w:val="0"/>
                <w:sz w:val="17"/>
              </w:rPr>
              <w:t>Kowalski redraft of handbook (or B&amp;L redline on request) incorporating all Critical and High fixes; remove §§ 12.1–12.3 and 14.2–14.3 to standalone agreements.</w:t>
            </w:r>
          </w:p>
        </w:tc>
        <w:tc>
          <w:tcPr>
            <w:tcW w:type="dxa" w:w="1440"/>
          </w:tcPr>
          <w:p>
            <w:pPr>
              <w:spacing w:after="20"/>
            </w:pPr>
            <w:r/>
            <w:r>
              <w:rPr>
                <w:b w:val="0"/>
                <w:i w:val="0"/>
                <w:sz w:val="17"/>
              </w:rPr>
              <w:t>All</w:t>
            </w:r>
          </w:p>
        </w:tc>
        <w:tc>
          <w:tcPr>
            <w:tcW w:type="dxa" w:w="1584"/>
          </w:tcPr>
          <w:p>
            <w:pPr>
              <w:spacing w:after="20"/>
            </w:pPr>
            <w:r/>
            <w:r>
              <w:rPr>
                <w:b w:val="0"/>
                <w:i w:val="0"/>
                <w:sz w:val="17"/>
              </w:rPr>
              <w:t>Kowalski; B&amp;L review</w:t>
            </w:r>
          </w:p>
        </w:tc>
      </w:tr>
      <w:tr>
        <w:tc>
          <w:tcPr>
            <w:tcW w:type="dxa" w:w="1584"/>
          </w:tcPr>
          <w:p>
            <w:pPr>
              <w:spacing w:after="20"/>
            </w:pPr>
            <w:r/>
            <w:r>
              <w:rPr>
                <w:b w:val="0"/>
                <w:i w:val="0"/>
                <w:sz w:val="17"/>
              </w:rPr>
              <w:t>July 14–18</w:t>
            </w:r>
          </w:p>
        </w:tc>
        <w:tc>
          <w:tcPr>
            <w:tcW w:type="dxa" w:w="4752"/>
          </w:tcPr>
          <w:p>
            <w:pPr>
              <w:spacing w:after="20"/>
            </w:pPr>
            <w:r/>
            <w:r>
              <w:rPr>
                <w:b w:val="0"/>
                <w:i w:val="0"/>
                <w:sz w:val="17"/>
              </w:rPr>
              <w:t>B&amp;L review of redraft; finalize notices appendix (COMPS, HFWA, FAMLI, pregnancy rights); new receipt-only acknowledgment.</w:t>
            </w:r>
          </w:p>
        </w:tc>
        <w:tc>
          <w:tcPr>
            <w:tcW w:type="dxa" w:w="1440"/>
          </w:tcPr>
          <w:p>
            <w:pPr>
              <w:spacing w:after="20"/>
            </w:pPr>
            <w:r/>
            <w:r>
              <w:rPr>
                <w:b w:val="0"/>
                <w:i w:val="0"/>
                <w:sz w:val="17"/>
              </w:rPr>
              <w:t>M-3, H-1–H-3, H-8, H-10</w:t>
            </w:r>
          </w:p>
        </w:tc>
        <w:tc>
          <w:tcPr>
            <w:tcW w:type="dxa" w:w="1584"/>
          </w:tcPr>
          <w:p>
            <w:pPr>
              <w:spacing w:after="20"/>
            </w:pPr>
            <w:r/>
            <w:r>
              <w:rPr>
                <w:b w:val="0"/>
                <w:i w:val="0"/>
                <w:sz w:val="17"/>
              </w:rPr>
              <w:t>B&amp;L / Kowalski</w:t>
            </w:r>
          </w:p>
        </w:tc>
      </w:tr>
      <w:tr>
        <w:tc>
          <w:tcPr>
            <w:tcW w:type="dxa" w:w="1584"/>
          </w:tcPr>
          <w:p>
            <w:pPr>
              <w:spacing w:after="20"/>
            </w:pPr>
            <w:r/>
            <w:r>
              <w:rPr>
                <w:b w:val="0"/>
                <w:i w:val="0"/>
                <w:sz w:val="17"/>
              </w:rPr>
              <w:t>July 21–25</w:t>
            </w:r>
          </w:p>
        </w:tc>
        <w:tc>
          <w:tcPr>
            <w:tcW w:type="dxa" w:w="4752"/>
          </w:tcPr>
          <w:p>
            <w:pPr>
              <w:spacing w:after="20"/>
            </w:pPr>
            <w:r/>
            <w:r>
              <w:rPr>
                <w:b w:val="0"/>
                <w:i w:val="0"/>
                <w:sz w:val="17"/>
              </w:rPr>
              <w:t>Executive sign-off (Tyburn, Chu); Spanish translation of key sections and notices; supervisor briefing materials.</w:t>
            </w:r>
          </w:p>
        </w:tc>
        <w:tc>
          <w:tcPr>
            <w:tcW w:type="dxa" w:w="1440"/>
          </w:tcPr>
          <w:p>
            <w:pPr>
              <w:spacing w:after="20"/>
            </w:pPr>
            <w:r/>
            <w:r>
              <w:rPr>
                <w:b w:val="0"/>
                <w:i w:val="0"/>
                <w:sz w:val="17"/>
              </w:rPr>
              <w:t>—</w:t>
            </w:r>
          </w:p>
        </w:tc>
        <w:tc>
          <w:tcPr>
            <w:tcW w:type="dxa" w:w="1584"/>
          </w:tcPr>
          <w:p>
            <w:pPr>
              <w:spacing w:after="20"/>
            </w:pPr>
            <w:r/>
            <w:r>
              <w:rPr>
                <w:b w:val="0"/>
                <w:i w:val="0"/>
                <w:sz w:val="17"/>
              </w:rPr>
              <w:t>Oakridge</w:t>
            </w:r>
          </w:p>
        </w:tc>
      </w:tr>
      <w:tr>
        <w:tc>
          <w:tcPr>
            <w:tcW w:type="dxa" w:w="1584"/>
          </w:tcPr>
          <w:p>
            <w:pPr>
              <w:spacing w:after="20"/>
            </w:pPr>
            <w:r/>
            <w:r>
              <w:rPr>
                <w:b w:val="0"/>
                <w:i w:val="0"/>
                <w:sz w:val="17"/>
              </w:rPr>
              <w:t>August 1</w:t>
            </w:r>
          </w:p>
        </w:tc>
        <w:tc>
          <w:tcPr>
            <w:tcW w:type="dxa" w:w="4752"/>
          </w:tcPr>
          <w:p>
            <w:pPr>
              <w:spacing w:after="20"/>
            </w:pPr>
            <w:r/>
            <w:r>
              <w:rPr>
                <w:b w:val="0"/>
                <w:i w:val="0"/>
                <w:sz w:val="17"/>
              </w:rPr>
              <w:t>Company-wide distribution with receipt acknowledgment; send covenant non-enforcement notice to all current employees (if not already sent).</w:t>
            </w:r>
          </w:p>
        </w:tc>
        <w:tc>
          <w:tcPr>
            <w:tcW w:type="dxa" w:w="1440"/>
          </w:tcPr>
          <w:p>
            <w:pPr>
              <w:spacing w:after="20"/>
            </w:pPr>
            <w:r/>
            <w:r>
              <w:rPr>
                <w:b w:val="0"/>
                <w:i w:val="0"/>
                <w:sz w:val="17"/>
              </w:rPr>
              <w:t>C-9, H-10</w:t>
            </w:r>
          </w:p>
        </w:tc>
        <w:tc>
          <w:tcPr>
            <w:tcW w:type="dxa" w:w="1584"/>
          </w:tcPr>
          <w:p>
            <w:pPr>
              <w:spacing w:after="20"/>
            </w:pPr>
            <w:r/>
            <w:r>
              <w:rPr>
                <w:b w:val="0"/>
                <w:i w:val="0"/>
                <w:sz w:val="17"/>
              </w:rPr>
              <w:t>Oakridge</w:t>
            </w:r>
          </w:p>
        </w:tc>
      </w:tr>
      <w:tr>
        <w:tc>
          <w:tcPr>
            <w:tcW w:type="dxa" w:w="1584"/>
          </w:tcPr>
          <w:p>
            <w:pPr>
              <w:spacing w:after="20"/>
            </w:pPr>
            <w:r/>
            <w:r>
              <w:rPr>
                <w:b w:val="0"/>
                <w:i w:val="0"/>
                <w:sz w:val="17"/>
              </w:rPr>
              <w:t>August (post-launch)</w:t>
            </w:r>
          </w:p>
        </w:tc>
        <w:tc>
          <w:tcPr>
            <w:tcW w:type="dxa" w:w="4752"/>
          </w:tcPr>
          <w:p>
            <w:pPr>
              <w:spacing w:after="20"/>
            </w:pPr>
            <w:r/>
            <w:r>
              <w:rPr>
                <w:b w:val="0"/>
                <w:i w:val="0"/>
                <w:sz w:val="17"/>
              </w:rPr>
              <w:t>Supervisor training (breaks, overtime, protected leave, harassment, retaliation); standalone covenant agreements for eligible employees with 14-day notice; decision on standalone arbitration program.</w:t>
            </w:r>
          </w:p>
        </w:tc>
        <w:tc>
          <w:tcPr>
            <w:tcW w:type="dxa" w:w="1440"/>
          </w:tcPr>
          <w:p>
            <w:pPr>
              <w:spacing w:after="20"/>
            </w:pPr>
            <w:r/>
            <w:r>
              <w:rPr>
                <w:b w:val="0"/>
                <w:i w:val="0"/>
                <w:sz w:val="17"/>
              </w:rPr>
              <w:t>C-3 to C-5, H-4 to H-7, C-9, H-10</w:t>
            </w:r>
          </w:p>
        </w:tc>
        <w:tc>
          <w:tcPr>
            <w:tcW w:type="dxa" w:w="1584"/>
          </w:tcPr>
          <w:p>
            <w:pPr>
              <w:spacing w:after="20"/>
            </w:pPr>
            <w:r/>
            <w:r>
              <w:rPr>
                <w:b w:val="0"/>
                <w:i w:val="0"/>
                <w:sz w:val="17"/>
              </w:rPr>
              <w:t>Oakridge / B&amp;L</w:t>
            </w:r>
          </w:p>
        </w:tc>
      </w:tr>
      <w:tr>
        <w:tc>
          <w:tcPr>
            <w:tcW w:type="dxa" w:w="1584"/>
          </w:tcPr>
          <w:p>
            <w:pPr>
              <w:spacing w:after="20"/>
            </w:pPr>
            <w:r/>
            <w:r>
              <w:rPr>
                <w:b w:val="0"/>
                <w:i w:val="0"/>
                <w:sz w:val="17"/>
              </w:rPr>
              <w:t>August–September</w:t>
            </w:r>
          </w:p>
        </w:tc>
        <w:tc>
          <w:tcPr>
            <w:tcW w:type="dxa" w:w="4752"/>
          </w:tcPr>
          <w:p>
            <w:pPr>
              <w:spacing w:after="20"/>
            </w:pPr>
            <w:r/>
            <w:r>
              <w:rPr>
                <w:b w:val="0"/>
                <w:i w:val="0"/>
                <w:sz w:val="17"/>
              </w:rPr>
              <w:t>Complete retroactive remediation (back wages, PTO payouts, accrual true-ups) based on audit results.</w:t>
            </w:r>
          </w:p>
        </w:tc>
        <w:tc>
          <w:tcPr>
            <w:tcW w:type="dxa" w:w="1440"/>
          </w:tcPr>
          <w:p>
            <w:pPr>
              <w:spacing w:after="20"/>
            </w:pPr>
            <w:r/>
            <w:r>
              <w:rPr>
                <w:b w:val="0"/>
                <w:i w:val="0"/>
                <w:sz w:val="17"/>
              </w:rPr>
              <w:t>C-1 to C-10</w:t>
            </w:r>
          </w:p>
        </w:tc>
        <w:tc>
          <w:tcPr>
            <w:tcW w:type="dxa" w:w="1584"/>
          </w:tcPr>
          <w:p>
            <w:pPr>
              <w:spacing w:after="20"/>
            </w:pPr>
            <w:r/>
            <w:r>
              <w:rPr>
                <w:b w:val="0"/>
                <w:i w:val="0"/>
                <w:sz w:val="17"/>
              </w:rPr>
              <w:t>Oakridge / B&amp;L / Pinnacle</w:t>
            </w:r>
          </w:p>
        </w:tc>
      </w:tr>
      <w:tr>
        <w:tc>
          <w:tcPr>
            <w:tcW w:type="dxa" w:w="1584"/>
          </w:tcPr>
          <w:p>
            <w:pPr>
              <w:spacing w:after="20"/>
            </w:pPr>
            <w:r/>
            <w:r>
              <w:rPr>
                <w:b w:val="0"/>
                <w:i w:val="0"/>
                <w:sz w:val="17"/>
              </w:rPr>
              <w:t>Each December</w:t>
            </w:r>
          </w:p>
        </w:tc>
        <w:tc>
          <w:tcPr>
            <w:tcW w:type="dxa" w:w="4752"/>
          </w:tcPr>
          <w:p>
            <w:pPr>
              <w:spacing w:after="20"/>
            </w:pPr>
            <w:r/>
            <w:r>
              <w:rPr>
                <w:b w:val="0"/>
                <w:i w:val="0"/>
                <w:sz w:val="17"/>
              </w:rPr>
              <w:t>Update minimum wage (state and local), exempt salary threshold, covenant thresholds and FAMLI premium for the coming year.</w:t>
            </w:r>
          </w:p>
        </w:tc>
        <w:tc>
          <w:tcPr>
            <w:tcW w:type="dxa" w:w="1440"/>
          </w:tcPr>
          <w:p>
            <w:pPr>
              <w:spacing w:after="20"/>
            </w:pPr>
            <w:r/>
            <w:r>
              <w:rPr>
                <w:b w:val="0"/>
                <w:i w:val="0"/>
                <w:sz w:val="17"/>
              </w:rPr>
              <w:t>C-1, C-2, C-9, H-1</w:t>
            </w:r>
          </w:p>
        </w:tc>
        <w:tc>
          <w:tcPr>
            <w:tcW w:type="dxa" w:w="1584"/>
          </w:tcPr>
          <w:p>
            <w:pPr>
              <w:spacing w:after="20"/>
            </w:pPr>
            <w:r/>
            <w:r>
              <w:rPr>
                <w:b w:val="0"/>
                <w:i w:val="0"/>
                <w:sz w:val="17"/>
              </w:rPr>
              <w:t>Oakridge HR</w:t>
            </w:r>
          </w:p>
        </w:tc>
      </w:tr>
    </w:tbl>
    <w:p>
      <w:pPr>
        <w:spacing w:after="40"/>
      </w:pPr>
    </w:p>
    <w:p>
      <w:pPr>
        <w:pStyle w:val="Heading1"/>
      </w:pPr>
      <w:r>
        <w:t>8. Recommended Privileged Pay-Practice Audit and Information Requests</w:t>
      </w:r>
    </w:p>
    <w:p>
      <w:r>
        <w:rPr>
          <w:b w:val="0"/>
          <w:i w:val="0"/>
        </w:rPr>
        <w:t>Because several Critical findings describe current pay practices rather than wording, we recommend that Oakridge authorize a privileged audit conducted at the direction of counsel, using Pinnacle Payroll data, to quantify back-pay exposure and structure remediation. Please provide:</w:t>
      </w:r>
    </w:p>
    <w:p>
      <w:pPr>
        <w:pStyle w:val="ListBullet"/>
        <w:spacing w:after="40"/>
      </w:pPr>
      <w:r>
        <w:rPr>
          <w:b w:val="0"/>
          <w:i w:val="0"/>
        </w:rPr>
        <w:t>Pinnacle time and pay records for all non-exempt employees for the last three years (or since acquisition for Peak Vista and Western Slope), including daily punches, shift lengths over 12 hours, meal-period punches and any missed-break codes.</w:t>
      </w:r>
    </w:p>
    <w:p>
      <w:pPr>
        <w:pStyle w:val="ListBullet"/>
        <w:spacing w:after="40"/>
      </w:pPr>
      <w:r>
        <w:rPr>
          <w:b w:val="0"/>
          <w:i w:val="0"/>
        </w:rPr>
        <w:t>Employee-level exempt roster with title, duties summary, facility, salary and any bonus (to test the $56,485 threshold and the 2025 covenant thresholds).</w:t>
      </w:r>
    </w:p>
    <w:p>
      <w:pPr>
        <w:pStyle w:val="ListBullet"/>
        <w:spacing w:after="40"/>
      </w:pPr>
      <w:r>
        <w:rPr>
          <w:b w:val="0"/>
          <w:i w:val="0"/>
        </w:rPr>
        <w:t>Denver and Boulder facility street addresses and all Denver employees’ hourly rates since January 1, 2025.</w:t>
      </w:r>
    </w:p>
    <w:p>
      <w:pPr>
        <w:pStyle w:val="ListBullet"/>
        <w:spacing w:after="40"/>
      </w:pPr>
      <w:r>
        <w:rPr>
          <w:b w:val="0"/>
          <w:i w:val="0"/>
        </w:rPr>
        <w:t>List of separations since January 1, 2022 showing reason (voluntary/involuntary), last day worked, final-pay date and any PTO forfeited.</w:t>
      </w:r>
    </w:p>
    <w:p>
      <w:pPr>
        <w:pStyle w:val="ListBullet"/>
        <w:spacing w:after="40"/>
      </w:pPr>
      <w:r>
        <w:rPr>
          <w:b w:val="0"/>
          <w:i w:val="0"/>
        </w:rPr>
        <w:t>Pinnacle’s method for computing salaried non-exempt overtime and the regular rate (shift differentials, bonuses).</w:t>
      </w:r>
    </w:p>
    <w:p>
      <w:pPr>
        <w:pStyle w:val="ListBullet"/>
        <w:spacing w:after="40"/>
      </w:pPr>
      <w:r>
        <w:rPr>
          <w:b w:val="0"/>
          <w:i w:val="0"/>
        </w:rPr>
        <w:t>Signed handbook acknowledgments containing covenant or arbitration assent; any separate non-compete, non-solicit, confidentiality or arbitration agreements (including Peak Vista and Western Slope agreements); any instance in which Oakridge has threatened or sought to enforce a covenant.</w:t>
      </w:r>
    </w:p>
    <w:p>
      <w:pPr>
        <w:pStyle w:val="ListBullet"/>
        <w:spacing w:after="40"/>
      </w:pPr>
      <w:r>
        <w:rPr>
          <w:b w:val="0"/>
          <w:i w:val="0"/>
        </w:rPr>
        <w:t>Peak Vista and Western Slope handbooks, PTO/vacation/sick balances at closing and how they were transferred or paid.</w:t>
      </w:r>
    </w:p>
    <w:p>
      <w:pPr>
        <w:pStyle w:val="ListBullet"/>
        <w:spacing w:after="40"/>
      </w:pPr>
      <w:r>
        <w:rPr>
          <w:b w:val="0"/>
          <w:i w:val="0"/>
        </w:rPr>
        <w:t>The remote work guidelines referenced in the transmittal; identity of the Communications Department and Privacy Officer; current posters at each facility; whether any employee groups primarily read Spanish or another language.</w:t>
      </w:r>
    </w:p>
    <w:p>
      <w:pPr>
        <w:pStyle w:val="ListBullet"/>
        <w:spacing w:after="40"/>
      </w:pPr>
      <w:r>
        <w:rPr>
          <w:b w:val="0"/>
          <w:i w:val="0"/>
        </w:rPr>
        <w:t>Confirmation of the Durango salaried non-exempt headcount (see Section 9).</w:t>
      </w:r>
    </w:p>
    <w:p>
      <w:pPr>
        <w:pStyle w:val="Heading1"/>
      </w:pPr>
      <w:r>
        <w:t>9. Census Analysis and Data Integrity Notes</w:t>
      </w:r>
    </w:p>
    <w:p>
      <w:pPr>
        <w:pStyle w:val="Heading2"/>
      </w:pPr>
      <w:r>
        <w:t>9.1 Workforce profile relevant to the gaps</w:t>
      </w:r>
    </w:p>
    <w:tbl>
      <w:tblPr>
        <w:tblStyle w:val="TableGrid"/>
        <w:tblW w:type="auto" w:w="0"/>
        <w:jc w:val="center"/>
        <w:tblLayout w:type="fixed"/>
        <w:tblLook w:firstColumn="1" w:firstRow="1" w:lastColumn="0" w:lastRow="0" w:noHBand="0" w:noVBand="1" w:val="04A0"/>
        <w:tblLayout w:type="fixed"/>
      </w:tblPr>
      <w:tblGrid>
        <w:gridCol w:w="1296"/>
        <w:gridCol w:w="1368"/>
        <w:gridCol w:w="720"/>
        <w:gridCol w:w="792"/>
        <w:gridCol w:w="936"/>
        <w:gridCol w:w="648"/>
        <w:gridCol w:w="1584"/>
        <w:gridCol w:w="2016"/>
      </w:tblGrid>
      <w:tr>
        <w:trPr>
          <w:tblHeader w:val="true"/>
        </w:trPr>
        <w:tc>
          <w:tcPr>
            <w:tcW w:type="dxa" w:w="1296"/>
            <w:shd w:val="clear" w:color="auto" w:fill="1F3A5F"/>
          </w:tcPr>
          <w:p>
            <w:r/>
            <w:r>
              <w:rPr>
                <w:b/>
                <w:color w:val="FFFFFF"/>
                <w:sz w:val="16"/>
              </w:rPr>
              <w:t>Facility</w:t>
            </w:r>
          </w:p>
        </w:tc>
        <w:tc>
          <w:tcPr>
            <w:tcW w:type="dxa" w:w="1368"/>
            <w:shd w:val="clear" w:color="auto" w:fill="1F3A5F"/>
          </w:tcPr>
          <w:p>
            <w:r/>
            <w:r>
              <w:rPr>
                <w:b/>
                <w:color w:val="FFFFFF"/>
                <w:sz w:val="16"/>
              </w:rPr>
              <w:t>Origin</w:t>
            </w:r>
          </w:p>
        </w:tc>
        <w:tc>
          <w:tcPr>
            <w:tcW w:type="dxa" w:w="720"/>
            <w:shd w:val="clear" w:color="auto" w:fill="1F3A5F"/>
          </w:tcPr>
          <w:p>
            <w:r/>
            <w:r>
              <w:rPr>
                <w:b/>
                <w:color w:val="FFFFFF"/>
                <w:sz w:val="16"/>
              </w:rPr>
              <w:t>Hourly NE</w:t>
            </w:r>
          </w:p>
        </w:tc>
        <w:tc>
          <w:tcPr>
            <w:tcW w:type="dxa" w:w="792"/>
            <w:shd w:val="clear" w:color="auto" w:fill="1F3A5F"/>
          </w:tcPr>
          <w:p>
            <w:r/>
            <w:r>
              <w:rPr>
                <w:b/>
                <w:color w:val="FFFFFF"/>
                <w:sz w:val="16"/>
              </w:rPr>
              <w:t>Salaried Ex.</w:t>
            </w:r>
          </w:p>
        </w:tc>
        <w:tc>
          <w:tcPr>
            <w:tcW w:type="dxa" w:w="936"/>
            <w:shd w:val="clear" w:color="auto" w:fill="1F3A5F"/>
          </w:tcPr>
          <w:p>
            <w:r/>
            <w:r>
              <w:rPr>
                <w:b/>
                <w:color w:val="FFFFFF"/>
                <w:sz w:val="16"/>
              </w:rPr>
              <w:t>Salaried NE</w:t>
            </w:r>
          </w:p>
        </w:tc>
        <w:tc>
          <w:tcPr>
            <w:tcW w:type="dxa" w:w="648"/>
            <w:shd w:val="clear" w:color="auto" w:fill="1F3A5F"/>
          </w:tcPr>
          <w:p>
            <w:r/>
            <w:r>
              <w:rPr>
                <w:b/>
                <w:color w:val="FFFFFF"/>
                <w:sz w:val="16"/>
              </w:rPr>
              <w:t>Total</w:t>
            </w:r>
          </w:p>
        </w:tc>
        <w:tc>
          <w:tcPr>
            <w:tcW w:type="dxa" w:w="1584"/>
            <w:shd w:val="clear" w:color="auto" w:fill="1F3A5F"/>
          </w:tcPr>
          <w:p>
            <w:r/>
            <w:r>
              <w:rPr>
                <w:b/>
                <w:color w:val="FFFFFF"/>
                <w:sz w:val="16"/>
              </w:rPr>
              <w:t>Lowest hourly / exempt salary</w:t>
            </w:r>
          </w:p>
        </w:tc>
        <w:tc>
          <w:tcPr>
            <w:tcW w:type="dxa" w:w="2016"/>
            <w:shd w:val="clear" w:color="auto" w:fill="1F3A5F"/>
          </w:tcPr>
          <w:p>
            <w:r/>
            <w:r>
              <w:rPr>
                <w:b/>
                <w:color w:val="FFFFFF"/>
                <w:sz w:val="16"/>
              </w:rPr>
              <w:t>Key facility-specific issue</w:t>
            </w:r>
          </w:p>
        </w:tc>
      </w:tr>
      <w:tr>
        <w:tc>
          <w:tcPr>
            <w:tcW w:type="dxa" w:w="1296"/>
          </w:tcPr>
          <w:p>
            <w:pPr>
              <w:spacing w:after="20"/>
            </w:pPr>
            <w:r/>
            <w:r>
              <w:rPr>
                <w:b w:val="0"/>
                <w:i w:val="0"/>
                <w:sz w:val="16"/>
              </w:rPr>
              <w:t>Colorado Springs</w:t>
            </w:r>
          </w:p>
        </w:tc>
        <w:tc>
          <w:tcPr>
            <w:tcW w:type="dxa" w:w="1368"/>
          </w:tcPr>
          <w:p>
            <w:pPr>
              <w:spacing w:after="20"/>
            </w:pPr>
            <w:r/>
            <w:r>
              <w:rPr>
                <w:b w:val="0"/>
                <w:i w:val="0"/>
                <w:sz w:val="16"/>
              </w:rPr>
              <w:t>Original</w:t>
            </w:r>
          </w:p>
        </w:tc>
        <w:tc>
          <w:tcPr>
            <w:tcW w:type="dxa" w:w="720"/>
          </w:tcPr>
          <w:p>
            <w:pPr>
              <w:spacing w:after="20"/>
            </w:pPr>
            <w:r/>
            <w:r>
              <w:rPr>
                <w:b w:val="0"/>
                <w:i w:val="0"/>
                <w:sz w:val="16"/>
              </w:rPr>
              <w:t>83</w:t>
            </w:r>
          </w:p>
        </w:tc>
        <w:tc>
          <w:tcPr>
            <w:tcW w:type="dxa" w:w="792"/>
          </w:tcPr>
          <w:p>
            <w:pPr>
              <w:spacing w:after="20"/>
            </w:pPr>
            <w:r/>
            <w:r>
              <w:rPr>
                <w:b w:val="0"/>
                <w:i w:val="0"/>
                <w:sz w:val="16"/>
              </w:rPr>
              <w:t>38</w:t>
            </w:r>
          </w:p>
        </w:tc>
        <w:tc>
          <w:tcPr>
            <w:tcW w:type="dxa" w:w="936"/>
          </w:tcPr>
          <w:p>
            <w:pPr>
              <w:spacing w:after="20"/>
            </w:pPr>
            <w:r/>
            <w:r>
              <w:rPr>
                <w:b w:val="0"/>
                <w:i w:val="0"/>
                <w:sz w:val="16"/>
              </w:rPr>
              <w:t>21</w:t>
            </w:r>
          </w:p>
        </w:tc>
        <w:tc>
          <w:tcPr>
            <w:tcW w:type="dxa" w:w="648"/>
          </w:tcPr>
          <w:p>
            <w:pPr>
              <w:spacing w:after="20"/>
            </w:pPr>
            <w:r/>
            <w:r>
              <w:rPr>
                <w:b w:val="0"/>
                <w:i w:val="0"/>
                <w:sz w:val="16"/>
              </w:rPr>
              <w:t>142</w:t>
            </w:r>
          </w:p>
        </w:tc>
        <w:tc>
          <w:tcPr>
            <w:tcW w:type="dxa" w:w="1584"/>
          </w:tcPr>
          <w:p>
            <w:pPr>
              <w:spacing w:after="20"/>
            </w:pPr>
            <w:r/>
            <w:r>
              <w:rPr>
                <w:b w:val="0"/>
                <w:i w:val="0"/>
                <w:sz w:val="16"/>
              </w:rPr>
              <w:t>$16.50 / $52,000</w:t>
            </w:r>
          </w:p>
        </w:tc>
        <w:tc>
          <w:tcPr>
            <w:tcW w:type="dxa" w:w="2016"/>
          </w:tcPr>
          <w:p>
            <w:pPr>
              <w:spacing w:after="20"/>
            </w:pPr>
            <w:r/>
            <w:r>
              <w:rPr>
                <w:b w:val="0"/>
                <w:i w:val="0"/>
                <w:sz w:val="16"/>
              </w:rPr>
              <w:t>Exempt floor below $56,485</w:t>
            </w:r>
          </w:p>
        </w:tc>
      </w:tr>
      <w:tr>
        <w:tc>
          <w:tcPr>
            <w:tcW w:type="dxa" w:w="1296"/>
          </w:tcPr>
          <w:p>
            <w:pPr>
              <w:spacing w:after="20"/>
            </w:pPr>
            <w:r/>
            <w:r>
              <w:rPr>
                <w:b w:val="0"/>
                <w:i w:val="0"/>
                <w:sz w:val="16"/>
              </w:rPr>
              <w:t>Denver</w:t>
            </w:r>
          </w:p>
        </w:tc>
        <w:tc>
          <w:tcPr>
            <w:tcW w:type="dxa" w:w="1368"/>
          </w:tcPr>
          <w:p>
            <w:pPr>
              <w:spacing w:after="20"/>
            </w:pPr>
            <w:r/>
            <w:r>
              <w:rPr>
                <w:b w:val="0"/>
                <w:i w:val="0"/>
                <w:sz w:val="16"/>
              </w:rPr>
              <w:t>Original</w:t>
            </w:r>
          </w:p>
        </w:tc>
        <w:tc>
          <w:tcPr>
            <w:tcW w:type="dxa" w:w="720"/>
          </w:tcPr>
          <w:p>
            <w:pPr>
              <w:spacing w:after="20"/>
            </w:pPr>
            <w:r/>
            <w:r>
              <w:rPr>
                <w:b w:val="0"/>
                <w:i w:val="0"/>
                <w:sz w:val="16"/>
              </w:rPr>
              <w:t>76</w:t>
            </w:r>
          </w:p>
        </w:tc>
        <w:tc>
          <w:tcPr>
            <w:tcW w:type="dxa" w:w="792"/>
          </w:tcPr>
          <w:p>
            <w:pPr>
              <w:spacing w:after="20"/>
            </w:pPr>
            <w:r/>
            <w:r>
              <w:rPr>
                <w:b w:val="0"/>
                <w:i w:val="0"/>
                <w:sz w:val="16"/>
              </w:rPr>
              <w:t>33</w:t>
            </w:r>
          </w:p>
        </w:tc>
        <w:tc>
          <w:tcPr>
            <w:tcW w:type="dxa" w:w="936"/>
          </w:tcPr>
          <w:p>
            <w:pPr>
              <w:spacing w:after="20"/>
            </w:pPr>
            <w:r/>
            <w:r>
              <w:rPr>
                <w:b w:val="0"/>
                <w:i w:val="0"/>
                <w:sz w:val="16"/>
              </w:rPr>
              <w:t>19</w:t>
            </w:r>
          </w:p>
        </w:tc>
        <w:tc>
          <w:tcPr>
            <w:tcW w:type="dxa" w:w="648"/>
          </w:tcPr>
          <w:p>
            <w:pPr>
              <w:spacing w:after="20"/>
            </w:pPr>
            <w:r/>
            <w:r>
              <w:rPr>
                <w:b w:val="0"/>
                <w:i w:val="0"/>
                <w:sz w:val="16"/>
              </w:rPr>
              <w:t>128</w:t>
            </w:r>
          </w:p>
        </w:tc>
        <w:tc>
          <w:tcPr>
            <w:tcW w:type="dxa" w:w="1584"/>
          </w:tcPr>
          <w:p>
            <w:pPr>
              <w:spacing w:after="20"/>
            </w:pPr>
            <w:r/>
            <w:r>
              <w:rPr>
                <w:b w:val="0"/>
                <w:i w:val="0"/>
                <w:sz w:val="16"/>
              </w:rPr>
              <w:t>$16.50 / $54,000</w:t>
            </w:r>
          </w:p>
        </w:tc>
        <w:tc>
          <w:tcPr>
            <w:tcW w:type="dxa" w:w="2016"/>
          </w:tcPr>
          <w:p>
            <w:pPr>
              <w:spacing w:after="20"/>
            </w:pPr>
            <w:r/>
            <w:r>
              <w:rPr>
                <w:b w:val="0"/>
                <w:i w:val="0"/>
                <w:sz w:val="16"/>
              </w:rPr>
              <w:t>Below Denver minimum wage ($18.81); exempt floor</w:t>
            </w:r>
          </w:p>
        </w:tc>
      </w:tr>
      <w:tr>
        <w:tc>
          <w:tcPr>
            <w:tcW w:type="dxa" w:w="1296"/>
          </w:tcPr>
          <w:p>
            <w:pPr>
              <w:spacing w:after="20"/>
            </w:pPr>
            <w:r/>
            <w:r>
              <w:rPr>
                <w:b w:val="0"/>
                <w:i w:val="0"/>
                <w:sz w:val="16"/>
              </w:rPr>
              <w:t>Boulder</w:t>
            </w:r>
          </w:p>
        </w:tc>
        <w:tc>
          <w:tcPr>
            <w:tcW w:type="dxa" w:w="1368"/>
          </w:tcPr>
          <w:p>
            <w:pPr>
              <w:spacing w:after="20"/>
            </w:pPr>
            <w:r/>
            <w:r>
              <w:rPr>
                <w:b w:val="0"/>
                <w:i w:val="0"/>
                <w:sz w:val="16"/>
              </w:rPr>
              <w:t>Original</w:t>
            </w:r>
          </w:p>
        </w:tc>
        <w:tc>
          <w:tcPr>
            <w:tcW w:type="dxa" w:w="720"/>
          </w:tcPr>
          <w:p>
            <w:pPr>
              <w:spacing w:after="20"/>
            </w:pPr>
            <w:r/>
            <w:r>
              <w:rPr>
                <w:b w:val="0"/>
                <w:i w:val="0"/>
                <w:sz w:val="16"/>
              </w:rPr>
              <w:t>52</w:t>
            </w:r>
          </w:p>
        </w:tc>
        <w:tc>
          <w:tcPr>
            <w:tcW w:type="dxa" w:w="792"/>
          </w:tcPr>
          <w:p>
            <w:pPr>
              <w:spacing w:after="20"/>
            </w:pPr>
            <w:r/>
            <w:r>
              <w:rPr>
                <w:b w:val="0"/>
                <w:i w:val="0"/>
                <w:sz w:val="16"/>
              </w:rPr>
              <w:t>24</w:t>
            </w:r>
          </w:p>
        </w:tc>
        <w:tc>
          <w:tcPr>
            <w:tcW w:type="dxa" w:w="936"/>
          </w:tcPr>
          <w:p>
            <w:pPr>
              <w:spacing w:after="20"/>
            </w:pPr>
            <w:r/>
            <w:r>
              <w:rPr>
                <w:b w:val="0"/>
                <w:i w:val="0"/>
                <w:sz w:val="16"/>
              </w:rPr>
              <w:t>13</w:t>
            </w:r>
          </w:p>
        </w:tc>
        <w:tc>
          <w:tcPr>
            <w:tcW w:type="dxa" w:w="648"/>
          </w:tcPr>
          <w:p>
            <w:pPr>
              <w:spacing w:after="20"/>
            </w:pPr>
            <w:r/>
            <w:r>
              <w:rPr>
                <w:b w:val="0"/>
                <w:i w:val="0"/>
                <w:sz w:val="16"/>
              </w:rPr>
              <w:t>89</w:t>
            </w:r>
          </w:p>
        </w:tc>
        <w:tc>
          <w:tcPr>
            <w:tcW w:type="dxa" w:w="1584"/>
          </w:tcPr>
          <w:p>
            <w:pPr>
              <w:spacing w:after="20"/>
            </w:pPr>
            <w:r/>
            <w:r>
              <w:rPr>
                <w:b w:val="0"/>
                <w:i w:val="0"/>
                <w:sz w:val="16"/>
              </w:rPr>
              <w:t>$16.50 / $51,500</w:t>
            </w:r>
          </w:p>
        </w:tc>
        <w:tc>
          <w:tcPr>
            <w:tcW w:type="dxa" w:w="2016"/>
          </w:tcPr>
          <w:p>
            <w:pPr>
              <w:spacing w:after="20"/>
            </w:pPr>
            <w:r/>
            <w:r>
              <w:rPr>
                <w:b w:val="0"/>
                <w:i w:val="0"/>
                <w:sz w:val="16"/>
              </w:rPr>
              <w:t>Confirm city vs. county minimum; exempt floor</w:t>
            </w:r>
          </w:p>
        </w:tc>
      </w:tr>
      <w:tr>
        <w:tc>
          <w:tcPr>
            <w:tcW w:type="dxa" w:w="1296"/>
          </w:tcPr>
          <w:p>
            <w:pPr>
              <w:spacing w:after="20"/>
            </w:pPr>
            <w:r/>
            <w:r>
              <w:rPr>
                <w:b w:val="0"/>
                <w:i w:val="0"/>
                <w:sz w:val="16"/>
              </w:rPr>
              <w:t>Fort Collins</w:t>
            </w:r>
          </w:p>
        </w:tc>
        <w:tc>
          <w:tcPr>
            <w:tcW w:type="dxa" w:w="1368"/>
          </w:tcPr>
          <w:p>
            <w:pPr>
              <w:spacing w:after="20"/>
            </w:pPr>
            <w:r/>
            <w:r>
              <w:rPr>
                <w:b w:val="0"/>
                <w:i w:val="0"/>
                <w:sz w:val="16"/>
              </w:rPr>
              <w:t>Peak Vista (1/15/2024)</w:t>
            </w:r>
          </w:p>
        </w:tc>
        <w:tc>
          <w:tcPr>
            <w:tcW w:type="dxa" w:w="720"/>
          </w:tcPr>
          <w:p>
            <w:pPr>
              <w:spacing w:after="20"/>
            </w:pPr>
            <w:r/>
            <w:r>
              <w:rPr>
                <w:b w:val="0"/>
                <w:i w:val="0"/>
                <w:sz w:val="16"/>
              </w:rPr>
              <w:t>48</w:t>
            </w:r>
          </w:p>
        </w:tc>
        <w:tc>
          <w:tcPr>
            <w:tcW w:type="dxa" w:w="792"/>
          </w:tcPr>
          <w:p>
            <w:pPr>
              <w:spacing w:after="20"/>
            </w:pPr>
            <w:r/>
            <w:r>
              <w:rPr>
                <w:b w:val="0"/>
                <w:i w:val="0"/>
                <w:sz w:val="16"/>
              </w:rPr>
              <w:t>19</w:t>
            </w:r>
          </w:p>
        </w:tc>
        <w:tc>
          <w:tcPr>
            <w:tcW w:type="dxa" w:w="936"/>
          </w:tcPr>
          <w:p>
            <w:pPr>
              <w:spacing w:after="20"/>
            </w:pPr>
            <w:r/>
            <w:r>
              <w:rPr>
                <w:b w:val="0"/>
                <w:i w:val="0"/>
                <w:sz w:val="16"/>
              </w:rPr>
              <w:t>11</w:t>
            </w:r>
          </w:p>
        </w:tc>
        <w:tc>
          <w:tcPr>
            <w:tcW w:type="dxa" w:w="648"/>
          </w:tcPr>
          <w:p>
            <w:pPr>
              <w:spacing w:after="20"/>
            </w:pPr>
            <w:r/>
            <w:r>
              <w:rPr>
                <w:b w:val="0"/>
                <w:i w:val="0"/>
                <w:sz w:val="16"/>
              </w:rPr>
              <w:t>78</w:t>
            </w:r>
          </w:p>
        </w:tc>
        <w:tc>
          <w:tcPr>
            <w:tcW w:type="dxa" w:w="1584"/>
          </w:tcPr>
          <w:p>
            <w:pPr>
              <w:spacing w:after="20"/>
            </w:pPr>
            <w:r/>
            <w:r>
              <w:rPr>
                <w:b w:val="0"/>
                <w:i w:val="0"/>
                <w:sz w:val="16"/>
              </w:rPr>
              <w:t>$16.50 / $50,000</w:t>
            </w:r>
          </w:p>
        </w:tc>
        <w:tc>
          <w:tcPr>
            <w:tcW w:type="dxa" w:w="2016"/>
          </w:tcPr>
          <w:p>
            <w:pPr>
              <w:spacing w:after="20"/>
            </w:pPr>
            <w:r/>
            <w:r>
              <w:rPr>
                <w:b w:val="0"/>
                <w:i w:val="0"/>
                <w:sz w:val="16"/>
              </w:rPr>
              <w:t>Transition balances; exempt floor</w:t>
            </w:r>
          </w:p>
        </w:tc>
      </w:tr>
      <w:tr>
        <w:tc>
          <w:tcPr>
            <w:tcW w:type="dxa" w:w="1296"/>
          </w:tcPr>
          <w:p>
            <w:pPr>
              <w:spacing w:after="20"/>
            </w:pPr>
            <w:r/>
            <w:r>
              <w:rPr>
                <w:b w:val="0"/>
                <w:i w:val="0"/>
                <w:sz w:val="16"/>
              </w:rPr>
              <w:t>Pueblo</w:t>
            </w:r>
          </w:p>
        </w:tc>
        <w:tc>
          <w:tcPr>
            <w:tcW w:type="dxa" w:w="1368"/>
          </w:tcPr>
          <w:p>
            <w:pPr>
              <w:spacing w:after="20"/>
            </w:pPr>
            <w:r/>
            <w:r>
              <w:rPr>
                <w:b w:val="0"/>
                <w:i w:val="0"/>
                <w:sz w:val="16"/>
              </w:rPr>
              <w:t>Peak Vista (1/15/2024)</w:t>
            </w:r>
          </w:p>
        </w:tc>
        <w:tc>
          <w:tcPr>
            <w:tcW w:type="dxa" w:w="720"/>
          </w:tcPr>
          <w:p>
            <w:pPr>
              <w:spacing w:after="20"/>
            </w:pPr>
            <w:r/>
            <w:r>
              <w:rPr>
                <w:b w:val="0"/>
                <w:i w:val="0"/>
                <w:sz w:val="16"/>
              </w:rPr>
              <w:t>39</w:t>
            </w:r>
          </w:p>
        </w:tc>
        <w:tc>
          <w:tcPr>
            <w:tcW w:type="dxa" w:w="792"/>
          </w:tcPr>
          <w:p>
            <w:pPr>
              <w:spacing w:after="20"/>
            </w:pPr>
            <w:r/>
            <w:r>
              <w:rPr>
                <w:b w:val="0"/>
                <w:i w:val="0"/>
                <w:sz w:val="16"/>
              </w:rPr>
              <w:t>15</w:t>
            </w:r>
          </w:p>
        </w:tc>
        <w:tc>
          <w:tcPr>
            <w:tcW w:type="dxa" w:w="936"/>
          </w:tcPr>
          <w:p>
            <w:pPr>
              <w:spacing w:after="20"/>
            </w:pPr>
            <w:r/>
            <w:r>
              <w:rPr>
                <w:b w:val="0"/>
                <w:i w:val="0"/>
                <w:sz w:val="16"/>
              </w:rPr>
              <w:t>8</w:t>
            </w:r>
          </w:p>
        </w:tc>
        <w:tc>
          <w:tcPr>
            <w:tcW w:type="dxa" w:w="648"/>
          </w:tcPr>
          <w:p>
            <w:pPr>
              <w:spacing w:after="20"/>
            </w:pPr>
            <w:r/>
            <w:r>
              <w:rPr>
                <w:b w:val="0"/>
                <w:i w:val="0"/>
                <w:sz w:val="16"/>
              </w:rPr>
              <w:t>62</w:t>
            </w:r>
          </w:p>
        </w:tc>
        <w:tc>
          <w:tcPr>
            <w:tcW w:type="dxa" w:w="1584"/>
          </w:tcPr>
          <w:p>
            <w:pPr>
              <w:spacing w:after="20"/>
            </w:pPr>
            <w:r/>
            <w:r>
              <w:rPr>
                <w:b w:val="0"/>
                <w:i w:val="0"/>
                <w:sz w:val="16"/>
              </w:rPr>
              <w:t>$16.50 / $48,500</w:t>
            </w:r>
          </w:p>
        </w:tc>
        <w:tc>
          <w:tcPr>
            <w:tcW w:type="dxa" w:w="2016"/>
          </w:tcPr>
          <w:p>
            <w:pPr>
              <w:spacing w:after="20"/>
            </w:pPr>
            <w:r/>
            <w:r>
              <w:rPr>
                <w:b w:val="0"/>
                <w:i w:val="0"/>
                <w:sz w:val="16"/>
              </w:rPr>
              <w:t>Transition balances; exempt floor</w:t>
            </w:r>
          </w:p>
        </w:tc>
      </w:tr>
      <w:tr>
        <w:tc>
          <w:tcPr>
            <w:tcW w:type="dxa" w:w="1296"/>
          </w:tcPr>
          <w:p>
            <w:pPr>
              <w:spacing w:after="20"/>
            </w:pPr>
            <w:r/>
            <w:r>
              <w:rPr>
                <w:b w:val="0"/>
                <w:i w:val="0"/>
                <w:sz w:val="16"/>
              </w:rPr>
              <w:t>Grand Junction</w:t>
            </w:r>
          </w:p>
        </w:tc>
        <w:tc>
          <w:tcPr>
            <w:tcW w:type="dxa" w:w="1368"/>
          </w:tcPr>
          <w:p>
            <w:pPr>
              <w:spacing w:after="20"/>
            </w:pPr>
            <w:r/>
            <w:r>
              <w:rPr>
                <w:b w:val="0"/>
                <w:i w:val="0"/>
                <w:sz w:val="16"/>
              </w:rPr>
              <w:t>Western Slope (6/3/2024)</w:t>
            </w:r>
          </w:p>
        </w:tc>
        <w:tc>
          <w:tcPr>
            <w:tcW w:type="dxa" w:w="720"/>
          </w:tcPr>
          <w:p>
            <w:pPr>
              <w:spacing w:after="20"/>
            </w:pPr>
            <w:r/>
            <w:r>
              <w:rPr>
                <w:b w:val="0"/>
                <w:i w:val="0"/>
                <w:sz w:val="16"/>
              </w:rPr>
              <w:t>48</w:t>
            </w:r>
          </w:p>
        </w:tc>
        <w:tc>
          <w:tcPr>
            <w:tcW w:type="dxa" w:w="792"/>
          </w:tcPr>
          <w:p>
            <w:pPr>
              <w:spacing w:after="20"/>
            </w:pPr>
            <w:r/>
            <w:r>
              <w:rPr>
                <w:b w:val="0"/>
                <w:i w:val="0"/>
                <w:sz w:val="16"/>
              </w:rPr>
              <w:t>6</w:t>
            </w:r>
          </w:p>
        </w:tc>
        <w:tc>
          <w:tcPr>
            <w:tcW w:type="dxa" w:w="936"/>
          </w:tcPr>
          <w:p>
            <w:pPr>
              <w:spacing w:after="20"/>
            </w:pPr>
            <w:r/>
            <w:r>
              <w:rPr>
                <w:b w:val="0"/>
                <w:i w:val="0"/>
                <w:sz w:val="16"/>
              </w:rPr>
              <w:t>4</w:t>
            </w:r>
          </w:p>
        </w:tc>
        <w:tc>
          <w:tcPr>
            <w:tcW w:type="dxa" w:w="648"/>
          </w:tcPr>
          <w:p>
            <w:pPr>
              <w:spacing w:after="20"/>
            </w:pPr>
            <w:r/>
            <w:r>
              <w:rPr>
                <w:b w:val="0"/>
                <w:i w:val="0"/>
                <w:sz w:val="16"/>
              </w:rPr>
              <w:t>58</w:t>
            </w:r>
          </w:p>
        </w:tc>
        <w:tc>
          <w:tcPr>
            <w:tcW w:type="dxa" w:w="1584"/>
          </w:tcPr>
          <w:p>
            <w:pPr>
              <w:spacing w:after="20"/>
            </w:pPr>
            <w:r/>
            <w:r>
              <w:rPr>
                <w:b w:val="0"/>
                <w:i w:val="0"/>
                <w:sz w:val="16"/>
              </w:rPr>
              <w:t>$16.50 / $49,000</w:t>
            </w:r>
          </w:p>
        </w:tc>
        <w:tc>
          <w:tcPr>
            <w:tcW w:type="dxa" w:w="2016"/>
          </w:tcPr>
          <w:p>
            <w:pPr>
              <w:spacing w:after="20"/>
            </w:pPr>
            <w:r/>
            <w:r>
              <w:rPr>
                <w:b w:val="0"/>
                <w:i w:val="0"/>
                <w:sz w:val="16"/>
              </w:rPr>
              <w:t>Transition balances; exempt floor</w:t>
            </w:r>
          </w:p>
        </w:tc>
      </w:tr>
      <w:tr>
        <w:tc>
          <w:tcPr>
            <w:tcW w:type="dxa" w:w="1296"/>
          </w:tcPr>
          <w:p>
            <w:pPr>
              <w:spacing w:after="20"/>
            </w:pPr>
            <w:r/>
            <w:r>
              <w:rPr>
                <w:b w:val="0"/>
                <w:i w:val="0"/>
                <w:sz w:val="16"/>
              </w:rPr>
              <w:t>Durango</w:t>
            </w:r>
          </w:p>
        </w:tc>
        <w:tc>
          <w:tcPr>
            <w:tcW w:type="dxa" w:w="1368"/>
          </w:tcPr>
          <w:p>
            <w:pPr>
              <w:spacing w:after="20"/>
            </w:pPr>
            <w:r/>
            <w:r>
              <w:rPr>
                <w:b w:val="0"/>
                <w:i w:val="0"/>
                <w:sz w:val="16"/>
              </w:rPr>
              <w:t>Western Slope (6/3/2024)</w:t>
            </w:r>
          </w:p>
        </w:tc>
        <w:tc>
          <w:tcPr>
            <w:tcW w:type="dxa" w:w="720"/>
          </w:tcPr>
          <w:p>
            <w:pPr>
              <w:spacing w:after="20"/>
            </w:pPr>
            <w:r/>
            <w:r>
              <w:rPr>
                <w:b w:val="0"/>
                <w:i w:val="0"/>
                <w:sz w:val="16"/>
              </w:rPr>
              <w:t>43</w:t>
            </w:r>
          </w:p>
        </w:tc>
        <w:tc>
          <w:tcPr>
            <w:tcW w:type="dxa" w:w="792"/>
          </w:tcPr>
          <w:p>
            <w:pPr>
              <w:spacing w:after="20"/>
            </w:pPr>
            <w:r/>
            <w:r>
              <w:rPr>
                <w:b w:val="0"/>
                <w:i w:val="0"/>
                <w:sz w:val="16"/>
              </w:rPr>
              <w:t>13</w:t>
            </w:r>
          </w:p>
        </w:tc>
        <w:tc>
          <w:tcPr>
            <w:tcW w:type="dxa" w:w="936"/>
          </w:tcPr>
          <w:p>
            <w:pPr>
              <w:spacing w:after="20"/>
            </w:pPr>
            <w:r/>
            <w:r>
              <w:rPr>
                <w:b w:val="0"/>
                <w:i w:val="0"/>
                <w:sz w:val="16"/>
              </w:rPr>
              <w:t>-1 / 0 (see 9.3)</w:t>
            </w:r>
          </w:p>
        </w:tc>
        <w:tc>
          <w:tcPr>
            <w:tcW w:type="dxa" w:w="648"/>
          </w:tcPr>
          <w:p>
            <w:pPr>
              <w:spacing w:after="20"/>
            </w:pPr>
            <w:r/>
            <w:r>
              <w:rPr>
                <w:b w:val="0"/>
                <w:i w:val="0"/>
                <w:sz w:val="16"/>
              </w:rPr>
              <w:t>55</w:t>
            </w:r>
          </w:p>
        </w:tc>
        <w:tc>
          <w:tcPr>
            <w:tcW w:type="dxa" w:w="1584"/>
          </w:tcPr>
          <w:p>
            <w:pPr>
              <w:spacing w:after="20"/>
            </w:pPr>
            <w:r/>
            <w:r>
              <w:rPr>
                <w:b w:val="0"/>
                <w:i w:val="0"/>
                <w:sz w:val="16"/>
              </w:rPr>
              <w:t>$16.50 / $48,000</w:t>
            </w:r>
          </w:p>
        </w:tc>
        <w:tc>
          <w:tcPr>
            <w:tcW w:type="dxa" w:w="2016"/>
          </w:tcPr>
          <w:p>
            <w:pPr>
              <w:spacing w:after="20"/>
            </w:pPr>
            <w:r/>
            <w:r>
              <w:rPr>
                <w:b w:val="0"/>
                <w:i w:val="0"/>
                <w:sz w:val="16"/>
              </w:rPr>
              <w:t>Data discrepancy; lowest exempt floor</w:t>
            </w:r>
          </w:p>
        </w:tc>
      </w:tr>
      <w:tr>
        <w:tc>
          <w:tcPr>
            <w:tcW w:type="dxa" w:w="1296"/>
          </w:tcPr>
          <w:p>
            <w:pPr>
              <w:spacing w:after="20"/>
            </w:pPr>
            <w:r/>
            <w:r>
              <w:rPr>
                <w:b w:val="0"/>
                <w:i w:val="0"/>
                <w:sz w:val="16"/>
              </w:rPr>
              <w:t>Total</w:t>
            </w:r>
          </w:p>
        </w:tc>
        <w:tc>
          <w:tcPr>
            <w:tcW w:type="dxa" w:w="1368"/>
          </w:tcPr>
          <w:p>
            <w:pPr>
              <w:spacing w:after="20"/>
            </w:pPr>
            <w:r/>
          </w:p>
        </w:tc>
        <w:tc>
          <w:tcPr>
            <w:tcW w:type="dxa" w:w="720"/>
          </w:tcPr>
          <w:p>
            <w:pPr>
              <w:spacing w:after="20"/>
            </w:pPr>
            <w:r/>
            <w:r>
              <w:rPr>
                <w:b w:val="0"/>
                <w:i w:val="0"/>
                <w:sz w:val="16"/>
              </w:rPr>
              <w:t>389</w:t>
            </w:r>
          </w:p>
        </w:tc>
        <w:tc>
          <w:tcPr>
            <w:tcW w:type="dxa" w:w="792"/>
          </w:tcPr>
          <w:p>
            <w:pPr>
              <w:spacing w:after="20"/>
            </w:pPr>
            <w:r/>
            <w:r>
              <w:rPr>
                <w:b w:val="0"/>
                <w:i w:val="0"/>
                <w:sz w:val="16"/>
              </w:rPr>
              <w:t>148</w:t>
            </w:r>
          </w:p>
        </w:tc>
        <w:tc>
          <w:tcPr>
            <w:tcW w:type="dxa" w:w="936"/>
          </w:tcPr>
          <w:p>
            <w:pPr>
              <w:spacing w:after="20"/>
            </w:pPr>
            <w:r/>
            <w:r>
              <w:rPr>
                <w:b w:val="0"/>
                <w:i w:val="0"/>
                <w:sz w:val="16"/>
              </w:rPr>
              <w:t>75</w:t>
            </w:r>
          </w:p>
        </w:tc>
        <w:tc>
          <w:tcPr>
            <w:tcW w:type="dxa" w:w="648"/>
          </w:tcPr>
          <w:p>
            <w:pPr>
              <w:spacing w:after="20"/>
            </w:pPr>
            <w:r/>
            <w:r>
              <w:rPr>
                <w:b w:val="0"/>
                <w:i w:val="0"/>
                <w:sz w:val="16"/>
              </w:rPr>
              <w:t>612</w:t>
            </w:r>
          </w:p>
        </w:tc>
        <w:tc>
          <w:tcPr>
            <w:tcW w:type="dxa" w:w="1584"/>
          </w:tcPr>
          <w:p>
            <w:pPr>
              <w:spacing w:after="20"/>
            </w:pPr>
            <w:r/>
          </w:p>
        </w:tc>
        <w:tc>
          <w:tcPr>
            <w:tcW w:type="dxa" w:w="2016"/>
          </w:tcPr>
          <w:p>
            <w:pPr>
              <w:spacing w:after="20"/>
            </w:pPr>
            <w:r/>
            <w:r>
              <w:rPr>
                <w:b w:val="0"/>
                <w:i w:val="0"/>
                <w:sz w:val="16"/>
              </w:rPr>
              <w:t>464 non-exempt (75.8%)</w:t>
            </w:r>
          </w:p>
        </w:tc>
      </w:tr>
    </w:tbl>
    <w:p>
      <w:pPr>
        <w:spacing w:after="40"/>
      </w:pPr>
    </w:p>
    <w:p>
      <w:pPr>
        <w:pStyle w:val="Heading2"/>
      </w:pPr>
      <w:r>
        <w:t>9.2 Restrictive covenant eligibility recomputed at 2025 thresholds</w:t>
      </w:r>
    </w:p>
    <w:tbl>
      <w:tblPr>
        <w:tblStyle w:val="TableGrid"/>
        <w:tblW w:type="auto" w:w="0"/>
        <w:jc w:val="center"/>
        <w:tblLayout w:type="fixed"/>
        <w:tblLook w:firstColumn="1" w:firstRow="1" w:lastColumn="0" w:lastRow="0" w:noHBand="0" w:noVBand="1" w:val="04A0"/>
        <w:tblLayout w:type="fixed"/>
      </w:tblPr>
      <w:tblGrid>
        <w:gridCol w:w="3456"/>
        <w:gridCol w:w="1152"/>
        <w:gridCol w:w="2304"/>
        <w:gridCol w:w="2448"/>
      </w:tblGrid>
      <w:tr>
        <w:trPr>
          <w:tblHeader w:val="true"/>
        </w:trPr>
        <w:tc>
          <w:tcPr>
            <w:tcW w:type="dxa" w:w="3456"/>
            <w:shd w:val="clear" w:color="auto" w:fill="1F3A5F"/>
          </w:tcPr>
          <w:p>
            <w:r/>
            <w:r>
              <w:rPr>
                <w:b/>
                <w:color w:val="FFFFFF"/>
                <w:sz w:val="17"/>
              </w:rPr>
              <w:t>Annual compensation band (census)</w:t>
            </w:r>
          </w:p>
        </w:tc>
        <w:tc>
          <w:tcPr>
            <w:tcW w:type="dxa" w:w="1152"/>
            <w:shd w:val="clear" w:color="auto" w:fill="1F3A5F"/>
          </w:tcPr>
          <w:p>
            <w:r/>
            <w:r>
              <w:rPr>
                <w:b/>
                <w:color w:val="FFFFFF"/>
                <w:sz w:val="17"/>
              </w:rPr>
              <w:t>Employees</w:t>
            </w:r>
          </w:p>
        </w:tc>
        <w:tc>
          <w:tcPr>
            <w:tcW w:type="dxa" w:w="2304"/>
            <w:shd w:val="clear" w:color="auto" w:fill="1F3A5F"/>
          </w:tcPr>
          <w:p>
            <w:r/>
            <w:r>
              <w:rPr>
                <w:b/>
                <w:color w:val="FFFFFF"/>
                <w:sz w:val="17"/>
              </w:rPr>
              <w:t>Non-compete (≥ $127,091)</w:t>
            </w:r>
          </w:p>
        </w:tc>
        <w:tc>
          <w:tcPr>
            <w:tcW w:type="dxa" w:w="2448"/>
            <w:shd w:val="clear" w:color="auto" w:fill="1F3A5F"/>
          </w:tcPr>
          <w:p>
            <w:r/>
            <w:r>
              <w:rPr>
                <w:b/>
                <w:color w:val="FFFFFF"/>
                <w:sz w:val="17"/>
              </w:rPr>
              <w:t>Customer non-solicit (≥ $76,254.60)</w:t>
            </w:r>
          </w:p>
        </w:tc>
      </w:tr>
      <w:tr>
        <w:tc>
          <w:tcPr>
            <w:tcW w:type="dxa" w:w="3456"/>
          </w:tcPr>
          <w:p>
            <w:pPr>
              <w:spacing w:after="20"/>
            </w:pPr>
            <w:r/>
            <w:r>
              <w:rPr>
                <w:b w:val="0"/>
                <w:i w:val="0"/>
                <w:sz w:val="17"/>
              </w:rPr>
              <w:t>Below $74,250 (all hourly NE, all salaried NE, 58 exempt)</w:t>
            </w:r>
          </w:p>
        </w:tc>
        <w:tc>
          <w:tcPr>
            <w:tcW w:type="dxa" w:w="1152"/>
          </w:tcPr>
          <w:p>
            <w:pPr>
              <w:spacing w:after="20"/>
            </w:pPr>
            <w:r/>
            <w:r>
              <w:rPr>
                <w:b w:val="0"/>
                <w:i w:val="0"/>
                <w:sz w:val="17"/>
              </w:rPr>
              <w:t>522</w:t>
            </w:r>
          </w:p>
        </w:tc>
        <w:tc>
          <w:tcPr>
            <w:tcW w:type="dxa" w:w="2304"/>
          </w:tcPr>
          <w:p>
            <w:pPr>
              <w:spacing w:after="20"/>
            </w:pPr>
            <w:r/>
            <w:r>
              <w:rPr>
                <w:b w:val="0"/>
                <w:i w:val="0"/>
                <w:sz w:val="17"/>
              </w:rPr>
              <w:t>Void</w:t>
            </w:r>
          </w:p>
        </w:tc>
        <w:tc>
          <w:tcPr>
            <w:tcW w:type="dxa" w:w="2448"/>
          </w:tcPr>
          <w:p>
            <w:pPr>
              <w:spacing w:after="20"/>
            </w:pPr>
            <w:r/>
            <w:r>
              <w:rPr>
                <w:b w:val="0"/>
                <w:i w:val="0"/>
                <w:sz w:val="17"/>
              </w:rPr>
              <w:t>Void</w:t>
            </w:r>
          </w:p>
        </w:tc>
      </w:tr>
      <w:tr>
        <w:tc>
          <w:tcPr>
            <w:tcW w:type="dxa" w:w="3456"/>
          </w:tcPr>
          <w:p>
            <w:pPr>
              <w:spacing w:after="20"/>
            </w:pPr>
            <w:r/>
            <w:r>
              <w:rPr>
                <w:b w:val="0"/>
                <w:i w:val="0"/>
                <w:sz w:val="17"/>
              </w:rPr>
              <w:t>$74,250–$89,999</w:t>
            </w:r>
          </w:p>
        </w:tc>
        <w:tc>
          <w:tcPr>
            <w:tcW w:type="dxa" w:w="1152"/>
          </w:tcPr>
          <w:p>
            <w:pPr>
              <w:spacing w:after="20"/>
            </w:pPr>
            <w:r/>
            <w:r>
              <w:rPr>
                <w:b w:val="0"/>
                <w:i w:val="0"/>
                <w:sz w:val="17"/>
              </w:rPr>
              <w:t>25</w:t>
            </w:r>
          </w:p>
        </w:tc>
        <w:tc>
          <w:tcPr>
            <w:tcW w:type="dxa" w:w="2304"/>
          </w:tcPr>
          <w:p>
            <w:pPr>
              <w:spacing w:after="20"/>
            </w:pPr>
            <w:r/>
            <w:r>
              <w:rPr>
                <w:b w:val="0"/>
                <w:i w:val="0"/>
                <w:sz w:val="17"/>
              </w:rPr>
              <w:t>Void</w:t>
            </w:r>
          </w:p>
        </w:tc>
        <w:tc>
          <w:tcPr>
            <w:tcW w:type="dxa" w:w="2448"/>
          </w:tcPr>
          <w:p>
            <w:pPr>
              <w:spacing w:after="20"/>
            </w:pPr>
            <w:r/>
            <w:r>
              <w:rPr>
                <w:b w:val="0"/>
                <w:i w:val="0"/>
                <w:sz w:val="17"/>
              </w:rPr>
              <w:t>Partly — only those at or above $76,254.60</w:t>
            </w:r>
          </w:p>
        </w:tc>
      </w:tr>
      <w:tr>
        <w:tc>
          <w:tcPr>
            <w:tcW w:type="dxa" w:w="3456"/>
          </w:tcPr>
          <w:p>
            <w:pPr>
              <w:spacing w:after="20"/>
            </w:pPr>
            <w:r/>
            <w:r>
              <w:rPr>
                <w:b w:val="0"/>
                <w:i w:val="0"/>
                <w:sz w:val="17"/>
              </w:rPr>
              <w:t>$90,000–$123,749</w:t>
            </w:r>
          </w:p>
        </w:tc>
        <w:tc>
          <w:tcPr>
            <w:tcW w:type="dxa" w:w="1152"/>
          </w:tcPr>
          <w:p>
            <w:pPr>
              <w:spacing w:after="20"/>
            </w:pPr>
            <w:r/>
            <w:r>
              <w:rPr>
                <w:b w:val="0"/>
                <w:i w:val="0"/>
                <w:sz w:val="17"/>
              </w:rPr>
              <w:t>42</w:t>
            </w:r>
          </w:p>
        </w:tc>
        <w:tc>
          <w:tcPr>
            <w:tcW w:type="dxa" w:w="2304"/>
          </w:tcPr>
          <w:p>
            <w:pPr>
              <w:spacing w:after="20"/>
            </w:pPr>
            <w:r/>
            <w:r>
              <w:rPr>
                <w:b w:val="0"/>
                <w:i w:val="0"/>
                <w:sz w:val="17"/>
              </w:rPr>
              <w:t>Void</w:t>
            </w:r>
          </w:p>
        </w:tc>
        <w:tc>
          <w:tcPr>
            <w:tcW w:type="dxa" w:w="2448"/>
          </w:tcPr>
          <w:p>
            <w:pPr>
              <w:spacing w:after="20"/>
            </w:pPr>
            <w:r/>
            <w:r>
              <w:rPr>
                <w:b w:val="0"/>
                <w:i w:val="0"/>
                <w:sz w:val="17"/>
              </w:rPr>
              <w:t>Eligible (if notice requirements met)</w:t>
            </w:r>
          </w:p>
        </w:tc>
      </w:tr>
      <w:tr>
        <w:tc>
          <w:tcPr>
            <w:tcW w:type="dxa" w:w="3456"/>
          </w:tcPr>
          <w:p>
            <w:pPr>
              <w:spacing w:after="20"/>
            </w:pPr>
            <w:r/>
            <w:r>
              <w:rPr>
                <w:b w:val="0"/>
                <w:i w:val="0"/>
                <w:sz w:val="17"/>
              </w:rPr>
              <w:t>$123,750–$149,999</w:t>
            </w:r>
          </w:p>
        </w:tc>
        <w:tc>
          <w:tcPr>
            <w:tcW w:type="dxa" w:w="1152"/>
          </w:tcPr>
          <w:p>
            <w:pPr>
              <w:spacing w:after="20"/>
            </w:pPr>
            <w:r/>
            <w:r>
              <w:rPr>
                <w:b w:val="0"/>
                <w:i w:val="0"/>
                <w:sz w:val="17"/>
              </w:rPr>
              <w:t>12</w:t>
            </w:r>
          </w:p>
        </w:tc>
        <w:tc>
          <w:tcPr>
            <w:tcW w:type="dxa" w:w="2304"/>
          </w:tcPr>
          <w:p>
            <w:pPr>
              <w:spacing w:after="20"/>
            </w:pPr>
            <w:r/>
            <w:r>
              <w:rPr>
                <w:b w:val="0"/>
                <w:i w:val="0"/>
                <w:sz w:val="17"/>
              </w:rPr>
              <w:t>Partly — only those at or above $127,091</w:t>
            </w:r>
          </w:p>
        </w:tc>
        <w:tc>
          <w:tcPr>
            <w:tcW w:type="dxa" w:w="2448"/>
          </w:tcPr>
          <w:p>
            <w:pPr>
              <w:spacing w:after="20"/>
            </w:pPr>
            <w:r/>
            <w:r>
              <w:rPr>
                <w:b w:val="0"/>
                <w:i w:val="0"/>
                <w:sz w:val="17"/>
              </w:rPr>
              <w:t>Eligible</w:t>
            </w:r>
          </w:p>
        </w:tc>
      </w:tr>
      <w:tr>
        <w:tc>
          <w:tcPr>
            <w:tcW w:type="dxa" w:w="3456"/>
          </w:tcPr>
          <w:p>
            <w:pPr>
              <w:spacing w:after="20"/>
            </w:pPr>
            <w:r/>
            <w:r>
              <w:rPr>
                <w:b w:val="0"/>
                <w:i w:val="0"/>
                <w:sz w:val="17"/>
              </w:rPr>
              <w:t>$150,000 and above</w:t>
            </w:r>
          </w:p>
        </w:tc>
        <w:tc>
          <w:tcPr>
            <w:tcW w:type="dxa" w:w="1152"/>
          </w:tcPr>
          <w:p>
            <w:pPr>
              <w:spacing w:after="20"/>
            </w:pPr>
            <w:r/>
            <w:r>
              <w:rPr>
                <w:b w:val="0"/>
                <w:i w:val="0"/>
                <w:sz w:val="17"/>
              </w:rPr>
              <w:t>11</w:t>
            </w:r>
          </w:p>
        </w:tc>
        <w:tc>
          <w:tcPr>
            <w:tcW w:type="dxa" w:w="2304"/>
          </w:tcPr>
          <w:p>
            <w:pPr>
              <w:spacing w:after="20"/>
            </w:pPr>
            <w:r/>
            <w:r>
              <w:rPr>
                <w:b w:val="0"/>
                <w:i w:val="0"/>
                <w:sz w:val="17"/>
              </w:rPr>
              <w:t>Eligible (if notice and scope requirements met)</w:t>
            </w:r>
          </w:p>
        </w:tc>
        <w:tc>
          <w:tcPr>
            <w:tcW w:type="dxa" w:w="2448"/>
          </w:tcPr>
          <w:p>
            <w:pPr>
              <w:spacing w:after="20"/>
            </w:pPr>
            <w:r/>
            <w:r>
              <w:rPr>
                <w:b w:val="0"/>
                <w:i w:val="0"/>
                <w:sz w:val="17"/>
              </w:rPr>
              <w:t>Eligible</w:t>
            </w:r>
          </w:p>
        </w:tc>
      </w:tr>
      <w:tr>
        <w:tc>
          <w:tcPr>
            <w:tcW w:type="dxa" w:w="3456"/>
          </w:tcPr>
          <w:p>
            <w:pPr>
              <w:spacing w:after="20"/>
            </w:pPr>
            <w:r/>
            <w:r>
              <w:rPr>
                <w:b w:val="0"/>
                <w:i w:val="0"/>
                <w:sz w:val="17"/>
              </w:rPr>
              <w:t>Total</w:t>
            </w:r>
          </w:p>
        </w:tc>
        <w:tc>
          <w:tcPr>
            <w:tcW w:type="dxa" w:w="1152"/>
          </w:tcPr>
          <w:p>
            <w:pPr>
              <w:spacing w:after="20"/>
            </w:pPr>
            <w:r/>
            <w:r>
              <w:rPr>
                <w:b w:val="0"/>
                <w:i w:val="0"/>
                <w:sz w:val="17"/>
              </w:rPr>
              <w:t>612</w:t>
            </w:r>
          </w:p>
        </w:tc>
        <w:tc>
          <w:tcPr>
            <w:tcW w:type="dxa" w:w="2304"/>
          </w:tcPr>
          <w:p>
            <w:pPr>
              <w:spacing w:after="20"/>
            </w:pPr>
            <w:r/>
            <w:r>
              <w:rPr>
                <w:b w:val="0"/>
                <w:i w:val="0"/>
                <w:sz w:val="17"/>
              </w:rPr>
              <w:t>At most 23 (≥ 11 confirmed)</w:t>
            </w:r>
          </w:p>
        </w:tc>
        <w:tc>
          <w:tcPr>
            <w:tcW w:type="dxa" w:w="2448"/>
          </w:tcPr>
          <w:p>
            <w:pPr>
              <w:spacing w:after="20"/>
            </w:pPr>
            <w:r/>
            <w:r>
              <w:rPr>
                <w:b w:val="0"/>
                <w:i w:val="0"/>
                <w:sz w:val="17"/>
              </w:rPr>
              <w:t>At most 90 (≥ 65 confirmed)</w:t>
            </w:r>
          </w:p>
        </w:tc>
      </w:tr>
    </w:tbl>
    <w:p>
      <w:pPr>
        <w:spacing w:after="40"/>
      </w:pPr>
    </w:p>
    <w:p>
      <w:r>
        <w:rPr>
          <w:b w:val="0"/>
          <w:i/>
        </w:rPr>
        <w:t>Compensation for covenant purposes is annualized cash compensation (salary, wages, bonuses and commissions); the census bands should be re-run on an employee-level basis at the 2025 thresholds before any covenant is offered.</w:t>
      </w:r>
    </w:p>
    <w:p>
      <w:pPr>
        <w:pStyle w:val="Heading2"/>
      </w:pPr>
      <w:r>
        <w:t>9.3 Data integrity issues to resolve with Pinnacle</w:t>
      </w:r>
    </w:p>
    <w:p>
      <w:pPr>
        <w:pStyle w:val="ListBullet"/>
        <w:spacing w:after="40"/>
      </w:pPr>
      <w:r>
        <w:rPr>
          <w:b/>
          <w:i w:val="0"/>
        </w:rPr>
        <w:t>Durango salaried non-exempt headcount.</w:t>
      </w:r>
      <w:r>
        <w:rPr>
          <w:b w:val="0"/>
          <w:i w:val="0"/>
        </w:rPr>
        <w:t xml:space="preserve"> The Headcount by Facility tab shows −1 salaried non-exempt employees at Durango (and a Western Slope subtotal of 3), while the Compensation by Classification tab shows 0. Summing the facility rows on the compensation tab gives 76 salaried non-exempt employees, not the 75 reported, and a Durango total of 56, not 55. Either the 612 total or one facility count is off by one; the payroll source should be corrected before the census is used for covenant, FAMLI or audit work.</w:t>
      </w:r>
    </w:p>
    <w:p>
      <w:pPr>
        <w:pStyle w:val="ListBullet"/>
        <w:spacing w:after="40"/>
      </w:pPr>
      <w:r>
        <w:rPr>
          <w:b/>
          <w:i w:val="0"/>
        </w:rPr>
        <w:t>Outdated thresholds embedded in the census.</w:t>
      </w:r>
      <w:r>
        <w:rPr>
          <w:b w:val="0"/>
          <w:i w:val="0"/>
        </w:rPr>
        <w:t xml:space="preserve"> The “Employees ≥ $123,750/yr,” “$74,250–$123,749/yr” and “Restrictive Covenant Eligibility” columns use the 2024 thresholds; see 9.2.</w:t>
      </w:r>
    </w:p>
    <w:p>
      <w:pPr>
        <w:pStyle w:val="ListBullet"/>
        <w:spacing w:after="40"/>
      </w:pPr>
      <w:r>
        <w:rPr>
          <w:b/>
          <w:i w:val="0"/>
        </w:rPr>
        <w:t>Annualization assumption.</w:t>
      </w:r>
      <w:r>
        <w:rPr>
          <w:b w:val="0"/>
          <w:i w:val="0"/>
        </w:rPr>
        <w:t xml:space="preserve"> Hourly annual ranges assume 2,080 hours ($16.50 × 2,080 = $34,320). The census does not separate full-time from part-time hourly employees, which is needed to quantify the HFWA accrual shortfall (C-6) and PHEL proration (H-2).</w:t>
      </w:r>
    </w:p>
    <w:p>
      <w:pPr>
        <w:pStyle w:val="ListBullet"/>
        <w:spacing w:after="40"/>
      </w:pPr>
      <w:r>
        <w:rPr>
          <w:b/>
          <w:i w:val="0"/>
        </w:rPr>
        <w:t>No job-title data.</w:t>
      </w:r>
      <w:r>
        <w:rPr>
          <w:b w:val="0"/>
          <w:i w:val="0"/>
        </w:rPr>
        <w:t xml:space="preserve"> Title and duties data is needed to test exempt status (C-2), covenant eligibility, and any SB 25-083 health-care-provider issues (C-9).</w:t>
      </w:r>
    </w:p>
    <w:p>
      <w:pPr>
        <w:pStyle w:val="ListBullet"/>
        <w:spacing w:after="40"/>
      </w:pPr>
      <w:r>
        <w:rPr>
          <w:b/>
          <w:i w:val="0"/>
        </w:rPr>
        <w:t>Handbook narrative versus census.</w:t>
      </w:r>
      <w:r>
        <w:rPr>
          <w:b w:val="0"/>
          <w:i w:val="0"/>
        </w:rPr>
        <w:t xml:space="preserve"> The welcome letter’s description of which facilities came from Peak Vista conflicts with the census (L-2).</w:t>
      </w:r>
    </w:p>
    <w:p>
      <w:pPr>
        <w:pStyle w:val="Heading1"/>
      </w:pPr>
      <w:r>
        <w:t>10. Provision-by-Provision Crosswalk</w:t>
      </w:r>
    </w:p>
    <w:tbl>
      <w:tblPr>
        <w:tblStyle w:val="TableGrid"/>
        <w:tblW w:type="auto" w:w="0"/>
        <w:jc w:val="center"/>
        <w:tblLayout w:type="fixed"/>
        <w:tblLook w:firstColumn="1" w:firstRow="1" w:lastColumn="0" w:lastRow="0" w:noHBand="0" w:noVBand="1" w:val="04A0"/>
        <w:tblLayout w:type="fixed"/>
      </w:tblPr>
      <w:tblGrid>
        <w:gridCol w:w="2592"/>
        <w:gridCol w:w="5184"/>
        <w:gridCol w:w="1584"/>
      </w:tblGrid>
      <w:tr>
        <w:trPr>
          <w:tblHeader w:val="true"/>
        </w:trPr>
        <w:tc>
          <w:tcPr>
            <w:tcW w:type="dxa" w:w="2592"/>
            <w:shd w:val="clear" w:color="auto" w:fill="1F3A5F"/>
          </w:tcPr>
          <w:p>
            <w:r/>
            <w:r>
              <w:rPr>
                <w:b/>
                <w:color w:val="FFFFFF"/>
                <w:sz w:val="17"/>
              </w:rPr>
              <w:t>Handbook section</w:t>
            </w:r>
          </w:p>
        </w:tc>
        <w:tc>
          <w:tcPr>
            <w:tcW w:type="dxa" w:w="5184"/>
            <w:shd w:val="clear" w:color="auto" w:fill="1F3A5F"/>
          </w:tcPr>
          <w:p>
            <w:r/>
            <w:r>
              <w:rPr>
                <w:b/>
                <w:color w:val="FFFFFF"/>
                <w:sz w:val="17"/>
              </w:rPr>
              <w:t>Assessment</w:t>
            </w:r>
          </w:p>
        </w:tc>
        <w:tc>
          <w:tcPr>
            <w:tcW w:type="dxa" w:w="1584"/>
            <w:shd w:val="clear" w:color="auto" w:fill="1F3A5F"/>
          </w:tcPr>
          <w:p>
            <w:r/>
            <w:r>
              <w:rPr>
                <w:b/>
                <w:color w:val="FFFFFF"/>
                <w:sz w:val="17"/>
              </w:rPr>
              <w:t>Findings</w:t>
            </w:r>
          </w:p>
        </w:tc>
      </w:tr>
      <w:tr>
        <w:tc>
          <w:tcPr>
            <w:tcW w:type="dxa" w:w="2592"/>
          </w:tcPr>
          <w:p>
            <w:pPr>
              <w:spacing w:after="20"/>
            </w:pPr>
            <w:r/>
            <w:r>
              <w:rPr>
                <w:b w:val="0"/>
                <w:i w:val="0"/>
                <w:sz w:val="17"/>
              </w:rPr>
              <w:t>§ 1.1 Welcome</w:t>
            </w:r>
          </w:p>
        </w:tc>
        <w:tc>
          <w:tcPr>
            <w:tcW w:type="dxa" w:w="5184"/>
          </w:tcPr>
          <w:p>
            <w:pPr>
              <w:spacing w:after="20"/>
            </w:pPr>
            <w:r/>
            <w:r>
              <w:rPr>
                <w:b w:val="0"/>
                <w:i w:val="0"/>
                <w:sz w:val="17"/>
              </w:rPr>
              <w:t>Factual errors in acquisition history.</w:t>
            </w:r>
          </w:p>
        </w:tc>
        <w:tc>
          <w:tcPr>
            <w:tcW w:type="dxa" w:w="1584"/>
          </w:tcPr>
          <w:p>
            <w:pPr>
              <w:spacing w:after="20"/>
            </w:pPr>
            <w:r/>
            <w:r>
              <w:rPr>
                <w:b w:val="0"/>
                <w:i w:val="0"/>
                <w:sz w:val="17"/>
              </w:rPr>
              <w:t>L-2</w:t>
            </w:r>
          </w:p>
        </w:tc>
      </w:tr>
      <w:tr>
        <w:tc>
          <w:tcPr>
            <w:tcW w:type="dxa" w:w="2592"/>
          </w:tcPr>
          <w:p>
            <w:pPr>
              <w:spacing w:after="20"/>
            </w:pPr>
            <w:r/>
            <w:r>
              <w:rPr>
                <w:b w:val="0"/>
                <w:i w:val="0"/>
                <w:sz w:val="17"/>
              </w:rPr>
              <w:t>§ 1.2 Purpose / § 1.3 At-will</w:t>
            </w:r>
          </w:p>
        </w:tc>
        <w:tc>
          <w:tcPr>
            <w:tcW w:type="dxa" w:w="5184"/>
          </w:tcPr>
          <w:p>
            <w:pPr>
              <w:spacing w:after="20"/>
            </w:pPr>
            <w:r/>
            <w:r>
              <w:rPr>
                <w:b w:val="0"/>
                <w:i w:val="0"/>
                <w:sz w:val="17"/>
              </w:rPr>
              <w:t>At-will disclaimer is strong and conspicuous; retain. Unilateral-modification language defeats handbook arbitration.</w:t>
            </w:r>
          </w:p>
        </w:tc>
        <w:tc>
          <w:tcPr>
            <w:tcW w:type="dxa" w:w="1584"/>
          </w:tcPr>
          <w:p>
            <w:pPr>
              <w:spacing w:after="20"/>
            </w:pPr>
            <w:r/>
            <w:r>
              <w:rPr>
                <w:b w:val="0"/>
                <w:i w:val="0"/>
                <w:sz w:val="17"/>
              </w:rPr>
              <w:t>M-6, H-10</w:t>
            </w:r>
          </w:p>
        </w:tc>
      </w:tr>
      <w:tr>
        <w:tc>
          <w:tcPr>
            <w:tcW w:type="dxa" w:w="2592"/>
          </w:tcPr>
          <w:p>
            <w:pPr>
              <w:spacing w:after="20"/>
            </w:pPr>
            <w:r/>
            <w:r>
              <w:rPr>
                <w:b w:val="0"/>
                <w:i w:val="0"/>
                <w:sz w:val="17"/>
              </w:rPr>
              <w:t>§ 2.1 Categories / introductory period</w:t>
            </w:r>
          </w:p>
        </w:tc>
        <w:tc>
          <w:tcPr>
            <w:tcW w:type="dxa" w:w="5184"/>
          </w:tcPr>
          <w:p>
            <w:pPr>
              <w:spacing w:after="20"/>
            </w:pPr>
            <w:r/>
            <w:r>
              <w:rPr>
                <w:b w:val="0"/>
                <w:i w:val="0"/>
                <w:sz w:val="17"/>
              </w:rPr>
              <w:t>Introductory period may not delay HFWA leave; otherwise acceptable.</w:t>
            </w:r>
          </w:p>
        </w:tc>
        <w:tc>
          <w:tcPr>
            <w:tcW w:type="dxa" w:w="1584"/>
          </w:tcPr>
          <w:p>
            <w:pPr>
              <w:spacing w:after="20"/>
            </w:pPr>
            <w:r/>
            <w:r>
              <w:rPr>
                <w:b w:val="0"/>
                <w:i w:val="0"/>
                <w:sz w:val="17"/>
              </w:rPr>
              <w:t>C-7, M-6</w:t>
            </w:r>
          </w:p>
        </w:tc>
      </w:tr>
      <w:tr>
        <w:tc>
          <w:tcPr>
            <w:tcW w:type="dxa" w:w="2592"/>
          </w:tcPr>
          <w:p>
            <w:pPr>
              <w:spacing w:after="20"/>
            </w:pPr>
            <w:r/>
            <w:r>
              <w:rPr>
                <w:b w:val="0"/>
                <w:i w:val="0"/>
                <w:sz w:val="17"/>
              </w:rPr>
              <w:t>§ 2.2 Exempt / non-exempt</w:t>
            </w:r>
          </w:p>
        </w:tc>
        <w:tc>
          <w:tcPr>
            <w:tcW w:type="dxa" w:w="5184"/>
          </w:tcPr>
          <w:p>
            <w:pPr>
              <w:spacing w:after="20"/>
            </w:pPr>
            <w:r/>
            <w:r>
              <w:rPr>
                <w:b w:val="0"/>
                <w:i w:val="0"/>
                <w:sz w:val="17"/>
              </w:rPr>
              <w:t>FLSA-only framing; Colorado salary floor not met for some exempt employees.</w:t>
            </w:r>
          </w:p>
        </w:tc>
        <w:tc>
          <w:tcPr>
            <w:tcW w:type="dxa" w:w="1584"/>
          </w:tcPr>
          <w:p>
            <w:pPr>
              <w:spacing w:after="20"/>
            </w:pPr>
            <w:r/>
            <w:r>
              <w:rPr>
                <w:b w:val="0"/>
                <w:i w:val="0"/>
                <w:sz w:val="17"/>
              </w:rPr>
              <w:t>C-2, M-1</w:t>
            </w:r>
          </w:p>
        </w:tc>
      </w:tr>
      <w:tr>
        <w:tc>
          <w:tcPr>
            <w:tcW w:type="dxa" w:w="2592"/>
          </w:tcPr>
          <w:p>
            <w:pPr>
              <w:spacing w:after="20"/>
            </w:pPr>
            <w:r/>
            <w:r>
              <w:rPr>
                <w:b w:val="0"/>
                <w:i w:val="0"/>
                <w:sz w:val="17"/>
              </w:rPr>
              <w:t>§ 2.3 Payroll processing</w:t>
            </w:r>
          </w:p>
        </w:tc>
        <w:tc>
          <w:tcPr>
            <w:tcW w:type="dxa" w:w="5184"/>
          </w:tcPr>
          <w:p>
            <w:pPr>
              <w:spacing w:after="20"/>
            </w:pPr>
            <w:r/>
            <w:r>
              <w:rPr>
                <w:b w:val="0"/>
                <w:i w:val="0"/>
                <w:sz w:val="17"/>
              </w:rPr>
              <w:t>Biweekly schedule compliant; add pay statement description.</w:t>
            </w:r>
          </w:p>
        </w:tc>
        <w:tc>
          <w:tcPr>
            <w:tcW w:type="dxa" w:w="1584"/>
          </w:tcPr>
          <w:p>
            <w:pPr>
              <w:spacing w:after="20"/>
            </w:pPr>
            <w:r/>
            <w:r>
              <w:rPr>
                <w:b w:val="0"/>
                <w:i w:val="0"/>
                <w:sz w:val="17"/>
              </w:rPr>
              <w:t>M-3</w:t>
            </w:r>
          </w:p>
        </w:tc>
      </w:tr>
      <w:tr>
        <w:tc>
          <w:tcPr>
            <w:tcW w:type="dxa" w:w="2592"/>
          </w:tcPr>
          <w:p>
            <w:pPr>
              <w:spacing w:after="20"/>
            </w:pPr>
            <w:r/>
            <w:r>
              <w:rPr>
                <w:b w:val="0"/>
                <w:i w:val="0"/>
                <w:sz w:val="17"/>
              </w:rPr>
              <w:t>§ 3.1–3.3 EEO, harassment, reporting</w:t>
            </w:r>
          </w:p>
        </w:tc>
        <w:tc>
          <w:tcPr>
            <w:tcW w:type="dxa" w:w="5184"/>
          </w:tcPr>
          <w:p>
            <w:pPr>
              <w:spacing w:after="20"/>
            </w:pPr>
            <w:r/>
            <w:r>
              <w:rPr>
                <w:b w:val="0"/>
                <w:i w:val="0"/>
                <w:sz w:val="17"/>
              </w:rPr>
              <w:t>Incomplete classes; outdated standard; thin channels; CCRD omitted.</w:t>
            </w:r>
          </w:p>
        </w:tc>
        <w:tc>
          <w:tcPr>
            <w:tcW w:type="dxa" w:w="1584"/>
          </w:tcPr>
          <w:p>
            <w:pPr>
              <w:spacing w:after="20"/>
            </w:pPr>
            <w:r/>
            <w:r>
              <w:rPr>
                <w:b w:val="0"/>
                <w:i w:val="0"/>
                <w:sz w:val="17"/>
              </w:rPr>
              <w:t>H-5, H-6, M-4</w:t>
            </w:r>
          </w:p>
        </w:tc>
      </w:tr>
      <w:tr>
        <w:tc>
          <w:tcPr>
            <w:tcW w:type="dxa" w:w="2592"/>
          </w:tcPr>
          <w:p>
            <w:pPr>
              <w:spacing w:after="20"/>
            </w:pPr>
            <w:r/>
            <w:r>
              <w:rPr>
                <w:b w:val="0"/>
                <w:i w:val="0"/>
                <w:sz w:val="17"/>
              </w:rPr>
              <w:t>§ 4.1 Wage administration</w:t>
            </w:r>
          </w:p>
        </w:tc>
        <w:tc>
          <w:tcPr>
            <w:tcW w:type="dxa" w:w="5184"/>
          </w:tcPr>
          <w:p>
            <w:pPr>
              <w:spacing w:after="20"/>
            </w:pPr>
            <w:r/>
            <w:r>
              <w:rPr>
                <w:b w:val="0"/>
                <w:i w:val="0"/>
                <w:sz w:val="17"/>
              </w:rPr>
              <w:t>Add pay transparency.</w:t>
            </w:r>
          </w:p>
        </w:tc>
        <w:tc>
          <w:tcPr>
            <w:tcW w:type="dxa" w:w="1584"/>
          </w:tcPr>
          <w:p>
            <w:pPr>
              <w:spacing w:after="20"/>
            </w:pPr>
            <w:r/>
            <w:r>
              <w:rPr>
                <w:b w:val="0"/>
                <w:i w:val="0"/>
                <w:sz w:val="17"/>
              </w:rPr>
              <w:t>M-5</w:t>
            </w:r>
          </w:p>
        </w:tc>
      </w:tr>
      <w:tr>
        <w:tc>
          <w:tcPr>
            <w:tcW w:type="dxa" w:w="2592"/>
          </w:tcPr>
          <w:p>
            <w:pPr>
              <w:spacing w:after="20"/>
            </w:pPr>
            <w:r/>
            <w:r>
              <w:rPr>
                <w:b w:val="0"/>
                <w:i w:val="0"/>
                <w:sz w:val="17"/>
              </w:rPr>
              <w:t>§ 4.2 Minimum wage</w:t>
            </w:r>
          </w:p>
        </w:tc>
        <w:tc>
          <w:tcPr>
            <w:tcW w:type="dxa" w:w="5184"/>
          </w:tcPr>
          <w:p>
            <w:pPr>
              <w:spacing w:after="20"/>
            </w:pPr>
            <w:r/>
            <w:r>
              <w:rPr>
                <w:b w:val="0"/>
                <w:i w:val="0"/>
                <w:sz w:val="17"/>
              </w:rPr>
              <w:t>Below state minimum; Denver local minimum not met.</w:t>
            </w:r>
          </w:p>
        </w:tc>
        <w:tc>
          <w:tcPr>
            <w:tcW w:type="dxa" w:w="1584"/>
          </w:tcPr>
          <w:p>
            <w:pPr>
              <w:spacing w:after="20"/>
            </w:pPr>
            <w:r/>
            <w:r>
              <w:rPr>
                <w:b w:val="0"/>
                <w:i w:val="0"/>
                <w:sz w:val="17"/>
              </w:rPr>
              <w:t>C-1</w:t>
            </w:r>
          </w:p>
        </w:tc>
      </w:tr>
      <w:tr>
        <w:tc>
          <w:tcPr>
            <w:tcW w:type="dxa" w:w="2592"/>
          </w:tcPr>
          <w:p>
            <w:pPr>
              <w:spacing w:after="20"/>
            </w:pPr>
            <w:r/>
            <w:r>
              <w:rPr>
                <w:b w:val="0"/>
                <w:i w:val="0"/>
                <w:sz w:val="17"/>
              </w:rPr>
              <w:t>§ 4.3 Overtime</w:t>
            </w:r>
          </w:p>
        </w:tc>
        <w:tc>
          <w:tcPr>
            <w:tcW w:type="dxa" w:w="5184"/>
          </w:tcPr>
          <w:p>
            <w:pPr>
              <w:spacing w:after="20"/>
            </w:pPr>
            <w:r/>
            <w:r>
              <w:rPr>
                <w:b w:val="0"/>
                <w:i w:val="0"/>
                <w:sz w:val="17"/>
              </w:rPr>
              <w:t>Weekly trigger only.</w:t>
            </w:r>
          </w:p>
        </w:tc>
        <w:tc>
          <w:tcPr>
            <w:tcW w:type="dxa" w:w="1584"/>
          </w:tcPr>
          <w:p>
            <w:pPr>
              <w:spacing w:after="20"/>
            </w:pPr>
            <w:r/>
            <w:r>
              <w:rPr>
                <w:b w:val="0"/>
                <w:i w:val="0"/>
                <w:sz w:val="17"/>
              </w:rPr>
              <w:t>C-3, M-1</w:t>
            </w:r>
          </w:p>
        </w:tc>
      </w:tr>
      <w:tr>
        <w:tc>
          <w:tcPr>
            <w:tcW w:type="dxa" w:w="2592"/>
          </w:tcPr>
          <w:p>
            <w:pPr>
              <w:spacing w:after="20"/>
            </w:pPr>
            <w:r/>
            <w:r>
              <w:rPr>
                <w:b w:val="0"/>
                <w:i w:val="0"/>
                <w:sz w:val="17"/>
              </w:rPr>
              <w:t>§ 4.4 Meal / rest</w:t>
            </w:r>
          </w:p>
        </w:tc>
        <w:tc>
          <w:tcPr>
            <w:tcW w:type="dxa" w:w="5184"/>
          </w:tcPr>
          <w:p>
            <w:pPr>
              <w:spacing w:after="20"/>
            </w:pPr>
            <w:r/>
            <w:r>
              <w:rPr>
                <w:b w:val="0"/>
                <w:i w:val="0"/>
                <w:sz w:val="17"/>
              </w:rPr>
              <w:t>Six-hour meal trigger; optional rest breaks.</w:t>
            </w:r>
          </w:p>
        </w:tc>
        <w:tc>
          <w:tcPr>
            <w:tcW w:type="dxa" w:w="1584"/>
          </w:tcPr>
          <w:p>
            <w:pPr>
              <w:spacing w:after="20"/>
            </w:pPr>
            <w:r/>
            <w:r>
              <w:rPr>
                <w:b w:val="0"/>
                <w:i w:val="0"/>
                <w:sz w:val="17"/>
              </w:rPr>
              <w:t>C-4, C-5</w:t>
            </w:r>
          </w:p>
        </w:tc>
      </w:tr>
      <w:tr>
        <w:tc>
          <w:tcPr>
            <w:tcW w:type="dxa" w:w="2592"/>
          </w:tcPr>
          <w:p>
            <w:pPr>
              <w:spacing w:after="20"/>
            </w:pPr>
            <w:r/>
            <w:r>
              <w:rPr>
                <w:b w:val="0"/>
                <w:i w:val="0"/>
                <w:sz w:val="17"/>
              </w:rPr>
              <w:t>§ 4.5 Timekeeping</w:t>
            </w:r>
          </w:p>
        </w:tc>
        <w:tc>
          <w:tcPr>
            <w:tcW w:type="dxa" w:w="5184"/>
          </w:tcPr>
          <w:p>
            <w:pPr>
              <w:spacing w:after="20"/>
            </w:pPr>
            <w:r/>
            <w:r>
              <w:rPr>
                <w:b w:val="0"/>
                <w:i w:val="0"/>
                <w:sz w:val="17"/>
              </w:rPr>
              <w:t>Add daily, meal and rest recording.</w:t>
            </w:r>
          </w:p>
        </w:tc>
        <w:tc>
          <w:tcPr>
            <w:tcW w:type="dxa" w:w="1584"/>
          </w:tcPr>
          <w:p>
            <w:pPr>
              <w:spacing w:after="20"/>
            </w:pPr>
            <w:r/>
            <w:r>
              <w:rPr>
                <w:b w:val="0"/>
                <w:i w:val="0"/>
                <w:sz w:val="17"/>
              </w:rPr>
              <w:t>M-1</w:t>
            </w:r>
          </w:p>
        </w:tc>
      </w:tr>
      <w:tr>
        <w:tc>
          <w:tcPr>
            <w:tcW w:type="dxa" w:w="2592"/>
          </w:tcPr>
          <w:p>
            <w:pPr>
              <w:spacing w:after="20"/>
            </w:pPr>
            <w:r/>
            <w:r>
              <w:rPr>
                <w:b w:val="0"/>
                <w:i w:val="0"/>
                <w:sz w:val="17"/>
              </w:rPr>
              <w:t>§ 4.6 Deductions / § 4.7 Final pay</w:t>
            </w:r>
          </w:p>
        </w:tc>
        <w:tc>
          <w:tcPr>
            <w:tcW w:type="dxa" w:w="5184"/>
          </w:tcPr>
          <w:p>
            <w:pPr>
              <w:spacing w:after="20"/>
            </w:pPr>
            <w:r/>
            <w:r>
              <w:rPr>
                <w:b w:val="0"/>
                <w:i w:val="0"/>
                <w:sz w:val="17"/>
              </w:rPr>
              <w:t>FAMLI omitted; termination pay timing unlawful.</w:t>
            </w:r>
          </w:p>
        </w:tc>
        <w:tc>
          <w:tcPr>
            <w:tcW w:type="dxa" w:w="1584"/>
          </w:tcPr>
          <w:p>
            <w:pPr>
              <w:spacing w:after="20"/>
            </w:pPr>
            <w:r/>
            <w:r>
              <w:rPr>
                <w:b w:val="0"/>
                <w:i w:val="0"/>
                <w:sz w:val="17"/>
              </w:rPr>
              <w:t>M-2, C-8</w:t>
            </w:r>
          </w:p>
        </w:tc>
      </w:tr>
      <w:tr>
        <w:tc>
          <w:tcPr>
            <w:tcW w:type="dxa" w:w="2592"/>
          </w:tcPr>
          <w:p>
            <w:pPr>
              <w:spacing w:after="20"/>
            </w:pPr>
            <w:r/>
            <w:r>
              <w:rPr>
                <w:b w:val="0"/>
                <w:i w:val="0"/>
                <w:sz w:val="17"/>
              </w:rPr>
              <w:t>§ 5.1–5.4 PTO</w:t>
            </w:r>
          </w:p>
        </w:tc>
        <w:tc>
          <w:tcPr>
            <w:tcW w:type="dxa" w:w="5184"/>
          </w:tcPr>
          <w:p>
            <w:pPr>
              <w:spacing w:after="20"/>
            </w:pPr>
            <w:r/>
            <w:r>
              <w:rPr>
                <w:b w:val="0"/>
                <w:i w:val="0"/>
                <w:sz w:val="17"/>
              </w:rPr>
              <w:t>1:40 accrual; use restrictions; forfeiture.</w:t>
            </w:r>
          </w:p>
        </w:tc>
        <w:tc>
          <w:tcPr>
            <w:tcW w:type="dxa" w:w="1584"/>
          </w:tcPr>
          <w:p>
            <w:pPr>
              <w:spacing w:after="20"/>
            </w:pPr>
            <w:r/>
            <w:r>
              <w:rPr>
                <w:b w:val="0"/>
                <w:i w:val="0"/>
                <w:sz w:val="17"/>
              </w:rPr>
              <w:t>C-6, C-7, C-10, H-3</w:t>
            </w:r>
          </w:p>
        </w:tc>
      </w:tr>
      <w:tr>
        <w:tc>
          <w:tcPr>
            <w:tcW w:type="dxa" w:w="2592"/>
          </w:tcPr>
          <w:p>
            <w:pPr>
              <w:spacing w:after="20"/>
            </w:pPr>
            <w:r/>
            <w:r>
              <w:rPr>
                <w:b w:val="0"/>
                <w:i w:val="0"/>
                <w:sz w:val="17"/>
              </w:rPr>
              <w:t>§ 6.1–6.3 Safety, workers’ compensation</w:t>
            </w:r>
          </w:p>
        </w:tc>
        <w:tc>
          <w:tcPr>
            <w:tcW w:type="dxa" w:w="5184"/>
          </w:tcPr>
          <w:p>
            <w:pPr>
              <w:spacing w:after="20"/>
            </w:pPr>
            <w:r/>
            <w:r>
              <w:rPr>
                <w:b w:val="0"/>
                <w:i w:val="0"/>
                <w:sz w:val="17"/>
              </w:rPr>
              <w:t>Workers’ compensation non-retaliation is sound; safety reporting needs whistleblower policy.</w:t>
            </w:r>
          </w:p>
        </w:tc>
        <w:tc>
          <w:tcPr>
            <w:tcW w:type="dxa" w:w="1584"/>
          </w:tcPr>
          <w:p>
            <w:pPr>
              <w:spacing w:after="20"/>
            </w:pPr>
            <w:r/>
            <w:r>
              <w:rPr>
                <w:b w:val="0"/>
                <w:i w:val="0"/>
                <w:sz w:val="17"/>
              </w:rPr>
              <w:t>H-7</w:t>
            </w:r>
          </w:p>
        </w:tc>
      </w:tr>
      <w:tr>
        <w:tc>
          <w:tcPr>
            <w:tcW w:type="dxa" w:w="2592"/>
          </w:tcPr>
          <w:p>
            <w:pPr>
              <w:spacing w:after="20"/>
            </w:pPr>
            <w:r/>
            <w:r>
              <w:rPr>
                <w:b w:val="0"/>
                <w:i w:val="0"/>
                <w:sz w:val="17"/>
              </w:rPr>
              <w:t>§ 6.4 Drug-free workplace</w:t>
            </w:r>
          </w:p>
        </w:tc>
        <w:tc>
          <w:tcPr>
            <w:tcW w:type="dxa" w:w="5184"/>
          </w:tcPr>
          <w:p>
            <w:pPr>
              <w:spacing w:after="20"/>
            </w:pPr>
            <w:r/>
            <w:r>
              <w:rPr>
                <w:b w:val="0"/>
                <w:i w:val="0"/>
                <w:sz w:val="17"/>
              </w:rPr>
              <w:t>Generally sound; clarifications.</w:t>
            </w:r>
          </w:p>
        </w:tc>
        <w:tc>
          <w:tcPr>
            <w:tcW w:type="dxa" w:w="1584"/>
          </w:tcPr>
          <w:p>
            <w:pPr>
              <w:spacing w:after="20"/>
            </w:pPr>
            <w:r/>
            <w:r>
              <w:rPr>
                <w:b w:val="0"/>
                <w:i w:val="0"/>
                <w:sz w:val="17"/>
              </w:rPr>
              <w:t>L-4</w:t>
            </w:r>
          </w:p>
        </w:tc>
      </w:tr>
      <w:tr>
        <w:tc>
          <w:tcPr>
            <w:tcW w:type="dxa" w:w="2592"/>
          </w:tcPr>
          <w:p>
            <w:pPr>
              <w:spacing w:after="20"/>
            </w:pPr>
            <w:r/>
            <w:r>
              <w:rPr>
                <w:b w:val="0"/>
                <w:i w:val="0"/>
                <w:sz w:val="17"/>
              </w:rPr>
              <w:t>§ 7.1–7.5 Leaves</w:t>
            </w:r>
          </w:p>
        </w:tc>
        <w:tc>
          <w:tcPr>
            <w:tcW w:type="dxa" w:w="5184"/>
          </w:tcPr>
          <w:p>
            <w:pPr>
              <w:spacing w:after="20"/>
            </w:pPr>
            <w:r/>
            <w:r>
              <w:rPr>
                <w:b w:val="0"/>
                <w:i w:val="0"/>
                <w:sz w:val="17"/>
              </w:rPr>
              <w:t>Voting leave compliant; jury and military clarifications; DV leave, PHEL and FAMLI missing.</w:t>
            </w:r>
          </w:p>
        </w:tc>
        <w:tc>
          <w:tcPr>
            <w:tcW w:type="dxa" w:w="1584"/>
          </w:tcPr>
          <w:p>
            <w:pPr>
              <w:spacing w:after="20"/>
            </w:pPr>
            <w:r/>
            <w:r>
              <w:rPr>
                <w:b w:val="0"/>
                <w:i w:val="0"/>
                <w:sz w:val="17"/>
              </w:rPr>
              <w:t>L-3, M-8, H-1, H-2</w:t>
            </w:r>
          </w:p>
        </w:tc>
      </w:tr>
      <w:tr>
        <w:tc>
          <w:tcPr>
            <w:tcW w:type="dxa" w:w="2592"/>
          </w:tcPr>
          <w:p>
            <w:pPr>
              <w:spacing w:after="20"/>
            </w:pPr>
            <w:r/>
            <w:r>
              <w:rPr>
                <w:b w:val="0"/>
                <w:i w:val="0"/>
                <w:sz w:val="17"/>
              </w:rPr>
              <w:t>§ 8.1–8.5 Benefits</w:t>
            </w:r>
          </w:p>
        </w:tc>
        <w:tc>
          <w:tcPr>
            <w:tcW w:type="dxa" w:w="5184"/>
          </w:tcPr>
          <w:p>
            <w:pPr>
              <w:spacing w:after="20"/>
            </w:pPr>
            <w:r/>
            <w:r>
              <w:rPr>
                <w:b w:val="0"/>
                <w:i w:val="0"/>
                <w:sz w:val="17"/>
              </w:rPr>
              <w:t>Benefits descriptions acceptable; tuition repayment needs § 8-2-113(3) limits; service credit for acquired employees.</w:t>
            </w:r>
          </w:p>
        </w:tc>
        <w:tc>
          <w:tcPr>
            <w:tcW w:type="dxa" w:w="1584"/>
          </w:tcPr>
          <w:p>
            <w:pPr>
              <w:spacing w:after="20"/>
            </w:pPr>
            <w:r/>
            <w:r>
              <w:rPr>
                <w:b w:val="0"/>
                <w:i w:val="0"/>
                <w:sz w:val="17"/>
              </w:rPr>
              <w:t>M-7, H-11</w:t>
            </w:r>
          </w:p>
        </w:tc>
      </w:tr>
      <w:tr>
        <w:tc>
          <w:tcPr>
            <w:tcW w:type="dxa" w:w="2592"/>
          </w:tcPr>
          <w:p>
            <w:pPr>
              <w:spacing w:after="20"/>
            </w:pPr>
            <w:r/>
            <w:r>
              <w:rPr>
                <w:b w:val="0"/>
                <w:i w:val="0"/>
                <w:sz w:val="17"/>
              </w:rPr>
              <w:t>§ 9 FMLA</w:t>
            </w:r>
          </w:p>
        </w:tc>
        <w:tc>
          <w:tcPr>
            <w:tcW w:type="dxa" w:w="5184"/>
          </w:tcPr>
          <w:p>
            <w:pPr>
              <w:spacing w:after="20"/>
            </w:pPr>
            <w:r/>
            <w:r>
              <w:rPr>
                <w:b w:val="0"/>
                <w:i w:val="0"/>
                <w:sz w:val="17"/>
              </w:rPr>
              <w:t>Accurate federal summary; add FAMLI, concurrency and general-notice items.</w:t>
            </w:r>
          </w:p>
        </w:tc>
        <w:tc>
          <w:tcPr>
            <w:tcW w:type="dxa" w:w="1584"/>
          </w:tcPr>
          <w:p>
            <w:pPr>
              <w:spacing w:after="20"/>
            </w:pPr>
            <w:r/>
            <w:r>
              <w:rPr>
                <w:b w:val="0"/>
                <w:i w:val="0"/>
                <w:sz w:val="17"/>
              </w:rPr>
              <w:t>H-1, L-5</w:t>
            </w:r>
          </w:p>
        </w:tc>
      </w:tr>
      <w:tr>
        <w:tc>
          <w:tcPr>
            <w:tcW w:type="dxa" w:w="2592"/>
          </w:tcPr>
          <w:p>
            <w:pPr>
              <w:spacing w:after="20"/>
            </w:pPr>
            <w:r/>
            <w:r>
              <w:rPr>
                <w:b w:val="0"/>
                <w:i w:val="0"/>
                <w:sz w:val="17"/>
              </w:rPr>
              <w:t>§ 10.1–10.5 Conduct, attendance, confidentiality, technology</w:t>
            </w:r>
          </w:p>
        </w:tc>
        <w:tc>
          <w:tcPr>
            <w:tcW w:type="dxa" w:w="5184"/>
          </w:tcPr>
          <w:p>
            <w:pPr>
              <w:spacing w:after="20"/>
            </w:pPr>
            <w:r/>
            <w:r>
              <w:rPr>
                <w:b w:val="0"/>
                <w:i w:val="0"/>
                <w:sz w:val="17"/>
              </w:rPr>
              <w:t>Attendance rules penalize protected leave; confidentiality clause chills wage discussion; technology monitoring acceptable.</w:t>
            </w:r>
          </w:p>
        </w:tc>
        <w:tc>
          <w:tcPr>
            <w:tcW w:type="dxa" w:w="1584"/>
          </w:tcPr>
          <w:p>
            <w:pPr>
              <w:spacing w:after="20"/>
            </w:pPr>
            <w:r/>
            <w:r>
              <w:rPr>
                <w:b w:val="0"/>
                <w:i w:val="0"/>
                <w:sz w:val="17"/>
              </w:rPr>
              <w:t>H-4, M-5</w:t>
            </w:r>
          </w:p>
        </w:tc>
      </w:tr>
      <w:tr>
        <w:tc>
          <w:tcPr>
            <w:tcW w:type="dxa" w:w="2592"/>
          </w:tcPr>
          <w:p>
            <w:pPr>
              <w:spacing w:after="20"/>
            </w:pPr>
            <w:r/>
            <w:r>
              <w:rPr>
                <w:b w:val="0"/>
                <w:i w:val="0"/>
                <w:sz w:val="17"/>
              </w:rPr>
              <w:t>§ 11 Progressive discipline</w:t>
            </w:r>
          </w:p>
        </w:tc>
        <w:tc>
          <w:tcPr>
            <w:tcW w:type="dxa" w:w="5184"/>
          </w:tcPr>
          <w:p>
            <w:pPr>
              <w:spacing w:after="20"/>
            </w:pPr>
            <w:r/>
            <w:r>
              <w:rPr>
                <w:b w:val="0"/>
                <w:i w:val="0"/>
                <w:sz w:val="17"/>
              </w:rPr>
              <w:t>Mandatory language erodes at-will disclaimer.</w:t>
            </w:r>
          </w:p>
        </w:tc>
        <w:tc>
          <w:tcPr>
            <w:tcW w:type="dxa" w:w="1584"/>
          </w:tcPr>
          <w:p>
            <w:pPr>
              <w:spacing w:after="20"/>
            </w:pPr>
            <w:r/>
            <w:r>
              <w:rPr>
                <w:b w:val="0"/>
                <w:i w:val="0"/>
                <w:sz w:val="17"/>
              </w:rPr>
              <w:t>M-6</w:t>
            </w:r>
          </w:p>
        </w:tc>
      </w:tr>
      <w:tr>
        <w:tc>
          <w:tcPr>
            <w:tcW w:type="dxa" w:w="2592"/>
          </w:tcPr>
          <w:p>
            <w:pPr>
              <w:spacing w:after="20"/>
            </w:pPr>
            <w:r/>
            <w:r>
              <w:rPr>
                <w:b w:val="0"/>
                <w:i w:val="0"/>
                <w:sz w:val="17"/>
              </w:rPr>
              <w:t>§ 12 Restrictive covenants</w:t>
            </w:r>
          </w:p>
        </w:tc>
        <w:tc>
          <w:tcPr>
            <w:tcW w:type="dxa" w:w="5184"/>
          </w:tcPr>
          <w:p>
            <w:pPr>
              <w:spacing w:after="20"/>
            </w:pPr>
            <w:r/>
            <w:r>
              <w:rPr>
                <w:b w:val="0"/>
                <w:i w:val="0"/>
                <w:sz w:val="17"/>
              </w:rPr>
              <w:t>Void for nearly all employees; remove from handbook.</w:t>
            </w:r>
          </w:p>
        </w:tc>
        <w:tc>
          <w:tcPr>
            <w:tcW w:type="dxa" w:w="1584"/>
          </w:tcPr>
          <w:p>
            <w:pPr>
              <w:spacing w:after="20"/>
            </w:pPr>
            <w:r/>
            <w:r>
              <w:rPr>
                <w:b w:val="0"/>
                <w:i w:val="0"/>
                <w:sz w:val="17"/>
              </w:rPr>
              <w:t>C-9, M-7</w:t>
            </w:r>
          </w:p>
        </w:tc>
      </w:tr>
      <w:tr>
        <w:tc>
          <w:tcPr>
            <w:tcW w:type="dxa" w:w="2592"/>
          </w:tcPr>
          <w:p>
            <w:pPr>
              <w:spacing w:after="20"/>
            </w:pPr>
            <w:r/>
            <w:r>
              <w:rPr>
                <w:b w:val="0"/>
                <w:i w:val="0"/>
                <w:sz w:val="17"/>
              </w:rPr>
              <w:t>§ 13 Social media</w:t>
            </w:r>
          </w:p>
        </w:tc>
        <w:tc>
          <w:tcPr>
            <w:tcW w:type="dxa" w:w="5184"/>
          </w:tcPr>
          <w:p>
            <w:pPr>
              <w:spacing w:after="20"/>
            </w:pPr>
            <w:r/>
            <w:r>
              <w:rPr>
                <w:b w:val="0"/>
                <w:i w:val="0"/>
                <w:sz w:val="17"/>
              </w:rPr>
              <w:t>Overbroad prior-approval rule.</w:t>
            </w:r>
          </w:p>
        </w:tc>
        <w:tc>
          <w:tcPr>
            <w:tcW w:type="dxa" w:w="1584"/>
          </w:tcPr>
          <w:p>
            <w:pPr>
              <w:spacing w:after="20"/>
            </w:pPr>
            <w:r/>
            <w:r>
              <w:rPr>
                <w:b w:val="0"/>
                <w:i w:val="0"/>
                <w:sz w:val="17"/>
              </w:rPr>
              <w:t>H-9</w:t>
            </w:r>
          </w:p>
        </w:tc>
      </w:tr>
      <w:tr>
        <w:tc>
          <w:tcPr>
            <w:tcW w:type="dxa" w:w="2592"/>
          </w:tcPr>
          <w:p>
            <w:pPr>
              <w:spacing w:after="20"/>
            </w:pPr>
            <w:r/>
            <w:r>
              <w:rPr>
                <w:b w:val="0"/>
                <w:i w:val="0"/>
                <w:sz w:val="17"/>
              </w:rPr>
              <w:t>§ 14 Dispute resolution</w:t>
            </w:r>
          </w:p>
        </w:tc>
        <w:tc>
          <w:tcPr>
            <w:tcW w:type="dxa" w:w="5184"/>
          </w:tcPr>
          <w:p>
            <w:pPr>
              <w:spacing w:after="20"/>
            </w:pPr>
            <w:r/>
            <w:r>
              <w:rPr>
                <w:b w:val="0"/>
                <w:i w:val="0"/>
                <w:sz w:val="17"/>
              </w:rPr>
              <w:t>Keep internal procedure; move arbitration to standalone agreement.</w:t>
            </w:r>
          </w:p>
        </w:tc>
        <w:tc>
          <w:tcPr>
            <w:tcW w:type="dxa" w:w="1584"/>
          </w:tcPr>
          <w:p>
            <w:pPr>
              <w:spacing w:after="20"/>
            </w:pPr>
            <w:r/>
            <w:r>
              <w:rPr>
                <w:b w:val="0"/>
                <w:i w:val="0"/>
                <w:sz w:val="17"/>
              </w:rPr>
              <w:t>H-10</w:t>
            </w:r>
          </w:p>
        </w:tc>
      </w:tr>
      <w:tr>
        <w:tc>
          <w:tcPr>
            <w:tcW w:type="dxa" w:w="2592"/>
          </w:tcPr>
          <w:p>
            <w:pPr>
              <w:spacing w:after="20"/>
            </w:pPr>
            <w:r/>
            <w:r>
              <w:rPr>
                <w:b w:val="0"/>
                <w:i w:val="0"/>
                <w:sz w:val="17"/>
              </w:rPr>
              <w:t>Appendix A Acknowledgment</w:t>
            </w:r>
          </w:p>
        </w:tc>
        <w:tc>
          <w:tcPr>
            <w:tcW w:type="dxa" w:w="5184"/>
          </w:tcPr>
          <w:p>
            <w:pPr>
              <w:spacing w:after="20"/>
            </w:pPr>
            <w:r/>
            <w:r>
              <w:rPr>
                <w:b w:val="0"/>
                <w:i w:val="0"/>
                <w:sz w:val="17"/>
              </w:rPr>
              <w:t>Convert to receipt-only acknowledgment.</w:t>
            </w:r>
          </w:p>
        </w:tc>
        <w:tc>
          <w:tcPr>
            <w:tcW w:type="dxa" w:w="1584"/>
          </w:tcPr>
          <w:p>
            <w:pPr>
              <w:spacing w:after="20"/>
            </w:pPr>
            <w:r/>
            <w:r>
              <w:rPr>
                <w:b w:val="0"/>
                <w:i w:val="0"/>
                <w:sz w:val="17"/>
              </w:rPr>
              <w:t>C-9, H-10</w:t>
            </w:r>
          </w:p>
        </w:tc>
      </w:tr>
      <w:tr>
        <w:tc>
          <w:tcPr>
            <w:tcW w:type="dxa" w:w="2592"/>
          </w:tcPr>
          <w:p>
            <w:pPr>
              <w:spacing w:after="20"/>
            </w:pPr>
            <w:r/>
            <w:r>
              <w:rPr>
                <w:b w:val="0"/>
                <w:i w:val="0"/>
                <w:sz w:val="17"/>
              </w:rPr>
              <w:t>Not in handbook</w:t>
            </w:r>
          </w:p>
        </w:tc>
        <w:tc>
          <w:tcPr>
            <w:tcW w:type="dxa" w:w="5184"/>
          </w:tcPr>
          <w:p>
            <w:pPr>
              <w:spacing w:after="20"/>
            </w:pPr>
            <w:r/>
            <w:r>
              <w:rPr>
                <w:b w:val="0"/>
                <w:i w:val="0"/>
                <w:sz w:val="17"/>
              </w:rPr>
              <w:t>Accommodations, whistleblower policy, PHEL, FAMLI, DV leave, notices appendix, remote work.</w:t>
            </w:r>
          </w:p>
        </w:tc>
        <w:tc>
          <w:tcPr>
            <w:tcW w:type="dxa" w:w="1584"/>
          </w:tcPr>
          <w:p>
            <w:pPr>
              <w:spacing w:after="20"/>
            </w:pPr>
            <w:r/>
            <w:r>
              <w:rPr>
                <w:b w:val="0"/>
                <w:i w:val="0"/>
                <w:sz w:val="17"/>
              </w:rPr>
              <w:t>H-1, H-2, H-7, H-8, M-3, M-8, M-9</w:t>
            </w:r>
          </w:p>
        </w:tc>
      </w:tr>
    </w:tbl>
    <w:p>
      <w:pPr>
        <w:spacing w:after="40"/>
      </w:pPr>
    </w:p>
    <w:p>
      <w:pPr>
        <w:pStyle w:val="Heading1"/>
      </w:pPr>
      <w:r>
        <w:t>11. Other Colorado Requirements Outside the Handbook (for awareness)</w:t>
      </w:r>
    </w:p>
    <w:p>
      <w:pPr>
        <w:pStyle w:val="ListBullet"/>
        <w:spacing w:after="40"/>
      </w:pPr>
      <w:r>
        <w:rPr>
          <w:b/>
          <w:i w:val="0"/>
        </w:rPr>
        <w:t>Hiring:</w:t>
      </w:r>
      <w:r>
        <w:rPr>
          <w:b w:val="0"/>
          <w:i w:val="0"/>
        </w:rPr>
        <w:t xml:space="preserve"> the Colorado Chance to Compete Act (C.R.S. § 8-2-130) bars criminal-history questions on initial applications (Oakridge may fall within the exception for employers required by law to conduct background checks, which assisted living operators generally are — confirm); the Job Application Fairness Act (C.R.S. § 8-2-131, eff. July 1, 2024) bars requesting age, date of birth or graduation dates on initial applications; Equal Pay for Equal Work Act posting requirements (M-5).</w:t>
      </w:r>
    </w:p>
    <w:p>
      <w:pPr>
        <w:pStyle w:val="ListBullet"/>
        <w:spacing w:after="40"/>
      </w:pPr>
      <w:r>
        <w:rPr>
          <w:b/>
          <w:i w:val="0"/>
        </w:rPr>
        <w:t>Posting:</w:t>
      </w:r>
      <w:r>
        <w:rPr>
          <w:b w:val="0"/>
          <w:i w:val="0"/>
        </w:rPr>
        <w:t xml:space="preserve"> confirm current 2025 COMPS, HFWA, FAMLI, CADA and Notice of Paydays posters at all seven facilities, in Spanish where appropriate.</w:t>
      </w:r>
    </w:p>
    <w:p>
      <w:pPr>
        <w:pStyle w:val="ListBullet"/>
        <w:spacing w:after="40"/>
      </w:pPr>
      <w:r>
        <w:rPr>
          <w:b/>
          <w:i w:val="0"/>
        </w:rPr>
        <w:t>Health-care-specific:</w:t>
      </w:r>
      <w:r>
        <w:rPr>
          <w:b w:val="0"/>
          <w:i w:val="0"/>
        </w:rPr>
        <w:t xml:space="preserve"> confirm CDPHE assisted living regulations on staffing, training and abuse reporting are reflected in operational policies referenced by the handbook.</w:t>
      </w:r>
    </w:p>
    <w:p>
      <w:pPr>
        <w:pStyle w:val="Heading1"/>
      </w:pPr>
      <w:r>
        <w:t>12. Assumptions and Limitations</w:t>
      </w:r>
    </w:p>
    <w:p>
      <w:pPr>
        <w:pStyle w:val="ListBullet"/>
        <w:spacing w:after="40"/>
      </w:pPr>
      <w:r>
        <w:rPr>
          <w:b w:val="0"/>
          <w:i w:val="0"/>
        </w:rPr>
        <w:t>This analysis reflects Colorado and federal law as we understand it as of the date of this memorandum, using 2025 figures; minimum wage, exempt salary, covenant and FAMLI figures change annually.</w:t>
      </w:r>
    </w:p>
    <w:p>
      <w:pPr>
        <w:pStyle w:val="ListBullet"/>
        <w:spacing w:after="40"/>
      </w:pPr>
      <w:r>
        <w:rPr>
          <w:b w:val="0"/>
          <w:i w:val="0"/>
        </w:rPr>
        <w:t>Census figures are taken as reported by Pinnacle Payroll Services (April 30, 2025) except as noted in Section 9.3; we have not reviewed employee-level data, actual time records or the predecessor handbooks.</w:t>
      </w:r>
    </w:p>
    <w:p>
      <w:pPr>
        <w:pStyle w:val="ListBullet"/>
        <w:spacing w:after="40"/>
      </w:pPr>
      <w:r>
        <w:rPr>
          <w:b w:val="0"/>
          <w:i w:val="0"/>
        </w:rPr>
        <w:t>Exposure illustrations are order-of-magnitude only and are not damages estimates; the privileged audit in Section 8 is required to quantify liability.</w:t>
      </w:r>
    </w:p>
    <w:p>
      <w:pPr>
        <w:pStyle w:val="ListBullet"/>
        <w:spacing w:after="40"/>
      </w:pPr>
      <w:r>
        <w:rPr>
          <w:b w:val="0"/>
          <w:i w:val="0"/>
        </w:rPr>
        <w:t>Local ordinance conclusions assume the Denver facility is within the City and County of Denver; the Boulder conclusion depends on whether the facility is within the City of Boulder or unincorporated Boulder County.</w:t>
      </w:r>
    </w:p>
    <w:p>
      <w:pPr>
        <w:pStyle w:val="ListBullet"/>
        <w:spacing w:after="40"/>
      </w:pPr>
      <w:r>
        <w:rPr>
          <w:b w:val="0"/>
          <w:i w:val="0"/>
        </w:rPr>
        <w:t>Industry-specific licensing (CDPHE), OSHA, workers’ compensation, immigration, ERISA plan documents and benefits compliance are outside the scope of this review, consistent with the checklist disclaimer.</w:t>
      </w:r>
    </w:p>
    <w:p>
      <w:pPr>
        <w:pStyle w:val="ListBullet"/>
        <w:spacing w:after="40"/>
      </w:pPr>
      <w:r>
        <w:rPr>
          <w:b w:val="0"/>
          <w:i w:val="0"/>
        </w:rPr>
        <w:t>This memorandum is a privileged and confidential attorney-client communication and attorney work product prepared for Oakridge Senior Living, Inc. It should not be forwarded outside the Company’s control group without consulting counsel.</w:t>
      </w:r>
    </w:p>
    <w:p/>
    <w:p>
      <w:pPr>
        <w:spacing w:after="0"/>
      </w:pPr>
      <w:r>
        <w:rPr>
          <w:b/>
          <w:i w:val="0"/>
        </w:rPr>
        <w:t>Briarstone &amp; Lyle LLP</w:t>
      </w:r>
    </w:p>
    <w:p>
      <w:pPr>
        <w:spacing w:after="0"/>
      </w:pPr>
      <w:r>
        <w:rPr>
          <w:b w:val="0"/>
          <w:i w:val="0"/>
        </w:rPr>
        <w:t>Caitlin Reeves, Senior Associate | Jonathan Briarstone, Lead Partner</w:t>
      </w:r>
    </w:p>
    <w:p>
      <w:r>
        <w:rPr>
          <w:b w:val="0"/>
          <w:i/>
        </w:rPr>
        <w:t>We are available to walk through these findings with Ms. Kowalski at her convenience (Tuesday–Thursday or by email) and can prepare the handbook redline on request.</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Briarstone &amp; Lyle LLP | Matter No. 2025-OSL-0047 | Oakridge Handbook Compliance Gap Analysis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