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sz w:val="20"/>
        </w:rPr>
        <w:t>PRIVILEGED AND CONFIDENTIAL</w:t>
        <w:br/>
        <w:t>ATTORNEY-CLIENT COMMUNICATION / ATTORNEY WORK PRODUCT</w:t>
        <w:br/>
        <w:t>PREPARED IN CONNECTION WITH SETTLEMENT NEGOTIATIONS</w:t>
      </w:r>
    </w:p>
    <w:p>
      <w:pPr>
        <w:spacing w:after="200"/>
        <w:jc w:val="center"/>
      </w:pPr>
      <w:r>
        <w:rPr>
          <w:b/>
          <w:i w:val="0"/>
          <w:sz w:val="28"/>
        </w:rPr>
        <w:t>MEMORANDUM</w:t>
      </w:r>
    </w:p>
    <w:p>
      <w:pPr>
        <w:spacing w:after="40"/>
      </w:pPr>
      <w:r>
        <w:rPr>
          <w:b/>
          <w:i w:val="0"/>
        </w:rPr>
        <w:t>TO:</w:t>
        <w:tab/>
      </w:r>
      <w:r>
        <w:rPr>
          <w:b w:val="0"/>
          <w:i w:val="0"/>
        </w:rPr>
        <w:t>Tyler Huang, General Counsel, Greenleaf Organic Foods, Inc.</w:t>
      </w:r>
    </w:p>
    <w:p>
      <w:pPr>
        <w:spacing w:after="40"/>
      </w:pPr>
      <w:r>
        <w:rPr>
          <w:b/>
          <w:i w:val="0"/>
        </w:rPr>
        <w:t>FROM:</w:t>
        <w:tab/>
      </w:r>
      <w:r>
        <w:rPr>
          <w:b w:val="0"/>
          <w:i w:val="0"/>
        </w:rPr>
        <w:t>Employment Counsel</w:t>
      </w:r>
    </w:p>
    <w:p>
      <w:pPr>
        <w:spacing w:after="40"/>
      </w:pPr>
      <w:r>
        <w:rPr>
          <w:b/>
          <w:i w:val="0"/>
        </w:rPr>
        <w:t>DATE:</w:t>
        <w:tab/>
      </w:r>
      <w:r>
        <w:rPr>
          <w:b w:val="0"/>
          <w:i w:val="0"/>
        </w:rPr>
        <w:t>May 12, 2025</w:t>
      </w:r>
    </w:p>
    <w:p>
      <w:pPr>
        <w:spacing w:after="40"/>
      </w:pPr>
      <w:r>
        <w:rPr>
          <w:b/>
          <w:i w:val="0"/>
        </w:rPr>
        <w:t>RE:</w:t>
        <w:tab/>
      </w:r>
      <w:r>
        <w:rPr>
          <w:b w:val="0"/>
          <w:i w:val="0"/>
        </w:rPr>
        <w:t>Marcus R. Delano - Markup of Engel &amp; Associates Draft Settlement Agreement and General Release (dated May 5, 2025): Issues, Risks, and Recommended Revisions</w:t>
      </w:r>
    </w:p>
    <w:p>
      <w:pPr>
        <w:spacing w:after="120"/>
      </w:pPr>
      <w:r>
        <w:rPr>
          <w:b w:val="0"/>
          <w:i/>
          <w:sz w:val="20"/>
        </w:rPr>
        <w:t>Enclosure: settlement-agreement-markup.docx (tracked-changes redline with explanatory margin comments)</w:t>
      </w:r>
    </w:p>
    <w:p>
      <w:pPr>
        <w:pStyle w:val="Heading1"/>
      </w:pPr>
      <w:r>
        <w:t>1. Bottom Line</w:t>
      </w:r>
    </w:p>
    <w:p>
      <w:pPr>
        <w:spacing w:after="120"/>
      </w:pPr>
      <w:r>
        <w:rPr>
          <w:b w:val="0"/>
          <w:i w:val="0"/>
        </w:rPr>
        <w:t>The economic terms of the Engel &amp; Associates draft are within a defensible range given Greenleaf's exposure, but the document should not be signed as drafted. As written, it would not release the claim the record makes most dangerous (age discrimination), it misstates the equity value and total consideration, and it contains provisions that are void under Oregon law or that create new regulatory and retaliation exposure while the Oregon OSHA investigation of the Bend facility is open. Our redline corrects each of these points. The most important issues are:</w:t>
      </w:r>
    </w:p>
    <w:p>
      <w:pPr>
        <w:pStyle w:val="ListBullet"/>
        <w:spacing w:after="60"/>
      </w:pPr>
      <w:r>
        <w:rPr>
          <w:b/>
        </w:rPr>
        <w:t xml:space="preserve">ADEA release is invalid as drafted (critical). </w:t>
      </w:r>
      <w:r>
        <w:rPr>
          <w:b w:val="0"/>
        </w:rPr>
        <w:t>Delano is 58 (DOB July 14, 1966). The draft gives 14 days to consider, no 7-day revocation period, no written advice to consult counsel, and a fixed May 5, 2025 'Effective Date' that predates signature. Under the OWBPA, 29 U.S.C. 626(f), that waiver is not knowing and voluntary, so Greenleaf would pay the settlement and remain exposed to an ADEA suit. We revised to 21 days to consider, 7 days to revoke, and an Effective Date on the 8th day after signature; if the 'restructuring' involved any other separations, the period is 45 days with a decisional-unit disclosure.</w:t>
      </w:r>
    </w:p>
    <w:p>
      <w:pPr>
        <w:pStyle w:val="ListBullet"/>
        <w:spacing w:after="60"/>
      </w:pPr>
      <w:r>
        <w:rPr>
          <w:b/>
        </w:rPr>
        <w:t xml:space="preserve">RSU valuation and total value are wrong (high). </w:t>
      </w:r>
      <w:r>
        <w:rPr>
          <w:b w:val="0"/>
        </w:rPr>
        <w:t>The draft values the 5,000 accelerated RSUs at $10.00/share, which is the July 1, 2024 Ridgepoint figure, while calling it the 'most recent' valuation. The current 409A valuation is $12.50/share (January 15, 2025). Correct value: $62,500, not $50,000. Total consideration: $537,500, not $525,000. The acceleration also requires Compensation Committee approval because the RSUs were forfeited on termination.</w:t>
      </w:r>
    </w:p>
    <w:p>
      <w:pPr>
        <w:pStyle w:val="ListBullet"/>
        <w:spacing w:after="60"/>
      </w:pPr>
      <w:r>
        <w:rPr>
          <w:b/>
        </w:rPr>
        <w:t xml:space="preserve">Non-compete is void and counterproductive (high). </w:t>
      </w:r>
      <w:r>
        <w:rPr>
          <w:b w:val="0"/>
        </w:rPr>
        <w:t>An 18-month, four-state, industry-wide non-compete entered after termination does not satisfy ORS 653.295 (which requires, among other things, execution at hire or upon a bona fide advancement and a term of no more than 12 months) and is void. Its presence in the settlement of a whistleblower claim also invites an argument that the settlement is itself retaliatory. Deleted, and replaced with a confidentiality/trade-secret covenant (new Section 6A) and a retained non-solicit.</w:t>
      </w:r>
    </w:p>
    <w:p>
      <w:pPr>
        <w:pStyle w:val="ListBullet"/>
        <w:spacing w:after="60"/>
      </w:pPr>
      <w:r>
        <w:rPr>
          <w:b/>
        </w:rPr>
        <w:t xml:space="preserve">No protected-rights carve-outs while an agency investigation is pending (high). </w:t>
      </w:r>
      <w:r>
        <w:rPr>
          <w:b w:val="0"/>
        </w:rPr>
        <w:t>The confidentiality, non-disparagement and 'no future complaints' provisions contain no carve-outs for agency communications, so they could be read to prevent Delano from cooperating with Oregon OSHA on the open Bend facility investigation. That provision would be unenforceable, and it would also be evidence of interference and retaliation. Its optics with food-safety regulators would also be poor. We added a Section 4A protected-rights clause and preserved a waiver of individual monetary recovery.</w:t>
      </w:r>
    </w:p>
    <w:p>
      <w:pPr>
        <w:pStyle w:val="ListBullet"/>
        <w:spacing w:after="60"/>
      </w:pPr>
      <w:r>
        <w:rPr>
          <w:b/>
        </w:rPr>
        <w:t xml:space="preserve">Tax reporting errors and allocation exposure (medium-high). </w:t>
      </w:r>
      <w:r>
        <w:rPr>
          <w:b w:val="0"/>
        </w:rPr>
        <w:t>Attorney fees paid to claimant's counsel are reported on Form 1099-MISC Box 10, not 1099-NEC. 69% of the cash to Delano ($275,000 of $400,000) is allocated to non-wage emotional-distress damages, and the $125,000 'back pay' is described as covering only March 14 to May 5, 2025 (actual base pay for that period is about $31,058). We corrected the description, resolved the undetermined 2024 bonus inside the W-2 payment, and added a Delano tax indemnity.</w:t>
      </w:r>
    </w:p>
    <w:p>
      <w:pPr>
        <w:pStyle w:val="ListBullet"/>
        <w:spacing w:after="60"/>
      </w:pPr>
      <w:r>
        <w:rPr>
          <w:b/>
        </w:rPr>
        <w:t xml:space="preserve">Oregon Workplace Fairness Act (ORS 659A.370) (medium-high). </w:t>
      </w:r>
      <w:r>
        <w:rPr>
          <w:b w:val="0"/>
        </w:rPr>
        <w:t>Because Delano asserts discrimination under ORS 659A.030, the confidentiality and non-disparagement provisions are permissible only if Delano requested them and has at least 7 days after signing to revoke. We added a request recital and tied the revocation right to these provisions. Please confirm with Engel &amp; Associates that the request was in fact made.</w:t>
      </w:r>
    </w:p>
    <w:p>
      <w:pPr>
        <w:spacing w:after="120"/>
      </w:pPr>
      <w:r>
        <w:rPr>
          <w:b w:val="0"/>
          <w:i w:val="0"/>
        </w:rPr>
        <w:t>Before signing, Greenleaf must also: obtain the Committee resolution, obtain written consent to the settlement from its EPLI carrier, confirm whether anyone else was separated in the restructuring, and confirm whether Patricia Engel (COO) is related to Delano's counsel, Rachel Engel (Section 6 below).</w:t>
      </w:r>
    </w:p>
    <w:p>
      <w:pPr>
        <w:pStyle w:val="Heading1"/>
      </w:pPr>
      <w:r>
        <w:t>2. Key Facts From the Employment Records</w:t>
      </w:r>
    </w:p>
    <w:p>
      <w:pPr>
        <w:spacing w:after="120"/>
      </w:pPr>
      <w:r>
        <w:rPr>
          <w:b w:val="0"/>
          <w:i/>
          <w:sz w:val="20"/>
        </w:rPr>
        <w:t>Source: HR Employment Summary prepared by Leanne Foss (May 10, 2025): Employment History, Compensation History, and Equity Details sheets; and the draft agreement recitals.</w:t>
      </w:r>
    </w:p>
    <w:tbl>
      <w:tblPr>
        <w:tblStyle w:val="TableGrid"/>
        <w:tblW w:type="auto" w:w="0"/>
        <w:tblLook w:firstColumn="1" w:firstRow="1" w:lastColumn="0" w:lastRow="0" w:noHBand="0" w:noVBand="1" w:val="04A0"/>
      </w:tblPr>
      <w:tblGrid>
        <w:gridCol w:w="3120"/>
        <w:gridCol w:w="3120"/>
        <w:gridCol w:w="3120"/>
      </w:tblGrid>
      <w:tr>
        <w:tc>
          <w:tcPr>
            <w:tcW w:type="dxa" w:w="1728"/>
            <w:shd w:val="clear" w:color="auto" w:fill="D9D9D9"/>
          </w:tcPr>
          <w:p>
            <w:r/>
            <w:r>
              <w:rPr>
                <w:b/>
                <w:sz w:val="19"/>
              </w:rPr>
              <w:t>Item</w:t>
            </w:r>
          </w:p>
        </w:tc>
        <w:tc>
          <w:tcPr>
            <w:tcW w:type="dxa" w:w="4032"/>
            <w:shd w:val="clear" w:color="auto" w:fill="D9D9D9"/>
          </w:tcPr>
          <w:p>
            <w:r/>
            <w:r>
              <w:rPr>
                <w:b/>
                <w:sz w:val="19"/>
              </w:rPr>
              <w:t>Record</w:t>
            </w:r>
          </w:p>
        </w:tc>
        <w:tc>
          <w:tcPr>
            <w:tcW w:type="dxa" w:w="3600"/>
            <w:shd w:val="clear" w:color="auto" w:fill="D9D9D9"/>
          </w:tcPr>
          <w:p>
            <w:r/>
            <w:r>
              <w:rPr>
                <w:b/>
                <w:sz w:val="19"/>
              </w:rPr>
              <w:t>Significance</w:t>
            </w:r>
          </w:p>
        </w:tc>
      </w:tr>
      <w:tr>
        <w:tc>
          <w:tcPr>
            <w:tcW w:type="dxa" w:w="1728"/>
          </w:tcPr>
          <w:p>
            <w:r/>
            <w:r>
              <w:rPr>
                <w:b/>
                <w:sz w:val="19"/>
              </w:rPr>
              <w:t>Age / DOB</w:t>
            </w:r>
          </w:p>
        </w:tc>
        <w:tc>
          <w:tcPr>
            <w:tcW w:type="dxa" w:w="4032"/>
          </w:tcPr>
          <w:p>
            <w:r/>
            <w:r>
              <w:rPr>
                <w:sz w:val="19"/>
              </w:rPr>
              <w:t>07/14/1966; age 58 (turns 59 on July 14, 2025)</w:t>
            </w:r>
          </w:p>
        </w:tc>
        <w:tc>
          <w:tcPr>
            <w:tcW w:type="dxa" w:w="3600"/>
          </w:tcPr>
          <w:p>
            <w:r/>
            <w:r>
              <w:rPr>
                <w:sz w:val="19"/>
              </w:rPr>
              <w:t>ADEA/OWBPA protections apply; ORS 659A.030 age claim.</w:t>
            </w:r>
          </w:p>
        </w:tc>
      </w:tr>
      <w:tr>
        <w:tc>
          <w:tcPr>
            <w:tcW w:type="dxa" w:w="1728"/>
          </w:tcPr>
          <w:p>
            <w:r/>
            <w:r>
              <w:rPr>
                <w:b/>
                <w:sz w:val="19"/>
              </w:rPr>
              <w:t>Tenure / title</w:t>
            </w:r>
          </w:p>
        </w:tc>
        <w:tc>
          <w:tcPr>
            <w:tcW w:type="dxa" w:w="4032"/>
          </w:tcPr>
          <w:p>
            <w:r/>
            <w:r>
              <w:rPr>
                <w:sz w:val="19"/>
              </w:rPr>
              <w:t>June 12, 2017 - March 14, 2025 (7 yrs 9 mos); VP Supply Chain Operations since Jan. 1, 2020; reported to Patricia Engel, COO</w:t>
            </w:r>
          </w:p>
        </w:tc>
        <w:tc>
          <w:tcPr>
            <w:tcW w:type="dxa" w:w="3600"/>
          </w:tcPr>
          <w:p>
            <w:r/>
            <w:r>
              <w:rPr>
                <w:sz w:val="19"/>
              </w:rPr>
              <w:t>Long-tenured senior employee with no documented performance issues in the record.</w:t>
            </w:r>
          </w:p>
        </w:tc>
      </w:tr>
      <w:tr>
        <w:tc>
          <w:tcPr>
            <w:tcW w:type="dxa" w:w="1728"/>
          </w:tcPr>
          <w:p>
            <w:r/>
            <w:r>
              <w:rPr>
                <w:b/>
                <w:sz w:val="19"/>
              </w:rPr>
              <w:t>Base salary</w:t>
            </w:r>
          </w:p>
        </w:tc>
        <w:tc>
          <w:tcPr>
            <w:tcW w:type="dxa" w:w="4032"/>
          </w:tcPr>
          <w:p>
            <w:r/>
            <w:r>
              <w:rPr>
                <w:sz w:val="19"/>
              </w:rPr>
              <w:t>$218,000 (2024-2025)</w:t>
            </w:r>
          </w:p>
        </w:tc>
        <w:tc>
          <w:tcPr>
            <w:tcW w:type="dxa" w:w="3600"/>
          </w:tcPr>
          <w:p>
            <w:r/>
            <w:r>
              <w:rPr>
                <w:sz w:val="19"/>
              </w:rPr>
              <w:t>Back pay runs at about $597/day ($4,192/week).</w:t>
            </w:r>
          </w:p>
        </w:tc>
      </w:tr>
      <w:tr>
        <w:tc>
          <w:tcPr>
            <w:tcW w:type="dxa" w:w="1728"/>
          </w:tcPr>
          <w:p>
            <w:r/>
            <w:r>
              <w:rPr>
                <w:b/>
                <w:sz w:val="19"/>
              </w:rPr>
              <w:t>Bonus history</w:t>
            </w:r>
          </w:p>
        </w:tc>
        <w:tc>
          <w:tcPr>
            <w:tcW w:type="dxa" w:w="4032"/>
          </w:tcPr>
          <w:p>
            <w:r/>
            <w:r>
              <w:rPr>
                <w:sz w:val="19"/>
              </w:rPr>
              <w:t>Target 20%. Paid 18.0% (2020), 20.0% (2021), 18.0% (2022), 20.6% (2023), each in March of the following year. 2024 bonus (target $43,600) 'Not determined - termination'.</w:t>
            </w:r>
          </w:p>
        </w:tc>
        <w:tc>
          <w:tcPr>
            <w:tcW w:type="dxa" w:w="3600"/>
          </w:tcPr>
          <w:p>
            <w:r/>
            <w:r>
              <w:rPr>
                <w:sz w:val="19"/>
              </w:rPr>
              <w:t>Possible ORS 652 wage claim. Termination on March 14, 2025 fell within the usual March payout window.</w:t>
            </w:r>
          </w:p>
        </w:tc>
      </w:tr>
      <w:tr>
        <w:tc>
          <w:tcPr>
            <w:tcW w:type="dxa" w:w="1728"/>
          </w:tcPr>
          <w:p>
            <w:r/>
            <w:r>
              <w:rPr>
                <w:b/>
                <w:sz w:val="19"/>
              </w:rPr>
              <w:t>Protected activity</w:t>
            </w:r>
          </w:p>
        </w:tc>
        <w:tc>
          <w:tcPr>
            <w:tcW w:type="dxa" w:w="4032"/>
          </w:tcPr>
          <w:p>
            <w:r/>
            <w:r>
              <w:rPr>
                <w:sz w:val="19"/>
              </w:rPr>
              <w:t>Nov. 8, 2024 internal complaint to HR (L. Foss) re Bend cold-chain/FSMA; Dec. 3, 2024 Oregon OSHA Complaint No. OR-OSHA-2024-11872; Jan. 22, 2025 Oregon OSHA formal investigation opened (pending)</w:t>
            </w:r>
          </w:p>
        </w:tc>
        <w:tc>
          <w:tcPr>
            <w:tcW w:type="dxa" w:w="3600"/>
          </w:tcPr>
          <w:p>
            <w:r/>
            <w:r>
              <w:rPr>
                <w:sz w:val="19"/>
              </w:rPr>
              <w:t>Supports ORS 654.062(5), ORS 659A.199 and FSMA (21 U.S.C. 399d) retaliation theories.</w:t>
            </w:r>
          </w:p>
        </w:tc>
      </w:tr>
      <w:tr>
        <w:tc>
          <w:tcPr>
            <w:tcW w:type="dxa" w:w="1728"/>
          </w:tcPr>
          <w:p>
            <w:r/>
            <w:r>
              <w:rPr>
                <w:b/>
                <w:sz w:val="19"/>
              </w:rPr>
              <w:t>Adverse actions</w:t>
            </w:r>
          </w:p>
        </w:tc>
        <w:tc>
          <w:tcPr>
            <w:tcW w:type="dxa" w:w="4032"/>
          </w:tcPr>
          <w:p>
            <w:r/>
            <w:r>
              <w:rPr>
                <w:sz w:val="19"/>
              </w:rPr>
              <w:t>Feb. 10, 2025 paid administrative leave ('pending reorganization of supply chain reporting structure'); Mar. 14, 2025 termination ('elimination of position due to restructuring of supply chain division')</w:t>
            </w:r>
          </w:p>
        </w:tc>
        <w:tc>
          <w:tcPr>
            <w:tcW w:type="dxa" w:w="3600"/>
          </w:tcPr>
          <w:p>
            <w:r/>
            <w:r>
              <w:rPr>
                <w:sz w:val="19"/>
              </w:rPr>
              <w:t>Leave came 19 days after the investigation opened, and termination about 4 months after the internal complaint. The stated reasons for the leave and for the termination differ.</w:t>
            </w:r>
          </w:p>
        </w:tc>
      </w:tr>
      <w:tr>
        <w:tc>
          <w:tcPr>
            <w:tcW w:type="dxa" w:w="1728"/>
          </w:tcPr>
          <w:p>
            <w:r/>
            <w:r>
              <w:rPr>
                <w:b/>
                <w:sz w:val="19"/>
              </w:rPr>
              <w:t>Replacement</w:t>
            </w:r>
          </w:p>
        </w:tc>
        <w:tc>
          <w:tcPr>
            <w:tcW w:type="dxa" w:w="4032"/>
          </w:tcPr>
          <w:p>
            <w:r/>
            <w:r>
              <w:rPr>
                <w:sz w:val="19"/>
              </w:rPr>
              <w:t>Raj Mehta, Senior Director of Supply Chain &amp; Logistics, hired March 20, 2025 at $185,000</w:t>
            </w:r>
          </w:p>
        </w:tc>
        <w:tc>
          <w:tcPr>
            <w:tcW w:type="dxa" w:w="3600"/>
          </w:tcPr>
          <w:p>
            <w:r/>
            <w:r>
              <w:rPr>
                <w:sz w:val="19"/>
              </w:rPr>
              <w:t>Hired 6 days after a supposed 'position elimination'. This is the strongest pretext evidence. Mehta's age is not in the record; obtain it.</w:t>
            </w:r>
          </w:p>
        </w:tc>
      </w:tr>
      <w:tr>
        <w:tc>
          <w:tcPr>
            <w:tcW w:type="dxa" w:w="1728"/>
          </w:tcPr>
          <w:p>
            <w:r/>
            <w:r>
              <w:rPr>
                <w:b/>
                <w:sz w:val="19"/>
              </w:rPr>
              <w:t>RSUs</w:t>
            </w:r>
          </w:p>
        </w:tc>
        <w:tc>
          <w:tcPr>
            <w:tcW w:type="dxa" w:w="4032"/>
          </w:tcPr>
          <w:p>
            <w:r/>
            <w:r>
              <w:rPr>
                <w:sz w:val="19"/>
              </w:rPr>
              <w:t>15,000 granted July 1, 2022 (25%/yr). 7,500 vested and delivered (2023, 2024). 7,500 unvested and forfeited at termination. Committee has discretion to accelerate in separation agreements.</w:t>
            </w:r>
          </w:p>
        </w:tc>
        <w:tc>
          <w:tcPr>
            <w:tcW w:type="dxa" w:w="3600"/>
          </w:tcPr>
          <w:p>
            <w:r/>
            <w:r>
              <w:rPr>
                <w:sz w:val="19"/>
              </w:rPr>
              <w:t>The 5,000 to be accelerated come out of the forfeited 7,500, so Committee action is required.</w:t>
            </w:r>
          </w:p>
        </w:tc>
      </w:tr>
      <w:tr>
        <w:tc>
          <w:tcPr>
            <w:tcW w:type="dxa" w:w="1728"/>
          </w:tcPr>
          <w:p>
            <w:r/>
            <w:r>
              <w:rPr>
                <w:b/>
                <w:sz w:val="19"/>
              </w:rPr>
              <w:t>409A valuations</w:t>
            </w:r>
          </w:p>
        </w:tc>
        <w:tc>
          <w:tcPr>
            <w:tcW w:type="dxa" w:w="4032"/>
          </w:tcPr>
          <w:p>
            <w:r/>
            <w:r>
              <w:rPr>
                <w:sz w:val="19"/>
              </w:rPr>
              <w:t>$8.00 (7/1/22); $9.25 (7/1/23); $10.00 (7/1/24); $12.50 (1/15/25, current)</w:t>
            </w:r>
          </w:p>
        </w:tc>
        <w:tc>
          <w:tcPr>
            <w:tcW w:type="dxa" w:w="3600"/>
          </w:tcPr>
          <w:p>
            <w:r/>
            <w:r>
              <w:rPr>
                <w:sz w:val="19"/>
              </w:rPr>
              <w:t>The draft uses the outdated $10.00 value. Correct value is $62,500, and the total is $537,500.</w:t>
            </w:r>
          </w:p>
        </w:tc>
      </w:tr>
      <w:tr>
        <w:tc>
          <w:tcPr>
            <w:tcW w:type="dxa" w:w="1728"/>
          </w:tcPr>
          <w:p>
            <w:r/>
            <w:r>
              <w:rPr>
                <w:b/>
                <w:sz w:val="19"/>
              </w:rPr>
              <w:t>Benefits / insurance</w:t>
            </w:r>
          </w:p>
        </w:tc>
        <w:tc>
          <w:tcPr>
            <w:tcW w:type="dxa" w:w="4032"/>
          </w:tcPr>
          <w:p>
            <w:r/>
            <w:r>
              <w:rPr>
                <w:sz w:val="19"/>
              </w:rPr>
              <w:t>Group health; 401(k) with 4% match (Cascadia Benefit Administrators); EPLI: Timberline Insurance Group, Policy TIG-EPL-2024-00391</w:t>
            </w:r>
          </w:p>
        </w:tc>
        <w:tc>
          <w:tcPr>
            <w:tcW w:type="dxa" w:w="3600"/>
          </w:tcPr>
          <w:p>
            <w:r/>
            <w:r>
              <w:rPr>
                <w:sz w:val="19"/>
              </w:rPr>
              <w:t>Vested 401(k) rights cannot be released. Carrier consent to settle is likely required.</w:t>
            </w:r>
          </w:p>
        </w:tc>
      </w:tr>
    </w:tbl>
    <w:p>
      <w:pPr>
        <w:spacing w:after="40"/>
      </w:pPr>
    </w:p>
    <w:p>
      <w:pPr>
        <w:pStyle w:val="Heading1"/>
      </w:pPr>
      <w:r>
        <w:t>3. Exposure Assessment and Settlement Value</w:t>
      </w:r>
    </w:p>
    <w:p>
      <w:pPr>
        <w:spacing w:after="120"/>
      </w:pPr>
      <w:r>
        <w:rPr>
          <w:b w:val="0"/>
          <w:i w:val="0"/>
        </w:rPr>
        <w:t>If the matter were litigated, the record presents meaningful risk for Greenleaf:</w:t>
      </w:r>
    </w:p>
    <w:p>
      <w:pPr>
        <w:pStyle w:val="ListBullet"/>
        <w:spacing w:after="60"/>
      </w:pPr>
      <w:r>
        <w:rPr>
          <w:b w:val="0"/>
        </w:rPr>
        <w:t>Pretext. Greenleaf's 'position elimination' defense is undercut by the hire of a Senior Director of Supply Chain &amp; Logistics six days after the termination, at $33,000 less in salary. It is also undercut by the different explanations given for the administrative leave ('reporting structure') and for the termination ('elimination of position').</w:t>
      </w:r>
    </w:p>
    <w:p>
      <w:pPr>
        <w:pStyle w:val="ListBullet"/>
        <w:spacing w:after="60"/>
      </w:pPr>
      <w:r>
        <w:rPr>
          <w:b w:val="0"/>
        </w:rPr>
        <w:t>Timing. Delano reported internally on November 8, 2024 and to Oregon OSHA on December 3, 2024. Oregon OSHA opened a formal investigation on January 22, 2025. Delano was placed on leave 19 days later and terminated about five weeks after that. This timing is strong circumstantial causation evidence for the ORS 654.062(5), ORS 659A.199 and FSMA claims.</w:t>
      </w:r>
    </w:p>
    <w:p>
      <w:pPr>
        <w:pStyle w:val="ListBullet"/>
        <w:spacing w:after="60"/>
      </w:pPr>
      <w:r>
        <w:rPr>
          <w:b w:val="0"/>
        </w:rPr>
        <w:t>Damages. At $218,000 base plus a roughly $43,600 target bonus, annual cash compensation is about $261,600. Twelve to twenty-four months of back pay through trial would be about $260,000 to $525,000, before front pay, lost equity, emotional-distress damages and punitive damages (available on certain ORS Chapter 659A claims), ADEA liquidated damages for willful violations, and fee-shifting under ORS 659A.885 and the ADEA.</w:t>
      </w:r>
    </w:p>
    <w:p>
      <w:pPr>
        <w:spacing w:after="120"/>
      </w:pPr>
      <w:r>
        <w:rPr>
          <w:b w:val="0"/>
          <w:i w:val="0"/>
        </w:rPr>
        <w:t>Against that exposure, a total package of $537,500 ($400,000 cash to Delano, $75,000 in fees, and $62,500 in equity) is reasonable, provided the release is actually effective. That is why fixing the OWBPA defects is the priority. These figures are order-of-magnitude estimates only. A full damages model would require mitigation information (Delano's re-employment status) and Mehta's age and qualifications.</w:t>
      </w:r>
    </w:p>
    <w:p>
      <w:pPr>
        <w:spacing w:after="120"/>
      </w:pPr>
      <w:r>
        <w:rPr>
          <w:b/>
          <w:i w:val="0"/>
        </w:rPr>
        <w:t>Approximate filing deadlines (measured from the March 14, 2025 termination; to be confirmed):</w:t>
      </w:r>
    </w:p>
    <w:tbl>
      <w:tblPr>
        <w:tblStyle w:val="TableGrid"/>
        <w:tblW w:type="auto" w:w="0"/>
        <w:tblLook w:firstColumn="1" w:firstRow="1" w:lastColumn="0" w:lastRow="0" w:noHBand="0" w:noVBand="1" w:val="04A0"/>
      </w:tblPr>
      <w:tblGrid>
        <w:gridCol w:w="3120"/>
        <w:gridCol w:w="3120"/>
        <w:gridCol w:w="3120"/>
      </w:tblGrid>
      <w:tr>
        <w:tc>
          <w:tcPr>
            <w:tcW w:type="dxa" w:w="3168"/>
            <w:shd w:val="clear" w:color="auto" w:fill="D9D9D9"/>
          </w:tcPr>
          <w:p>
            <w:r/>
            <w:r>
              <w:rPr>
                <w:b/>
                <w:sz w:val="19"/>
              </w:rPr>
              <w:t>Claim / forum</w:t>
            </w:r>
          </w:p>
        </w:tc>
        <w:tc>
          <w:tcPr>
            <w:tcW w:type="dxa" w:w="2448"/>
            <w:shd w:val="clear" w:color="auto" w:fill="D9D9D9"/>
          </w:tcPr>
          <w:p>
            <w:r/>
            <w:r>
              <w:rPr>
                <w:b/>
                <w:sz w:val="19"/>
              </w:rPr>
              <w:t>Approximate deadline</w:t>
            </w:r>
          </w:p>
        </w:tc>
        <w:tc>
          <w:tcPr>
            <w:tcW w:type="dxa" w:w="3744"/>
            <w:shd w:val="clear" w:color="auto" w:fill="D9D9D9"/>
          </w:tcPr>
          <w:p>
            <w:r/>
            <w:r>
              <w:rPr>
                <w:b/>
                <w:sz w:val="19"/>
              </w:rPr>
              <w:t>Relevance</w:t>
            </w:r>
          </w:p>
        </w:tc>
      </w:tr>
      <w:tr>
        <w:tc>
          <w:tcPr>
            <w:tcW w:type="dxa" w:w="3168"/>
          </w:tcPr>
          <w:p>
            <w:r/>
            <w:r>
              <w:rPr>
                <w:b/>
                <w:sz w:val="19"/>
              </w:rPr>
              <w:t>ORS 654.062 retaliation complaint to BOLI (ORS 654.062(6))</w:t>
            </w:r>
          </w:p>
        </w:tc>
        <w:tc>
          <w:tcPr>
            <w:tcW w:type="dxa" w:w="2448"/>
          </w:tcPr>
          <w:p>
            <w:r/>
            <w:r>
              <w:rPr>
                <w:sz w:val="19"/>
              </w:rPr>
              <w:t>90 days, about June 12, 2025</w:t>
            </w:r>
          </w:p>
        </w:tc>
        <w:tc>
          <w:tcPr>
            <w:tcW w:type="dxa" w:w="3744"/>
          </w:tcPr>
          <w:p>
            <w:r/>
            <w:r>
              <w:rPr>
                <w:sz w:val="19"/>
              </w:rPr>
              <w:t>Delano is likely to file soon if talks stall. Confirm none has been filed (rep in Section 15(a)(ii)).</w:t>
            </w:r>
          </w:p>
        </w:tc>
      </w:tr>
      <w:tr>
        <w:tc>
          <w:tcPr>
            <w:tcW w:type="dxa" w:w="3168"/>
          </w:tcPr>
          <w:p>
            <w:r/>
            <w:r>
              <w:rPr>
                <w:b/>
                <w:sz w:val="19"/>
              </w:rPr>
              <w:t>FSMA retaliation, 21 U.S.C. 399d (federal OSHA)</w:t>
            </w:r>
          </w:p>
        </w:tc>
        <w:tc>
          <w:tcPr>
            <w:tcW w:type="dxa" w:w="2448"/>
          </w:tcPr>
          <w:p>
            <w:r/>
            <w:r>
              <w:rPr>
                <w:sz w:val="19"/>
              </w:rPr>
              <w:t>180 days, about Sept. 10, 2025</w:t>
            </w:r>
          </w:p>
        </w:tc>
        <w:tc>
          <w:tcPr>
            <w:tcW w:type="dxa" w:w="3744"/>
          </w:tcPr>
          <w:p>
            <w:r/>
            <w:r>
              <w:rPr>
                <w:sz w:val="19"/>
              </w:rPr>
              <w:t>If filed before signing, settlement requires OSHA approval (29 C.F.R. 1987.111).</w:t>
            </w:r>
          </w:p>
        </w:tc>
      </w:tr>
      <w:tr>
        <w:tc>
          <w:tcPr>
            <w:tcW w:type="dxa" w:w="3168"/>
          </w:tcPr>
          <w:p>
            <w:r/>
            <w:r>
              <w:rPr>
                <w:b/>
                <w:sz w:val="19"/>
              </w:rPr>
              <w:t>ADEA charge with EEOC (300 days in a deferral state)</w:t>
            </w:r>
          </w:p>
        </w:tc>
        <w:tc>
          <w:tcPr>
            <w:tcW w:type="dxa" w:w="2448"/>
          </w:tcPr>
          <w:p>
            <w:r/>
            <w:r>
              <w:rPr>
                <w:sz w:val="19"/>
              </w:rPr>
              <w:t>About Jan. 8, 2026</w:t>
            </w:r>
          </w:p>
        </w:tc>
        <w:tc>
          <w:tcPr>
            <w:tcW w:type="dxa" w:w="3744"/>
          </w:tcPr>
          <w:p>
            <w:r/>
            <w:r>
              <w:rPr>
                <w:sz w:val="19"/>
              </w:rPr>
              <w:t>No charge filed, so the full OWBPA 21/7-day rules apply rather than the 'reasonable period' rule for pending charges.</w:t>
            </w:r>
          </w:p>
        </w:tc>
      </w:tr>
      <w:tr>
        <w:tc>
          <w:tcPr>
            <w:tcW w:type="dxa" w:w="3168"/>
          </w:tcPr>
          <w:p>
            <w:r/>
            <w:r>
              <w:rPr>
                <w:b/>
                <w:sz w:val="19"/>
              </w:rPr>
              <w:t>ORS Chapter 659A civil claims</w:t>
            </w:r>
          </w:p>
        </w:tc>
        <w:tc>
          <w:tcPr>
            <w:tcW w:type="dxa" w:w="2448"/>
          </w:tcPr>
          <w:p>
            <w:r/>
            <w:r>
              <w:rPr>
                <w:sz w:val="19"/>
              </w:rPr>
              <w:t>Varies; extended limitations periods apply to ORS 659A.030 discrimination claims after the 2019 Workplace Fairness Act</w:t>
            </w:r>
          </w:p>
        </w:tc>
        <w:tc>
          <w:tcPr>
            <w:tcW w:type="dxa" w:w="3744"/>
          </w:tcPr>
          <w:p>
            <w:r/>
            <w:r>
              <w:rPr>
                <w:sz w:val="19"/>
              </w:rPr>
              <w:t>The release must expressly cover ORS 659A claims, which our revisions do.</w:t>
            </w:r>
          </w:p>
        </w:tc>
      </w:tr>
    </w:tbl>
    <w:p>
      <w:pPr>
        <w:spacing w:after="40"/>
      </w:pPr>
    </w:p>
    <w:p>
      <w:pPr>
        <w:pStyle w:val="Heading1"/>
      </w:pPr>
      <w:r>
        <w:t>4. Provision-by-Provision Issues and Revisions</w:t>
      </w:r>
    </w:p>
    <w:p>
      <w:pPr>
        <w:spacing w:after="120"/>
      </w:pPr>
      <w:r>
        <w:rPr>
          <w:b w:val="0"/>
          <w:i/>
          <w:sz w:val="20"/>
        </w:rPr>
        <w:t>Risk ratings reflect risk to Greenleaf if the provision is left unrevised. Every revision is shown in tracked changes in the enclosed redline, with a margin comment explaining it.</w:t>
      </w:r>
    </w:p>
    <w:tbl>
      <w:tblPr>
        <w:tblStyle w:val="TableGrid"/>
        <w:tblW w:type="auto" w:w="0"/>
        <w:tblLook w:firstColumn="1" w:firstRow="1" w:lastColumn="0" w:lastRow="0" w:noHBand="0" w:noVBand="1" w:val="04A0"/>
      </w:tblPr>
      <w:tblGrid>
        <w:gridCol w:w="2340"/>
        <w:gridCol w:w="2340"/>
        <w:gridCol w:w="2340"/>
        <w:gridCol w:w="2340"/>
      </w:tblGrid>
      <w:tr>
        <w:tc>
          <w:tcPr>
            <w:tcW w:type="dxa" w:w="1656"/>
            <w:shd w:val="clear" w:color="auto" w:fill="D9D9D9"/>
          </w:tcPr>
          <w:p>
            <w:r/>
            <w:r>
              <w:rPr>
                <w:b/>
                <w:sz w:val="19"/>
              </w:rPr>
              <w:t>Provision</w:t>
            </w:r>
          </w:p>
        </w:tc>
        <w:tc>
          <w:tcPr>
            <w:tcW w:type="dxa" w:w="3384"/>
            <w:shd w:val="clear" w:color="auto" w:fill="D9D9D9"/>
          </w:tcPr>
          <w:p>
            <w:r/>
            <w:r>
              <w:rPr>
                <w:b/>
                <w:sz w:val="19"/>
              </w:rPr>
              <w:t>Issue in Draft</w:t>
            </w:r>
          </w:p>
        </w:tc>
        <w:tc>
          <w:tcPr>
            <w:tcW w:type="dxa" w:w="1080"/>
            <w:shd w:val="clear" w:color="auto" w:fill="D9D9D9"/>
          </w:tcPr>
          <w:p>
            <w:r/>
            <w:r>
              <w:rPr>
                <w:b/>
                <w:sz w:val="19"/>
              </w:rPr>
              <w:t>Risk</w:t>
            </w:r>
          </w:p>
        </w:tc>
        <w:tc>
          <w:tcPr>
            <w:tcW w:type="dxa" w:w="3240"/>
            <w:shd w:val="clear" w:color="auto" w:fill="D9D9D9"/>
          </w:tcPr>
          <w:p>
            <w:r/>
            <w:r>
              <w:rPr>
                <w:b/>
                <w:sz w:val="19"/>
              </w:rPr>
              <w:t>Revision in Markup</w:t>
            </w:r>
          </w:p>
        </w:tc>
      </w:tr>
      <w:tr>
        <w:tc>
          <w:tcPr>
            <w:tcW w:type="dxa" w:w="1656"/>
          </w:tcPr>
          <w:p>
            <w:r/>
            <w:r>
              <w:rPr>
                <w:b/>
                <w:sz w:val="19"/>
              </w:rPr>
              <w:t>Preamble; Sec. 1(b) Effective Date</w:t>
            </w:r>
          </w:p>
        </w:tc>
        <w:tc>
          <w:tcPr>
            <w:tcW w:type="dxa" w:w="3384"/>
          </w:tcPr>
          <w:p>
            <w:r/>
            <w:r>
              <w:rPr>
                <w:sz w:val="19"/>
              </w:rPr>
              <w:t>Effective Date fixed at May 5, 2025, before signature; payments keyed to that date.</w:t>
            </w:r>
          </w:p>
        </w:tc>
        <w:tc>
          <w:tcPr>
            <w:tcW w:type="dxa" w:w="1080"/>
          </w:tcPr>
          <w:p>
            <w:r/>
            <w:r>
              <w:rPr>
                <w:sz w:val="19"/>
              </w:rPr>
              <w:t>Critical</w:t>
            </w:r>
          </w:p>
        </w:tc>
        <w:tc>
          <w:tcPr>
            <w:tcW w:type="dxa" w:w="3240"/>
          </w:tcPr>
          <w:p>
            <w:r/>
            <w:r>
              <w:rPr>
                <w:sz w:val="19"/>
              </w:rPr>
              <w:t>Effective Date is the 8th day after Delano signs, if not revoked and countersigned. Payment timing runs from the Effective Date and receipt of W-9/W-4 forms.</w:t>
            </w:r>
          </w:p>
        </w:tc>
      </w:tr>
      <w:tr>
        <w:tc>
          <w:tcPr>
            <w:tcW w:type="dxa" w:w="1656"/>
          </w:tcPr>
          <w:p>
            <w:r/>
            <w:r>
              <w:rPr>
                <w:b/>
                <w:sz w:val="19"/>
              </w:rPr>
              <w:t>Sec. 5; Sec. 16 OWBPA</w:t>
            </w:r>
          </w:p>
        </w:tc>
        <w:tc>
          <w:tcPr>
            <w:tcW w:type="dxa" w:w="3384"/>
          </w:tcPr>
          <w:p>
            <w:r/>
            <w:r>
              <w:rPr>
                <w:sz w:val="19"/>
              </w:rPr>
              <w:t>14-day consideration period; no revocation right; no written advice to consult counsel; no carve-out for post-signing claims; no group-program analysis.</w:t>
            </w:r>
          </w:p>
        </w:tc>
        <w:tc>
          <w:tcPr>
            <w:tcW w:type="dxa" w:w="1080"/>
          </w:tcPr>
          <w:p>
            <w:r/>
            <w:r>
              <w:rPr>
                <w:sz w:val="19"/>
              </w:rPr>
              <w:t>Critical</w:t>
            </w:r>
          </w:p>
        </w:tc>
        <w:tc>
          <w:tcPr>
            <w:tcW w:type="dxa" w:w="3240"/>
          </w:tcPr>
          <w:p>
            <w:r/>
            <w:r>
              <w:rPr>
                <w:sz w:val="19"/>
              </w:rPr>
              <w:t>21 days to consider; 7-day revocation (Sec. 5(h)); written advice to consult counsel (5(g)); no waiver of future claims (5(i)); individual-separation acknowledgment (5(j), to be confirmed); changes do not restart the period; signed copy returned to GC.</w:t>
            </w:r>
          </w:p>
        </w:tc>
      </w:tr>
      <w:tr>
        <w:tc>
          <w:tcPr>
            <w:tcW w:type="dxa" w:w="1656"/>
          </w:tcPr>
          <w:p>
            <w:r/>
            <w:r>
              <w:rPr>
                <w:b/>
                <w:sz w:val="19"/>
              </w:rPr>
              <w:t>Sec. 3(d), 3(e), 8(d) RSUs</w:t>
            </w:r>
          </w:p>
        </w:tc>
        <w:tc>
          <w:tcPr>
            <w:tcW w:type="dxa" w:w="3384"/>
          </w:tcPr>
          <w:p>
            <w:r/>
            <w:r>
              <w:rPr>
                <w:sz w:val="19"/>
              </w:rPr>
              <w:t>$10.00/share (July 2024) labeled 'most recent'; current 409A is $12.50 (Jan. 15, 2025). Value $50,000 should be $62,500; total $525,000 should be $537,500. Forfeited RSUs require Committee action. Tax treatment left open. 'Brokerage account' delivery is impractical for private stock.</w:t>
            </w:r>
          </w:p>
        </w:tc>
        <w:tc>
          <w:tcPr>
            <w:tcW w:type="dxa" w:w="1080"/>
          </w:tcPr>
          <w:p>
            <w:r/>
            <w:r>
              <w:rPr>
                <w:sz w:val="19"/>
              </w:rPr>
              <w:t>High</w:t>
            </w:r>
          </w:p>
        </w:tc>
        <w:tc>
          <w:tcPr>
            <w:tcW w:type="dxa" w:w="3240"/>
          </w:tcPr>
          <w:p>
            <w:r/>
            <w:r>
              <w:rPr>
                <w:sz w:val="19"/>
              </w:rPr>
              <w:t>Corrected to $12.50, $62,500 and $537,500. Committee approval is a condition, with a matching rep (15(b)(iii)). Treated as W-2 supplemental wages with net-share withholding. Book-entry issuance subject to securities and stockholder restrictions. Remaining 2,500 RSUs stay forfeited. Fallback: 4,000 RSUs ($50,000) if the business deal was a $50,000 equity value.</w:t>
            </w:r>
          </w:p>
        </w:tc>
      </w:tr>
      <w:tr>
        <w:tc>
          <w:tcPr>
            <w:tcW w:type="dxa" w:w="1656"/>
          </w:tcPr>
          <w:p>
            <w:r/>
            <w:r>
              <w:rPr>
                <w:b/>
                <w:sz w:val="19"/>
              </w:rPr>
              <w:t>Sec. 9 Non-compete</w:t>
            </w:r>
          </w:p>
        </w:tc>
        <w:tc>
          <w:tcPr>
            <w:tcW w:type="dxa" w:w="3384"/>
          </w:tcPr>
          <w:p>
            <w:r/>
            <w:r>
              <w:rPr>
                <w:sz w:val="19"/>
              </w:rPr>
              <w:t>18 months, 4 states, entire organic food industry, with tolling; entered post-termination. Void under ORS 653.295 (timing, 12-month cap, notice requirements). Retaliation optics.</w:t>
            </w:r>
          </w:p>
        </w:tc>
        <w:tc>
          <w:tcPr>
            <w:tcW w:type="dxa" w:w="1080"/>
          </w:tcPr>
          <w:p>
            <w:r/>
            <w:r>
              <w:rPr>
                <w:sz w:val="19"/>
              </w:rPr>
              <w:t>High</w:t>
            </w:r>
          </w:p>
        </w:tc>
        <w:tc>
          <w:tcPr>
            <w:tcW w:type="dxa" w:w="3240"/>
          </w:tcPr>
          <w:p>
            <w:r/>
            <w:r>
              <w:rPr>
                <w:sz w:val="19"/>
              </w:rPr>
              <w:t>Deleted ('Intentionally Omitted'). Replaced by new Sec. 6A (confidential information, return of property, DTSA notice) and the retained non-solicit.</w:t>
            </w:r>
          </w:p>
        </w:tc>
      </w:tr>
      <w:tr>
        <w:tc>
          <w:tcPr>
            <w:tcW w:type="dxa" w:w="1656"/>
          </w:tcPr>
          <w:p>
            <w:r/>
            <w:r>
              <w:rPr>
                <w:b/>
                <w:sz w:val="19"/>
              </w:rPr>
              <w:t>New Sec. 4A; Secs. 6, 7, 15(a)(ii)</w:t>
            </w:r>
          </w:p>
        </w:tc>
        <w:tc>
          <w:tcPr>
            <w:tcW w:type="dxa" w:w="3384"/>
          </w:tcPr>
          <w:p>
            <w:r/>
            <w:r>
              <w:rPr>
                <w:sz w:val="19"/>
              </w:rPr>
              <w:t>No carve-outs for agency charges or cooperation, testimony, ORS 659A.370 disclosures, NLRA, or DTSA. Covenant not to file 'any complaint [or] charge' with any agency. Oregon OSHA investigation pending.</w:t>
            </w:r>
          </w:p>
        </w:tc>
        <w:tc>
          <w:tcPr>
            <w:tcW w:type="dxa" w:w="1080"/>
          </w:tcPr>
          <w:p>
            <w:r/>
            <w:r>
              <w:rPr>
                <w:sz w:val="19"/>
              </w:rPr>
              <w:t>High</w:t>
            </w:r>
          </w:p>
        </w:tc>
        <w:tc>
          <w:tcPr>
            <w:tcW w:type="dxa" w:w="3240"/>
          </w:tcPr>
          <w:p>
            <w:r/>
            <w:r>
              <w:rPr>
                <w:sz w:val="19"/>
              </w:rPr>
              <w:t>Protected Rights clause added. Delano is not required to withdraw the OSHA complaint. He waives individual monetary recovery on Released Claims, except agency whistleblower awards. The no-filing covenant is limited to lawsuits and arbitrations.</w:t>
            </w:r>
          </w:p>
        </w:tc>
      </w:tr>
      <w:tr>
        <w:tc>
          <w:tcPr>
            <w:tcW w:type="dxa" w:w="1656"/>
          </w:tcPr>
          <w:p>
            <w:r/>
            <w:r>
              <w:rPr>
                <w:b/>
                <w:sz w:val="19"/>
              </w:rPr>
              <w:t>Sec. 6, 7; Recitals ORS 659A.370</w:t>
            </w:r>
          </w:p>
        </w:tc>
        <w:tc>
          <w:tcPr>
            <w:tcW w:type="dxa" w:w="3384"/>
          </w:tcPr>
          <w:p>
            <w:r/>
            <w:r>
              <w:rPr>
                <w:sz w:val="19"/>
              </w:rPr>
              <w:t>Confidentiality and non-disparagement restrict discussion of alleged discrimination without documented employee request or 7-day revocation.</w:t>
            </w:r>
          </w:p>
        </w:tc>
        <w:tc>
          <w:tcPr>
            <w:tcW w:type="dxa" w:w="1080"/>
          </w:tcPr>
          <w:p>
            <w:r/>
            <w:r>
              <w:rPr>
                <w:sz w:val="19"/>
              </w:rPr>
              <w:t>Medium-High</w:t>
            </w:r>
          </w:p>
        </w:tc>
        <w:tc>
          <w:tcPr>
            <w:tcW w:type="dxa" w:w="3240"/>
          </w:tcPr>
          <w:p>
            <w:r/>
            <w:r>
              <w:rPr>
                <w:sz w:val="19"/>
              </w:rPr>
              <w:t>Recital that Delano requested the provisions (to be confirmed). The 7-day revocation extends to Secs. 6 and 7. Carve-out in 4A(iii).</w:t>
            </w:r>
          </w:p>
        </w:tc>
      </w:tr>
      <w:tr>
        <w:tc>
          <w:tcPr>
            <w:tcW w:type="dxa" w:w="1656"/>
          </w:tcPr>
          <w:p>
            <w:r/>
            <w:r>
              <w:rPr>
                <w:b/>
                <w:sz w:val="19"/>
              </w:rPr>
              <w:t>Sec. 3(a)-(c), Sec. 8 Tax</w:t>
            </w:r>
          </w:p>
        </w:tc>
        <w:tc>
          <w:tcPr>
            <w:tcW w:type="dxa" w:w="3384"/>
          </w:tcPr>
          <w:p>
            <w:r/>
            <w:r>
              <w:rPr>
                <w:sz w:val="19"/>
              </w:rPr>
              <w:t>Fees reported on 1099-NEC (wrong form). The $125,000 'back pay' is described as covering March 14 to May 5 only (about $31,058 actual). Heavy non-wage allocation. No Delano tax indemnity. No 409A clause.</w:t>
            </w:r>
          </w:p>
        </w:tc>
        <w:tc>
          <w:tcPr>
            <w:tcW w:type="dxa" w:w="1080"/>
          </w:tcPr>
          <w:p>
            <w:r/>
            <w:r>
              <w:rPr>
                <w:sz w:val="19"/>
              </w:rPr>
              <w:t>Medium-High</w:t>
            </w:r>
          </w:p>
        </w:tc>
        <w:tc>
          <w:tcPr>
            <w:tcW w:type="dxa" w:w="3240"/>
          </w:tcPr>
          <w:p>
            <w:r/>
            <w:r>
              <w:rPr>
                <w:sz w:val="19"/>
              </w:rPr>
              <w:t>Fees: 1099-MISC Box 10 to the firm, and 1099-MISC to Delano where required. Back pay recharacterized as back pay, front pay and incentive compensation, including the 2024 bonus. Employer payroll share stated. Delano indemnifies Greenleaf for taxes on the 1099 components. 409A savings clause added. Consider moving part of the $275,000 to W-2 (see Section 5).</w:t>
            </w:r>
          </w:p>
        </w:tc>
      </w:tr>
      <w:tr>
        <w:tc>
          <w:tcPr>
            <w:tcW w:type="dxa" w:w="1656"/>
          </w:tcPr>
          <w:p>
            <w:r/>
            <w:r>
              <w:rPr>
                <w:b/>
                <w:sz w:val="19"/>
              </w:rPr>
              <w:t>Sec. 2; Recital; Sec. 4(xi) 2024 bonus</w:t>
            </w:r>
          </w:p>
        </w:tc>
        <w:tc>
          <w:tcPr>
            <w:tcW w:type="dxa" w:w="3384"/>
          </w:tcPr>
          <w:p>
            <w:r/>
            <w:r>
              <w:rPr>
                <w:sz w:val="19"/>
              </w:rPr>
              <w:t>Draft has Delano confirm no bonus is owed, while the record shows the 2024 bonus was undetermined. Possible ORS 652 claim with penalty wages.</w:t>
            </w:r>
          </w:p>
        </w:tc>
        <w:tc>
          <w:tcPr>
            <w:tcW w:type="dxa" w:w="1080"/>
          </w:tcPr>
          <w:p>
            <w:r/>
            <w:r>
              <w:rPr>
                <w:sz w:val="19"/>
              </w:rPr>
              <w:t>Medium</w:t>
            </w:r>
          </w:p>
        </w:tc>
        <w:tc>
          <w:tcPr>
            <w:tcW w:type="dxa" w:w="3240"/>
          </w:tcPr>
          <w:p>
            <w:r/>
            <w:r>
              <w:rPr>
                <w:sz w:val="19"/>
              </w:rPr>
              <w:t>The bonus is expressly resolved within the W-2 payment. Bonus and penalty-wage claims are expressly released. Vested 401(k) rights are preserved.</w:t>
            </w:r>
          </w:p>
        </w:tc>
      </w:tr>
      <w:tr>
        <w:tc>
          <w:tcPr>
            <w:tcW w:type="dxa" w:w="1656"/>
          </w:tcPr>
          <w:p>
            <w:r/>
            <w:r>
              <w:rPr>
                <w:b/>
                <w:sz w:val="19"/>
              </w:rPr>
              <w:t>Sec. 4 Release scope</w:t>
            </w:r>
          </w:p>
        </w:tc>
        <w:tc>
          <w:tcPr>
            <w:tcW w:type="dxa" w:w="3384"/>
          </w:tcPr>
          <w:p>
            <w:r/>
            <w:r>
              <w:rPr>
                <w:sz w:val="19"/>
              </w:rPr>
              <w:t>Limited to employment-related claims; cut-off at the Effective Date; omits FSMA, OSH Act 11(c), ORS 659A.199, OFLA, sick time and Equal Pay Act; purports to release workers' compensation benefit claims (not releasable without WCB approval, ORS 656.236); no carve-outs for non-waivable claims.</w:t>
            </w:r>
          </w:p>
        </w:tc>
        <w:tc>
          <w:tcPr>
            <w:tcW w:type="dxa" w:w="1080"/>
          </w:tcPr>
          <w:p>
            <w:r/>
            <w:r>
              <w:rPr>
                <w:sz w:val="19"/>
              </w:rPr>
              <w:t>Medium-High</w:t>
            </w:r>
          </w:p>
        </w:tc>
        <w:tc>
          <w:tcPr>
            <w:tcW w:type="dxa" w:w="3240"/>
          </w:tcPr>
          <w:p>
            <w:r/>
            <w:r>
              <w:rPr>
                <w:sz w:val="19"/>
              </w:rPr>
              <w:t>General release of all claims through the date Delano signs. Missing statutes added. Workers' compensation benefits excluded, while workers' comp retaliation is released. Standard exclusions added (unemployment, vested benefits, COBRA, future claims, OWBPA challenge).</w:t>
            </w:r>
          </w:p>
        </w:tc>
      </w:tr>
      <w:tr>
        <w:tc>
          <w:tcPr>
            <w:tcW w:type="dxa" w:w="1656"/>
          </w:tcPr>
          <w:p>
            <w:r/>
            <w:r>
              <w:rPr>
                <w:b/>
                <w:sz w:val="19"/>
              </w:rPr>
              <w:t>Sec. 1(d) Releasees</w:t>
            </w:r>
          </w:p>
        </w:tc>
        <w:tc>
          <w:tcPr>
            <w:tcW w:type="dxa" w:w="3384"/>
          </w:tcPr>
          <w:p>
            <w:r/>
            <w:r>
              <w:rPr>
                <w:sz w:val="19"/>
              </w:rPr>
              <w:t>Omits insurers and benefit plans.</w:t>
            </w:r>
          </w:p>
        </w:tc>
        <w:tc>
          <w:tcPr>
            <w:tcW w:type="dxa" w:w="1080"/>
          </w:tcPr>
          <w:p>
            <w:r/>
            <w:r>
              <w:rPr>
                <w:sz w:val="19"/>
              </w:rPr>
              <w:t>Low</w:t>
            </w:r>
          </w:p>
        </w:tc>
        <w:tc>
          <w:tcPr>
            <w:tcW w:type="dxa" w:w="3240"/>
          </w:tcPr>
          <w:p>
            <w:r/>
            <w:r>
              <w:rPr>
                <w:sz w:val="19"/>
              </w:rPr>
              <w:t>EPLI carrier (Timberline) and plans/fiduciaries added.</w:t>
            </w:r>
          </w:p>
        </w:tc>
      </w:tr>
      <w:tr>
        <w:tc>
          <w:tcPr>
            <w:tcW w:type="dxa" w:w="1656"/>
          </w:tcPr>
          <w:p>
            <w:r/>
            <w:r>
              <w:rPr>
                <w:b/>
                <w:sz w:val="19"/>
              </w:rPr>
              <w:t>Sec. 7 Non-disparagement</w:t>
            </w:r>
          </w:p>
        </w:tc>
        <w:tc>
          <w:tcPr>
            <w:tcW w:type="dxa" w:w="3384"/>
          </w:tcPr>
          <w:p>
            <w:r/>
            <w:r>
              <w:rPr>
                <w:sz w:val="19"/>
              </w:rPr>
              <w:t>Mutual covenant binds 'Greenleaf', defined to include all officers, directors and senior management in their individual capacities, in perpetuity. Greenleaf cannot control those statements. Delano's covenant restricts statements about 'business practices' and 'products' during a food-safety investigation.</w:t>
            </w:r>
          </w:p>
        </w:tc>
        <w:tc>
          <w:tcPr>
            <w:tcW w:type="dxa" w:w="1080"/>
          </w:tcPr>
          <w:p>
            <w:r/>
            <w:r>
              <w:rPr>
                <w:sz w:val="19"/>
              </w:rPr>
              <w:t>Medium</w:t>
            </w:r>
          </w:p>
        </w:tc>
        <w:tc>
          <w:tcPr>
            <w:tcW w:type="dxa" w:w="3240"/>
          </w:tcPr>
          <w:p>
            <w:r/>
            <w:r>
              <w:rPr>
                <w:sz w:val="19"/>
              </w:rPr>
              <w:t>Greenleaf's obligation is limited to no official disparaging statements and a written instruction to the four named executives while they remain employed. Delano's covenant is subject to 4A, with a carve-out for truthful testimony.</w:t>
            </w:r>
          </w:p>
        </w:tc>
      </w:tr>
      <w:tr>
        <w:tc>
          <w:tcPr>
            <w:tcW w:type="dxa" w:w="1656"/>
          </w:tcPr>
          <w:p>
            <w:r/>
            <w:r>
              <w:rPr>
                <w:b/>
                <w:sz w:val="19"/>
              </w:rPr>
              <w:t>Sec. 11 References</w:t>
            </w:r>
          </w:p>
        </w:tc>
        <w:tc>
          <w:tcPr>
            <w:tcW w:type="dxa" w:w="3384"/>
          </w:tcPr>
          <w:p>
            <w:r/>
            <w:r>
              <w:rPr>
                <w:sz w:val="19"/>
              </w:rPr>
              <w:t>Compelled endorsement ('valued member... significant contributions'). Binds 'all other current employees'. Absolute bar on mentioning the complaint 'under any circumstances'.</w:t>
            </w:r>
          </w:p>
        </w:tc>
        <w:tc>
          <w:tcPr>
            <w:tcW w:type="dxa" w:w="1080"/>
          </w:tcPr>
          <w:p>
            <w:r/>
            <w:r>
              <w:rPr>
                <w:sz w:val="19"/>
              </w:rPr>
              <w:t>Medium</w:t>
            </w:r>
          </w:p>
        </w:tc>
        <w:tc>
          <w:tcPr>
            <w:tcW w:type="dxa" w:w="3240"/>
          </w:tcPr>
          <w:p>
            <w:r/>
            <w:r>
              <w:rPr>
                <w:sz w:val="19"/>
              </w:rPr>
              <w:t>Neutral reference (dates and title) through HR. No for-cause or performance statements. Written instruction to the four executives to refer inquiries to HR. No liability for employees acting outside the scope of employment. Option: an agreed reference letter as an exhibit.</w:t>
            </w:r>
          </w:p>
        </w:tc>
      </w:tr>
      <w:tr>
        <w:tc>
          <w:tcPr>
            <w:tcW w:type="dxa" w:w="1656"/>
          </w:tcPr>
          <w:p>
            <w:r/>
            <w:r>
              <w:rPr>
                <w:b/>
                <w:sz w:val="19"/>
              </w:rPr>
              <w:t>Sec. 12 Company release</w:t>
            </w:r>
          </w:p>
        </w:tc>
        <w:tc>
          <w:tcPr>
            <w:tcW w:type="dxa" w:w="3384"/>
          </w:tcPr>
          <w:p>
            <w:r/>
            <w:r>
              <w:rPr>
                <w:sz w:val="19"/>
              </w:rPr>
              <w:t>Releases unknown claims on behalf of all Releasees, including individuals. Fraud carve-out limited to conduct 'discovered after' the Effective Date.</w:t>
            </w:r>
          </w:p>
        </w:tc>
        <w:tc>
          <w:tcPr>
            <w:tcW w:type="dxa" w:w="1080"/>
          </w:tcPr>
          <w:p>
            <w:r/>
            <w:r>
              <w:rPr>
                <w:sz w:val="19"/>
              </w:rPr>
              <w:t>Medium</w:t>
            </w:r>
          </w:p>
        </w:tc>
        <w:tc>
          <w:tcPr>
            <w:tcW w:type="dxa" w:w="3240"/>
          </w:tcPr>
          <w:p>
            <w:r/>
            <w:r>
              <w:rPr>
                <w:sz w:val="19"/>
              </w:rPr>
              <w:t>Release runs from the Company and affiliates only, and covers claims known to the CEO or GC at signing. Fraud, theft and criminal conduct are carved out regardless of when discovered. Trade-secret and confidentiality claims are preserved.</w:t>
            </w:r>
          </w:p>
        </w:tc>
      </w:tr>
      <w:tr>
        <w:tc>
          <w:tcPr>
            <w:tcW w:type="dxa" w:w="1656"/>
          </w:tcPr>
          <w:p>
            <w:r/>
            <w:r>
              <w:rPr>
                <w:b/>
                <w:sz w:val="19"/>
              </w:rPr>
              <w:t>Sec. 14 Re-employment</w:t>
            </w:r>
          </w:p>
        </w:tc>
        <w:tc>
          <w:tcPr>
            <w:tcW w:type="dxa" w:w="3384"/>
          </w:tcPr>
          <w:p>
            <w:r/>
            <w:r>
              <w:rPr>
                <w:sz w:val="19"/>
              </w:rPr>
              <w:t>Prohibits 'any internal notation' in any HR record or database. This could require suppressing accurate records needed for the OSHA matter or litigation.</w:t>
            </w:r>
          </w:p>
        </w:tc>
        <w:tc>
          <w:tcPr>
            <w:tcW w:type="dxa" w:w="1080"/>
          </w:tcPr>
          <w:p>
            <w:r/>
            <w:r>
              <w:rPr>
                <w:sz w:val="19"/>
              </w:rPr>
              <w:t>Medium</w:t>
            </w:r>
          </w:p>
        </w:tc>
        <w:tc>
          <w:tcPr>
            <w:tcW w:type="dxa" w:w="3240"/>
          </w:tcPr>
          <w:p>
            <w:r/>
            <w:r>
              <w:rPr>
                <w:sz w:val="19"/>
              </w:rPr>
              <w:t>No 'ineligible for rehire' designation, consistent with ORS 659A.370's limits on no-rehire terms. Greenleaf's records obligations and its discretion over hiring are preserved.</w:t>
            </w:r>
          </w:p>
        </w:tc>
      </w:tr>
      <w:tr>
        <w:tc>
          <w:tcPr>
            <w:tcW w:type="dxa" w:w="1656"/>
          </w:tcPr>
          <w:p>
            <w:r/>
            <w:r>
              <w:rPr>
                <w:b/>
                <w:sz w:val="19"/>
              </w:rPr>
              <w:t>Sec. 15 Representations</w:t>
            </w:r>
          </w:p>
        </w:tc>
        <w:tc>
          <w:tcPr>
            <w:tcW w:type="dxa" w:w="3384"/>
          </w:tcPr>
          <w:p>
            <w:r/>
            <w:r>
              <w:rPr>
                <w:sz w:val="19"/>
              </w:rPr>
              <w:t>No reps on workplace injury, leave, Medicare, return of property, or absence of BOLI, EEOC or FSMA filings.</w:t>
            </w:r>
          </w:p>
        </w:tc>
        <w:tc>
          <w:tcPr>
            <w:tcW w:type="dxa" w:w="1080"/>
          </w:tcPr>
          <w:p>
            <w:r/>
            <w:r>
              <w:rPr>
                <w:sz w:val="19"/>
              </w:rPr>
              <w:t>Medium</w:t>
            </w:r>
          </w:p>
        </w:tc>
        <w:tc>
          <w:tcPr>
            <w:tcW w:type="dxa" w:w="3240"/>
          </w:tcPr>
          <w:p>
            <w:r/>
            <w:r>
              <w:rPr>
                <w:sz w:val="19"/>
              </w:rPr>
              <w:t>Reps added (15(a)(ii), (iv)-(vi)) and Committee approval rep (15(b)(iii)).</w:t>
            </w:r>
          </w:p>
        </w:tc>
      </w:tr>
      <w:tr>
        <w:tc>
          <w:tcPr>
            <w:tcW w:type="dxa" w:w="1656"/>
          </w:tcPr>
          <w:p>
            <w:r/>
            <w:r>
              <w:rPr>
                <w:b/>
                <w:sz w:val="19"/>
              </w:rPr>
              <w:t>Sec. 17 Severability</w:t>
            </w:r>
          </w:p>
        </w:tc>
        <w:tc>
          <w:tcPr>
            <w:tcW w:type="dxa" w:w="3384"/>
          </w:tcPr>
          <w:p>
            <w:r/>
            <w:r>
              <w:rPr>
                <w:sz w:val="19"/>
              </w:rPr>
              <w:t>No protection of consideration if the release is invalidated at Delano's instance.</w:t>
            </w:r>
          </w:p>
        </w:tc>
        <w:tc>
          <w:tcPr>
            <w:tcW w:type="dxa" w:w="1080"/>
          </w:tcPr>
          <w:p>
            <w:r/>
            <w:r>
              <w:rPr>
                <w:sz w:val="19"/>
              </w:rPr>
              <w:t>Low-Medium</w:t>
            </w:r>
          </w:p>
        </w:tc>
        <w:tc>
          <w:tcPr>
            <w:tcW w:type="dxa" w:w="3240"/>
          </w:tcPr>
          <w:p>
            <w:r/>
            <w:r>
              <w:rPr>
                <w:sz w:val="19"/>
              </w:rPr>
              <w:t>Payment obligations end and a re-release or repayment is required, excluding ADEA challenges (Oubre; 29 C.F.R. 1625.23).</w:t>
            </w:r>
          </w:p>
        </w:tc>
      </w:tr>
      <w:tr>
        <w:tc>
          <w:tcPr>
            <w:tcW w:type="dxa" w:w="1656"/>
          </w:tcPr>
          <w:p>
            <w:r/>
            <w:r>
              <w:rPr>
                <w:b/>
                <w:sz w:val="19"/>
              </w:rPr>
              <w:t>Sec. 18 Entire agreement</w:t>
            </w:r>
          </w:p>
        </w:tc>
        <w:tc>
          <w:tcPr>
            <w:tcW w:type="dxa" w:w="3384"/>
          </w:tcPr>
          <w:p>
            <w:r/>
            <w:r>
              <w:rPr>
                <w:sz w:val="19"/>
              </w:rPr>
              <w:t>Supersedes 'prior offer letters [and] employment agreements', which could extinguish Delano's confidentiality and invention-assignment obligations. No construction-against-drafter protection, although Delano's counsel drafted the agreement.</w:t>
            </w:r>
          </w:p>
        </w:tc>
        <w:tc>
          <w:tcPr>
            <w:tcW w:type="dxa" w:w="1080"/>
          </w:tcPr>
          <w:p>
            <w:r/>
            <w:r>
              <w:rPr>
                <w:sz w:val="19"/>
              </w:rPr>
              <w:t>Medium</w:t>
            </w:r>
          </w:p>
        </w:tc>
        <w:tc>
          <w:tcPr>
            <w:tcW w:type="dxa" w:w="3240"/>
          </w:tcPr>
          <w:p>
            <w:r/>
            <w:r>
              <w:rPr>
                <w:sz w:val="19"/>
              </w:rPr>
              <w:t>Surviving restrictive obligations, the Plan and the RSU Grant are preserved. Mutual-drafting clause added.</w:t>
            </w:r>
          </w:p>
        </w:tc>
      </w:tr>
      <w:tr>
        <w:tc>
          <w:tcPr>
            <w:tcW w:type="dxa" w:w="1656"/>
          </w:tcPr>
          <w:p>
            <w:r/>
            <w:r>
              <w:rPr>
                <w:b/>
                <w:sz w:val="19"/>
              </w:rPr>
              <w:t>Missing boilerplate</w:t>
            </w:r>
          </w:p>
        </w:tc>
        <w:tc>
          <w:tcPr>
            <w:tcW w:type="dxa" w:w="3384"/>
          </w:tcPr>
          <w:p>
            <w:r/>
            <w:r>
              <w:rPr>
                <w:sz w:val="19"/>
              </w:rPr>
              <w:t>No governing law, venue or notice provision. The 'IN WITNESS WHEREOF' clause refers to a fixed date.</w:t>
            </w:r>
          </w:p>
        </w:tc>
        <w:tc>
          <w:tcPr>
            <w:tcW w:type="dxa" w:w="1080"/>
          </w:tcPr>
          <w:p>
            <w:r/>
            <w:r>
              <w:rPr>
                <w:sz w:val="19"/>
              </w:rPr>
              <w:t>Low</w:t>
            </w:r>
          </w:p>
        </w:tc>
        <w:tc>
          <w:tcPr>
            <w:tcW w:type="dxa" w:w="3240"/>
          </w:tcPr>
          <w:p>
            <w:r/>
            <w:r>
              <w:rPr>
                <w:sz w:val="19"/>
              </w:rPr>
              <w:t>New Secs. 19 (Oregon law; Multnomah County / D. Or.) and 20 (notices). Execution clause conformed.</w:t>
            </w:r>
          </w:p>
        </w:tc>
      </w:tr>
    </w:tbl>
    <w:p>
      <w:pPr>
        <w:spacing w:after="40"/>
      </w:pPr>
    </w:p>
    <w:p>
      <w:pPr>
        <w:pStyle w:val="Heading1"/>
      </w:pPr>
      <w:r>
        <w:t>5. Business Points for Your Decision</w:t>
      </w:r>
    </w:p>
    <w:p>
      <w:pPr>
        <w:pStyle w:val="ListNumber"/>
        <w:spacing w:after="60"/>
      </w:pPr>
      <w:r>
        <w:rPr>
          <w:b/>
        </w:rPr>
        <w:t xml:space="preserve">Equity value. </w:t>
      </w:r>
      <w:r>
        <w:rPr>
          <w:b w:val="0"/>
        </w:rPr>
        <w:t>Keep 5,000 RSUs ($62,500; total $537,500) or reduce to 4,000 RSUs to hold the $50,000 equity value. We have drafted the accurate 5,000-share version. Greenleaf's own HR Equity Details analysis (Sub-table E) flags the $12.50 correction, and the correct per-share value is readily verifiable, so a reduction in shares should be presented as a deliberate business choice and will likely be resisted.</w:t>
      </w:r>
    </w:p>
    <w:p>
      <w:pPr>
        <w:pStyle w:val="ListNumber"/>
        <w:spacing w:after="60"/>
      </w:pPr>
      <w:r>
        <w:rPr>
          <w:b/>
        </w:rPr>
        <w:t xml:space="preserve">Tax allocation. </w:t>
      </w:r>
      <w:r>
        <w:rPr>
          <w:b w:val="0"/>
        </w:rPr>
        <w:t>The $275,000 non-wage allocation is defensible to some extent, because the ORS 659A and whistleblower claims support emotional-distress damages. It is aggressive, however, given that the ADEA claim does not support such damages and wage loss through trial would substantially exceed $125,000. A more conservative split would move part of the $275,000 into the W-2 payment. This would add employer FICA cost but reduce withholding-penalty exposure. At minimum, keep the Delano tax indemnity.</w:t>
      </w:r>
    </w:p>
    <w:p>
      <w:pPr>
        <w:pStyle w:val="ListNumber"/>
        <w:spacing w:after="60"/>
      </w:pPr>
      <w:r>
        <w:rPr>
          <w:b/>
        </w:rPr>
        <w:t xml:space="preserve">Positive reference. </w:t>
      </w:r>
      <w:r>
        <w:rPr>
          <w:b w:val="0"/>
        </w:rPr>
        <w:t>We revised to a neutral reference. If leadership is prepared to say something positive, agree on a short reference letter now and attach it as an exhibit, rather than accept an open-ended covenant.</w:t>
      </w:r>
    </w:p>
    <w:p>
      <w:pPr>
        <w:pStyle w:val="ListNumber"/>
        <w:spacing w:after="60"/>
      </w:pPr>
      <w:r>
        <w:rPr>
          <w:b/>
        </w:rPr>
        <w:t xml:space="preserve">Company release. </w:t>
      </w:r>
      <w:r>
        <w:rPr>
          <w:b w:val="0"/>
        </w:rPr>
        <w:t>Limiting the release to claims known to the CEO or GC is protective, given Delano's operational responsibility for the cold-chain function under investigation. Expect pushback. A fallback is a general release with carve-outs for fraud, intentional misconduct and trade secrets.</w:t>
      </w:r>
    </w:p>
    <w:p>
      <w:pPr>
        <w:pStyle w:val="ListNumber"/>
        <w:spacing w:after="60"/>
      </w:pPr>
      <w:r>
        <w:rPr>
          <w:b/>
        </w:rPr>
        <w:t xml:space="preserve">Non-compete. </w:t>
      </w:r>
      <w:r>
        <w:rPr>
          <w:b w:val="0"/>
        </w:rPr>
        <w:t>We recommend against any non-compete. Delano will welcome the deletion, so it can be traded in the negotiation (for example, for the reference and tax-indemnity terms).</w:t>
      </w:r>
    </w:p>
    <w:p>
      <w:pPr>
        <w:pStyle w:val="Heading1"/>
      </w:pPr>
      <w:r>
        <w:t>6. Action Items Before Execution</w:t>
      </w:r>
    </w:p>
    <w:p>
      <w:pPr>
        <w:pStyle w:val="ListNumber"/>
        <w:spacing w:after="60"/>
      </w:pPr>
      <w:r>
        <w:rPr>
          <w:b/>
        </w:rPr>
        <w:t xml:space="preserve">EPLI carrier consent. </w:t>
      </w:r>
      <w:r>
        <w:rPr>
          <w:b w:val="0"/>
        </w:rPr>
        <w:t>Notify Timberline Insurance Group (Policy TIG-EPL-2024-00391) and obtain its written consent to the settlement amount and terms before any commitment. Consent-to-settle clauses commonly condition coverage on prior consent. Confirm the retention and allocation.</w:t>
      </w:r>
    </w:p>
    <w:p>
      <w:pPr>
        <w:pStyle w:val="ListNumber"/>
        <w:spacing w:after="60"/>
      </w:pPr>
      <w:r>
        <w:rPr>
          <w:b/>
        </w:rPr>
        <w:t xml:space="preserve">Compensation Committee resolution. </w:t>
      </w:r>
      <w:r>
        <w:rPr>
          <w:b w:val="0"/>
        </w:rPr>
        <w:t>Approve reinstatement and accelerated vesting of 5,000 forfeited RSUs under the 2021 Equity Incentive Plan. Confirm that no 409A valuation more recent than January 15, 2025 exists, and confirm the securities-law exemption and stockholder-agreement joinder requirements for issuing the shares.</w:t>
      </w:r>
    </w:p>
    <w:p>
      <w:pPr>
        <w:pStyle w:val="ListNumber"/>
        <w:spacing w:after="60"/>
      </w:pPr>
      <w:r>
        <w:rPr>
          <w:b/>
        </w:rPr>
        <w:t xml:space="preserve">Group-termination check. </w:t>
      </w:r>
      <w:r>
        <w:rPr>
          <w:b w:val="0"/>
        </w:rPr>
        <w:t>Confirm whether any other employee was separated in the 'restructuring of supply chain division'. If so, the OWBPA requires 45 days and a written decisional-unit disclosure, and Section 5(j) must be revised.</w:t>
      </w:r>
    </w:p>
    <w:p>
      <w:pPr>
        <w:pStyle w:val="ListNumber"/>
        <w:spacing w:after="60"/>
      </w:pPr>
      <w:r>
        <w:rPr>
          <w:b/>
        </w:rPr>
        <w:t xml:space="preserve">Engel relationship. </w:t>
      </w:r>
      <w:r>
        <w:rPr>
          <w:b w:val="0"/>
        </w:rPr>
        <w:t>Patricia Engel (COO), Delano's direct supervisor and a likely decision-maker, shares a surname with Delano's counsel, Rachel Engel of Engel &amp; Associates, P.C. Determine promptly whether they are related. If they are, consider screening Ms. Engel from settlement decisions, evaluating any confidentiality concerns and conflict issues for opposing counsel under Oregon RPC 1.7, and considering the effect on her role as a fact witness and Releasee.</w:t>
      </w:r>
    </w:p>
    <w:p>
      <w:pPr>
        <w:pStyle w:val="ListNumber"/>
        <w:spacing w:after="60"/>
      </w:pPr>
      <w:r>
        <w:rPr>
          <w:b/>
        </w:rPr>
        <w:t xml:space="preserve">Confirm the confidentiality request. </w:t>
      </w:r>
      <w:r>
        <w:rPr>
          <w:b w:val="0"/>
        </w:rPr>
        <w:t>Obtain written confirmation from Engel &amp; Associates that Delano requested the confidentiality and non-disparagement provisions (ORS 659A.370). Otherwise, narrow those provisions to the settlement terms only.</w:t>
      </w:r>
    </w:p>
    <w:p>
      <w:pPr>
        <w:pStyle w:val="ListNumber"/>
        <w:spacing w:after="60"/>
      </w:pPr>
      <w:r>
        <w:rPr>
          <w:b/>
        </w:rPr>
        <w:t xml:space="preserve">Confirm no other filings. </w:t>
      </w:r>
      <w:r>
        <w:rPr>
          <w:b w:val="0"/>
        </w:rPr>
        <w:t>Check for any BOLI complaint (the 90-day ORS 654.062(6) window closes around June 12, 2025), any EEOC charge, and any federal OSHA/FSMA complaint. A pending FSMA complaint would require agency approval of the settlement.</w:t>
      </w:r>
    </w:p>
    <w:p>
      <w:pPr>
        <w:pStyle w:val="ListNumber"/>
        <w:spacing w:after="60"/>
      </w:pPr>
      <w:r>
        <w:rPr>
          <w:b/>
        </w:rPr>
        <w:t xml:space="preserve">2024 bonus. </w:t>
      </w:r>
      <w:r>
        <w:rPr>
          <w:b w:val="0"/>
        </w:rPr>
        <w:t>Review the incentive plan terms (discretionary vs. earned on performance; any employment-on-payment-date condition) and whether other executives received 2024 bonuses in March 2025. This supports the allocation and the release of the ORS 652 claim.</w:t>
      </w:r>
    </w:p>
    <w:p>
      <w:pPr>
        <w:pStyle w:val="ListNumber"/>
        <w:spacing w:after="60"/>
      </w:pPr>
      <w:r>
        <w:rPr>
          <w:b/>
        </w:rPr>
        <w:t xml:space="preserve">Replacement hire facts. </w:t>
      </w:r>
      <w:r>
        <w:rPr>
          <w:b w:val="0"/>
        </w:rPr>
        <w:t>Obtain Raj Mehta's age, job description and the documentation of the restructuring decision. These matter both for evaluating exposure and for the Section 5(j) acknowledgment.</w:t>
      </w:r>
    </w:p>
    <w:p>
      <w:pPr>
        <w:pStyle w:val="ListNumber"/>
        <w:spacing w:after="60"/>
      </w:pPr>
      <w:r>
        <w:rPr>
          <w:b/>
        </w:rPr>
        <w:t xml:space="preserve">OSHA coordination and litigation hold. </w:t>
      </w:r>
      <w:r>
        <w:rPr>
          <w:b w:val="0"/>
        </w:rPr>
        <w:t>Keep the litigation hold in place, including Bend cold-chain records. Do not condition the settlement on withdrawal of, or non-cooperation with, the Oregon OSHA investigation. Coordinate messaging with whoever is handling the Oregon OSHA matter.</w:t>
      </w:r>
    </w:p>
    <w:p>
      <w:pPr>
        <w:pStyle w:val="ListNumber"/>
        <w:spacing w:after="60"/>
      </w:pPr>
      <w:r>
        <w:rPr>
          <w:b/>
        </w:rPr>
        <w:t xml:space="preserve">Payment logistics. </w:t>
      </w:r>
      <w:r>
        <w:rPr>
          <w:b w:val="0"/>
        </w:rPr>
        <w:t>Collect W-9s (Delano and the firm), W-4/OR-W-4, and wire instructions in advance. Calendar payments for 14 days after the Effective Date, and RSU issuance for 30 days after the Effective Date. Issue the written instructions required by Sections 7 and 11 within 7 days after the Effective Date.</w:t>
      </w:r>
    </w:p>
    <w:p>
      <w:pPr>
        <w:pStyle w:val="ListNumber"/>
        <w:spacing w:after="60"/>
      </w:pPr>
      <w:r>
        <w:rPr>
          <w:b/>
        </w:rPr>
        <w:t xml:space="preserve">Delivery date. </w:t>
      </w:r>
      <w:r>
        <w:rPr>
          <w:b w:val="0"/>
        </w:rPr>
        <w:t>Insert the actual delivery date of the revised draft in Section 5(c), and run the 21-day period from that date.</w:t>
      </w:r>
    </w:p>
    <w:p>
      <w:pPr>
        <w:pStyle w:val="Heading1"/>
      </w:pPr>
      <w:r>
        <w:t>7. Anticipated Pushback From Engel &amp; Associates</w:t>
      </w:r>
    </w:p>
    <w:p>
      <w:pPr>
        <w:pStyle w:val="ListBullet"/>
        <w:spacing w:after="60"/>
      </w:pPr>
      <w:r>
        <w:rPr>
          <w:b w:val="0"/>
        </w:rPr>
        <w:t>The longer consideration and revocation periods are statutory requirements, not negotiating positions. Expect no real resistance, although payment will be delayed by about 2 to 4 weeks.</w:t>
      </w:r>
    </w:p>
    <w:p>
      <w:pPr>
        <w:pStyle w:val="ListBullet"/>
        <w:spacing w:after="60"/>
      </w:pPr>
      <w:r>
        <w:rPr>
          <w:b w:val="0"/>
        </w:rPr>
        <w:t>Expect objections to the narrowed Company release, the neutral reference, the Delano tax indemnity and the 'known claims' limitation. Fallbacks are noted in Section 5.</w:t>
      </w:r>
    </w:p>
    <w:p>
      <w:pPr>
        <w:pStyle w:val="ListBullet"/>
        <w:spacing w:after="60"/>
      </w:pPr>
      <w:r>
        <w:rPr>
          <w:b w:val="0"/>
        </w:rPr>
        <w:t>Engel &amp; Associates may ask for a mutual confidentiality obligation, D&amp;O indemnification preservation for Delano as a former officer, and a cooperation-fee clause. We recommend accepting the indemnification carve-out only for third-party claims, and declining any cooperation clause that could be read to touch the Oregon OSHA investigation.</w:t>
      </w:r>
    </w:p>
    <w:p>
      <w:pPr>
        <w:spacing w:after="120"/>
      </w:pPr>
      <w:r>
        <w:rPr>
          <w:b w:val="0"/>
          <w:i w:val="0"/>
        </w:rPr>
      </w:r>
    </w:p>
    <w:p>
      <w:pPr>
        <w:spacing w:after="120"/>
      </w:pPr>
      <w:r>
        <w:rPr>
          <w:b w:val="0"/>
          <w:i/>
          <w:sz w:val="20"/>
        </w:rPr>
        <w:t>This memorandum is based on the draft agreement and the HR Employment Summary only. We have not reviewed Delano's offer letter, any confidentiality or invention-assignment agreement, the 2021 Equity Incentive Plan, the RSU Grant Agreement, the bonus plan, the EPLI policy, or the Oregon OSHA file. Statutory deadlines are approximate and should be confirmed before they are relied on. Please let us know once the open items in Section 6 are resolved, and we will finalize the draft for transmission to Engel &amp; Associates.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