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 ATTORNEY-CLIENT COMMUNICATION / ATTORNEY WORK PRODUCT</w:t>
      </w:r>
    </w:p>
    <w:p>
      <w:pPr>
        <w:jc w:val="center"/>
      </w:pPr>
      <w:r>
        <w:rPr>
          <w:b/>
        </w:rPr>
        <w:t>Prepared at the request of the General Counsel for the purpose of rendering legal advice</w:t>
      </w:r>
    </w:p>
    <w:p>
      <w:pPr>
        <w:jc w:val="center"/>
      </w:pPr>
      <w:r>
        <w:rPr>
          <w:b/>
        </w:rPr>
        <w:t>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D9E2F3"/>
          </w:tcPr>
          <w:p>
            <w:r/>
            <w:r>
              <w:rPr>
                <w:b/>
                <w:sz w:val="20"/>
              </w:rPr>
            </w:r>
          </w:p>
        </w:tc>
        <w:tc>
          <w:tcPr>
            <w:tcW w:type="dxa" w:w="7920"/>
            <w:shd w:val="clear" w:color="auto" w:fill="D9E2F3"/>
          </w:tcPr>
          <w:p>
            <w:r/>
            <w:r>
              <w:rPr>
                <w:b/>
                <w:sz w:val="20"/>
              </w:rPr>
            </w:r>
          </w:p>
        </w:tc>
      </w:tr>
      <w:tr>
        <w:tc>
          <w:tcPr>
            <w:tcW w:type="dxa" w:w="1440"/>
          </w:tcPr>
          <w:p>
            <w:r>
              <w:rPr>
                <w:sz w:val="20"/>
              </w:rPr>
            </w:r>
            <w:r>
              <w:rPr>
                <w:b/>
                <w:sz w:val="20"/>
              </w:rPr>
              <w:t>TO:</w:t>
            </w:r>
          </w:p>
        </w:tc>
        <w:tc>
          <w:tcPr>
            <w:tcW w:type="dxa" w:w="7920"/>
          </w:tcPr>
          <w:p>
            <w:r>
              <w:rPr>
                <w:sz w:val="20"/>
              </w:rPr>
            </w:r>
            <w:r>
              <w:rPr>
                <w:sz w:val="20"/>
              </w:rPr>
              <w:t>Miranda Solano, General Counsel, Aldersgate Outdoor Living, Inc.</w:t>
            </w:r>
          </w:p>
        </w:tc>
      </w:tr>
      <w:tr>
        <w:tc>
          <w:tcPr>
            <w:tcW w:type="dxa" w:w="1440"/>
          </w:tcPr>
          <w:p>
            <w:r>
              <w:rPr>
                <w:sz w:val="20"/>
              </w:rPr>
            </w:r>
            <w:r>
              <w:rPr>
                <w:b/>
                <w:sz w:val="20"/>
              </w:rPr>
              <w:t>CC:</w:t>
            </w:r>
          </w:p>
        </w:tc>
        <w:tc>
          <w:tcPr>
            <w:tcW w:type="dxa" w:w="7920"/>
          </w:tcPr>
          <w:p>
            <w:r>
              <w:rPr>
                <w:sz w:val="20"/>
              </w:rPr>
            </w:r>
            <w:r>
              <w:rPr>
                <w:sz w:val="20"/>
              </w:rPr>
              <w:t>Lena Fischbach, Chief Operating Officer (distribution at GC discretion only)</w:t>
            </w:r>
          </w:p>
        </w:tc>
      </w:tr>
      <w:tr>
        <w:tc>
          <w:tcPr>
            <w:tcW w:type="dxa" w:w="1440"/>
          </w:tcPr>
          <w:p>
            <w:r>
              <w:rPr>
                <w:sz w:val="20"/>
              </w:rPr>
            </w:r>
            <w:r>
              <w:rPr>
                <w:b/>
                <w:sz w:val="20"/>
              </w:rPr>
              <w:t>FROM:</w:t>
            </w:r>
          </w:p>
        </w:tc>
        <w:tc>
          <w:tcPr>
            <w:tcW w:type="dxa" w:w="7920"/>
          </w:tcPr>
          <w:p>
            <w:r>
              <w:rPr>
                <w:sz w:val="20"/>
              </w:rPr>
            </w:r>
            <w:r>
              <w:rPr>
                <w:sz w:val="20"/>
              </w:rPr>
              <w:t>Employment &amp; Labor Counsel</w:t>
            </w:r>
          </w:p>
        </w:tc>
      </w:tr>
      <w:tr>
        <w:tc>
          <w:tcPr>
            <w:tcW w:type="dxa" w:w="1440"/>
          </w:tcPr>
          <w:p>
            <w:r>
              <w:rPr>
                <w:sz w:val="20"/>
              </w:rPr>
            </w:r>
            <w:r>
              <w:rPr>
                <w:b/>
                <w:sz w:val="20"/>
              </w:rPr>
              <w:t>DATE:</w:t>
            </w:r>
          </w:p>
        </w:tc>
        <w:tc>
          <w:tcPr>
            <w:tcW w:type="dxa" w:w="7920"/>
          </w:tcPr>
          <w:p>
            <w:r>
              <w:rPr>
                <w:sz w:val="20"/>
              </w:rPr>
            </w:r>
            <w:r>
              <w:rPr>
                <w:sz w:val="20"/>
              </w:rPr>
              <w:t>April 2025 (responding to GC request of March 28, 2025; prior to the April 21, 2025 target posting date)</w:t>
            </w:r>
          </w:p>
        </w:tc>
      </w:tr>
      <w:tr>
        <w:tc>
          <w:tcPr>
            <w:tcW w:type="dxa" w:w="1440"/>
          </w:tcPr>
          <w:p>
            <w:r>
              <w:rPr>
                <w:sz w:val="20"/>
              </w:rPr>
            </w:r>
            <w:r>
              <w:rPr>
                <w:b/>
                <w:sz w:val="20"/>
              </w:rPr>
              <w:t>RE:</w:t>
            </w:r>
          </w:p>
        </w:tc>
        <w:tc>
          <w:tcPr>
            <w:tcW w:type="dxa" w:w="7920"/>
          </w:tcPr>
          <w:p>
            <w:r>
              <w:rPr>
                <w:sz w:val="20"/>
              </w:rPr>
            </w:r>
            <w:r>
              <w:rPr>
                <w:sz w:val="20"/>
              </w:rPr>
              <w:t>FLSA and State-Law Exempt-Status Classification of the Proposed Customer Experience &amp; Analytics Specialist (CEAS) Role — Austin, TX; Irvine, CA; Portland, OR (18 positions)</w:t>
            </w:r>
          </w:p>
        </w:tc>
      </w:tr>
    </w:tbl>
    <w:p/>
    <w:p>
      <w:pPr>
        <w:pStyle w:val="Heading1"/>
      </w:pPr>
      <w:r>
        <w:t>I. Question Presented</w:t>
      </w:r>
    </w:p>
    <w:p>
      <w:pPr>
        <w:jc w:val="both"/>
      </w:pPr>
      <w:r>
        <w:t>Whether the newly created Customer Experience &amp; Analytics Specialist ("CEAS") position — 18 planned hires (8 Austin, TX; 6 Irvine, CA; 4 Portland, OR), Grade 7, flat salary of $55,200 per year ($1,061.54 per week), which the February 10, 2025 job description designates "Exempt — Administrative" and which Thornbury Consulting Group recommended be classified as exempt in its March 14, 2025 letter — may lawfully be classified as exempt from overtime under the Fair Labor Standards Act ("FLSA"), 29 U.S.C. § 213(a)(1), and under the wage-and-hour laws of California and Oregon (and Texas, which follows federal law).</w:t>
      </w:r>
    </w:p>
    <w:p>
      <w:pPr>
        <w:pStyle w:val="Heading1"/>
      </w:pPr>
      <w:r>
        <w:t>II. Short Answer and Bottom-Line Recommendation</w:t>
      </w:r>
    </w:p>
    <w:p>
      <w:pPr>
        <w:jc w:val="both"/>
      </w:pPr>
      <w:r>
        <w:rPr>
          <w:b/>
        </w:rPr>
        <w:t>No. The CEAS role, as designed, should be classified as non-exempt (overtime-eligible) in all three locations.</w:t>
      </w:r>
      <w:r>
        <w:t xml:space="preserve"> Our conclusions:</w:t>
      </w:r>
    </w:p>
    <w:p>
      <w:pPr>
        <w:pStyle w:val="ListBullet"/>
      </w:pPr>
      <w:r>
        <w:rPr>
          <w:b/>
        </w:rPr>
        <w:t>California (6 Irvine positions) — non-exempt as a matter of law, on two independent grounds.</w:t>
      </w:r>
      <w:r>
        <w:t xml:space="preserve"> (1) The $55,200 salary is $13,440 below California’s 2025 exempt salary floor of $68,640 per year (2 × $16.50 × 2,080), Cal. Lab. Code § 515(a); IWC Wage Order 4-2001 § 1(A)(2)(g). Even the top of the Grade 7 band ($62,000) fails. (2) CEAS employees will not be "primarily engaged" (more than 50% of working time) in exempt work; at most 25% of the role is even arguably exempt. Cal. Lab. Code § 515(e). Neither failure can be cured by the other; this is not a judgment call.</w:t>
      </w:r>
    </w:p>
    <w:p>
      <w:pPr>
        <w:pStyle w:val="ListBullet"/>
      </w:pPr>
      <w:r>
        <w:rPr>
          <w:b/>
        </w:rPr>
        <w:t>Federal FLSA (all 18 positions; controls outright in Texas) — the salary-level test is met, but the administrative duties test very likely is not.</w:t>
      </w:r>
      <w:r>
        <w:t xml:space="preserve"> The salary exceeds the operative federal floor of $684 per week. But 75% of the role (40% scripted customer service, 20% CRM data entry, 15% inside upselling) is non-exempt production/clerical/sales work, and the remaining 25% "analytics" is, on the face of Aldersgate’s own job description, templated, standardized, directed and escalation-based work that is unlikely to satisfy the "discretion and independent judgment with respect to matters of significance" requirement. 29 C.F.R. §§ 541.200, 541.202, 541.700. No other exemption (executive, professional, computer, outside sales, highly compensated, § 7(i) retail commission) is available.</w:t>
      </w:r>
    </w:p>
    <w:p>
      <w:pPr>
        <w:pStyle w:val="ListBullet"/>
      </w:pPr>
      <w:r>
        <w:rPr>
          <w:b/>
        </w:rPr>
        <w:t>Oregon (4 Portland positions) — non-exempt.</w:t>
      </w:r>
      <w:r>
        <w:t xml:space="preserve"> Oregon’s salary floor for exempt status (minimum wage × 2,080 hours for the Portland metro region) is met, but Oregon applies the federal duties tests, which the role fails for the reasons stated above. ORS 653.020(3); OAR 839-020-0300.</w:t>
      </w:r>
    </w:p>
    <w:p>
      <w:pPr>
        <w:pStyle w:val="ListBullet"/>
      </w:pPr>
      <w:r>
        <w:rPr>
          <w:b/>
        </w:rPr>
        <w:t>The Thornbury letter cannot be relied on.</w:t>
      </w:r>
      <w:r>
        <w:t xml:space="preserve"> It (i) is expressly not legal advice and expressly does not address state law; (ii) relies on the DOL’s 2024 salary rule, which was vacated nationwide on November 15, 2024; (iii) characterizes the CEAS duties in materially more discretionary terms than the February 10 job description it purports to analyze; and (iv) treats 40% scripted customer service as "incidental," contrary to the primary-duty regulation and the Company’s own 2022 audit guidance.</w:t>
      </w:r>
    </w:p>
    <w:p>
      <w:pPr>
        <w:pStyle w:val="ListBullet"/>
      </w:pPr>
      <w:r>
        <w:rPr>
          <w:b/>
        </w:rPr>
        <w:t>Willfulness risk is acute.</w:t>
      </w:r>
      <w:r>
        <w:t xml:space="preserve"> The Company has on record (a) the September 12, 2022 Ridgewater &amp; Calloway audit reclassifying a materially similar Grade 7, $54,000 hybrid role and warning specifically against preferring a consultant’s recommendation over counsel, (b) the COO’s February 12, 2025 written questions on California salary and the duties test, and (c) the GC’s March 28, 2025 written concerns. Proceeding with an exempt classification now would likely expose the Company to the three-year willful-violation limitations period and mandatory liquidated damages across all 18 employees, plus California daily overtime, meal/rest, wage-statement, waiting-time and PAGA exposure.</w:t>
      </w:r>
    </w:p>
    <w:p>
      <w:pPr>
        <w:jc w:val="both"/>
      </w:pPr>
      <w:r>
        <w:rPr>
          <w:b/>
        </w:rPr>
        <w:t>Recommendation:</w:t>
      </w:r>
      <w:r>
        <w:t xml:space="preserve"> Hold the April 21 posting until the job description is revised to state "Non-Exempt" for all locations; set pay as an hourly (or salaried non-exempt) rate with overtime; implement timekeeping, overtime-authorization and (in California and Oregon) meal-and-rest-period compliance before the May 19 start date; correct the compensation grid; and, if the business genuinely needs an exempt analytics function, carve it out into a separate, properly designed and properly paid analyst position (Section IX).</w:t>
      </w:r>
    </w:p>
    <w:p>
      <w:pPr>
        <w:pStyle w:val="Heading1"/>
      </w:pPr>
      <w:r>
        <w:t>III.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D9E2F3"/>
          </w:tcPr>
          <w:p>
            <w:r/>
            <w:r>
              <w:rPr>
                <w:b/>
                <w:sz w:val="20"/>
              </w:rPr>
              <w:t>Document</w:t>
            </w:r>
          </w:p>
        </w:tc>
        <w:tc>
          <w:tcPr>
            <w:tcW w:type="dxa" w:w="3024"/>
            <w:shd w:val="clear" w:color="auto" w:fill="D9E2F3"/>
          </w:tcPr>
          <w:p>
            <w:r/>
            <w:r>
              <w:rPr>
                <w:b/>
                <w:sz w:val="20"/>
              </w:rPr>
              <w:t>Date / Author</w:t>
            </w:r>
          </w:p>
        </w:tc>
        <w:tc>
          <w:tcPr>
            <w:tcW w:type="dxa" w:w="3168"/>
            <w:shd w:val="clear" w:color="auto" w:fill="D9E2F3"/>
          </w:tcPr>
          <w:p>
            <w:r/>
            <w:r>
              <w:rPr>
                <w:b/>
                <w:sz w:val="20"/>
              </w:rPr>
              <w:t>Relevance</w:t>
            </w:r>
          </w:p>
        </w:tc>
      </w:tr>
      <w:tr>
        <w:tc>
          <w:tcPr>
            <w:tcW w:type="dxa" w:w="3168"/>
          </w:tcPr>
          <w:p>
            <w:r>
              <w:rPr>
                <w:sz w:val="20"/>
              </w:rPr>
            </w:r>
            <w:r>
              <w:rPr>
                <w:sz w:val="20"/>
              </w:rPr>
              <w:t>CEAS Job Description (ceas-job-description.docx)</w:t>
            </w:r>
          </w:p>
        </w:tc>
        <w:tc>
          <w:tcPr>
            <w:tcW w:type="dxa" w:w="3024"/>
          </w:tcPr>
          <w:p>
            <w:r>
              <w:rPr>
                <w:sz w:val="20"/>
              </w:rPr>
            </w:r>
            <w:r>
              <w:rPr>
                <w:sz w:val="20"/>
              </w:rPr>
              <w:t>Feb. 10, 2025 — Jared Polk, VP Customer Experience</w:t>
            </w:r>
          </w:p>
        </w:tc>
        <w:tc>
          <w:tcPr>
            <w:tcW w:type="dxa" w:w="3168"/>
          </w:tcPr>
          <w:p>
            <w:r>
              <w:rPr>
                <w:sz w:val="20"/>
              </w:rPr>
            </w:r>
            <w:r>
              <w:rPr>
                <w:sz w:val="20"/>
              </w:rPr>
              <w:t>Controlling written description of duties, time allocations, supervision, pay, locations</w:t>
            </w:r>
          </w:p>
        </w:tc>
      </w:tr>
      <w:tr>
        <w:tc>
          <w:tcPr>
            <w:tcW w:type="dxa" w:w="3168"/>
          </w:tcPr>
          <w:p>
            <w:r>
              <w:rPr>
                <w:sz w:val="20"/>
              </w:rPr>
            </w:r>
            <w:r>
              <w:rPr>
                <w:sz w:val="20"/>
              </w:rPr>
              <w:t>Role-design email chain (role-design-email-chain.eml)</w:t>
            </w:r>
          </w:p>
        </w:tc>
        <w:tc>
          <w:tcPr>
            <w:tcW w:type="dxa" w:w="3024"/>
          </w:tcPr>
          <w:p>
            <w:r>
              <w:rPr>
                <w:sz w:val="20"/>
              </w:rPr>
            </w:r>
            <w:r>
              <w:rPr>
                <w:sz w:val="20"/>
              </w:rPr>
              <w:t>Feb. 10 – Mar. 28, 2025 — Polk, Fischbach (COO), Solano (GC)</w:t>
            </w:r>
          </w:p>
        </w:tc>
        <w:tc>
          <w:tcPr>
            <w:tcW w:type="dxa" w:w="3168"/>
          </w:tcPr>
          <w:p>
            <w:r>
              <w:rPr>
                <w:sz w:val="20"/>
              </w:rPr>
            </w:r>
            <w:r>
              <w:rPr>
                <w:sz w:val="20"/>
              </w:rPr>
              <w:t>Business rationale; COO and GC concerns; Polk’s characterization of duties</w:t>
            </w:r>
          </w:p>
        </w:tc>
      </w:tr>
      <w:tr>
        <w:tc>
          <w:tcPr>
            <w:tcW w:type="dxa" w:w="3168"/>
          </w:tcPr>
          <w:p>
            <w:r>
              <w:rPr>
                <w:sz w:val="20"/>
              </w:rPr>
            </w:r>
            <w:r>
              <w:rPr>
                <w:sz w:val="20"/>
              </w:rPr>
              <w:t>Thornbury Consulting Group recommendation letter (thornbury-recommendation-letter.docx)</w:t>
            </w:r>
          </w:p>
        </w:tc>
        <w:tc>
          <w:tcPr>
            <w:tcW w:type="dxa" w:w="3024"/>
          </w:tcPr>
          <w:p>
            <w:r>
              <w:rPr>
                <w:sz w:val="20"/>
              </w:rPr>
            </w:r>
            <w:r>
              <w:rPr>
                <w:sz w:val="20"/>
              </w:rPr>
              <w:t>Mar. 14, 2025 — Derek Ostrander, Senior Consultant</w:t>
            </w:r>
          </w:p>
        </w:tc>
        <w:tc>
          <w:tcPr>
            <w:tcW w:type="dxa" w:w="3168"/>
          </w:tcPr>
          <w:p>
            <w:r>
              <w:rPr>
                <w:sz w:val="20"/>
              </w:rPr>
            </w:r>
            <w:r>
              <w:rPr>
                <w:sz w:val="20"/>
              </w:rPr>
              <w:t>Benchmarking (45th percentile) and non-legal exempt recommendation</w:t>
            </w:r>
          </w:p>
        </w:tc>
      </w:tr>
      <w:tr>
        <w:tc>
          <w:tcPr>
            <w:tcW w:type="dxa" w:w="3168"/>
          </w:tcPr>
          <w:p>
            <w:r>
              <w:rPr>
                <w:sz w:val="20"/>
              </w:rPr>
            </w:r>
            <w:r>
              <w:rPr>
                <w:sz w:val="20"/>
              </w:rPr>
              <w:t>Ridgewater &amp; Calloway FLSA audit memo (ridgewater-flsa-audit-memo-2022.docx)</w:t>
            </w:r>
          </w:p>
        </w:tc>
        <w:tc>
          <w:tcPr>
            <w:tcW w:type="dxa" w:w="3024"/>
          </w:tcPr>
          <w:p>
            <w:r>
              <w:rPr>
                <w:sz w:val="20"/>
              </w:rPr>
            </w:r>
            <w:r>
              <w:rPr>
                <w:sz w:val="20"/>
              </w:rPr>
              <w:t>Sept. 12, 2022 — Natalie Sung, Partner</w:t>
            </w:r>
          </w:p>
        </w:tc>
        <w:tc>
          <w:tcPr>
            <w:tcW w:type="dxa" w:w="3168"/>
          </w:tcPr>
          <w:p>
            <w:r>
              <w:rPr>
                <w:sz w:val="20"/>
              </w:rPr>
            </w:r>
            <w:r>
              <w:rPr>
                <w:sz w:val="20"/>
              </w:rPr>
              <w:t>Marketing Coordinator reclassification; Company’s classification framework; CA guidance; willfulness warnings</w:t>
            </w:r>
          </w:p>
        </w:tc>
      </w:tr>
      <w:tr>
        <w:tc>
          <w:tcPr>
            <w:tcW w:type="dxa" w:w="3168"/>
          </w:tcPr>
          <w:p>
            <w:r>
              <w:rPr>
                <w:sz w:val="20"/>
              </w:rPr>
            </w:r>
            <w:r>
              <w:rPr>
                <w:sz w:val="20"/>
              </w:rPr>
              <w:t>Compensation grid excerpt, v3.2 (compensation-grid-excerpt.xlsx)</w:t>
            </w:r>
          </w:p>
        </w:tc>
        <w:tc>
          <w:tcPr>
            <w:tcW w:type="dxa" w:w="3024"/>
          </w:tcPr>
          <w:p>
            <w:r>
              <w:rPr>
                <w:sz w:val="20"/>
              </w:rPr>
            </w:r>
            <w:r>
              <w:rPr>
                <w:sz w:val="20"/>
              </w:rPr>
              <w:t>Updated Feb. 10, 2025 by Polk; v3.1 Jan. 10, 2025 by HR</w:t>
            </w:r>
          </w:p>
        </w:tc>
        <w:tc>
          <w:tcPr>
            <w:tcW w:type="dxa" w:w="3168"/>
          </w:tcPr>
          <w:p>
            <w:r>
              <w:rPr>
                <w:sz w:val="20"/>
              </w:rPr>
            </w:r>
            <w:r>
              <w:rPr>
                <w:sz w:val="20"/>
              </w:rPr>
              <w:t>Grade 7 band ($50,000–$62,000), state threshold notes, regulatory assumptions</w:t>
            </w:r>
          </w:p>
        </w:tc>
      </w:tr>
    </w:tbl>
    <w:p/>
    <w:p>
      <w:pPr>
        <w:jc w:val="both"/>
      </w:pPr>
      <w:r>
        <w:t>Because no CEAS employee has yet been hired, this analysis necessarily rests on the written job description and the surrounding record. Classification ultimately turns on duties actually performed, 29 C.F.R. § 541.2, so any conclusion favorable to exemption would have to be re-verified after hire; a conclusion of non-exempt status, by contrast, carries no comparable after-the-fact risk.</w:t>
      </w:r>
    </w:p>
    <w:p>
      <w:pPr>
        <w:pStyle w:val="Heading1"/>
      </w:pPr>
      <w:r>
        <w:t>IV. Factual Background</w:t>
      </w:r>
    </w:p>
    <w:p>
      <w:pPr>
        <w:pStyle w:val="Heading2"/>
      </w:pPr>
      <w:r>
        <w:t>A. The Restructuring and the Role</w:t>
      </w:r>
    </w:p>
    <w:p>
      <w:pPr>
        <w:jc w:val="both"/>
      </w:pPr>
      <w:r>
        <w:t>On January 15, 2025, the Customer Experience Division restructuring was approved (the job description attributes approval to COO Lena Fischbach; the Thornbury letter attributes it to "the Aldersgate Board" — a minor discrepancy that should be corrected in the file). Two positions were eliminated: the Customer Insights Analyst (exempt, $72,000/year) and the Senior Customer Service Representative (non-exempt, $24.50/hour). The CEAS combines duties from both. Mr. Polk’s stated objective is "to get two roles’ worth of value out of one headcount." The job description describes the CEAS as a "frontline resource for customer inquiries and complaint resolution."</w:t>
      </w:r>
    </w:p>
    <w:p>
      <w:pPr>
        <w:pStyle w:val="Heading2"/>
      </w:pPr>
      <w:r>
        <w:t>B. Duties and Time Allocation (per the February 10, 2025 Job Description)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D9E2F3"/>
          </w:tcPr>
          <w:p>
            <w:r/>
            <w:r>
              <w:rPr>
                <w:b/>
                <w:sz w:val="20"/>
              </w:rPr>
              <w:t>Duty area</w:t>
            </w:r>
          </w:p>
        </w:tc>
        <w:tc>
          <w:tcPr>
            <w:tcW w:type="dxa" w:w="720"/>
            <w:shd w:val="clear" w:color="auto" w:fill="D9E2F3"/>
          </w:tcPr>
          <w:p>
            <w:r/>
            <w:r>
              <w:rPr>
                <w:b/>
                <w:sz w:val="20"/>
              </w:rPr>
              <w:t>Time</w:t>
            </w:r>
          </w:p>
        </w:tc>
        <w:tc>
          <w:tcPr>
            <w:tcW w:type="dxa" w:w="4896"/>
            <w:shd w:val="clear" w:color="auto" w:fill="D9E2F3"/>
          </w:tcPr>
          <w:p>
            <w:r/>
            <w:r>
              <w:rPr>
                <w:b/>
                <w:sz w:val="20"/>
              </w:rPr>
              <w:t>Key features as written in the job description</w:t>
            </w:r>
          </w:p>
        </w:tc>
        <w:tc>
          <w:tcPr>
            <w:tcW w:type="dxa" w:w="1728"/>
            <w:shd w:val="clear" w:color="auto" w:fill="D9E2F3"/>
          </w:tcPr>
          <w:p>
            <w:r/>
            <w:r>
              <w:rPr>
                <w:b/>
                <w:sz w:val="20"/>
              </w:rPr>
              <w:t>Character</w:t>
            </w:r>
          </w:p>
        </w:tc>
      </w:tr>
      <w:tr>
        <w:tc>
          <w:tcPr>
            <w:tcW w:type="dxa" w:w="2016"/>
          </w:tcPr>
          <w:p>
            <w:r>
              <w:rPr>
                <w:sz w:val="20"/>
              </w:rPr>
            </w:r>
            <w:r>
              <w:rPr>
                <w:sz w:val="20"/>
              </w:rPr>
              <w:t>1. Customer service &amp; complaint resolution</w:t>
            </w:r>
          </w:p>
        </w:tc>
        <w:tc>
          <w:tcPr>
            <w:tcW w:type="dxa" w:w="720"/>
          </w:tcPr>
          <w:p>
            <w:r>
              <w:rPr>
                <w:sz w:val="20"/>
              </w:rPr>
            </w:r>
            <w:r>
              <w:rPr>
                <w:sz w:val="20"/>
              </w:rPr>
              <w:t>40%</w:t>
            </w:r>
          </w:p>
        </w:tc>
        <w:tc>
          <w:tcPr>
            <w:tcW w:type="dxa" w:w="4896"/>
          </w:tcPr>
          <w:p>
            <w:r>
              <w:rPr>
                <w:sz w:val="20"/>
              </w:rPr>
            </w:r>
            <w:r>
              <w:rPr>
                <w:sz w:val="20"/>
              </w:rPr>
              <w:t xml:space="preserve">Inbound phone/email/chat "using established customer service scripts and protocols"; returns/exchanges/warranty "in accordance with company policies"; Tier 1 </w:t>
            </w:r>
            <w:r>
              <w:rPr>
                <w:b/>
                <w:sz w:val="20"/>
              </w:rPr>
              <w:t>and Tier 2</w:t>
            </w:r>
            <w:r>
              <w:rPr>
                <w:sz w:val="20"/>
              </w:rPr>
              <w:t xml:space="preserve"> resolved "by following scripted protocols"; Tier 3 escalated to Manager "per established escalation matrix"; 78% first-contact resolution target; weekly Team Lead quality scorecards</w:t>
            </w:r>
          </w:p>
        </w:tc>
        <w:tc>
          <w:tcPr>
            <w:tcW w:type="dxa" w:w="1728"/>
          </w:tcPr>
          <w:p>
            <w:r>
              <w:rPr>
                <w:sz w:val="20"/>
              </w:rPr>
            </w:r>
            <w:r>
              <w:rPr>
                <w:sz w:val="20"/>
              </w:rPr>
              <w:t>Non-exempt (production/service delivery)</w:t>
            </w:r>
          </w:p>
        </w:tc>
      </w:tr>
      <w:tr>
        <w:tc>
          <w:tcPr>
            <w:tcW w:type="dxa" w:w="2016"/>
          </w:tcPr>
          <w:p>
            <w:r>
              <w:rPr>
                <w:sz w:val="20"/>
              </w:rPr>
            </w:r>
            <w:r>
              <w:rPr>
                <w:sz w:val="20"/>
              </w:rPr>
              <w:t>2. Data entry &amp; CRM maintenance</w:t>
            </w:r>
          </w:p>
        </w:tc>
        <w:tc>
          <w:tcPr>
            <w:tcW w:type="dxa" w:w="720"/>
          </w:tcPr>
          <w:p>
            <w:r>
              <w:rPr>
                <w:sz w:val="20"/>
              </w:rPr>
            </w:r>
            <w:r>
              <w:rPr>
                <w:sz w:val="20"/>
              </w:rPr>
              <w:t>20%</w:t>
            </w:r>
          </w:p>
        </w:tc>
        <w:tc>
          <w:tcPr>
            <w:tcW w:type="dxa" w:w="4896"/>
          </w:tcPr>
          <w:p>
            <w:r>
              <w:rPr>
                <w:sz w:val="20"/>
              </w:rPr>
            </w:r>
            <w:r>
              <w:rPr>
                <w:sz w:val="20"/>
              </w:rPr>
              <w:t>Enter disposition codes and sentiment tags; update records; "run pre-built weekly reports from Salesforce dashboards"; audits "per the Data Quality Checklist issued by IT"; assist "as directed by the CRM Administrator"</w:t>
            </w:r>
          </w:p>
        </w:tc>
        <w:tc>
          <w:tcPr>
            <w:tcW w:type="dxa" w:w="1728"/>
          </w:tcPr>
          <w:p>
            <w:r>
              <w:rPr>
                <w:sz w:val="20"/>
              </w:rPr>
            </w:r>
            <w:r>
              <w:rPr>
                <w:sz w:val="20"/>
              </w:rPr>
              <w:t>Non-exempt (clerical)</w:t>
            </w:r>
          </w:p>
        </w:tc>
      </w:tr>
      <w:tr>
        <w:tc>
          <w:tcPr>
            <w:tcW w:type="dxa" w:w="2016"/>
          </w:tcPr>
          <w:p>
            <w:r>
              <w:rPr>
                <w:sz w:val="20"/>
              </w:rPr>
            </w:r>
            <w:r>
              <w:rPr>
                <w:sz w:val="20"/>
              </w:rPr>
              <w:t>3. Data analysis &amp; reporting</w:t>
            </w:r>
          </w:p>
        </w:tc>
        <w:tc>
          <w:tcPr>
            <w:tcW w:type="dxa" w:w="720"/>
          </w:tcPr>
          <w:p>
            <w:r>
              <w:rPr>
                <w:sz w:val="20"/>
              </w:rPr>
            </w:r>
            <w:r>
              <w:rPr>
                <w:sz w:val="20"/>
              </w:rPr>
              <w:t>25%</w:t>
            </w:r>
          </w:p>
        </w:tc>
        <w:tc>
          <w:tcPr>
            <w:tcW w:type="dxa" w:w="4896"/>
          </w:tcPr>
          <w:p>
            <w:r>
              <w:rPr>
                <w:sz w:val="20"/>
              </w:rPr>
            </w:r>
            <w:r>
              <w:rPr>
                <w:sz w:val="20"/>
              </w:rPr>
              <w:t>Analyze survey data "using Tableau and existing dashboard templates"; build/modify dashboards "using established templates and standard visualization formats"; monthly trend reports; summarize complaint patterns "in standardized report formats"; assist QBRs "as directed by" Manager; "flag significant deviations to the Team Lead for further review and action"; "proactively identify actionable insights"</w:t>
            </w:r>
          </w:p>
        </w:tc>
        <w:tc>
          <w:tcPr>
            <w:tcW w:type="dxa" w:w="1728"/>
          </w:tcPr>
          <w:p>
            <w:r>
              <w:rPr>
                <w:sz w:val="20"/>
              </w:rPr>
            </w:r>
            <w:r>
              <w:rPr>
                <w:sz w:val="20"/>
              </w:rPr>
              <w:t>Arguably exempt in part; largely templated and directed</w:t>
            </w:r>
          </w:p>
        </w:tc>
      </w:tr>
      <w:tr>
        <w:tc>
          <w:tcPr>
            <w:tcW w:type="dxa" w:w="2016"/>
          </w:tcPr>
          <w:p>
            <w:r>
              <w:rPr>
                <w:sz w:val="20"/>
              </w:rPr>
            </w:r>
            <w:r>
              <w:rPr>
                <w:sz w:val="20"/>
              </w:rPr>
              <w:t>4. Sales support &amp; upselling</w:t>
            </w:r>
          </w:p>
        </w:tc>
        <w:tc>
          <w:tcPr>
            <w:tcW w:type="dxa" w:w="720"/>
          </w:tcPr>
          <w:p>
            <w:r>
              <w:rPr>
                <w:sz w:val="20"/>
              </w:rPr>
            </w:r>
            <w:r>
              <w:rPr>
                <w:sz w:val="20"/>
              </w:rPr>
              <w:t>15%</w:t>
            </w:r>
          </w:p>
        </w:tc>
        <w:tc>
          <w:tcPr>
            <w:tcW w:type="dxa" w:w="4896"/>
          </w:tcPr>
          <w:p>
            <w:r>
              <w:rPr>
                <w:sz w:val="20"/>
              </w:rPr>
            </w:r>
            <w:r>
              <w:rPr>
                <w:sz w:val="20"/>
              </w:rPr>
              <w:t>Outbound calls promoting products; recommend add-ons per "the Upsell Playbook"; meet monthly upsell targets; all by phone/email/chat from workstation; no in-person sales; no commission</w:t>
            </w:r>
          </w:p>
        </w:tc>
        <w:tc>
          <w:tcPr>
            <w:tcW w:type="dxa" w:w="1728"/>
          </w:tcPr>
          <w:p>
            <w:r>
              <w:rPr>
                <w:sz w:val="20"/>
              </w:rPr>
            </w:r>
            <w:r>
              <w:rPr>
                <w:sz w:val="20"/>
              </w:rPr>
              <w:t>Non-exempt (inside sales)</w:t>
            </w:r>
          </w:p>
        </w:tc>
      </w:tr>
    </w:tbl>
    <w:p/>
    <w:p>
      <w:pPr>
        <w:jc w:val="both"/>
      </w:pPr>
      <w:r>
        <w:rPr>
          <w:b/>
        </w:rPr>
        <w:t>Supervision and qualifications.</w:t>
      </w:r>
      <w:r>
        <w:t xml:space="preserve"> CEAS employees supervise no one and have no hiring, firing, promotion, discipline or evaluation role. They report to a </w:t>
      </w:r>
      <w:r>
        <w:rPr>
          <w:b/>
        </w:rPr>
        <w:t>non-exempt, hourly</w:t>
      </w:r>
      <w:r>
        <w:t xml:space="preserve"> Team Lead, who conducts weekly standardized quality reviews; the Team Lead reports to an exempt Customer Experience Manager, who reports to Mr. Polk. A bachelor’s degree is "preferred but not required"; the core required experience is two years of customer service and CRM experience; listed competencies include "basic analytical and problem-solving skills" and the "ability to follow established procedures and protocols."</w:t>
      </w:r>
    </w:p>
    <w:p>
      <w:pPr>
        <w:jc w:val="both"/>
      </w:pPr>
      <w:r>
        <w:rPr>
          <w:b/>
        </w:rPr>
        <w:t>Pay.</w:t>
      </w:r>
      <w:r>
        <w:t xml:space="preserve"> Flat salary $55,200 (Grade 7, range $50,000–$62,000), paid bi-weekly via Lone Star Payroll Solutions; no commission or bonus; no geographic differential. On a 40-hour basis this equates to about $26.54/hour — only about 8% above the $24.50/hour paid to the eliminated non-exempt Senior Customer Service Representative, and about 23% below the $72,000 paid to the eliminated exempt Customer Insights Analyst. Thornbury places the salary at the 45th percentile of its survey.</w:t>
      </w:r>
    </w:p>
    <w:p>
      <w:pPr>
        <w:jc w:val="both"/>
      </w:pPr>
      <w:r>
        <w:rPr>
          <w:b/>
        </w:rPr>
        <w:t>Schedule.</w:t>
      </w:r>
      <w:r>
        <w:t xml:space="preserve"> The job description contemplates "occasional evening or weekend shifts during peak seasons (holiday season and spring outdoor furniture season)" — i.e., overtime hours are foreseeable.</w:t>
      </w:r>
    </w:p>
    <w:p>
      <w:pPr>
        <w:pStyle w:val="Heading2"/>
      </w:pPr>
      <w:r>
        <w:t>C. How the Record Describes the Analytics Work — Material Inconsistencies</w:t>
      </w:r>
    </w:p>
    <w:p>
      <w:pPr>
        <w:jc w:val="both"/>
      </w:pPr>
      <w:r>
        <w:t>The record describes the 25% analytics component in progressively more discretionary terms as it moves away from the job description itself. Because classification turns on actual duties, these differences matter, and the Thornbury characterization in particular is not supported by the document it purports to analyze: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E2F3"/>
          </w:tcPr>
          <w:p>
            <w:r/>
            <w:r>
              <w:rPr>
                <w:b/>
                <w:sz w:val="20"/>
              </w:rPr>
              <w:t>Topic</w:t>
            </w:r>
          </w:p>
        </w:tc>
        <w:tc>
          <w:tcPr>
            <w:tcW w:type="dxa" w:w="2736"/>
            <w:shd w:val="clear" w:color="auto" w:fill="D9E2F3"/>
          </w:tcPr>
          <w:p>
            <w:r/>
            <w:r>
              <w:rPr>
                <w:b/>
                <w:sz w:val="20"/>
              </w:rPr>
              <w:t>Job Description (Feb. 10)</w:t>
            </w:r>
          </w:p>
        </w:tc>
        <w:tc>
          <w:tcPr>
            <w:tcW w:type="dxa" w:w="2304"/>
            <w:shd w:val="clear" w:color="auto" w:fill="D9E2F3"/>
          </w:tcPr>
          <w:p>
            <w:r/>
            <w:r>
              <w:rPr>
                <w:b/>
                <w:sz w:val="20"/>
              </w:rPr>
              <w:t>Polk email (Feb. 10 / Mar. 17)</w:t>
            </w:r>
          </w:p>
        </w:tc>
        <w:tc>
          <w:tcPr>
            <w:tcW w:type="dxa" w:w="2736"/>
            <w:shd w:val="clear" w:color="auto" w:fill="D9E2F3"/>
          </w:tcPr>
          <w:p>
            <w:r/>
            <w:r>
              <w:rPr>
                <w:b/>
                <w:sz w:val="20"/>
              </w:rPr>
              <w:t>Thornbury letter (Mar. 14)</w:t>
            </w:r>
          </w:p>
        </w:tc>
      </w:tr>
      <w:tr>
        <w:tc>
          <w:tcPr>
            <w:tcW w:type="dxa" w:w="1584"/>
          </w:tcPr>
          <w:p>
            <w:r>
              <w:rPr>
                <w:sz w:val="20"/>
              </w:rPr>
            </w:r>
            <w:r>
              <w:rPr>
                <w:sz w:val="20"/>
              </w:rPr>
              <w:t>Dashboards</w:t>
            </w:r>
          </w:p>
        </w:tc>
        <w:tc>
          <w:tcPr>
            <w:tcW w:type="dxa" w:w="2736"/>
          </w:tcPr>
          <w:p>
            <w:r>
              <w:rPr>
                <w:sz w:val="20"/>
              </w:rPr>
            </w:r>
            <w:r>
              <w:rPr>
                <w:sz w:val="20"/>
              </w:rPr>
              <w:t>Build/modify "using established templates and standard visualization formats"</w:t>
            </w:r>
          </w:p>
        </w:tc>
        <w:tc>
          <w:tcPr>
            <w:tcW w:type="dxa" w:w="2304"/>
          </w:tcPr>
          <w:p>
            <w:r>
              <w:rPr>
                <w:sz w:val="20"/>
              </w:rPr>
            </w:r>
            <w:r>
              <w:rPr>
                <w:sz w:val="20"/>
              </w:rPr>
              <w:t>"Tableau dashboard development"</w:t>
            </w:r>
          </w:p>
        </w:tc>
        <w:tc>
          <w:tcPr>
            <w:tcW w:type="dxa" w:w="2736"/>
          </w:tcPr>
          <w:p>
            <w:r>
              <w:rPr>
                <w:sz w:val="20"/>
              </w:rPr>
            </w:r>
            <w:r>
              <w:rPr>
                <w:sz w:val="20"/>
              </w:rPr>
              <w:t>"designs and builds custom Tableau dashboards"; selects metrics</w:t>
            </w:r>
          </w:p>
        </w:tc>
      </w:tr>
      <w:tr>
        <w:tc>
          <w:tcPr>
            <w:tcW w:type="dxa" w:w="1584"/>
          </w:tcPr>
          <w:p>
            <w:r>
              <w:rPr>
                <w:sz w:val="20"/>
              </w:rPr>
            </w:r>
            <w:r>
              <w:rPr>
                <w:sz w:val="20"/>
              </w:rPr>
              <w:t>Trend identification</w:t>
            </w:r>
          </w:p>
        </w:tc>
        <w:tc>
          <w:tcPr>
            <w:tcW w:type="dxa" w:w="2736"/>
          </w:tcPr>
          <w:p>
            <w:r>
              <w:rPr>
                <w:sz w:val="20"/>
              </w:rPr>
            </w:r>
            <w:r>
              <w:rPr>
                <w:sz w:val="20"/>
              </w:rPr>
              <w:t>Identify patterns, summarize "in standardized report formats"; flag NPS deviations "to the Team Lead for further review and action"</w:t>
            </w:r>
          </w:p>
        </w:tc>
        <w:tc>
          <w:tcPr>
            <w:tcW w:type="dxa" w:w="2304"/>
          </w:tcPr>
          <w:p>
            <w:r>
              <w:rPr>
                <w:sz w:val="20"/>
              </w:rPr>
            </w:r>
            <w:r>
              <w:rPr>
                <w:sz w:val="20"/>
              </w:rPr>
              <w:t>"monthly trend analysis, customer segmentation insights"</w:t>
            </w:r>
          </w:p>
        </w:tc>
        <w:tc>
          <w:tcPr>
            <w:tcW w:type="dxa" w:w="2736"/>
          </w:tcPr>
          <w:p>
            <w:r>
              <w:rPr>
                <w:sz w:val="20"/>
              </w:rPr>
            </w:r>
            <w:r>
              <w:rPr>
                <w:sz w:val="20"/>
              </w:rPr>
              <w:t>"independently identifies patterns"; decides which trends to escalate; formulates recommendations</w:t>
            </w:r>
          </w:p>
        </w:tc>
      </w:tr>
      <w:tr>
        <w:tc>
          <w:tcPr>
            <w:tcW w:type="dxa" w:w="1584"/>
          </w:tcPr>
          <w:p>
            <w:r>
              <w:rPr>
                <w:sz w:val="20"/>
              </w:rPr>
            </w:r>
            <w:r>
              <w:rPr>
                <w:sz w:val="20"/>
              </w:rPr>
              <w:t>Audience</w:t>
            </w:r>
          </w:p>
        </w:tc>
        <w:tc>
          <w:tcPr>
            <w:tcW w:type="dxa" w:w="2736"/>
          </w:tcPr>
          <w:p>
            <w:r>
              <w:rPr>
                <w:sz w:val="20"/>
              </w:rPr>
            </w:r>
            <w:r>
              <w:rPr>
                <w:sz w:val="20"/>
              </w:rPr>
              <w:t>Reports "for the VP of Customer Experience"; findings shared with Product Development</w:t>
            </w:r>
          </w:p>
        </w:tc>
        <w:tc>
          <w:tcPr>
            <w:tcW w:type="dxa" w:w="2304"/>
          </w:tcPr>
          <w:p>
            <w:r>
              <w:rPr>
                <w:sz w:val="20"/>
              </w:rPr>
            </w:r>
            <w:r>
              <w:rPr>
                <w:sz w:val="20"/>
              </w:rPr>
              <w:t>—</w:t>
            </w:r>
          </w:p>
        </w:tc>
        <w:tc>
          <w:tcPr>
            <w:tcW w:type="dxa" w:w="2736"/>
          </w:tcPr>
          <w:p>
            <w:r>
              <w:rPr>
                <w:sz w:val="20"/>
              </w:rPr>
            </w:r>
            <w:r>
              <w:rPr>
                <w:sz w:val="20"/>
              </w:rPr>
              <w:t>Reports "shared directly with senior leadership" and "incorporated into business planning"</w:t>
            </w:r>
          </w:p>
        </w:tc>
      </w:tr>
      <w:tr>
        <w:tc>
          <w:tcPr>
            <w:tcW w:type="dxa" w:w="1584"/>
          </w:tcPr>
          <w:p>
            <w:r>
              <w:rPr>
                <w:sz w:val="20"/>
              </w:rPr>
            </w:r>
            <w:r>
              <w:rPr>
                <w:sz w:val="20"/>
              </w:rPr>
              <w:t>Complaint handling</w:t>
            </w:r>
          </w:p>
        </w:tc>
        <w:tc>
          <w:tcPr>
            <w:tcW w:type="dxa" w:w="2736"/>
          </w:tcPr>
          <w:p>
            <w:r>
              <w:rPr>
                <w:sz w:val="20"/>
              </w:rPr>
            </w:r>
            <w:r>
              <w:rPr>
                <w:sz w:val="20"/>
              </w:rPr>
              <w:t>Tier 1 and Tier 2 resolved by "scripted protocols"; Tier 3 escalated</w:t>
            </w:r>
          </w:p>
        </w:tc>
        <w:tc>
          <w:tcPr>
            <w:tcW w:type="dxa" w:w="2304"/>
          </w:tcPr>
          <w:p>
            <w:r>
              <w:rPr>
                <w:sz w:val="20"/>
              </w:rPr>
            </w:r>
            <w:r>
              <w:rPr>
                <w:sz w:val="20"/>
              </w:rPr>
              <w:t>"working Tier 1 and Tier 2 scripted protocols"</w:t>
            </w:r>
          </w:p>
        </w:tc>
        <w:tc>
          <w:tcPr>
            <w:tcW w:type="dxa" w:w="2736"/>
          </w:tcPr>
          <w:p>
            <w:r>
              <w:rPr>
                <w:sz w:val="20"/>
              </w:rPr>
            </w:r>
            <w:r>
              <w:rPr>
                <w:sz w:val="20"/>
              </w:rPr>
              <w:t>"judgment calls on escalated customer complaints that go beyond the Tier 1 scripted protocols" (omits that Tier 2 is also scripted)</w:t>
            </w:r>
          </w:p>
        </w:tc>
      </w:tr>
      <w:tr>
        <w:tc>
          <w:tcPr>
            <w:tcW w:type="dxa" w:w="1584"/>
          </w:tcPr>
          <w:p>
            <w:r>
              <w:rPr>
                <w:sz w:val="20"/>
              </w:rPr>
            </w:r>
            <w:r>
              <w:rPr>
                <w:sz w:val="20"/>
              </w:rPr>
              <w:t>Sales support</w:t>
            </w:r>
          </w:p>
        </w:tc>
        <w:tc>
          <w:tcPr>
            <w:tcW w:type="dxa" w:w="2736"/>
          </w:tcPr>
          <w:p>
            <w:r>
              <w:rPr>
                <w:sz w:val="20"/>
              </w:rPr>
            </w:r>
            <w:r>
              <w:rPr>
                <w:sz w:val="20"/>
              </w:rPr>
              <w:t>Outbound calls and add-on recommendations per Upsell Playbook; upsell targets</w:t>
            </w:r>
          </w:p>
        </w:tc>
        <w:tc>
          <w:tcPr>
            <w:tcW w:type="dxa" w:w="2304"/>
          </w:tcPr>
          <w:p>
            <w:r>
              <w:rPr>
                <w:sz w:val="20"/>
              </w:rPr>
            </w:r>
            <w:r>
              <w:rPr>
                <w:sz w:val="20"/>
              </w:rPr>
              <w:t>"working with the sales team on cross-sell opportunities"</w:t>
            </w:r>
          </w:p>
        </w:tc>
        <w:tc>
          <w:tcPr>
            <w:tcW w:type="dxa" w:w="2736"/>
          </w:tcPr>
          <w:p>
            <w:r>
              <w:rPr>
                <w:sz w:val="20"/>
              </w:rPr>
            </w:r>
            <w:r>
              <w:rPr>
                <w:sz w:val="20"/>
              </w:rPr>
              <w:t>"assisting the sales team with lead qualification"</w:t>
            </w:r>
          </w:p>
        </w:tc>
      </w:tr>
    </w:tbl>
    <w:p/>
    <w:p>
      <w:pPr>
        <w:jc w:val="both"/>
      </w:pPr>
      <w:r>
        <w:t>If management in fact intends CEAS employees to perform the more discretionary work Thornbury describes, the job description should say so and the time allocation should reflect it. As written, the job description — the only document Thornbury says it relied on — does not support Thornbury’s premises.</w:t>
      </w:r>
    </w:p>
    <w:p>
      <w:pPr>
        <w:pStyle w:val="Heading2"/>
      </w:pPr>
      <w:r>
        <w:t>D. Other Record Issues Noted</w:t>
      </w:r>
    </w:p>
    <w:p>
      <w:pPr>
        <w:pStyle w:val="ListBullet"/>
      </w:pPr>
      <w:r>
        <w:rPr>
          <w:b/>
        </w:rPr>
        <w:t>Compensation grid v3.2 errors.</w:t>
      </w:r>
      <w:r>
        <w:t xml:space="preserve"> The grid (updated by Mr. Polk on February 10, 2025; reviewer listed as "Jared Polk / Thornbury Consulting Group" rather than the HR Compensation Team) (i) records the federal threshold as "$844/wk per 2024 DOL rule" for every exempt grade, (ii) describes the $1,128/week level as a DOL "proposed" increase "status TBD," and (iii) leaves the California and Oregon notes for the Grade 7 CEAS row blank, even though Grade 8 rows expressly flag the California $68,640 floor.</w:t>
      </w:r>
    </w:p>
    <w:p>
      <w:pPr>
        <w:pStyle w:val="ListBullet"/>
      </w:pPr>
      <w:r>
        <w:rPr>
          <w:b/>
        </w:rPr>
        <w:t>Marketing Coordinator still shown as "Exempt — Administrative."</w:t>
      </w:r>
      <w:r>
        <w:t xml:space="preserve"> The Grade 7 row listing the CEAS also lists the Marketing Coordinator (3 incumbents) as Exempt — Administrative, while the grid’s own Notes tab records that the Marketing Coordinator was reclassified to non-exempt in the 2022 audit. Either the grid is wrong or the reclassification was not carried through for some incumbents; this should be verified immediately (Section IX.C).</w:t>
      </w:r>
    </w:p>
    <w:p>
      <w:pPr>
        <w:pStyle w:val="ListBullet"/>
      </w:pPr>
      <w:r>
        <w:rPr>
          <w:b/>
        </w:rPr>
        <w:t>Email domain.</w:t>
      </w:r>
      <w:r>
        <w:t xml:space="preserve"> The email chain uses "@crestviewoutdoor.com" addresses for Aldersgate officers. If this reflects a former or affiliated entity name, nothing turns on it; if not, the provenance of the chain should be confirmed before it is relied on in any proceeding.</w:t>
      </w:r>
    </w:p>
    <w:p>
      <w:pPr>
        <w:pStyle w:val="ListBullet"/>
      </w:pPr>
      <w:r>
        <w:rPr>
          <w:b/>
        </w:rPr>
        <w:t>Salary basis vs. salary level.</w:t>
      </w:r>
      <w:r>
        <w:t xml:space="preserve"> Thornbury’s Section IV discusses the salary "basis" test but actually analyzes salary level; it does not address the salary-basis requirements (no improper deductions, 29 C.F.R. § 541.602–.603).</w:t>
      </w:r>
    </w:p>
    <w:p>
      <w:pPr>
        <w:pStyle w:val="Heading1"/>
      </w:pPr>
      <w:r>
        <w:t>V. Federal Analysis (FLSA)</w:t>
      </w:r>
    </w:p>
    <w:p>
      <w:pPr>
        <w:pStyle w:val="Heading2"/>
      </w:pPr>
      <w:r>
        <w:t>A. Governing Framework</w:t>
      </w:r>
    </w:p>
    <w:p>
      <w:pPr>
        <w:jc w:val="both"/>
      </w:pPr>
      <w:r>
        <w:t xml:space="preserve">The FLSA requires overtime at one and one-half times the regular rate for hours over 40 in a workweek, 29 U.S.C. § 207(a)(1), unless an exemption applies. The administrative exemption, § 213(a)(1), requires that the employee (1) be paid on a salary basis (2) at not less than the regulatory salary level, (3) with a primary duty of office or non-manual work directly related to the management or general business operations of the employer or its customers, (4) which includes the exercise of discretion and independent judgment with respect to matters of significance. 29 C.F.R. § 541.200(a). The employer bears the burden of proving the exemption; exemptions are given a "fair reading," not a narrow construction, </w:t>
      </w:r>
      <w:r>
        <w:rPr>
          <w:i/>
        </w:rPr>
        <w:t>Encino Motorcars, LLC v. Navarro</w:t>
      </w:r>
      <w:r>
        <w:t xml:space="preserve">, 584 U.S. 79 (2018), and the employer’s burden is proof by a preponderance of the evidence, </w:t>
      </w:r>
      <w:r>
        <w:rPr>
          <w:i/>
        </w:rPr>
        <w:t>E.M.D. Sales, Inc. v. Carrera</w:t>
      </w:r>
      <w:r>
        <w:t>, 604 U.S. ___ (Jan. 15, 2025). Neither decision changes the outcome here: the problem is not the standard of construction but the facts. A job title or the employer’s label does not determine exempt status. 29 C.F.R. § 541.2.</w:t>
      </w:r>
    </w:p>
    <w:p>
      <w:pPr>
        <w:pStyle w:val="Heading2"/>
      </w:pPr>
      <w:r>
        <w:t>B. Salary Level — Satisfied, but the Record Misstates the Threshold</w:t>
      </w:r>
    </w:p>
    <w:p>
      <w:pPr>
        <w:jc w:val="both"/>
      </w:pPr>
      <w:r>
        <w:rPr>
          <w:b/>
        </w:rPr>
        <w:t>The operative federal threshold is $684 per week ($35,568 per year)</w:t>
      </w:r>
      <w:r>
        <w:t xml:space="preserve"> under the 2019 rule. The DOL’s 2024 rule (89 Fed. Reg. 32842 (Apr. 26, 2024)), which set $844/week effective July 1, 2024 and $1,128/week effective January 1, 2025, was </w:t>
      </w:r>
      <w:r>
        <w:rPr>
          <w:b/>
        </w:rPr>
        <w:t>vacated in its entirety, nationwide</w:t>
      </w:r>
      <w:r>
        <w:t xml:space="preserve">, on November 15, 2024. </w:t>
      </w:r>
      <w:r>
        <w:rPr>
          <w:i/>
        </w:rPr>
        <w:t>State of Texas v. U.S. Dep’t of Labor</w:t>
      </w:r>
      <w:r>
        <w:t xml:space="preserve">, No. 4:24-cv-00499 (E.D. Tex. Nov. 15, 2024) (consolidated with </w:t>
      </w:r>
      <w:r>
        <w:rPr>
          <w:i/>
        </w:rPr>
        <w:t>Plano Chamber of Commerce v. U.S. Dep’t of Labor</w:t>
      </w:r>
      <w:r>
        <w:t>). The DOL has enforced the 2019 levels since that ruling; any appeal should be monitored, but the $844 figure is not presently the law. The highly-compensated-employee threshold accordingly remains $107,432. The CEAS salary of $1,061.54/week exceeds $684, so the federal salary-level test is satisfied.</w:t>
      </w:r>
    </w:p>
    <w:p>
      <w:pPr>
        <w:jc w:val="both"/>
      </w:pPr>
      <w:r>
        <w:t xml:space="preserve">Two corrections to the record are warranted. First, Thornbury describes the case as "pending litigation" that "addressed the validity" of the thresholds, and the comp grid continues to cite the 2024 rule as operative; both are inaccurate. Second, Thornbury states there is "no risk of failing to meet this requirement" under "any" standard — but the CEAS salary ($1,061.54/week) would </w:t>
      </w:r>
      <w:r>
        <w:rPr>
          <w:b/>
        </w:rPr>
        <w:t>not</w:t>
      </w:r>
      <w:r>
        <w:t xml:space="preserve"> have met the $1,128/week level the 2024 rule set for January 1, 2025. The role clears the federal floor only because that rule was vacated, and the margin would disappear under any future rulemaking at comparable levels. The Company should not design an 18-person exempt classification around a margin that thin.</w:t>
      </w:r>
    </w:p>
    <w:p>
      <w:pPr>
        <w:pStyle w:val="Heading2"/>
      </w:pPr>
      <w:r>
        <w:t>C. Salary Basis</w:t>
      </w:r>
    </w:p>
    <w:p>
      <w:pPr>
        <w:jc w:val="both"/>
      </w:pPr>
      <w:r>
        <w:t>A flat, predetermined bi-weekly salary not subject to reduction for quality or quantity of work would satisfy 29 C.F.R. § 541.602, provided payroll does not take impermissible partial-day or disciplinary deductions. The job description is silent on deductions; this would need to be confirmed with Lone Star Payroll Solutions if any exempt classification were pursued. It is moot under our recommendation.</w:t>
      </w:r>
    </w:p>
    <w:p>
      <w:pPr>
        <w:pStyle w:val="Heading2"/>
      </w:pPr>
      <w:r>
        <w:t>D. Duties Test — Primary Duty</w:t>
      </w:r>
    </w:p>
    <w:p>
      <w:pPr>
        <w:jc w:val="both"/>
      </w:pPr>
      <w:r>
        <w:t>"Primary duty" means "the principal, main, major or most important duty that the employee performs," determined from all the facts, with the major emphasis on the character of the employee’s job as a whole. 29 C.F.R. § 541.700(a). Relevant factors include (1) the relative importance of the exempt duties compared with other duties, (2) the amount of time spent performing exempt work, (3) the employee’s relative freedom from direct supervision, and (4) the relationship between the employee’s salary and the wages paid to other employees for the kind of nonexempt work performed by the employee. Id. Employees who spend more than 50% of their time on exempt work generally satisfy the primary-duty requirement; time is not the sole test, but it is "a useful guide." § 541.700(b).</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E2F3"/>
          </w:tcPr>
          <w:p>
            <w:r/>
            <w:r>
              <w:rPr>
                <w:b/>
                <w:sz w:val="20"/>
              </w:rPr>
              <w:t>§ 541.700 factor</w:t>
            </w:r>
          </w:p>
        </w:tc>
        <w:tc>
          <w:tcPr>
            <w:tcW w:type="dxa" w:w="5184"/>
            <w:shd w:val="clear" w:color="auto" w:fill="D9E2F3"/>
          </w:tcPr>
          <w:p>
            <w:r/>
            <w:r>
              <w:rPr>
                <w:b/>
                <w:sz w:val="20"/>
              </w:rPr>
              <w:t>Record evidence</w:t>
            </w:r>
          </w:p>
        </w:tc>
        <w:tc>
          <w:tcPr>
            <w:tcW w:type="dxa" w:w="2016"/>
            <w:shd w:val="clear" w:color="auto" w:fill="D9E2F3"/>
          </w:tcPr>
          <w:p>
            <w:r/>
            <w:r>
              <w:rPr>
                <w:b/>
                <w:sz w:val="20"/>
              </w:rPr>
              <w:t>Points toward</w:t>
            </w:r>
          </w:p>
        </w:tc>
      </w:tr>
      <w:tr>
        <w:tc>
          <w:tcPr>
            <w:tcW w:type="dxa" w:w="2160"/>
          </w:tcPr>
          <w:p>
            <w:r>
              <w:rPr>
                <w:sz w:val="20"/>
              </w:rPr>
            </w:r>
            <w:r>
              <w:rPr>
                <w:sz w:val="20"/>
              </w:rPr>
              <w:t>Time spent</w:t>
            </w:r>
          </w:p>
        </w:tc>
        <w:tc>
          <w:tcPr>
            <w:tcW w:type="dxa" w:w="5184"/>
          </w:tcPr>
          <w:p>
            <w:r>
              <w:rPr>
                <w:sz w:val="20"/>
              </w:rPr>
            </w:r>
            <w:r>
              <w:rPr>
                <w:sz w:val="20"/>
              </w:rPr>
              <w:t>At most 25% arguably exempt; 75% customer service, clerical CRM work and inside sales</w:t>
            </w:r>
          </w:p>
        </w:tc>
        <w:tc>
          <w:tcPr>
            <w:tcW w:type="dxa" w:w="2016"/>
          </w:tcPr>
          <w:p>
            <w:r>
              <w:rPr>
                <w:sz w:val="20"/>
              </w:rPr>
            </w:r>
            <w:r>
              <w:rPr>
                <w:b/>
                <w:sz w:val="20"/>
              </w:rPr>
              <w:t>Non-exempt (strongly)</w:t>
            </w:r>
          </w:p>
        </w:tc>
      </w:tr>
      <w:tr>
        <w:tc>
          <w:tcPr>
            <w:tcW w:type="dxa" w:w="2160"/>
          </w:tcPr>
          <w:p>
            <w:r>
              <w:rPr>
                <w:sz w:val="20"/>
              </w:rPr>
            </w:r>
            <w:r>
              <w:rPr>
                <w:sz w:val="20"/>
              </w:rPr>
              <w:t>Relative importance</w:t>
            </w:r>
          </w:p>
        </w:tc>
        <w:tc>
          <w:tcPr>
            <w:tcW w:type="dxa" w:w="5184"/>
          </w:tcPr>
          <w:p>
            <w:r>
              <w:rPr>
                <w:sz w:val="20"/>
              </w:rPr>
            </w:r>
            <w:r>
              <w:rPr>
                <w:sz w:val="20"/>
              </w:rPr>
              <w:t>Management views analytics as "the strategic differentiator," but the JD calls the CEAS a "frontline resource"; 40% service work under 78% first-contact-resolution metrics and weekly scorecards is the role’s operational core; the employer’s subjective view of value is not controlling</w:t>
            </w:r>
          </w:p>
        </w:tc>
        <w:tc>
          <w:tcPr>
            <w:tcW w:type="dxa" w:w="2016"/>
          </w:tcPr>
          <w:p>
            <w:r>
              <w:rPr>
                <w:sz w:val="20"/>
              </w:rPr>
            </w:r>
            <w:r>
              <w:rPr>
                <w:sz w:val="20"/>
              </w:rPr>
              <w:t>Non-exempt (moderately)</w:t>
            </w:r>
          </w:p>
        </w:tc>
      </w:tr>
      <w:tr>
        <w:tc>
          <w:tcPr>
            <w:tcW w:type="dxa" w:w="2160"/>
          </w:tcPr>
          <w:p>
            <w:r>
              <w:rPr>
                <w:sz w:val="20"/>
              </w:rPr>
            </w:r>
            <w:r>
              <w:rPr>
                <w:sz w:val="20"/>
              </w:rPr>
              <w:t>Freedom from direct supervision</w:t>
            </w:r>
          </w:p>
        </w:tc>
        <w:tc>
          <w:tcPr>
            <w:tcW w:type="dxa" w:w="5184"/>
          </w:tcPr>
          <w:p>
            <w:r>
              <w:rPr>
                <w:sz w:val="20"/>
              </w:rPr>
            </w:r>
            <w:r>
              <w:rPr>
                <w:sz w:val="20"/>
              </w:rPr>
              <w:t xml:space="preserve">Weekly scorecard review by a </w:t>
            </w:r>
            <w:r>
              <w:rPr>
                <w:b/>
                <w:sz w:val="20"/>
              </w:rPr>
              <w:t>non-exempt</w:t>
            </w:r>
            <w:r>
              <w:rPr>
                <w:sz w:val="20"/>
              </w:rPr>
              <w:t xml:space="preserve"> Team Lead; work "as directed by" Manager and CRM Administrator; NPS deviations flagged to Team Lead "for further review and action"; scripts, playbooks, checklists and templates govern each duty</w:t>
            </w:r>
          </w:p>
        </w:tc>
        <w:tc>
          <w:tcPr>
            <w:tcW w:type="dxa" w:w="2016"/>
          </w:tcPr>
          <w:p>
            <w:r>
              <w:rPr>
                <w:sz w:val="20"/>
              </w:rPr>
            </w:r>
            <w:r>
              <w:rPr>
                <w:b/>
                <w:sz w:val="20"/>
              </w:rPr>
              <w:t>Non-exempt (strongly)</w:t>
            </w:r>
          </w:p>
        </w:tc>
      </w:tr>
      <w:tr>
        <w:tc>
          <w:tcPr>
            <w:tcW w:type="dxa" w:w="2160"/>
          </w:tcPr>
          <w:p>
            <w:r>
              <w:rPr>
                <w:sz w:val="20"/>
              </w:rPr>
            </w:r>
            <w:r>
              <w:rPr>
                <w:sz w:val="20"/>
              </w:rPr>
              <w:t>Salary vs. non-exempt wages for similar work</w:t>
            </w:r>
          </w:p>
        </w:tc>
        <w:tc>
          <w:tcPr>
            <w:tcW w:type="dxa" w:w="5184"/>
          </w:tcPr>
          <w:p>
            <w:r>
              <w:rPr>
                <w:sz w:val="20"/>
              </w:rPr>
            </w:r>
            <w:r>
              <w:rPr>
                <w:sz w:val="20"/>
              </w:rPr>
              <w:t>~$26.54/hr equivalent vs. $24.50/hr for the eliminated non-exempt Senior CSR (≈8% premium); Grade 6 non-exempt CSRs earn $42,000–$50,000; eliminated exempt analyst earned $72,000</w:t>
            </w:r>
          </w:p>
        </w:tc>
        <w:tc>
          <w:tcPr>
            <w:tcW w:type="dxa" w:w="2016"/>
          </w:tcPr>
          <w:p>
            <w:r>
              <w:rPr>
                <w:sz w:val="20"/>
              </w:rPr>
            </w:r>
            <w:r>
              <w:rPr>
                <w:b/>
                <w:sz w:val="20"/>
              </w:rPr>
              <w:t>Non-exempt (strongly)</w:t>
            </w:r>
          </w:p>
        </w:tc>
      </w:tr>
    </w:tbl>
    <w:p/>
    <w:p>
      <w:pPr>
        <w:jc w:val="both"/>
      </w:pPr>
      <w:r>
        <w:t>Thornbury’s answer to the time problem is that customer service is "incidental" to an "integrated" analytical mission because customer contacts are the "data collection mechanism." That reasoning does not hold. Work is not rendered exempt because it generates information later used by someone exercising judgment; on that logic, every production or service employee would be exempt. The regulations permit nonexempt work to be disregarded only where it is directly and closely related to exempt work and the exempt work is itself the primary duty — not where the nonexempt work is the larger, independently measured, separately supervised component of the job. See 29 C.F.R. §§ 541.700, 541.703. Moreover, the job description treats customer service as a freestanding function with its own metrics (first-contact resolution, quality scorecards), not as an analytic data-gathering step.</w:t>
      </w:r>
    </w:p>
    <w:p>
      <w:pPr>
        <w:jc w:val="both"/>
      </w:pPr>
      <w:r>
        <w:t>The Company’s own counsel reached this precise conclusion in 2022. The Ridgewater &amp; Calloway audit found the Marketing Coordinator (Grade 7, $54,000, no reports, ~20% compiling data from pre-built dashboards, 15% brainstorming) non-exempt because roughly 85% of time was production-oriented and "[t]he fact that a role involves some analytical or creative components does not automatically render it exempt." The CEAS has a larger non-exempt share (75%), a lower degree of autonomy (scripted protocols and a non-exempt line supervisor), and substantially the same salary. There is no principled basis for a different result.</w:t>
      </w:r>
    </w:p>
    <w:p>
      <w:pPr>
        <w:pStyle w:val="Heading2"/>
      </w:pPr>
      <w:r>
        <w:t>E. Prong 1 — Work Directly Related to Management or General Business Operations</w:t>
      </w:r>
    </w:p>
    <w:p>
      <w:pPr>
        <w:jc w:val="both"/>
      </w:pPr>
      <w:r>
        <w:t xml:space="preserve">This prong is met only by work "directly related to assisting with the running or servicing of the business, as distinguished, for example, from working on a manufacturing production line or selling a product in a retail or service establishment." 29 C.F.R. § 541.201(a). Qualifying functional areas include tax, finance, accounting, quality control, purchasing, advertising, marketing, research, human resources, compliance and similar activities. § 541.201(b). Courts apply the "administrative/production" distinction: employees who deliver the employer’s product or service to its customers are not performing administrative work merely because the work is skilled or important. See, e.g., </w:t>
      </w:r>
      <w:r>
        <w:rPr>
          <w:i/>
        </w:rPr>
        <w:t>Dalheim v. KDFW-TV</w:t>
      </w:r>
      <w:r>
        <w:t xml:space="preserve">, 918 F.2d 1220 (5th Cir. 1990); </w:t>
      </w:r>
      <w:r>
        <w:rPr>
          <w:i/>
        </w:rPr>
        <w:t>Bothell v. Phase Metrics, Inc.</w:t>
      </w:r>
      <w:r>
        <w:t xml:space="preserve">, 299 F.3d 1120 (9th Cir. 2002); </w:t>
      </w:r>
      <w:r>
        <w:rPr>
          <w:i/>
        </w:rPr>
        <w:t>Davis v. J.P. Morgan Chase &amp; Co.</w:t>
      </w:r>
      <w:r>
        <w:t xml:space="preserve">, 587 F.3d 529 (2d Cir. 2009); </w:t>
      </w:r>
      <w:r>
        <w:rPr>
          <w:i/>
        </w:rPr>
        <w:t>Calderon v. GEICO Gen. Ins. Co.</w:t>
      </w:r>
      <w:r>
        <w:t>, 809 F.3d 111 (4th Cir. 2015).</w:t>
      </w:r>
    </w:p>
    <w:p>
      <w:pPr>
        <w:pStyle w:val="ListBullet"/>
      </w:pPr>
      <w:r>
        <w:rPr>
          <w:b/>
        </w:rPr>
        <w:t>Customer service (40%)</w:t>
      </w:r>
      <w:r>
        <w:t xml:space="preserve"> — answering consumer inquiries, processing returns, exchanges and warranty claims, and resolving complaints is delivery of Aldersgate’s customer service to its retail customers; it is the service the company provides, not the running of the company. The "employer’s customers" clause in § 541.201(c) covers employees who advise or consult with customers on the customers’ business operations (e.g., consultants), not representatives serving consumers.</w:t>
      </w:r>
    </w:p>
    <w:p>
      <w:pPr>
        <w:pStyle w:val="ListBullet"/>
      </w:pPr>
      <w:r>
        <w:rPr>
          <w:b/>
        </w:rPr>
        <w:t>CRM data entry (20%)</w:t>
      </w:r>
      <w:r>
        <w:t xml:space="preserve"> — recording, tabulating and updating records is classic clerical work. § 541.202(e) (clerical or secretarial work, recording or tabulating data, or performing other mechanical, repetitive, recurrent or routine work is not exempt).</w:t>
      </w:r>
    </w:p>
    <w:p>
      <w:pPr>
        <w:pStyle w:val="ListBullet"/>
      </w:pPr>
      <w:r>
        <w:rPr>
          <w:b/>
        </w:rPr>
        <w:t>Upselling (15%)</w:t>
      </w:r>
      <w:r>
        <w:t xml:space="preserve"> — selling the employer’s products is the paradigm the regulation excludes ("selling a product"). § 541.201(a).</w:t>
      </w:r>
    </w:p>
    <w:p>
      <w:pPr>
        <w:pStyle w:val="ListBullet"/>
      </w:pPr>
      <w:r>
        <w:rPr>
          <w:b/>
        </w:rPr>
        <w:t>Analytics (25%)</w:t>
      </w:r>
      <w:r>
        <w:t xml:space="preserve"> — customer-satisfaction and product-complaint analysis for management is closer to "research" or "quality control" and could satisfy Prong 1 in isolation. But it is only one quarter of the job.</w:t>
      </w:r>
    </w:p>
    <w:p>
      <w:pPr>
        <w:pStyle w:val="Heading2"/>
      </w:pPr>
      <w:r>
        <w:t>F. Prong 2 — Discretion and Independent Judgment on Matters of Significance</w:t>
      </w:r>
    </w:p>
    <w:p>
      <w:pPr>
        <w:jc w:val="both"/>
      </w:pPr>
      <w:r>
        <w:t>Discretion and independent judgment "involves the comparison and the evaluation of possible courses of conduct, and acting or making a decision after the various possibilities have been considered"; "matters of significance" refers to the level of importance or consequence of the work. 29 C.F.R. § 541.202(a). The § 541.202(b) factors include authority to formulate, affect, interpret or implement management policies; to commit the employer in matters with significant financial impact; to waive or deviate from established policies without prior approval; and whether the employee provides consultation or expert advice to management. It "does not include clerical or secretarial work, recording or tabulating data, or performing other mechanical, repetitive, recurrent or routine work," § 541.202(e), and the exemption does not reach employees who "simply apply well-established techniques or procedures described in manuals or other sources within closely prescribed limits to determine the correct response to an inquiry or set of circumstances," § 541.704.</w:t>
      </w:r>
    </w:p>
    <w:p>
      <w:pPr>
        <w:pStyle w:val="ListBullet"/>
      </w:pPr>
      <w:r>
        <w:rPr>
          <w:b/>
        </w:rPr>
        <w:t>Customer service:</w:t>
      </w:r>
      <w:r>
        <w:t xml:space="preserve"> Tier 1 and Tier 2 issues are resolved by "scripted protocols"; returns and warranties follow "company policies"; Tier 3 matters — the only ones plausibly involving significant discretion (legal complaints, social media crises, high-value retention) — are expressly </w:t>
      </w:r>
      <w:r>
        <w:rPr>
          <w:b/>
        </w:rPr>
        <w:t>escalated</w:t>
      </w:r>
      <w:r>
        <w:t xml:space="preserve"> to the Manager. The CEAS has no stated authority to waive policy or grant exceptions. Thornbury’s assertion that CEAS employees make "judgment calls on escalated customer complaints that go beyond the Tier 1 scripted protocols" ignores that Tier 2 is also scripted and Tier 3 is escalated.</w:t>
      </w:r>
    </w:p>
    <w:p>
      <w:pPr>
        <w:pStyle w:val="ListBullet"/>
      </w:pPr>
      <w:r>
        <w:rPr>
          <w:b/>
        </w:rPr>
        <w:t>Analytics:</w:t>
      </w:r>
      <w:r>
        <w:t xml:space="preserve"> Dashboards are built with "established templates and standard visualization formats"; findings are summarized in "standardized report formats"; QBR work is "as directed"; significant NPS deviations are flagged to a non-exempt Team Lead "for further review and action." This is the same pattern the 2022 audit identified as non-discretionary ("Running pre-built reports and using software as an end user does not constitute ‘discretion and independent judgment’"). The single aspirational sentence that the CEAS will "proactively identify actionable insights" does not convert templated reporting into authority to formulate or affect policy, particularly where the employee holds only "basic analytical" skills and the decision-makers are the VP and Product Development.</w:t>
      </w:r>
    </w:p>
    <w:p>
      <w:pPr>
        <w:pStyle w:val="ListBullet"/>
      </w:pPr>
      <w:r>
        <w:rPr>
          <w:b/>
        </w:rPr>
        <w:t>Sales support and data entry:</w:t>
      </w:r>
      <w:r>
        <w:t xml:space="preserve"> follow the Upsell Playbook and IT’s Data Quality Checklist; no discretion of the required kind.</w:t>
      </w:r>
    </w:p>
    <w:p>
      <w:pPr>
        <w:jc w:val="both"/>
      </w:pPr>
      <w:r>
        <w:rPr>
          <w:b/>
        </w:rPr>
        <w:t>Federal conclusion.</w:t>
      </w:r>
      <w:r>
        <w:t xml:space="preserve"> The CEAS likely fails both duties prongs: its primary duty is not administrative work, and even the minority analytics work, as written, does not clearly involve discretion and independent judgment on matters of significance. We assess the probability that an exempt classification would be sustained in litigation as low. Because the role is staffed by 18 employees performing identical duties under a single job description, it would also be a natural candidate for conditional certification of a collective action under 29 U.S.C. § 216(b).</w:t>
      </w:r>
    </w:p>
    <w:p>
      <w:pPr>
        <w:pStyle w:val="Heading2"/>
      </w:pPr>
      <w:r>
        <w:t>G. Alternative Federal Exemptions Considered</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20"/>
              </w:rPr>
              <w:t>Exemption</w:t>
            </w:r>
          </w:p>
        </w:tc>
        <w:tc>
          <w:tcPr>
            <w:tcW w:type="dxa" w:w="3744"/>
            <w:shd w:val="clear" w:color="auto" w:fill="D9E2F3"/>
          </w:tcPr>
          <w:p>
            <w:r/>
            <w:r>
              <w:rPr>
                <w:b/>
                <w:sz w:val="20"/>
              </w:rPr>
              <w:t>Requirement</w:t>
            </w:r>
          </w:p>
        </w:tc>
        <w:tc>
          <w:tcPr>
            <w:tcW w:type="dxa" w:w="3312"/>
            <w:shd w:val="clear" w:color="auto" w:fill="D9E2F3"/>
          </w:tcPr>
          <w:p>
            <w:r/>
            <w:r>
              <w:rPr>
                <w:b/>
                <w:sz w:val="20"/>
              </w:rPr>
              <w:t>Application</w:t>
            </w:r>
          </w:p>
        </w:tc>
      </w:tr>
      <w:tr>
        <w:tc>
          <w:tcPr>
            <w:tcW w:type="dxa" w:w="2304"/>
          </w:tcPr>
          <w:p>
            <w:r>
              <w:rPr>
                <w:sz w:val="20"/>
              </w:rPr>
            </w:r>
            <w:r>
              <w:rPr>
                <w:sz w:val="20"/>
              </w:rPr>
              <w:t>Executive, 29 C.F.R. § 541.100</w:t>
            </w:r>
          </w:p>
        </w:tc>
        <w:tc>
          <w:tcPr>
            <w:tcW w:type="dxa" w:w="3744"/>
          </w:tcPr>
          <w:p>
            <w:r>
              <w:rPr>
                <w:sz w:val="20"/>
              </w:rPr>
            </w:r>
            <w:r>
              <w:rPr>
                <w:sz w:val="20"/>
              </w:rPr>
              <w:t>Primary duty management; customarily directs 2+ FTEs; hire/fire authority or weight</w:t>
            </w:r>
          </w:p>
        </w:tc>
        <w:tc>
          <w:tcPr>
            <w:tcW w:type="dxa" w:w="3312"/>
          </w:tcPr>
          <w:p>
            <w:r>
              <w:rPr>
                <w:sz w:val="20"/>
              </w:rPr>
            </w:r>
            <w:r>
              <w:rPr>
                <w:sz w:val="20"/>
              </w:rPr>
              <w:t xml:space="preserve">No supervisory duties at all — </w:t>
            </w:r>
            <w:r>
              <w:rPr>
                <w:b/>
                <w:sz w:val="20"/>
              </w:rPr>
              <w:t>unavailable</w:t>
            </w:r>
          </w:p>
        </w:tc>
      </w:tr>
      <w:tr>
        <w:tc>
          <w:tcPr>
            <w:tcW w:type="dxa" w:w="2304"/>
          </w:tcPr>
          <w:p>
            <w:r>
              <w:rPr>
                <w:sz w:val="20"/>
              </w:rPr>
            </w:r>
            <w:r>
              <w:rPr>
                <w:sz w:val="20"/>
              </w:rPr>
              <w:t>Learned professional, § 541.301</w:t>
            </w:r>
          </w:p>
        </w:tc>
        <w:tc>
          <w:tcPr>
            <w:tcW w:type="dxa" w:w="3744"/>
          </w:tcPr>
          <w:p>
            <w:r>
              <w:rPr>
                <w:sz w:val="20"/>
              </w:rPr>
            </w:r>
            <w:r>
              <w:rPr>
                <w:sz w:val="20"/>
              </w:rPr>
              <w:t>Primary duty requiring advanced knowledge in a field of science or learning customarily acquired by prolonged specialized instruction</w:t>
            </w:r>
          </w:p>
        </w:tc>
        <w:tc>
          <w:tcPr>
            <w:tcW w:type="dxa" w:w="3312"/>
          </w:tcPr>
          <w:p>
            <w:r>
              <w:rPr>
                <w:sz w:val="20"/>
              </w:rPr>
            </w:r>
            <w:r>
              <w:rPr>
                <w:sz w:val="20"/>
              </w:rPr>
              <w:t xml:space="preserve">Degree preferred, not required; customer-service experience is the core requirement — </w:t>
            </w:r>
            <w:r>
              <w:rPr>
                <w:b/>
                <w:sz w:val="20"/>
              </w:rPr>
              <w:t>unavailable</w:t>
            </w:r>
          </w:p>
        </w:tc>
      </w:tr>
      <w:tr>
        <w:tc>
          <w:tcPr>
            <w:tcW w:type="dxa" w:w="2304"/>
          </w:tcPr>
          <w:p>
            <w:r>
              <w:rPr>
                <w:sz w:val="20"/>
              </w:rPr>
            </w:r>
            <w:r>
              <w:rPr>
                <w:sz w:val="20"/>
              </w:rPr>
              <w:t>Creative professional, § 541.302</w:t>
            </w:r>
          </w:p>
        </w:tc>
        <w:tc>
          <w:tcPr>
            <w:tcW w:type="dxa" w:w="3744"/>
          </w:tcPr>
          <w:p>
            <w:r>
              <w:rPr>
                <w:sz w:val="20"/>
              </w:rPr>
            </w:r>
            <w:r>
              <w:rPr>
                <w:sz w:val="20"/>
              </w:rPr>
              <w:t>Invention, imagination, originality or talent in a recognized artistic field</w:t>
            </w:r>
          </w:p>
        </w:tc>
        <w:tc>
          <w:tcPr>
            <w:tcW w:type="dxa" w:w="3312"/>
          </w:tcPr>
          <w:p>
            <w:r>
              <w:rPr>
                <w:sz w:val="20"/>
              </w:rPr>
            </w:r>
            <w:r>
              <w:rPr>
                <w:sz w:val="20"/>
              </w:rPr>
              <w:t xml:space="preserve">None — </w:t>
            </w:r>
            <w:r>
              <w:rPr>
                <w:b/>
                <w:sz w:val="20"/>
              </w:rPr>
              <w:t>unavailable</w:t>
            </w:r>
          </w:p>
        </w:tc>
      </w:tr>
      <w:tr>
        <w:tc>
          <w:tcPr>
            <w:tcW w:type="dxa" w:w="2304"/>
          </w:tcPr>
          <w:p>
            <w:r>
              <w:rPr>
                <w:sz w:val="20"/>
              </w:rPr>
            </w:r>
            <w:r>
              <w:rPr>
                <w:sz w:val="20"/>
              </w:rPr>
              <w:t>Computer employee, § 541.400</w:t>
            </w:r>
          </w:p>
        </w:tc>
        <w:tc>
          <w:tcPr>
            <w:tcW w:type="dxa" w:w="3744"/>
          </w:tcPr>
          <w:p>
            <w:r>
              <w:rPr>
                <w:sz w:val="20"/>
              </w:rPr>
            </w:r>
            <w:r>
              <w:rPr>
                <w:sz w:val="20"/>
              </w:rPr>
              <w:t>Systems analysis, programming, software engineering</w:t>
            </w:r>
          </w:p>
        </w:tc>
        <w:tc>
          <w:tcPr>
            <w:tcW w:type="dxa" w:w="3312"/>
          </w:tcPr>
          <w:p>
            <w:r>
              <w:rPr>
                <w:sz w:val="20"/>
              </w:rPr>
            </w:r>
            <w:r>
              <w:rPr>
                <w:sz w:val="20"/>
              </w:rPr>
              <w:t xml:space="preserve">End-user of Salesforce/Tableau — </w:t>
            </w:r>
            <w:r>
              <w:rPr>
                <w:b/>
                <w:sz w:val="20"/>
              </w:rPr>
              <w:t>unavailable</w:t>
            </w:r>
            <w:r>
              <w:rPr>
                <w:sz w:val="20"/>
              </w:rPr>
              <w:t xml:space="preserve"> (see § 541.401)</w:t>
            </w:r>
          </w:p>
        </w:tc>
      </w:tr>
      <w:tr>
        <w:tc>
          <w:tcPr>
            <w:tcW w:type="dxa" w:w="2304"/>
          </w:tcPr>
          <w:p>
            <w:r>
              <w:rPr>
                <w:sz w:val="20"/>
              </w:rPr>
            </w:r>
            <w:r>
              <w:rPr>
                <w:sz w:val="20"/>
              </w:rPr>
              <w:t>Outside sales, § 541.500</w:t>
            </w:r>
          </w:p>
        </w:tc>
        <w:tc>
          <w:tcPr>
            <w:tcW w:type="dxa" w:w="3744"/>
          </w:tcPr>
          <w:p>
            <w:r>
              <w:rPr>
                <w:sz w:val="20"/>
              </w:rPr>
            </w:r>
            <w:r>
              <w:rPr>
                <w:sz w:val="20"/>
              </w:rPr>
              <w:t>Primary duty sales, customarily and regularly away from employer’s place of business</w:t>
            </w:r>
          </w:p>
        </w:tc>
        <w:tc>
          <w:tcPr>
            <w:tcW w:type="dxa" w:w="3312"/>
          </w:tcPr>
          <w:p>
            <w:r>
              <w:rPr>
                <w:sz w:val="20"/>
              </w:rPr>
            </w:r>
            <w:r>
              <w:rPr>
                <w:sz w:val="20"/>
              </w:rPr>
              <w:t xml:space="preserve">All selling by phone/email/chat from workstation — </w:t>
            </w:r>
            <w:r>
              <w:rPr>
                <w:b/>
                <w:sz w:val="20"/>
              </w:rPr>
              <w:t>unavailable</w:t>
            </w:r>
            <w:r>
              <w:rPr>
                <w:sz w:val="20"/>
              </w:rPr>
              <w:t xml:space="preserve"> (§ 541.502)</w:t>
            </w:r>
          </w:p>
        </w:tc>
      </w:tr>
      <w:tr>
        <w:tc>
          <w:tcPr>
            <w:tcW w:type="dxa" w:w="2304"/>
          </w:tcPr>
          <w:p>
            <w:r>
              <w:rPr>
                <w:sz w:val="20"/>
              </w:rPr>
            </w:r>
            <w:r>
              <w:rPr>
                <w:sz w:val="20"/>
              </w:rPr>
              <w:t>Highly compensated, § 541.601</w:t>
            </w:r>
          </w:p>
        </w:tc>
        <w:tc>
          <w:tcPr>
            <w:tcW w:type="dxa" w:w="3744"/>
          </w:tcPr>
          <w:p>
            <w:r>
              <w:rPr>
                <w:sz w:val="20"/>
              </w:rPr>
            </w:r>
            <w:r>
              <w:rPr>
                <w:sz w:val="20"/>
              </w:rPr>
              <w:t>Total annual compensation ≥ $107,432 plus one exempt duty customarily performed</w:t>
            </w:r>
          </w:p>
        </w:tc>
        <w:tc>
          <w:tcPr>
            <w:tcW w:type="dxa" w:w="3312"/>
          </w:tcPr>
          <w:p>
            <w:r>
              <w:rPr>
                <w:sz w:val="20"/>
              </w:rPr>
            </w:r>
            <w:r>
              <w:rPr>
                <w:sz w:val="20"/>
              </w:rPr>
              <w:t xml:space="preserve">$55,200 — </w:t>
            </w:r>
            <w:r>
              <w:rPr>
                <w:b/>
                <w:sz w:val="20"/>
              </w:rPr>
              <w:t>unavailable</w:t>
            </w:r>
          </w:p>
        </w:tc>
      </w:tr>
      <w:tr>
        <w:tc>
          <w:tcPr>
            <w:tcW w:type="dxa" w:w="2304"/>
          </w:tcPr>
          <w:p>
            <w:r>
              <w:rPr>
                <w:sz w:val="20"/>
              </w:rPr>
            </w:r>
            <w:r>
              <w:rPr>
                <w:sz w:val="20"/>
              </w:rPr>
              <w:t>Retail/service commission, 29 U.S.C. § 207(i)</w:t>
            </w:r>
          </w:p>
        </w:tc>
        <w:tc>
          <w:tcPr>
            <w:tcW w:type="dxa" w:w="3744"/>
          </w:tcPr>
          <w:p>
            <w:r>
              <w:rPr>
                <w:sz w:val="20"/>
              </w:rPr>
            </w:r>
            <w:r>
              <w:rPr>
                <w:sz w:val="20"/>
              </w:rPr>
              <w:t>Retail or service establishment; regular rate &gt; 1.5× minimum wage; &gt;50% of pay from commissions</w:t>
            </w:r>
          </w:p>
        </w:tc>
        <w:tc>
          <w:tcPr>
            <w:tcW w:type="dxa" w:w="3312"/>
          </w:tcPr>
          <w:p>
            <w:r>
              <w:rPr>
                <w:sz w:val="20"/>
              </w:rPr>
            </w:r>
            <w:r>
              <w:rPr>
                <w:sz w:val="20"/>
              </w:rPr>
              <w:t xml:space="preserve">No commission — </w:t>
            </w:r>
            <w:r>
              <w:rPr>
                <w:b/>
                <w:sz w:val="20"/>
              </w:rPr>
              <w:t>unavailable</w:t>
            </w:r>
            <w:r>
              <w:rPr>
                <w:sz w:val="20"/>
              </w:rPr>
              <w:t xml:space="preserve"> (and partial overtime exemption only)</w:t>
            </w:r>
          </w:p>
        </w:tc>
      </w:tr>
      <w:tr>
        <w:tc>
          <w:tcPr>
            <w:tcW w:type="dxa" w:w="2304"/>
          </w:tcPr>
          <w:p>
            <w:r>
              <w:rPr>
                <w:sz w:val="20"/>
              </w:rPr>
            </w:r>
            <w:r>
              <w:rPr>
                <w:sz w:val="20"/>
              </w:rPr>
              <w:t>Combination, § 541.708</w:t>
            </w:r>
          </w:p>
        </w:tc>
        <w:tc>
          <w:tcPr>
            <w:tcW w:type="dxa" w:w="3744"/>
          </w:tcPr>
          <w:p>
            <w:r>
              <w:rPr>
                <w:sz w:val="20"/>
              </w:rPr>
            </w:r>
            <w:r>
              <w:rPr>
                <w:sz w:val="20"/>
              </w:rPr>
              <w:t>Combining exempt duties of different exemptions</w:t>
            </w:r>
          </w:p>
        </w:tc>
        <w:tc>
          <w:tcPr>
            <w:tcW w:type="dxa" w:w="3312"/>
          </w:tcPr>
          <w:p>
            <w:r>
              <w:rPr>
                <w:sz w:val="20"/>
              </w:rPr>
            </w:r>
            <w:r>
              <w:rPr>
                <w:sz w:val="20"/>
              </w:rPr>
              <w:t xml:space="preserve">Cannot combine exempt with non-exempt work — </w:t>
            </w:r>
            <w:r>
              <w:rPr>
                <w:b/>
                <w:sz w:val="20"/>
              </w:rPr>
              <w:t>unavailable</w:t>
            </w:r>
          </w:p>
        </w:tc>
      </w:tr>
    </w:tbl>
    <w:p/>
    <w:p>
      <w:pPr>
        <w:pStyle w:val="Heading1"/>
      </w:pPr>
      <w:r>
        <w:t>VI. State-Law Analysis</w:t>
      </w:r>
    </w:p>
    <w:p>
      <w:pPr>
        <w:pStyle w:val="Heading2"/>
      </w:pPr>
      <w:r>
        <w:t>A. California — Irvine (6 Positions): Non-Exempt as a Matter of Law</w:t>
      </w:r>
    </w:p>
    <w:p>
      <w:pPr>
        <w:jc w:val="both"/>
      </w:pPr>
      <w:r>
        <w:rPr>
          <w:b/>
        </w:rPr>
        <w:t>1. Salary.</w:t>
      </w:r>
      <w:r>
        <w:t xml:space="preserve"> An exempt administrative employee in California must earn a monthly salary equivalent to no less than two times the state minimum wage for full-time employment. Cal. Lab. Code § 515(a); IWC Wage Order 4-2001 § 1(A)(2)(g). With the 2025 statewide minimum wage of $16.50/hour, the floor is $68,640 per year ($5,720 per month; $1,320 per week). The CEAS salary of $55,200 is </w:t>
      </w:r>
      <w:r>
        <w:rPr>
          <w:b/>
        </w:rPr>
        <w:t>$13,440 (19.6%) short</w:t>
      </w:r>
      <w:r>
        <w:t>. The Grade 7 maximum of $62,000 is also short. Because the threshold is pegged to the minimum wage, it rises every January 1 (the Department of Industrial Relations announces the annual CPI adjustment in the prior summer), so any future exempt California position must be re-tested annually — exactly as the 2022 audit warned ("An employee earning $54,000 or $55,000 annually ... would fall short of California’s exempt salary threshold"). Thornbury did not analyze California at all and disclaimed state law; the grid’s California note for the CEAS row is blank. Mr. Polk’s March 17 statement that he "trust[s] they’ve done their diligence on the geographic piece" is contradicted by the letter itself.</w:t>
      </w:r>
    </w:p>
    <w:p>
      <w:pPr>
        <w:jc w:val="both"/>
      </w:pPr>
      <w:r>
        <w:rPr>
          <w:b/>
        </w:rPr>
        <w:t>2. Duties — "primarily engaged."</w:t>
      </w:r>
      <w:r>
        <w:t xml:space="preserve"> California requires that the employee be "primarily engaged" in exempt duties, meaning more than one-half of work time. Cal. Lab. Code § 515(e); Wage Order 4-2001 § 1(A)(2)(f), § 2. The test is quantitative and is measured by the employer’s realistic expectations and the work actually performed. </w:t>
      </w:r>
      <w:r>
        <w:rPr>
          <w:i/>
        </w:rPr>
        <w:t>Ramirez v. Yosemite Water Co.</w:t>
      </w:r>
      <w:r>
        <w:t xml:space="preserve">, 20 Cal. 4th 785 (1999). The Wage Order incorporates specified federal regulations (29 C.F.R. §§ 541.201–.205, .207–.208, .210, .215 as in effect in 2001) to define administrative work, but California does not adopt the federal flexible "primary duty" approach. See also </w:t>
      </w:r>
      <w:r>
        <w:rPr>
          <w:i/>
        </w:rPr>
        <w:t>Harris v. Superior Court</w:t>
      </w:r>
      <w:r>
        <w:t>, 53 Cal. 4th 170 (2011) (administrative/production dichotomy is not a dispositive test; analysis follows the Wage Order and incorporated regulations). With at most 25% arguably exempt time, the role fails by a wide margin.</w:t>
      </w:r>
    </w:p>
    <w:p>
      <w:pPr>
        <w:jc w:val="both"/>
      </w:pPr>
      <w:r>
        <w:rPr>
          <w:b/>
        </w:rPr>
        <w:t>3. Consequences.</w:t>
      </w:r>
      <w:r>
        <w:t xml:space="preserve"> Irvine CEAS employees must receive daily overtime (1.5× after 8 hours/day and for the first 8 hours on the seventh consecutive day; 2× after 12 hours/day and after 8 on the seventh day), weekly overtime after 40, Cal. Lab. Code § 510; compliant meal periods (§ 512) and rest periods (Wage Order 4 § 12), with one hour of premium pay per day for each type of violation (§ 226.7); itemized wage statements showing hours and rates (§ 226); timely final pay (§§ 201–203). If a salaried-non-exempt structure is used, the salary is deemed to compensate only 40 hours and the regular rate is 1/40 of the weekly salary, § 515(d); the fluctuating-workweek method is not permitted in California. Misclassification exposure includes three-year Labor Code limitations (four years under Bus. &amp; Prof. Code § 17208 for restitution), waiting-time penalties up to 30 days’ wages (§ 203), wage-statement penalties (§ 226(e)), and PAGA penalties (Lab. Code § 2699, as amended effective 2024, which reduces penalties for employers that take reasonable pre-notice compliance steps — another reason to fix this before hire).</w:t>
      </w:r>
    </w:p>
    <w:p>
      <w:pPr>
        <w:pStyle w:val="Heading2"/>
      </w:pPr>
      <w:r>
        <w:t>B. Oregon — Portland Remote Hub (4 Positions): Non-Exempt</w:t>
      </w:r>
    </w:p>
    <w:p>
      <w:pPr>
        <w:jc w:val="both"/>
      </w:pPr>
      <w:r>
        <w:t>Oregon exempts bona fide executive, administrative and professional employees who meet the duties tests of the federal regulations and are paid a salary of at least the applicable Oregon minimum wage × 2,080 hours. ORS 653.020(3); OAR 839-020-0300(1)–(3). For the Portland metro region the minimum wage was $15.95/hour as of July 1, 2024 (annual floor $33,176), increasing to $16.30 on July 1, 2025 ($33,904); the CEAS salary clears this. The duties analysis, however, follows the federal regulations, and the role fails it for the reasons in Section V. Oregon employees must therefore receive overtime after 40 hours (ORS 653.261; OAR 839-020-0030), Oregon-compliant meal and rest periods (OAR 839-020-0050), and accurate itemized statements. Misclassification exposure includes unpaid overtime, statutory penalty wages of up to 30 days (ORS 652.150), civil penalties under ORS 653.055, and attorney fees. Because these employees work from home, the Company should confirm that each employee’s home is within the Portland metro boundary (which determines the applicable minimum-wage tier) and that remote timekeeping is in place.</w:t>
      </w:r>
    </w:p>
    <w:p>
      <w:pPr>
        <w:pStyle w:val="Heading2"/>
      </w:pPr>
      <w:r>
        <w:t>C. Texas — Austin (8 Positions)</w:t>
      </w:r>
    </w:p>
    <w:p>
      <w:pPr>
        <w:jc w:val="both"/>
      </w:pPr>
      <w:r>
        <w:t>Texas has no state overtime statute; the Texas Minimum Wage Act defers to the FLSA for covered employers, Tex. Lab. Code ch. 62, and the Texas Payday Law governs pay timing. The federal analysis controls for Austin. Austin employees are within the Fifth Circuit, which has permitted the half-time (fluctuating workweek) method to compute damages for misclassified salaried employees in some circumstances (</w:t>
      </w:r>
      <w:r>
        <w:rPr>
          <w:i/>
        </w:rPr>
        <w:t>Blackmon v. Brookshire Grocery Co.</w:t>
      </w:r>
      <w:r>
        <w:t>, 835 F.2d 1135 (5th Cir. 1988)); this may reduce but does not eliminate exposure, and it is not a basis for classification.</w:t>
      </w:r>
    </w:p>
    <w:p>
      <w:pPr>
        <w:pStyle w:val="Heading2"/>
      </w:pPr>
      <w:r>
        <w:t>D. Location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D9E2F3"/>
          </w:tcPr>
          <w:p>
            <w:r/>
            <w:r>
              <w:rPr>
                <w:b/>
                <w:sz w:val="20"/>
              </w:rPr>
              <w:t>Location (positions)</w:t>
            </w:r>
          </w:p>
        </w:tc>
        <w:tc>
          <w:tcPr>
            <w:tcW w:type="dxa" w:w="2592"/>
            <w:shd w:val="clear" w:color="auto" w:fill="D9E2F3"/>
          </w:tcPr>
          <w:p>
            <w:r/>
            <w:r>
              <w:rPr>
                <w:b/>
                <w:sz w:val="20"/>
              </w:rPr>
              <w:t>Salary test</w:t>
            </w:r>
          </w:p>
        </w:tc>
        <w:tc>
          <w:tcPr>
            <w:tcW w:type="dxa" w:w="2880"/>
            <w:shd w:val="clear" w:color="auto" w:fill="D9E2F3"/>
          </w:tcPr>
          <w:p>
            <w:r/>
            <w:r>
              <w:rPr>
                <w:b/>
                <w:sz w:val="20"/>
              </w:rPr>
              <w:t>Duties test</w:t>
            </w:r>
          </w:p>
        </w:tc>
        <w:tc>
          <w:tcPr>
            <w:tcW w:type="dxa" w:w="1872"/>
            <w:shd w:val="clear" w:color="auto" w:fill="D9E2F3"/>
          </w:tcPr>
          <w:p>
            <w:r/>
            <w:r>
              <w:rPr>
                <w:b/>
                <w:sz w:val="20"/>
              </w:rPr>
              <w:t>Result</w:t>
            </w:r>
          </w:p>
        </w:tc>
      </w:tr>
      <w:tr>
        <w:tc>
          <w:tcPr>
            <w:tcW w:type="dxa" w:w="2016"/>
          </w:tcPr>
          <w:p>
            <w:r>
              <w:rPr>
                <w:sz w:val="20"/>
              </w:rPr>
            </w:r>
            <w:r>
              <w:rPr>
                <w:sz w:val="20"/>
              </w:rPr>
              <w:t>Austin, TX (8)</w:t>
            </w:r>
          </w:p>
        </w:tc>
        <w:tc>
          <w:tcPr>
            <w:tcW w:type="dxa" w:w="2592"/>
          </w:tcPr>
          <w:p>
            <w:r>
              <w:rPr>
                <w:sz w:val="20"/>
              </w:rPr>
            </w:r>
            <w:r>
              <w:rPr>
                <w:sz w:val="20"/>
              </w:rPr>
              <w:t>Federal $684/wk — met ($1,061.54)</w:t>
            </w:r>
          </w:p>
        </w:tc>
        <w:tc>
          <w:tcPr>
            <w:tcW w:type="dxa" w:w="2880"/>
          </w:tcPr>
          <w:p>
            <w:r>
              <w:rPr>
                <w:sz w:val="20"/>
              </w:rPr>
            </w:r>
            <w:r>
              <w:rPr>
                <w:sz w:val="20"/>
              </w:rPr>
              <w:t>Federal primary duty / § 541.200 — likely fails</w:t>
            </w:r>
          </w:p>
        </w:tc>
        <w:tc>
          <w:tcPr>
            <w:tcW w:type="dxa" w:w="1872"/>
          </w:tcPr>
          <w:p>
            <w:r>
              <w:rPr>
                <w:sz w:val="20"/>
              </w:rPr>
            </w:r>
            <w:r>
              <w:rPr>
                <w:b/>
                <w:sz w:val="20"/>
              </w:rPr>
              <w:t>Non-exempt</w:t>
            </w:r>
          </w:p>
        </w:tc>
      </w:tr>
      <w:tr>
        <w:tc>
          <w:tcPr>
            <w:tcW w:type="dxa" w:w="2016"/>
          </w:tcPr>
          <w:p>
            <w:r>
              <w:rPr>
                <w:sz w:val="20"/>
              </w:rPr>
            </w:r>
            <w:r>
              <w:rPr>
                <w:sz w:val="20"/>
              </w:rPr>
              <w:t>Irvine, CA (6)</w:t>
            </w:r>
          </w:p>
        </w:tc>
        <w:tc>
          <w:tcPr>
            <w:tcW w:type="dxa" w:w="2592"/>
          </w:tcPr>
          <w:p>
            <w:r>
              <w:rPr>
                <w:sz w:val="20"/>
              </w:rPr>
            </w:r>
            <w:r>
              <w:rPr>
                <w:sz w:val="20"/>
              </w:rPr>
              <w:t xml:space="preserve">CA $68,640/yr — </w:t>
            </w:r>
            <w:r>
              <w:rPr>
                <w:b/>
                <w:sz w:val="20"/>
              </w:rPr>
              <w:t>fails</w:t>
            </w:r>
            <w:r>
              <w:rPr>
                <w:sz w:val="20"/>
              </w:rPr>
              <w:t xml:space="preserve"> by $13,440</w:t>
            </w:r>
          </w:p>
        </w:tc>
        <w:tc>
          <w:tcPr>
            <w:tcW w:type="dxa" w:w="2880"/>
          </w:tcPr>
          <w:p>
            <w:r>
              <w:rPr>
                <w:sz w:val="20"/>
              </w:rPr>
            </w:r>
            <w:r>
              <w:rPr>
                <w:sz w:val="20"/>
              </w:rPr>
              <w:t xml:space="preserve">CA "primarily engaged" &gt;50% — </w:t>
            </w:r>
            <w:r>
              <w:rPr>
                <w:b/>
                <w:sz w:val="20"/>
              </w:rPr>
              <w:t>fails</w:t>
            </w:r>
            <w:r>
              <w:rPr>
                <w:sz w:val="20"/>
              </w:rPr>
              <w:t xml:space="preserve"> (≤25%)</w:t>
            </w:r>
          </w:p>
        </w:tc>
        <w:tc>
          <w:tcPr>
            <w:tcW w:type="dxa" w:w="1872"/>
          </w:tcPr>
          <w:p>
            <w:r>
              <w:rPr>
                <w:sz w:val="20"/>
              </w:rPr>
            </w:r>
            <w:r>
              <w:rPr>
                <w:b/>
                <w:sz w:val="20"/>
              </w:rPr>
              <w:t>Non-exempt as a matter of law</w:t>
            </w:r>
          </w:p>
        </w:tc>
      </w:tr>
      <w:tr>
        <w:tc>
          <w:tcPr>
            <w:tcW w:type="dxa" w:w="2016"/>
          </w:tcPr>
          <w:p>
            <w:r>
              <w:rPr>
                <w:sz w:val="20"/>
              </w:rPr>
            </w:r>
            <w:r>
              <w:rPr>
                <w:sz w:val="20"/>
              </w:rPr>
              <w:t>Portland, OR (4)</w:t>
            </w:r>
          </w:p>
        </w:tc>
        <w:tc>
          <w:tcPr>
            <w:tcW w:type="dxa" w:w="2592"/>
          </w:tcPr>
          <w:p>
            <w:r>
              <w:rPr>
                <w:sz w:val="20"/>
              </w:rPr>
            </w:r>
            <w:r>
              <w:rPr>
                <w:sz w:val="20"/>
              </w:rPr>
              <w:t>OR $33,176 (→ $33,904 on 7/1/25) — met</w:t>
            </w:r>
          </w:p>
        </w:tc>
        <w:tc>
          <w:tcPr>
            <w:tcW w:type="dxa" w:w="2880"/>
          </w:tcPr>
          <w:p>
            <w:r>
              <w:rPr>
                <w:sz w:val="20"/>
              </w:rPr>
            </w:r>
            <w:r>
              <w:rPr>
                <w:sz w:val="20"/>
              </w:rPr>
              <w:t>Federal duties tests via OAR 839-020-0300 — likely fails</w:t>
            </w:r>
          </w:p>
        </w:tc>
        <w:tc>
          <w:tcPr>
            <w:tcW w:type="dxa" w:w="1872"/>
          </w:tcPr>
          <w:p>
            <w:r>
              <w:rPr>
                <w:sz w:val="20"/>
              </w:rPr>
            </w:r>
            <w:r>
              <w:rPr>
                <w:b/>
                <w:sz w:val="20"/>
              </w:rPr>
              <w:t>Non-exempt</w:t>
            </w:r>
          </w:p>
        </w:tc>
      </w:tr>
    </w:tbl>
    <w:p/>
    <w:p>
      <w:pPr>
        <w:pStyle w:val="Heading1"/>
      </w:pPr>
      <w:r>
        <w:t>VII. Evaluation of the Thornbury Recommendation</w:t>
      </w:r>
    </w:p>
    <w:p>
      <w:pPr>
        <w:jc w:val="both"/>
      </w:pPr>
      <w:r>
        <w:t>Thornbury’s benchmarking work is useful for pay-setting. Its classification recommendation, however, should be given no weight in the legal determination, for the following reasons:</w:t>
      </w:r>
    </w:p>
    <w:p>
      <w:pPr>
        <w:pStyle w:val="ListNumber"/>
      </w:pPr>
      <w:r>
        <w:rPr>
          <w:b/>
        </w:rPr>
        <w:t>Self-disclaimed scope.</w:t>
      </w:r>
      <w:r>
        <w:t xml:space="preserve"> The letter states it "does not constitute legal advice," addresses only federal requirements, is based exclusively on the job description, and recommends counsel review before implementation. It expressly flags that state thresholds may differ — yet the email chain treats it as having resolved the California question.</w:t>
      </w:r>
    </w:p>
    <w:p>
      <w:pPr>
        <w:pStyle w:val="ListNumber"/>
      </w:pPr>
      <w:r>
        <w:rPr>
          <w:b/>
        </w:rPr>
        <w:t>Wrong salary rule.</w:t>
      </w:r>
      <w:r>
        <w:t xml:space="preserve"> It relies on the vacated 2024 rule and miscasts </w:t>
      </w:r>
      <w:r>
        <w:rPr>
          <w:i/>
        </w:rPr>
        <w:t>Texas v. DOL</w:t>
      </w:r>
      <w:r>
        <w:t xml:space="preserve"> as pending; and its statement that the salary clears "any" standard is incorrect as to the $1,128 tier.</w:t>
      </w:r>
    </w:p>
    <w:p>
      <w:pPr>
        <w:pStyle w:val="ListNumber"/>
      </w:pPr>
      <w:r>
        <w:rPr>
          <w:b/>
        </w:rPr>
        <w:t>Facts not in the job description.</w:t>
      </w:r>
      <w:r>
        <w:t xml:space="preserve"> It attributes to the CEAS the design of "custom" dashboards, independent selection of metrics, direct reporting to senior leadership, and discretionary resolution of complaints "beyond" scripted protocols — none of which appears in, and several of which are contradicted by, the February 10 job description.</w:t>
      </w:r>
    </w:p>
    <w:p>
      <w:pPr>
        <w:pStyle w:val="ListNumber"/>
      </w:pPr>
      <w:r>
        <w:rPr>
          <w:b/>
        </w:rPr>
        <w:t>Legal error on primary duty.</w:t>
      </w:r>
      <w:r>
        <w:t xml:space="preserve"> It dismisses 40% customer service as "incidental" without addressing the § 541.700 factors, ignores the 20% clerical and 15% sales components, and never confronts the fact that 75% of the role is non-exempt.</w:t>
      </w:r>
    </w:p>
    <w:p>
      <w:pPr>
        <w:pStyle w:val="ListNumber"/>
      </w:pPr>
      <w:r>
        <w:rPr>
          <w:b/>
        </w:rPr>
        <w:t>No good-faith shield.</w:t>
      </w:r>
      <w:r>
        <w:t xml:space="preserve"> Reliance on a non-legal consultant’s opinion — particularly after counsel has raised contrary concerns — is not the kind of reliance that supports the good-faith defense to liquidated damages under 29 U.S.C. § 260, and it is not a written administrative ruling of the Wage and Hour Administrator under the Portal-to-Portal Act, 29 U.S.C. § 259. The 2022 audit memo specifically warned the Company of this.</w:t>
      </w:r>
    </w:p>
    <w:p>
      <w:pPr>
        <w:pStyle w:val="Heading1"/>
      </w:pPr>
      <w:r>
        <w:t>VIII. Risk and Exposure Assessment</w:t>
      </w:r>
    </w:p>
    <w:p>
      <w:pPr>
        <w:pStyle w:val="Heading2"/>
      </w:pPr>
      <w:r>
        <w:t>A. Willfulness and Liquidated Damages</w:t>
      </w:r>
    </w:p>
    <w:p>
      <w:pPr>
        <w:jc w:val="both"/>
      </w:pPr>
      <w:r>
        <w:t xml:space="preserve">A violation is willful if the employer knew or showed reckless disregard for whether its conduct was prohibited. </w:t>
      </w:r>
      <w:r>
        <w:rPr>
          <w:i/>
        </w:rPr>
        <w:t>McLaughlin v. Richland Shoe Co.</w:t>
      </w:r>
      <w:r>
        <w:t>, 486 U.S. 128, 133 (1988). Willfulness extends the limitations period from two to three years, 29 U.S.C. § 255(a). Liquidated damages equal to the unpaid overtime are mandatory unless the employer proves both subjective good faith and objectively reasonable grounds, 29 U.S.C. §§ 216(b), 260. Here the written record already includes: (i) counsel’s 2022 reclassification of a near-identical Grade 7 hybrid role and explicit warnings about hybrid roles, pre-built reporting and consultant reliance; (ii) the COO’s February 12, 2025 email noting the role "could go either way" and questioning California compliance; and (iii) the GC’s March 28, 2025 email identifying the California salary shortfall and the 25% primary-duty problem and requesting a hold. An exempt classification adopted over this record would be very difficult to defend as non-willful.</w:t>
      </w:r>
    </w:p>
    <w:p>
      <w:pPr>
        <w:pStyle w:val="Heading2"/>
      </w:pPr>
      <w:r>
        <w:t>B. Illustrative Federal Overtime Exposure (18 Employees)</w:t>
      </w:r>
    </w:p>
    <w:p>
      <w:pPr>
        <w:jc w:val="both"/>
      </w:pPr>
      <w:r>
        <w:t>Assumptions: regular rate $26.54 (=$1,061.54 ÷ 40), overtime rate $39.81; 48 working weeks per year; three-year willful period; liquidated damages doubling. These figures exclude California daily overtime, meal/rest premiums, waiting-time, wage-statement and PAGA penalties, Oregon penalty wages, plaintiffs’ attorney fees, and defense costs, any of which can equal or exceed the base wage figures. If the Fifth Circuit half-time method were applied to Austin employees, the Austin component could be roughly one-third of these amounts.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D9E2F3"/>
          </w:tcPr>
          <w:p>
            <w:r/>
            <w:r>
              <w:rPr>
                <w:b/>
                <w:sz w:val="20"/>
              </w:rPr>
              <w:t>Avg. OT hrs/week</w:t>
            </w:r>
          </w:p>
        </w:tc>
        <w:tc>
          <w:tcPr>
            <w:tcW w:type="dxa" w:w="1872"/>
            <w:shd w:val="clear" w:color="auto" w:fill="D9E2F3"/>
          </w:tcPr>
          <w:p>
            <w:r/>
            <w:r>
              <w:rPr>
                <w:b/>
                <w:sz w:val="20"/>
              </w:rPr>
              <w:t>Per employee / yr</w:t>
            </w:r>
          </w:p>
        </w:tc>
        <w:tc>
          <w:tcPr>
            <w:tcW w:type="dxa" w:w="1872"/>
            <w:shd w:val="clear" w:color="auto" w:fill="D9E2F3"/>
          </w:tcPr>
          <w:p>
            <w:r/>
            <w:r>
              <w:rPr>
                <w:b/>
                <w:sz w:val="20"/>
              </w:rPr>
              <w:t>18 employees / yr</w:t>
            </w:r>
          </w:p>
        </w:tc>
        <w:tc>
          <w:tcPr>
            <w:tcW w:type="dxa" w:w="2160"/>
            <w:shd w:val="clear" w:color="auto" w:fill="D9E2F3"/>
          </w:tcPr>
          <w:p>
            <w:r/>
            <w:r>
              <w:rPr>
                <w:b/>
                <w:sz w:val="20"/>
              </w:rPr>
              <w:t>With liquidated (×2) / yr</w:t>
            </w:r>
          </w:p>
        </w:tc>
        <w:tc>
          <w:tcPr>
            <w:tcW w:type="dxa" w:w="1872"/>
            <w:shd w:val="clear" w:color="auto" w:fill="D9E2F3"/>
          </w:tcPr>
          <w:p>
            <w:r/>
            <w:r>
              <w:rPr>
                <w:b/>
                <w:sz w:val="20"/>
              </w:rPr>
              <w:t>3-year willful total</w:t>
            </w:r>
          </w:p>
        </w:tc>
      </w:tr>
      <w:tr>
        <w:tc>
          <w:tcPr>
            <w:tcW w:type="dxa" w:w="1584"/>
          </w:tcPr>
          <w:p>
            <w:r>
              <w:rPr>
                <w:sz w:val="20"/>
              </w:rPr>
            </w:r>
            <w:r>
              <w:rPr>
                <w:sz w:val="20"/>
              </w:rPr>
              <w:t>2</w:t>
            </w:r>
          </w:p>
        </w:tc>
        <w:tc>
          <w:tcPr>
            <w:tcW w:type="dxa" w:w="1872"/>
          </w:tcPr>
          <w:p>
            <w:r>
              <w:rPr>
                <w:sz w:val="20"/>
              </w:rPr>
            </w:r>
            <w:r>
              <w:rPr>
                <w:sz w:val="20"/>
              </w:rPr>
              <w:t>$3,822</w:t>
            </w:r>
          </w:p>
        </w:tc>
        <w:tc>
          <w:tcPr>
            <w:tcW w:type="dxa" w:w="1872"/>
          </w:tcPr>
          <w:p>
            <w:r>
              <w:rPr>
                <w:sz w:val="20"/>
              </w:rPr>
            </w:r>
            <w:r>
              <w:rPr>
                <w:sz w:val="20"/>
              </w:rPr>
              <w:t>$68,788</w:t>
            </w:r>
          </w:p>
        </w:tc>
        <w:tc>
          <w:tcPr>
            <w:tcW w:type="dxa" w:w="2160"/>
          </w:tcPr>
          <w:p>
            <w:r>
              <w:rPr>
                <w:sz w:val="20"/>
              </w:rPr>
            </w:r>
            <w:r>
              <w:rPr>
                <w:sz w:val="20"/>
              </w:rPr>
              <w:t>$137,576</w:t>
            </w:r>
          </w:p>
        </w:tc>
        <w:tc>
          <w:tcPr>
            <w:tcW w:type="dxa" w:w="1872"/>
          </w:tcPr>
          <w:p>
            <w:r>
              <w:rPr>
                <w:sz w:val="20"/>
              </w:rPr>
            </w:r>
            <w:r>
              <w:rPr>
                <w:sz w:val="20"/>
              </w:rPr>
              <w:t>$412,727</w:t>
            </w:r>
          </w:p>
        </w:tc>
      </w:tr>
      <w:tr>
        <w:tc>
          <w:tcPr>
            <w:tcW w:type="dxa" w:w="1584"/>
          </w:tcPr>
          <w:p>
            <w:r>
              <w:rPr>
                <w:sz w:val="20"/>
              </w:rPr>
            </w:r>
            <w:r>
              <w:rPr>
                <w:sz w:val="20"/>
              </w:rPr>
              <w:t>5</w:t>
            </w:r>
          </w:p>
        </w:tc>
        <w:tc>
          <w:tcPr>
            <w:tcW w:type="dxa" w:w="1872"/>
          </w:tcPr>
          <w:p>
            <w:r>
              <w:rPr>
                <w:sz w:val="20"/>
              </w:rPr>
            </w:r>
            <w:r>
              <w:rPr>
                <w:sz w:val="20"/>
              </w:rPr>
              <w:t>$9,554</w:t>
            </w:r>
          </w:p>
        </w:tc>
        <w:tc>
          <w:tcPr>
            <w:tcW w:type="dxa" w:w="1872"/>
          </w:tcPr>
          <w:p>
            <w:r>
              <w:rPr>
                <w:sz w:val="20"/>
              </w:rPr>
            </w:r>
            <w:r>
              <w:rPr>
                <w:sz w:val="20"/>
              </w:rPr>
              <w:t>$171,969</w:t>
            </w:r>
          </w:p>
        </w:tc>
        <w:tc>
          <w:tcPr>
            <w:tcW w:type="dxa" w:w="2160"/>
          </w:tcPr>
          <w:p>
            <w:r>
              <w:rPr>
                <w:sz w:val="20"/>
              </w:rPr>
            </w:r>
            <w:r>
              <w:rPr>
                <w:sz w:val="20"/>
              </w:rPr>
              <w:t>$343,939</w:t>
            </w:r>
          </w:p>
        </w:tc>
        <w:tc>
          <w:tcPr>
            <w:tcW w:type="dxa" w:w="1872"/>
          </w:tcPr>
          <w:p>
            <w:r>
              <w:rPr>
                <w:sz w:val="20"/>
              </w:rPr>
            </w:r>
            <w:r>
              <w:rPr>
                <w:sz w:val="20"/>
              </w:rPr>
              <w:t>$1,031,817</w:t>
            </w:r>
          </w:p>
        </w:tc>
      </w:tr>
      <w:tr>
        <w:tc>
          <w:tcPr>
            <w:tcW w:type="dxa" w:w="1584"/>
          </w:tcPr>
          <w:p>
            <w:r>
              <w:rPr>
                <w:sz w:val="20"/>
              </w:rPr>
            </w:r>
            <w:r>
              <w:rPr>
                <w:sz w:val="20"/>
              </w:rPr>
              <w:t>10</w:t>
            </w:r>
          </w:p>
        </w:tc>
        <w:tc>
          <w:tcPr>
            <w:tcW w:type="dxa" w:w="1872"/>
          </w:tcPr>
          <w:p>
            <w:r>
              <w:rPr>
                <w:sz w:val="20"/>
              </w:rPr>
            </w:r>
            <w:r>
              <w:rPr>
                <w:sz w:val="20"/>
              </w:rPr>
              <w:t>$19,108</w:t>
            </w:r>
          </w:p>
        </w:tc>
        <w:tc>
          <w:tcPr>
            <w:tcW w:type="dxa" w:w="1872"/>
          </w:tcPr>
          <w:p>
            <w:r>
              <w:rPr>
                <w:sz w:val="20"/>
              </w:rPr>
            </w:r>
            <w:r>
              <w:rPr>
                <w:sz w:val="20"/>
              </w:rPr>
              <w:t>$343,939</w:t>
            </w:r>
          </w:p>
        </w:tc>
        <w:tc>
          <w:tcPr>
            <w:tcW w:type="dxa" w:w="2160"/>
          </w:tcPr>
          <w:p>
            <w:r>
              <w:rPr>
                <w:sz w:val="20"/>
              </w:rPr>
            </w:r>
            <w:r>
              <w:rPr>
                <w:sz w:val="20"/>
              </w:rPr>
              <w:t>$687,878</w:t>
            </w:r>
          </w:p>
        </w:tc>
        <w:tc>
          <w:tcPr>
            <w:tcW w:type="dxa" w:w="1872"/>
          </w:tcPr>
          <w:p>
            <w:r>
              <w:rPr>
                <w:sz w:val="20"/>
              </w:rPr>
            </w:r>
            <w:r>
              <w:rPr>
                <w:sz w:val="20"/>
              </w:rPr>
              <w:t>$2,063,634</w:t>
            </w:r>
          </w:p>
        </w:tc>
      </w:tr>
    </w:tbl>
    <w:p/>
    <w:p>
      <w:pPr>
        <w:jc w:val="both"/>
      </w:pPr>
      <w:r>
        <w:t>By contrast, the incremental cost of classifying the role as non-exempt is limited to overtime actually worked (which can be controlled by scheduling and authorization policies) plus timekeeping administration — the same "trivial" cost the 2022 audit memo described.</w:t>
      </w:r>
    </w:p>
    <w:p>
      <w:pPr>
        <w:pStyle w:val="Heading2"/>
      </w:pPr>
      <w:r>
        <w:t>C. Employee-Relations and Business Considerations</w:t>
      </w:r>
    </w:p>
    <w:p>
      <w:pPr>
        <w:pStyle w:val="ListBullet"/>
      </w:pPr>
      <w:r>
        <w:t>Employees whose duties and pay closely resemble the eliminated non-exempt Senior CSR (at $24.50/hour plus overtime) may compare notes; former Senior CSRs hired into CEAS roles would lose overtime eligibility under an exempt classification, increasing claim likelihood.</w:t>
      </w:r>
    </w:p>
    <w:p>
      <w:pPr>
        <w:pStyle w:val="ListBullet"/>
      </w:pPr>
      <w:r>
        <w:t>The peak-season evening/weekend shifts contemplated in the job description make overtime foreseeable, increasing both exposure and the plausibility of a willfulness finding.</w:t>
      </w:r>
    </w:p>
    <w:p>
      <w:pPr>
        <w:pStyle w:val="ListBullet"/>
      </w:pPr>
      <w:r>
        <w:t>Posting the role as exempt and later reclassifying 18 employees is more disruptive than posting it correctly now.</w:t>
      </w:r>
    </w:p>
    <w:p>
      <w:pPr>
        <w:pStyle w:val="Heading1"/>
      </w:pPr>
      <w:r>
        <w:t>IX. Recommendations</w:t>
      </w:r>
    </w:p>
    <w:p>
      <w:pPr>
        <w:pStyle w:val="Heading2"/>
      </w:pPr>
      <w:r>
        <w:t>A. Immediate (Before the April 21 Posting / May 19 Start)</w:t>
      </w:r>
    </w:p>
    <w:p>
      <w:pPr>
        <w:pStyle w:val="ListNumber"/>
      </w:pPr>
      <w:r>
        <w:rPr>
          <w:b/>
        </w:rPr>
        <w:t>Classify the CEAS as non-exempt in all three locations.</w:t>
      </w:r>
      <w:r>
        <w:t xml:space="preserve"> Revise the "FLSA Status" fields in the Position Summary and Compensation tables of the job description; do not post the role as exempt. If the posting date cannot move, post only after this change is made.</w:t>
      </w:r>
    </w:p>
    <w:p>
      <w:pPr>
        <w:pStyle w:val="ListNumber"/>
      </w:pPr>
      <w:r>
        <w:rPr>
          <w:b/>
        </w:rPr>
        <w:t>Set compliant pay.</w:t>
      </w:r>
      <w:r>
        <w:t xml:space="preserve"> Recommended: an hourly rate of $26.54 (equivalent to $55,200 at 40 hours) with overtime at 1.5× (and California daily overtime/double time), budgeted for peak-season hours. A salaried non-exempt approach is permissible but in California the salary covers only 40 hours (Lab. Code § 515(d)); we recommend hourly pay for simplicity and uniformity. Confirm hourly rates exceed all applicable minimums (they do: CA $16.50; Portland metro $15.95, rising to $16.30 on July 1, 2025).</w:t>
      </w:r>
    </w:p>
    <w:p>
      <w:pPr>
        <w:pStyle w:val="ListNumber"/>
      </w:pPr>
      <w:r>
        <w:rPr>
          <w:b/>
        </w:rPr>
        <w:t>Timekeeping and policies.</w:t>
      </w:r>
      <w:r>
        <w:t xml:space="preserve"> Configure the position code with Lone Star Payroll Solutions as non-exempt; implement electronic timekeeping (including remote Portland employees and time spent on CRM, reports and after-hours email/chat); adopt a written overtime-authorization policy (while paying all overtime actually worked); implement California and Oregon meal/rest-period scheduling, attestation and premium-pay processes; ensure California wage statements comply with § 226; provide California Wage Theft Prevention Act notices (§ 2810.5) at hire.</w:t>
      </w:r>
    </w:p>
    <w:p>
      <w:pPr>
        <w:pStyle w:val="ListNumber"/>
      </w:pPr>
      <w:r>
        <w:rPr>
          <w:b/>
        </w:rPr>
        <w:t>Correct the file.</w:t>
      </w:r>
      <w:r>
        <w:t xml:space="preserve"> Have HR (not the hiring business unit or the consultant) correct comp grid v3.2: replace "$844/wk per 2024 DOL rule" with the operative $684/wk 2019 threshold throughout; correct the "Pending Regulatory Note" to reflect that the 2024 rule (including the $1,128 tier) was vacated; complete the California and Oregon notes for the CEAS row; and reflect non-exempt status. Document that the classification decision followed legal review.</w:t>
      </w:r>
    </w:p>
    <w:p>
      <w:pPr>
        <w:pStyle w:val="ListNumber"/>
      </w:pPr>
      <w:r>
        <w:rPr>
          <w:b/>
        </w:rPr>
        <w:t>Manager training.</w:t>
      </w:r>
      <w:r>
        <w:t xml:space="preserve"> Brief Mr. Polk, the Customer Experience Manager and Team Leads on non-exempt timekeeping, off-the-clock risk, and that "exempt" is a legal status, not a seniority level.</w:t>
      </w:r>
    </w:p>
    <w:p>
      <w:pPr>
        <w:pStyle w:val="Heading2"/>
      </w:pPr>
      <w:r>
        <w:t>B. If the Business Needs an Exempt Analytics Function</w:t>
      </w:r>
    </w:p>
    <w:p>
      <w:pPr>
        <w:jc w:val="both"/>
      </w:pPr>
      <w:r>
        <w:t>The cleanest path to preserving genuine analytics capability is structural, not a label:</w:t>
      </w:r>
    </w:p>
    <w:p>
      <w:pPr>
        <w:pStyle w:val="ListBullet"/>
      </w:pPr>
      <w:r>
        <w:rPr>
          <w:b/>
        </w:rPr>
        <w:t>Split the role.</w:t>
      </w:r>
      <w:r>
        <w:t xml:space="preserve"> Create (i) a non-exempt customer-service/upsell role and (ii) a separate Customer Experience Analyst role whose primary duty — well over 50% of time, and verified in practice — is designing analyses, selecting metrics, building non-templated reporting, and making recommendations that affect product, warranty or retention policy, with real authority to recommend and some freedom from immediate supervision, reporting to an exempt manager.</w:t>
      </w:r>
    </w:p>
    <w:p>
      <w:pPr>
        <w:pStyle w:val="ListBullet"/>
      </w:pPr>
      <w:r>
        <w:rPr>
          <w:b/>
        </w:rPr>
        <w:t>Pay it as an exempt role.</w:t>
      </w:r>
      <w:r>
        <w:t xml:space="preserve"> Federal: comfortably above $684/week, with headroom for future rulemaking. California: at or above the current-year state floor ($68,640 in 2025; re-test every January), which would require a grade above Grade 7 (the Grade 8 minimum of $68,000 is itself below the California floor and is already flagged in the grid). Oregon: at or above the regional minimum-wage floor.</w:t>
      </w:r>
    </w:p>
    <w:p>
      <w:pPr>
        <w:pStyle w:val="ListBullet"/>
      </w:pPr>
      <w:r>
        <w:rPr>
          <w:b/>
        </w:rPr>
        <w:t>Validate after hire.</w:t>
      </w:r>
      <w:r>
        <w:t xml:space="preserve"> Conduct a documented duties audit (supervisor interviews, time study, observation) within six months, consistent with both the 2022 audit and Thornbury’s own recommendation.</w:t>
      </w:r>
    </w:p>
    <w:p>
      <w:pPr>
        <w:pStyle w:val="Heading2"/>
      </w:pPr>
      <w:r>
        <w:t>C. Related Compliance Items</w:t>
      </w:r>
    </w:p>
    <w:p>
      <w:pPr>
        <w:pStyle w:val="ListBullet"/>
      </w:pPr>
      <w:r>
        <w:rPr>
          <w:b/>
        </w:rPr>
        <w:t>Marketing Coordinator.</w:t>
      </w:r>
      <w:r>
        <w:t xml:space="preserve"> Confirm that all three Marketing Coordinator incumbents shown in Grade 7 are being treated as non-exempt, consistent with the 2022 reclassification. If any are paid as exempt, correct prospectively and evaluate back-pay under privilege.</w:t>
      </w:r>
    </w:p>
    <w:p>
      <w:pPr>
        <w:pStyle w:val="ListBullet"/>
      </w:pPr>
      <w:r>
        <w:rPr>
          <w:b/>
        </w:rPr>
        <w:t>Annual classification review.</w:t>
      </w:r>
      <w:r>
        <w:t xml:space="preserve"> Implement the annual review recommended in 2022, including annual re-testing of California exempt salaries against the new minimum wage each January 1.</w:t>
      </w:r>
    </w:p>
    <w:p>
      <w:pPr>
        <w:pStyle w:val="ListBullet"/>
      </w:pPr>
      <w:r>
        <w:rPr>
          <w:b/>
        </w:rPr>
        <w:t>Regulatory monitoring.</w:t>
      </w:r>
      <w:r>
        <w:t xml:space="preserve"> Monitor any appeal in </w:t>
      </w:r>
      <w:r>
        <w:rPr>
          <w:i/>
        </w:rPr>
        <w:t>Texas v. DOL</w:t>
      </w:r>
      <w:r>
        <w:t xml:space="preserve"> and any new DOL salary rulemaking; a future federal increase could also affect other Grade 7 exempt roles (Logistics Coordinator, Inventory Analyst, Purchasing Specialist, Vendor Relations Coordinator), which should be duties-reviewed on their own merits.</w:t>
      </w:r>
    </w:p>
    <w:p>
      <w:pPr>
        <w:pStyle w:val="ListBullet"/>
      </w:pPr>
      <w:r>
        <w:rPr>
          <w:b/>
        </w:rPr>
        <w:t>Privilege.</w:t>
      </w:r>
      <w:r>
        <w:t xml:space="preserve"> Keep this analysis and any exposure modeling within the legal department; communicate the classification decision to the business as a decision, without forwarding this memorandum.</w:t>
      </w:r>
    </w:p>
    <w:p>
      <w:pPr>
        <w:pStyle w:val="Heading1"/>
      </w:pPr>
      <w:r>
        <w:t>X. Conclusion</w:t>
      </w:r>
    </w:p>
    <w:p>
      <w:pPr>
        <w:jc w:val="both"/>
      </w:pPr>
      <w:r>
        <w:t>The CEAS is a predominantly customer-service, clerical and inside-sales position with a minority, largely templated analytics component. It is non-exempt as a matter of law in California because it fails both the salary floor and the "primarily engaged" test, and it is very likely non-exempt under the FLSA (and therefore in Texas and Oregon) because its primary duty is not administrative work involving discretion and independent judgment on matters of significance. The Thornbury letter does not change that conclusion and, given the Company’s documented awareness of the risk, reliance on it would aggravate rather than mitigate exposure. We recommend classifying all 18 CEAS positions as non-exempt before the role is posted, and — if exempt-level analytics work is a genuine business need — creating a separate, properly scoped and properly compensated analyst role.</w:t>
      </w:r>
    </w:p>
    <w:p>
      <w:pPr>
        <w:jc w:val="both"/>
      </w:pPr>
      <w:r>
        <w:rPr>
          <w:i/>
        </w:rPr>
        <w:t>Caveats: This memorandum is based solely on the five documents listed in Section III; no incumbents exist and no interviews or observation have been conducted. Statutory thresholds cited are those in effect for 2025 and change periodically (California and Oregon annually). Case citations and regulatory references should be cite-checked before this analysis is shared outside the legal department or relied upon in any proceeding.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